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6FE464" w14:textId="351056FB" w:rsidR="00C86248" w:rsidRPr="00926083" w:rsidRDefault="009153F6" w:rsidP="00926083">
      <w:pPr>
        <w:pStyle w:val="Title"/>
      </w:pPr>
      <w:r>
        <w:t>Wai 2575</w:t>
      </w:r>
      <w:r w:rsidR="008A5642">
        <w:br/>
      </w:r>
      <w:r>
        <w:t>Māori Health Trend</w:t>
      </w:r>
      <w:r w:rsidR="00FB7BF3">
        <w:t>s Report</w:t>
      </w:r>
    </w:p>
    <w:p w14:paraId="2AA8F3B5" w14:textId="77777777" w:rsidR="00C05132" w:rsidRDefault="00C05132" w:rsidP="00A06BE4"/>
    <w:p w14:paraId="2E9A28C4" w14:textId="77777777" w:rsidR="00142954" w:rsidRPr="00142954" w:rsidRDefault="00142954" w:rsidP="00142954">
      <w:pPr>
        <w:sectPr w:rsidR="00142954" w:rsidRPr="00142954" w:rsidSect="00925892">
          <w:headerReference w:type="even" r:id="rId8"/>
          <w:headerReference w:type="default" r:id="rId9"/>
          <w:footerReference w:type="even" r:id="rId10"/>
          <w:footerReference w:type="default" r:id="rId11"/>
          <w:headerReference w:type="first" r:id="rId12"/>
          <w:footerReference w:type="first" r:id="rId13"/>
          <w:pgSz w:w="11907" w:h="16834" w:code="9"/>
          <w:pgMar w:top="5670" w:right="1134" w:bottom="1134" w:left="1134" w:header="567" w:footer="851" w:gutter="0"/>
          <w:pgNumType w:start="1"/>
          <w:cols w:space="720"/>
        </w:sectPr>
      </w:pPr>
    </w:p>
    <w:p w14:paraId="6B1AC204" w14:textId="6DD14C85" w:rsidR="00A80363" w:rsidRPr="00C05132" w:rsidRDefault="00A80363" w:rsidP="00A63DFF">
      <w:pPr>
        <w:pStyle w:val="Imprint"/>
        <w:spacing w:before="1200"/>
        <w:rPr>
          <w:rFonts w:cs="Segoe UI"/>
        </w:rPr>
      </w:pPr>
      <w:r w:rsidRPr="00C05132">
        <w:rPr>
          <w:rFonts w:cs="Segoe UI"/>
        </w:rPr>
        <w:lastRenderedPageBreak/>
        <w:t xml:space="preserve">Citation: </w:t>
      </w:r>
      <w:r w:rsidR="00442C1C" w:rsidRPr="00C05132">
        <w:rPr>
          <w:rFonts w:cs="Segoe UI"/>
        </w:rPr>
        <w:t xml:space="preserve">Ministry of Health. </w:t>
      </w:r>
      <w:r w:rsidR="004A7F24">
        <w:rPr>
          <w:rFonts w:cs="Segoe UI"/>
        </w:rPr>
        <w:t>2019</w:t>
      </w:r>
      <w:r w:rsidR="00442C1C" w:rsidRPr="00C05132">
        <w:rPr>
          <w:rFonts w:cs="Segoe UI"/>
        </w:rPr>
        <w:t xml:space="preserve">. </w:t>
      </w:r>
      <w:r w:rsidR="009153F6">
        <w:rPr>
          <w:rFonts w:cs="Segoe UI"/>
          <w:i/>
        </w:rPr>
        <w:t>Wai 2575 Māori Health Trend</w:t>
      </w:r>
      <w:r w:rsidR="00597AB4">
        <w:rPr>
          <w:rFonts w:cs="Segoe UI"/>
          <w:i/>
        </w:rPr>
        <w:t>s</w:t>
      </w:r>
      <w:r w:rsidR="00FB7BF3">
        <w:rPr>
          <w:rFonts w:cs="Segoe UI"/>
          <w:i/>
        </w:rPr>
        <w:t xml:space="preserve"> Report</w:t>
      </w:r>
      <w:r w:rsidR="00442C1C" w:rsidRPr="00C05132">
        <w:rPr>
          <w:rFonts w:cs="Segoe UI"/>
        </w:rPr>
        <w:t>. Wellington: Ministry of Health.</w:t>
      </w:r>
    </w:p>
    <w:p w14:paraId="7C91F2FC" w14:textId="3484E7D4" w:rsidR="00C86248" w:rsidRDefault="00C86248">
      <w:pPr>
        <w:pStyle w:val="Imprint"/>
      </w:pPr>
      <w:r>
        <w:t xml:space="preserve">Published in </w:t>
      </w:r>
      <w:r w:rsidR="0002781D">
        <w:t xml:space="preserve">September </w:t>
      </w:r>
      <w:r w:rsidR="004A7F24">
        <w:t>2019</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06239E2B" w14:textId="51C5ED40" w:rsidR="00082CD6" w:rsidRPr="009C0F2D" w:rsidRDefault="00D863D0" w:rsidP="00082CD6">
      <w:pPr>
        <w:pStyle w:val="Imprint"/>
      </w:pPr>
      <w:r w:rsidRPr="008E2338">
        <w:rPr>
          <w:rFonts w:cs="Segoe UI"/>
        </w:rPr>
        <w:t>ISBN</w:t>
      </w:r>
      <w:r w:rsidR="00442C1C" w:rsidRPr="008E2338">
        <w:rPr>
          <w:rFonts w:cs="Segoe UI"/>
        </w:rPr>
        <w:t xml:space="preserve"> </w:t>
      </w:r>
      <w:r w:rsidR="008E2338" w:rsidRPr="008E2338">
        <w:rPr>
          <w:rFonts w:eastAsia="Arial" w:cs="Segoe UI"/>
          <w:color w:val="000000"/>
        </w:rPr>
        <w:t>978-1-98-859716-4</w:t>
      </w:r>
      <w:r w:rsidR="008E2338" w:rsidRPr="008E2338">
        <w:rPr>
          <w:rFonts w:cs="Segoe UI"/>
        </w:rPr>
        <w:t xml:space="preserve"> </w:t>
      </w:r>
      <w:r w:rsidRPr="008E2338">
        <w:rPr>
          <w:rFonts w:cs="Segoe UI"/>
        </w:rPr>
        <w:t>(</w:t>
      </w:r>
      <w:r w:rsidR="00442C1C" w:rsidRPr="008E2338">
        <w:rPr>
          <w:rFonts w:cs="Segoe UI"/>
        </w:rPr>
        <w:t>online</w:t>
      </w:r>
      <w:r w:rsidRPr="008E2338">
        <w:rPr>
          <w:rFonts w:cs="Segoe UI"/>
        </w:rPr>
        <w:t>)</w:t>
      </w:r>
      <w:r w:rsidR="00082CD6">
        <w:br/>
      </w:r>
      <w:r w:rsidR="00082CD6" w:rsidRPr="009C0F2D">
        <w:t xml:space="preserve">HP </w:t>
      </w:r>
      <w:r w:rsidR="008E2338">
        <w:t>7243</w:t>
      </w:r>
    </w:p>
    <w:p w14:paraId="1F778B66" w14:textId="77777777" w:rsidR="00C86248" w:rsidRDefault="008C64C4" w:rsidP="00A63DFF">
      <w:r>
        <w:rPr>
          <w:noProof/>
          <w:lang w:eastAsia="en-NZ"/>
        </w:rPr>
        <w:drawing>
          <wp:inline distT="0" distB="0" distL="0" distR="0" wp14:anchorId="3930C839" wp14:editId="1F7DFD6A">
            <wp:extent cx="1413163" cy="5763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p>
    <w:p w14:paraId="482B8F3D" w14:textId="77777777" w:rsidR="00A63DFF" w:rsidRDefault="00A63DFF" w:rsidP="00A63DFF">
      <w:pPr>
        <w:pStyle w:val="Imprint"/>
        <w:spacing w:before="240" w:after="480"/>
      </w:pPr>
      <w:r>
        <w:t>This document is available at health.govt.nz</w:t>
      </w:r>
    </w:p>
    <w:tbl>
      <w:tblPr>
        <w:tblW w:w="0" w:type="auto"/>
        <w:tblLayout w:type="fixed"/>
        <w:tblLook w:val="04A0" w:firstRow="1" w:lastRow="0" w:firstColumn="1" w:lastColumn="0" w:noHBand="0" w:noVBand="1"/>
      </w:tblPr>
      <w:tblGrid>
        <w:gridCol w:w="1526"/>
        <w:gridCol w:w="6061"/>
      </w:tblGrid>
      <w:tr w:rsidR="00A63DFF" w:rsidRPr="00A63DFF" w14:paraId="4C074A95" w14:textId="77777777" w:rsidTr="00A63DFF">
        <w:trPr>
          <w:cantSplit/>
        </w:trPr>
        <w:tc>
          <w:tcPr>
            <w:tcW w:w="1526" w:type="dxa"/>
          </w:tcPr>
          <w:p w14:paraId="4A22E011" w14:textId="77777777" w:rsidR="00A63DFF" w:rsidRPr="00A63DFF" w:rsidRDefault="00A63DFF" w:rsidP="00A63DFF">
            <w:pPr>
              <w:rPr>
                <w:rFonts w:cs="Segoe UI"/>
                <w:sz w:val="15"/>
                <w:szCs w:val="15"/>
              </w:rPr>
            </w:pPr>
            <w:r w:rsidRPr="00A63DFF">
              <w:rPr>
                <w:rFonts w:cs="Segoe UI"/>
                <w:noProof/>
                <w:sz w:val="15"/>
                <w:szCs w:val="15"/>
                <w:lang w:eastAsia="en-NZ"/>
              </w:rPr>
              <w:drawing>
                <wp:inline distT="0" distB="0" distL="0" distR="0" wp14:anchorId="3F6F82A8" wp14:editId="33F434E2">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36FABBE6"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w:t>
            </w:r>
            <w:proofErr w:type="gramStart"/>
            <w:r w:rsidRPr="00A63DFF">
              <w:rPr>
                <w:rFonts w:cs="Segoe UI"/>
                <w:sz w:val="15"/>
                <w:szCs w:val="15"/>
              </w:rPr>
              <w:t xml:space="preserve">In essence, </w:t>
            </w:r>
            <w:r w:rsidRPr="00A63DFF">
              <w:rPr>
                <w:rFonts w:cs="Segoe UI"/>
                <w:bCs/>
                <w:sz w:val="15"/>
                <w:szCs w:val="15"/>
              </w:rPr>
              <w:t>you</w:t>
            </w:r>
            <w:proofErr w:type="gramEnd"/>
            <w:r w:rsidRPr="00A63DFF">
              <w:rPr>
                <w:rFonts w:cs="Segoe UI"/>
                <w:bCs/>
                <w:sz w:val="15"/>
                <w:szCs w:val="15"/>
              </w:rPr>
              <w:t xml:space="preserve"> are free to: </w:t>
            </w:r>
            <w:r w:rsidRPr="00A63DFF">
              <w:rPr>
                <w:rFonts w:cs="Segoe UI"/>
                <w:sz w:val="15"/>
                <w:szCs w:val="15"/>
              </w:rPr>
              <w:t xml:space="preserve">share ie, copy and redistribute the material in any medium or format; adapt ie, remix, transform and build upon the material. </w:t>
            </w:r>
            <w:r w:rsidRPr="00A63DFF">
              <w:rPr>
                <w:rFonts w:cs="Segoe UI"/>
                <w:bCs/>
                <w:sz w:val="15"/>
                <w:szCs w:val="15"/>
              </w:rPr>
              <w:t>You must give appropriate credit, provide a link to the licence and indicate if changes were made.</w:t>
            </w:r>
          </w:p>
        </w:tc>
      </w:tr>
    </w:tbl>
    <w:p w14:paraId="4EC522C6" w14:textId="77777777" w:rsidR="007E74F1" w:rsidRPr="001F45A7" w:rsidRDefault="007E74F1" w:rsidP="00A63DFF"/>
    <w:p w14:paraId="7BD3EE4D" w14:textId="77777777" w:rsidR="00C86248" w:rsidRDefault="00C86248">
      <w:pPr>
        <w:jc w:val="center"/>
        <w:sectPr w:rsidR="00C86248" w:rsidSect="00925892">
          <w:footerReference w:type="even" r:id="rId16"/>
          <w:footerReference w:type="default" r:id="rId17"/>
          <w:pgSz w:w="11907" w:h="16834" w:code="9"/>
          <w:pgMar w:top="1701" w:right="2268" w:bottom="1134" w:left="2268" w:header="0" w:footer="0" w:gutter="0"/>
          <w:cols w:space="720"/>
          <w:vAlign w:val="bottom"/>
        </w:sectPr>
      </w:pPr>
    </w:p>
    <w:p w14:paraId="0C6A0127" w14:textId="77777777" w:rsidR="00C86248" w:rsidRDefault="00C86248" w:rsidP="00025A6F">
      <w:pPr>
        <w:pStyle w:val="IntroHead"/>
      </w:pPr>
      <w:bookmarkStart w:id="0" w:name="_Toc405792991"/>
      <w:bookmarkStart w:id="1" w:name="_Toc405793224"/>
      <w:r>
        <w:lastRenderedPageBreak/>
        <w:t>Contents</w:t>
      </w:r>
      <w:bookmarkEnd w:id="0"/>
      <w:bookmarkEnd w:id="1"/>
    </w:p>
    <w:p w14:paraId="3D51DD84" w14:textId="47B1EFB0" w:rsidR="00DA2B90" w:rsidRDefault="00DA2B90">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"1-3" \h \z \u </w:instrText>
      </w:r>
      <w:r>
        <w:rPr>
          <w:b/>
        </w:rPr>
        <w:fldChar w:fldCharType="separate"/>
      </w:r>
      <w:hyperlink w:anchor="_Toc19102278" w:history="1">
        <w:r w:rsidRPr="00F850A8">
          <w:rPr>
            <w:rStyle w:val="Hyperlink"/>
            <w:noProof/>
          </w:rPr>
          <w:t>Acknowledgements</w:t>
        </w:r>
        <w:r>
          <w:rPr>
            <w:noProof/>
            <w:webHidden/>
          </w:rPr>
          <w:tab/>
        </w:r>
        <w:r>
          <w:rPr>
            <w:noProof/>
            <w:webHidden/>
          </w:rPr>
          <w:fldChar w:fldCharType="begin"/>
        </w:r>
        <w:r>
          <w:rPr>
            <w:noProof/>
            <w:webHidden/>
          </w:rPr>
          <w:instrText xml:space="preserve"> PAGEREF _Toc19102278 \h </w:instrText>
        </w:r>
        <w:r>
          <w:rPr>
            <w:noProof/>
            <w:webHidden/>
          </w:rPr>
        </w:r>
        <w:r>
          <w:rPr>
            <w:noProof/>
            <w:webHidden/>
          </w:rPr>
          <w:fldChar w:fldCharType="separate"/>
        </w:r>
        <w:r w:rsidR="00D2215B">
          <w:rPr>
            <w:noProof/>
            <w:webHidden/>
          </w:rPr>
          <w:t>xvii</w:t>
        </w:r>
        <w:r>
          <w:rPr>
            <w:noProof/>
            <w:webHidden/>
          </w:rPr>
          <w:fldChar w:fldCharType="end"/>
        </w:r>
      </w:hyperlink>
    </w:p>
    <w:p w14:paraId="08ABD3F1" w14:textId="31D7F3A2" w:rsidR="00DA2B90" w:rsidRDefault="00D2215B">
      <w:pPr>
        <w:pStyle w:val="TOC1"/>
        <w:rPr>
          <w:rFonts w:asciiTheme="minorHAnsi" w:eastAsiaTheme="minorEastAsia" w:hAnsiTheme="minorHAnsi" w:cstheme="minorBidi"/>
          <w:noProof/>
          <w:sz w:val="22"/>
          <w:szCs w:val="22"/>
          <w:lang w:eastAsia="en-NZ"/>
        </w:rPr>
      </w:pPr>
      <w:hyperlink w:anchor="_Toc19102279" w:history="1">
        <w:r w:rsidR="00DA2B90" w:rsidRPr="00F850A8">
          <w:rPr>
            <w:rStyle w:val="Hyperlink"/>
            <w:noProof/>
          </w:rPr>
          <w:t>Executive summary</w:t>
        </w:r>
        <w:r w:rsidR="00DA2B90">
          <w:rPr>
            <w:noProof/>
            <w:webHidden/>
          </w:rPr>
          <w:tab/>
        </w:r>
        <w:r w:rsidR="00DA2B90">
          <w:rPr>
            <w:noProof/>
            <w:webHidden/>
          </w:rPr>
          <w:fldChar w:fldCharType="begin"/>
        </w:r>
        <w:r w:rsidR="00DA2B90">
          <w:rPr>
            <w:noProof/>
            <w:webHidden/>
          </w:rPr>
          <w:instrText xml:space="preserve"> PAGEREF _Toc19102279 \h </w:instrText>
        </w:r>
        <w:r w:rsidR="00DA2B90">
          <w:rPr>
            <w:noProof/>
            <w:webHidden/>
          </w:rPr>
        </w:r>
        <w:r w:rsidR="00DA2B90">
          <w:rPr>
            <w:noProof/>
            <w:webHidden/>
          </w:rPr>
          <w:fldChar w:fldCharType="separate"/>
        </w:r>
        <w:r>
          <w:rPr>
            <w:noProof/>
            <w:webHidden/>
          </w:rPr>
          <w:t>xix</w:t>
        </w:r>
        <w:r w:rsidR="00DA2B90">
          <w:rPr>
            <w:noProof/>
            <w:webHidden/>
          </w:rPr>
          <w:fldChar w:fldCharType="end"/>
        </w:r>
      </w:hyperlink>
    </w:p>
    <w:p w14:paraId="42EE86DD" w14:textId="55B2617E" w:rsidR="00DA2B90" w:rsidRDefault="00D2215B">
      <w:pPr>
        <w:pStyle w:val="TOC1"/>
        <w:rPr>
          <w:rFonts w:asciiTheme="minorHAnsi" w:eastAsiaTheme="minorEastAsia" w:hAnsiTheme="minorHAnsi" w:cstheme="minorBidi"/>
          <w:noProof/>
          <w:sz w:val="22"/>
          <w:szCs w:val="22"/>
          <w:lang w:eastAsia="en-NZ"/>
        </w:rPr>
      </w:pPr>
      <w:hyperlink w:anchor="_Toc19102280" w:history="1">
        <w:r w:rsidR="00DA2B90" w:rsidRPr="00F850A8">
          <w:rPr>
            <w:rStyle w:val="Hyperlink"/>
            <w:noProof/>
          </w:rPr>
          <w:t>Introduction</w:t>
        </w:r>
        <w:r w:rsidR="00DA2B90">
          <w:rPr>
            <w:noProof/>
            <w:webHidden/>
          </w:rPr>
          <w:tab/>
        </w:r>
        <w:r w:rsidR="00DA2B90">
          <w:rPr>
            <w:noProof/>
            <w:webHidden/>
          </w:rPr>
          <w:fldChar w:fldCharType="begin"/>
        </w:r>
        <w:r w:rsidR="00DA2B90">
          <w:rPr>
            <w:noProof/>
            <w:webHidden/>
          </w:rPr>
          <w:instrText xml:space="preserve"> PAGEREF _Toc19102280 \h </w:instrText>
        </w:r>
        <w:r w:rsidR="00DA2B90">
          <w:rPr>
            <w:noProof/>
            <w:webHidden/>
          </w:rPr>
        </w:r>
        <w:r w:rsidR="00DA2B90">
          <w:rPr>
            <w:noProof/>
            <w:webHidden/>
          </w:rPr>
          <w:fldChar w:fldCharType="separate"/>
        </w:r>
        <w:r>
          <w:rPr>
            <w:noProof/>
            <w:webHidden/>
          </w:rPr>
          <w:t>1</w:t>
        </w:r>
        <w:r w:rsidR="00DA2B90">
          <w:rPr>
            <w:noProof/>
            <w:webHidden/>
          </w:rPr>
          <w:fldChar w:fldCharType="end"/>
        </w:r>
      </w:hyperlink>
    </w:p>
    <w:p w14:paraId="53B89C9B" w14:textId="070C9A35" w:rsidR="00DA2B90" w:rsidRDefault="00D2215B">
      <w:pPr>
        <w:pStyle w:val="TOC1"/>
        <w:rPr>
          <w:rFonts w:asciiTheme="minorHAnsi" w:eastAsiaTheme="minorEastAsia" w:hAnsiTheme="minorHAnsi" w:cstheme="minorBidi"/>
          <w:noProof/>
          <w:sz w:val="22"/>
          <w:szCs w:val="22"/>
          <w:lang w:eastAsia="en-NZ"/>
        </w:rPr>
      </w:pPr>
      <w:hyperlink w:anchor="_Toc19102281" w:history="1">
        <w:r w:rsidR="00DA2B90" w:rsidRPr="00F850A8">
          <w:rPr>
            <w:rStyle w:val="Hyperlink"/>
            <w:noProof/>
          </w:rPr>
          <w:t>Data sources and methods</w:t>
        </w:r>
        <w:r w:rsidR="00DA2B90">
          <w:rPr>
            <w:noProof/>
            <w:webHidden/>
          </w:rPr>
          <w:tab/>
        </w:r>
        <w:r w:rsidR="00DA2B90">
          <w:rPr>
            <w:noProof/>
            <w:webHidden/>
          </w:rPr>
          <w:fldChar w:fldCharType="begin"/>
        </w:r>
        <w:r w:rsidR="00DA2B90">
          <w:rPr>
            <w:noProof/>
            <w:webHidden/>
          </w:rPr>
          <w:instrText xml:space="preserve"> PAGEREF _Toc19102281 \h </w:instrText>
        </w:r>
        <w:r w:rsidR="00DA2B90">
          <w:rPr>
            <w:noProof/>
            <w:webHidden/>
          </w:rPr>
        </w:r>
        <w:r w:rsidR="00DA2B90">
          <w:rPr>
            <w:noProof/>
            <w:webHidden/>
          </w:rPr>
          <w:fldChar w:fldCharType="separate"/>
        </w:r>
        <w:r>
          <w:rPr>
            <w:noProof/>
            <w:webHidden/>
          </w:rPr>
          <w:t>2</w:t>
        </w:r>
        <w:r w:rsidR="00DA2B90">
          <w:rPr>
            <w:noProof/>
            <w:webHidden/>
          </w:rPr>
          <w:fldChar w:fldCharType="end"/>
        </w:r>
      </w:hyperlink>
    </w:p>
    <w:p w14:paraId="6C5CDBB8" w14:textId="404C41F3" w:rsidR="00DA2B90" w:rsidRDefault="00D2215B">
      <w:pPr>
        <w:pStyle w:val="TOC2"/>
        <w:rPr>
          <w:rFonts w:asciiTheme="minorHAnsi" w:eastAsiaTheme="minorEastAsia" w:hAnsiTheme="minorHAnsi" w:cstheme="minorBidi"/>
          <w:noProof/>
          <w:sz w:val="22"/>
          <w:szCs w:val="22"/>
          <w:lang w:eastAsia="en-NZ"/>
        </w:rPr>
      </w:pPr>
      <w:hyperlink w:anchor="_Toc19102282" w:history="1">
        <w:r w:rsidR="00DA2B90" w:rsidRPr="00F850A8">
          <w:rPr>
            <w:rStyle w:val="Hyperlink"/>
            <w:noProof/>
          </w:rPr>
          <w:t>Numerator</w:t>
        </w:r>
        <w:r w:rsidR="00DA2B90">
          <w:rPr>
            <w:noProof/>
            <w:webHidden/>
          </w:rPr>
          <w:tab/>
        </w:r>
        <w:r w:rsidR="00DA2B90">
          <w:rPr>
            <w:noProof/>
            <w:webHidden/>
          </w:rPr>
          <w:fldChar w:fldCharType="begin"/>
        </w:r>
        <w:r w:rsidR="00DA2B90">
          <w:rPr>
            <w:noProof/>
            <w:webHidden/>
          </w:rPr>
          <w:instrText xml:space="preserve"> PAGEREF _Toc19102282 \h </w:instrText>
        </w:r>
        <w:r w:rsidR="00DA2B90">
          <w:rPr>
            <w:noProof/>
            <w:webHidden/>
          </w:rPr>
        </w:r>
        <w:r w:rsidR="00DA2B90">
          <w:rPr>
            <w:noProof/>
            <w:webHidden/>
          </w:rPr>
          <w:fldChar w:fldCharType="separate"/>
        </w:r>
        <w:r>
          <w:rPr>
            <w:noProof/>
            <w:webHidden/>
          </w:rPr>
          <w:t>2</w:t>
        </w:r>
        <w:r w:rsidR="00DA2B90">
          <w:rPr>
            <w:noProof/>
            <w:webHidden/>
          </w:rPr>
          <w:fldChar w:fldCharType="end"/>
        </w:r>
      </w:hyperlink>
    </w:p>
    <w:p w14:paraId="416613E3" w14:textId="10F6E414" w:rsidR="00DA2B90" w:rsidRDefault="00D2215B">
      <w:pPr>
        <w:pStyle w:val="TOC2"/>
        <w:rPr>
          <w:rFonts w:asciiTheme="minorHAnsi" w:eastAsiaTheme="minorEastAsia" w:hAnsiTheme="minorHAnsi" w:cstheme="minorBidi"/>
          <w:noProof/>
          <w:sz w:val="22"/>
          <w:szCs w:val="22"/>
          <w:lang w:eastAsia="en-NZ"/>
        </w:rPr>
      </w:pPr>
      <w:hyperlink w:anchor="_Toc19102283" w:history="1">
        <w:r w:rsidR="00DA2B90" w:rsidRPr="00F850A8">
          <w:rPr>
            <w:rStyle w:val="Hyperlink"/>
            <w:noProof/>
          </w:rPr>
          <w:t>Denominator</w:t>
        </w:r>
        <w:r w:rsidR="00DA2B90">
          <w:rPr>
            <w:noProof/>
            <w:webHidden/>
          </w:rPr>
          <w:tab/>
        </w:r>
        <w:r w:rsidR="00DA2B90">
          <w:rPr>
            <w:noProof/>
            <w:webHidden/>
          </w:rPr>
          <w:fldChar w:fldCharType="begin"/>
        </w:r>
        <w:r w:rsidR="00DA2B90">
          <w:rPr>
            <w:noProof/>
            <w:webHidden/>
          </w:rPr>
          <w:instrText xml:space="preserve"> PAGEREF _Toc19102283 \h </w:instrText>
        </w:r>
        <w:r w:rsidR="00DA2B90">
          <w:rPr>
            <w:noProof/>
            <w:webHidden/>
          </w:rPr>
        </w:r>
        <w:r w:rsidR="00DA2B90">
          <w:rPr>
            <w:noProof/>
            <w:webHidden/>
          </w:rPr>
          <w:fldChar w:fldCharType="separate"/>
        </w:r>
        <w:r>
          <w:rPr>
            <w:noProof/>
            <w:webHidden/>
          </w:rPr>
          <w:t>2</w:t>
        </w:r>
        <w:r w:rsidR="00DA2B90">
          <w:rPr>
            <w:noProof/>
            <w:webHidden/>
          </w:rPr>
          <w:fldChar w:fldCharType="end"/>
        </w:r>
      </w:hyperlink>
    </w:p>
    <w:p w14:paraId="0415B0A1" w14:textId="769E8DE7" w:rsidR="00DA2B90" w:rsidRDefault="00D2215B">
      <w:pPr>
        <w:pStyle w:val="TOC2"/>
        <w:rPr>
          <w:rFonts w:asciiTheme="minorHAnsi" w:eastAsiaTheme="minorEastAsia" w:hAnsiTheme="minorHAnsi" w:cstheme="minorBidi"/>
          <w:noProof/>
          <w:sz w:val="22"/>
          <w:szCs w:val="22"/>
          <w:lang w:eastAsia="en-NZ"/>
        </w:rPr>
      </w:pPr>
      <w:hyperlink w:anchor="_Toc19102284" w:history="1">
        <w:r w:rsidR="00DA2B90" w:rsidRPr="00F850A8">
          <w:rPr>
            <w:rStyle w:val="Hyperlink"/>
            <w:noProof/>
          </w:rPr>
          <w:t>Ethnicity classification</w:t>
        </w:r>
        <w:r w:rsidR="00DA2B90">
          <w:rPr>
            <w:noProof/>
            <w:webHidden/>
          </w:rPr>
          <w:tab/>
        </w:r>
        <w:r w:rsidR="00DA2B90">
          <w:rPr>
            <w:noProof/>
            <w:webHidden/>
          </w:rPr>
          <w:fldChar w:fldCharType="begin"/>
        </w:r>
        <w:r w:rsidR="00DA2B90">
          <w:rPr>
            <w:noProof/>
            <w:webHidden/>
          </w:rPr>
          <w:instrText xml:space="preserve"> PAGEREF _Toc19102284 \h </w:instrText>
        </w:r>
        <w:r w:rsidR="00DA2B90">
          <w:rPr>
            <w:noProof/>
            <w:webHidden/>
          </w:rPr>
        </w:r>
        <w:r w:rsidR="00DA2B90">
          <w:rPr>
            <w:noProof/>
            <w:webHidden/>
          </w:rPr>
          <w:fldChar w:fldCharType="separate"/>
        </w:r>
        <w:r>
          <w:rPr>
            <w:noProof/>
            <w:webHidden/>
          </w:rPr>
          <w:t>3</w:t>
        </w:r>
        <w:r w:rsidR="00DA2B90">
          <w:rPr>
            <w:noProof/>
            <w:webHidden/>
          </w:rPr>
          <w:fldChar w:fldCharType="end"/>
        </w:r>
      </w:hyperlink>
    </w:p>
    <w:p w14:paraId="4F25B6B3" w14:textId="6E22EC21" w:rsidR="00DA2B90" w:rsidRDefault="00D2215B">
      <w:pPr>
        <w:pStyle w:val="TOC2"/>
        <w:rPr>
          <w:rFonts w:asciiTheme="minorHAnsi" w:eastAsiaTheme="minorEastAsia" w:hAnsiTheme="minorHAnsi" w:cstheme="minorBidi"/>
          <w:noProof/>
          <w:sz w:val="22"/>
          <w:szCs w:val="22"/>
          <w:lang w:eastAsia="en-NZ"/>
        </w:rPr>
      </w:pPr>
      <w:hyperlink w:anchor="_Toc19102285" w:history="1">
        <w:r w:rsidR="00DA2B90" w:rsidRPr="00F850A8">
          <w:rPr>
            <w:rStyle w:val="Hyperlink"/>
            <w:noProof/>
          </w:rPr>
          <w:t>Age-standardised and crude rates</w:t>
        </w:r>
        <w:r w:rsidR="00DA2B90">
          <w:rPr>
            <w:noProof/>
            <w:webHidden/>
          </w:rPr>
          <w:tab/>
        </w:r>
        <w:r w:rsidR="00DA2B90">
          <w:rPr>
            <w:noProof/>
            <w:webHidden/>
          </w:rPr>
          <w:fldChar w:fldCharType="begin"/>
        </w:r>
        <w:r w:rsidR="00DA2B90">
          <w:rPr>
            <w:noProof/>
            <w:webHidden/>
          </w:rPr>
          <w:instrText xml:space="preserve"> PAGEREF _Toc19102285 \h </w:instrText>
        </w:r>
        <w:r w:rsidR="00DA2B90">
          <w:rPr>
            <w:noProof/>
            <w:webHidden/>
          </w:rPr>
        </w:r>
        <w:r w:rsidR="00DA2B90">
          <w:rPr>
            <w:noProof/>
            <w:webHidden/>
          </w:rPr>
          <w:fldChar w:fldCharType="separate"/>
        </w:r>
        <w:r>
          <w:rPr>
            <w:noProof/>
            <w:webHidden/>
          </w:rPr>
          <w:t>3</w:t>
        </w:r>
        <w:r w:rsidR="00DA2B90">
          <w:rPr>
            <w:noProof/>
            <w:webHidden/>
          </w:rPr>
          <w:fldChar w:fldCharType="end"/>
        </w:r>
      </w:hyperlink>
    </w:p>
    <w:p w14:paraId="74DEE34A" w14:textId="6F6BC823" w:rsidR="00DA2B90" w:rsidRDefault="00D2215B">
      <w:pPr>
        <w:pStyle w:val="TOC2"/>
        <w:rPr>
          <w:rFonts w:asciiTheme="minorHAnsi" w:eastAsiaTheme="minorEastAsia" w:hAnsiTheme="minorHAnsi" w:cstheme="minorBidi"/>
          <w:noProof/>
          <w:sz w:val="22"/>
          <w:szCs w:val="22"/>
          <w:lang w:eastAsia="en-NZ"/>
        </w:rPr>
      </w:pPr>
      <w:hyperlink w:anchor="_Toc19102286" w:history="1">
        <w:r w:rsidR="00DA2B90" w:rsidRPr="00F850A8">
          <w:rPr>
            <w:rStyle w:val="Hyperlink"/>
            <w:noProof/>
          </w:rPr>
          <w:t>Confidence intervals</w:t>
        </w:r>
        <w:r w:rsidR="00DA2B90">
          <w:rPr>
            <w:noProof/>
            <w:webHidden/>
          </w:rPr>
          <w:tab/>
        </w:r>
        <w:r w:rsidR="00DA2B90">
          <w:rPr>
            <w:noProof/>
            <w:webHidden/>
          </w:rPr>
          <w:fldChar w:fldCharType="begin"/>
        </w:r>
        <w:r w:rsidR="00DA2B90">
          <w:rPr>
            <w:noProof/>
            <w:webHidden/>
          </w:rPr>
          <w:instrText xml:space="preserve"> PAGEREF _Toc19102286 \h </w:instrText>
        </w:r>
        <w:r w:rsidR="00DA2B90">
          <w:rPr>
            <w:noProof/>
            <w:webHidden/>
          </w:rPr>
        </w:r>
        <w:r w:rsidR="00DA2B90">
          <w:rPr>
            <w:noProof/>
            <w:webHidden/>
          </w:rPr>
          <w:fldChar w:fldCharType="separate"/>
        </w:r>
        <w:r>
          <w:rPr>
            <w:noProof/>
            <w:webHidden/>
          </w:rPr>
          <w:t>4</w:t>
        </w:r>
        <w:r w:rsidR="00DA2B90">
          <w:rPr>
            <w:noProof/>
            <w:webHidden/>
          </w:rPr>
          <w:fldChar w:fldCharType="end"/>
        </w:r>
      </w:hyperlink>
    </w:p>
    <w:p w14:paraId="25C28E29" w14:textId="679DED1F" w:rsidR="00DA2B90" w:rsidRDefault="00D2215B">
      <w:pPr>
        <w:pStyle w:val="TOC2"/>
        <w:rPr>
          <w:rFonts w:asciiTheme="minorHAnsi" w:eastAsiaTheme="minorEastAsia" w:hAnsiTheme="minorHAnsi" w:cstheme="minorBidi"/>
          <w:noProof/>
          <w:sz w:val="22"/>
          <w:szCs w:val="22"/>
          <w:lang w:eastAsia="en-NZ"/>
        </w:rPr>
      </w:pPr>
      <w:hyperlink w:anchor="_Toc19102287" w:history="1">
        <w:r w:rsidR="00DA2B90" w:rsidRPr="00F850A8">
          <w:rPr>
            <w:rStyle w:val="Hyperlink"/>
            <w:noProof/>
          </w:rPr>
          <w:t>Rate ratios</w:t>
        </w:r>
        <w:r w:rsidR="00DA2B90">
          <w:rPr>
            <w:noProof/>
            <w:webHidden/>
          </w:rPr>
          <w:tab/>
        </w:r>
        <w:r w:rsidR="00DA2B90">
          <w:rPr>
            <w:noProof/>
            <w:webHidden/>
          </w:rPr>
          <w:fldChar w:fldCharType="begin"/>
        </w:r>
        <w:r w:rsidR="00DA2B90">
          <w:rPr>
            <w:noProof/>
            <w:webHidden/>
          </w:rPr>
          <w:instrText xml:space="preserve"> PAGEREF _Toc19102287 \h </w:instrText>
        </w:r>
        <w:r w:rsidR="00DA2B90">
          <w:rPr>
            <w:noProof/>
            <w:webHidden/>
          </w:rPr>
        </w:r>
        <w:r w:rsidR="00DA2B90">
          <w:rPr>
            <w:noProof/>
            <w:webHidden/>
          </w:rPr>
          <w:fldChar w:fldCharType="separate"/>
        </w:r>
        <w:r>
          <w:rPr>
            <w:noProof/>
            <w:webHidden/>
          </w:rPr>
          <w:t>4</w:t>
        </w:r>
        <w:r w:rsidR="00DA2B90">
          <w:rPr>
            <w:noProof/>
            <w:webHidden/>
          </w:rPr>
          <w:fldChar w:fldCharType="end"/>
        </w:r>
      </w:hyperlink>
    </w:p>
    <w:p w14:paraId="33D49389" w14:textId="5015856B" w:rsidR="00DA2B90" w:rsidRDefault="00D2215B">
      <w:pPr>
        <w:pStyle w:val="TOC1"/>
        <w:rPr>
          <w:rFonts w:asciiTheme="minorHAnsi" w:eastAsiaTheme="minorEastAsia" w:hAnsiTheme="minorHAnsi" w:cstheme="minorBidi"/>
          <w:noProof/>
          <w:sz w:val="22"/>
          <w:szCs w:val="22"/>
          <w:lang w:eastAsia="en-NZ"/>
        </w:rPr>
      </w:pPr>
      <w:hyperlink w:anchor="_Toc19102288" w:history="1">
        <w:r w:rsidR="00DA2B90" w:rsidRPr="00F850A8">
          <w:rPr>
            <w:rStyle w:val="Hyperlink"/>
            <w:noProof/>
          </w:rPr>
          <w:t>Demographics</w:t>
        </w:r>
        <w:r w:rsidR="00DA2B90">
          <w:rPr>
            <w:noProof/>
            <w:webHidden/>
          </w:rPr>
          <w:tab/>
        </w:r>
        <w:r w:rsidR="00DA2B90">
          <w:rPr>
            <w:noProof/>
            <w:webHidden/>
          </w:rPr>
          <w:fldChar w:fldCharType="begin"/>
        </w:r>
        <w:r w:rsidR="00DA2B90">
          <w:rPr>
            <w:noProof/>
            <w:webHidden/>
          </w:rPr>
          <w:instrText xml:space="preserve"> PAGEREF _Toc19102288 \h </w:instrText>
        </w:r>
        <w:r w:rsidR="00DA2B90">
          <w:rPr>
            <w:noProof/>
            <w:webHidden/>
          </w:rPr>
        </w:r>
        <w:r w:rsidR="00DA2B90">
          <w:rPr>
            <w:noProof/>
            <w:webHidden/>
          </w:rPr>
          <w:fldChar w:fldCharType="separate"/>
        </w:r>
        <w:r>
          <w:rPr>
            <w:noProof/>
            <w:webHidden/>
          </w:rPr>
          <w:t>5</w:t>
        </w:r>
        <w:r w:rsidR="00DA2B90">
          <w:rPr>
            <w:noProof/>
            <w:webHidden/>
          </w:rPr>
          <w:fldChar w:fldCharType="end"/>
        </w:r>
      </w:hyperlink>
    </w:p>
    <w:p w14:paraId="7D2CC409" w14:textId="3CE40351" w:rsidR="00DA2B90" w:rsidRDefault="00D2215B">
      <w:pPr>
        <w:pStyle w:val="TOC2"/>
        <w:rPr>
          <w:rFonts w:asciiTheme="minorHAnsi" w:eastAsiaTheme="minorEastAsia" w:hAnsiTheme="minorHAnsi" w:cstheme="minorBidi"/>
          <w:noProof/>
          <w:sz w:val="22"/>
          <w:szCs w:val="22"/>
          <w:lang w:eastAsia="en-NZ"/>
        </w:rPr>
      </w:pPr>
      <w:hyperlink w:anchor="_Toc19102289" w:history="1">
        <w:r w:rsidR="00DA2B90" w:rsidRPr="00F850A8">
          <w:rPr>
            <w:rStyle w:val="Hyperlink"/>
            <w:noProof/>
          </w:rPr>
          <w:t>Population by age structure</w:t>
        </w:r>
        <w:r w:rsidR="00DA2B90">
          <w:rPr>
            <w:noProof/>
            <w:webHidden/>
          </w:rPr>
          <w:tab/>
        </w:r>
        <w:r w:rsidR="00DA2B90">
          <w:rPr>
            <w:noProof/>
            <w:webHidden/>
          </w:rPr>
          <w:fldChar w:fldCharType="begin"/>
        </w:r>
        <w:r w:rsidR="00DA2B90">
          <w:rPr>
            <w:noProof/>
            <w:webHidden/>
          </w:rPr>
          <w:instrText xml:space="preserve"> PAGEREF _Toc19102289 \h </w:instrText>
        </w:r>
        <w:r w:rsidR="00DA2B90">
          <w:rPr>
            <w:noProof/>
            <w:webHidden/>
          </w:rPr>
        </w:r>
        <w:r w:rsidR="00DA2B90">
          <w:rPr>
            <w:noProof/>
            <w:webHidden/>
          </w:rPr>
          <w:fldChar w:fldCharType="separate"/>
        </w:r>
        <w:r>
          <w:rPr>
            <w:noProof/>
            <w:webHidden/>
          </w:rPr>
          <w:t>5</w:t>
        </w:r>
        <w:r w:rsidR="00DA2B90">
          <w:rPr>
            <w:noProof/>
            <w:webHidden/>
          </w:rPr>
          <w:fldChar w:fldCharType="end"/>
        </w:r>
      </w:hyperlink>
    </w:p>
    <w:p w14:paraId="3969823C" w14:textId="09837710" w:rsidR="00DA2B90" w:rsidRDefault="00D2215B">
      <w:pPr>
        <w:pStyle w:val="TOC2"/>
        <w:rPr>
          <w:rFonts w:asciiTheme="minorHAnsi" w:eastAsiaTheme="minorEastAsia" w:hAnsiTheme="minorHAnsi" w:cstheme="minorBidi"/>
          <w:noProof/>
          <w:sz w:val="22"/>
          <w:szCs w:val="22"/>
          <w:lang w:eastAsia="en-NZ"/>
        </w:rPr>
      </w:pPr>
      <w:hyperlink w:anchor="_Toc19102290" w:history="1">
        <w:r w:rsidR="00DA2B90" w:rsidRPr="00F850A8">
          <w:rPr>
            <w:rStyle w:val="Hyperlink"/>
            <w:noProof/>
          </w:rPr>
          <w:t>Population projections</w:t>
        </w:r>
        <w:r w:rsidR="00DA2B90">
          <w:rPr>
            <w:noProof/>
            <w:webHidden/>
          </w:rPr>
          <w:tab/>
        </w:r>
        <w:r w:rsidR="00DA2B90">
          <w:rPr>
            <w:noProof/>
            <w:webHidden/>
          </w:rPr>
          <w:fldChar w:fldCharType="begin"/>
        </w:r>
        <w:r w:rsidR="00DA2B90">
          <w:rPr>
            <w:noProof/>
            <w:webHidden/>
          </w:rPr>
          <w:instrText xml:space="preserve"> PAGEREF _Toc19102290 \h </w:instrText>
        </w:r>
        <w:r w:rsidR="00DA2B90">
          <w:rPr>
            <w:noProof/>
            <w:webHidden/>
          </w:rPr>
        </w:r>
        <w:r w:rsidR="00DA2B90">
          <w:rPr>
            <w:noProof/>
            <w:webHidden/>
          </w:rPr>
          <w:fldChar w:fldCharType="separate"/>
        </w:r>
        <w:r>
          <w:rPr>
            <w:noProof/>
            <w:webHidden/>
          </w:rPr>
          <w:t>7</w:t>
        </w:r>
        <w:r w:rsidR="00DA2B90">
          <w:rPr>
            <w:noProof/>
            <w:webHidden/>
          </w:rPr>
          <w:fldChar w:fldCharType="end"/>
        </w:r>
      </w:hyperlink>
    </w:p>
    <w:p w14:paraId="1FB6001B" w14:textId="7C7A56C5" w:rsidR="00DA2B90" w:rsidRDefault="00D2215B">
      <w:pPr>
        <w:pStyle w:val="TOC2"/>
        <w:rPr>
          <w:rFonts w:asciiTheme="minorHAnsi" w:eastAsiaTheme="minorEastAsia" w:hAnsiTheme="minorHAnsi" w:cstheme="minorBidi"/>
          <w:noProof/>
          <w:sz w:val="22"/>
          <w:szCs w:val="22"/>
          <w:lang w:eastAsia="en-NZ"/>
        </w:rPr>
      </w:pPr>
      <w:hyperlink w:anchor="_Toc19102291" w:history="1">
        <w:r w:rsidR="00DA2B90" w:rsidRPr="00F850A8">
          <w:rPr>
            <w:rStyle w:val="Hyperlink"/>
            <w:noProof/>
          </w:rPr>
          <w:t>Population by DHB</w:t>
        </w:r>
        <w:r w:rsidR="00DA2B90">
          <w:rPr>
            <w:noProof/>
            <w:webHidden/>
          </w:rPr>
          <w:tab/>
        </w:r>
        <w:r w:rsidR="00DA2B90">
          <w:rPr>
            <w:noProof/>
            <w:webHidden/>
          </w:rPr>
          <w:fldChar w:fldCharType="begin"/>
        </w:r>
        <w:r w:rsidR="00DA2B90">
          <w:rPr>
            <w:noProof/>
            <w:webHidden/>
          </w:rPr>
          <w:instrText xml:space="preserve"> PAGEREF _Toc19102291 \h </w:instrText>
        </w:r>
        <w:r w:rsidR="00DA2B90">
          <w:rPr>
            <w:noProof/>
            <w:webHidden/>
          </w:rPr>
        </w:r>
        <w:r w:rsidR="00DA2B90">
          <w:rPr>
            <w:noProof/>
            <w:webHidden/>
          </w:rPr>
          <w:fldChar w:fldCharType="separate"/>
        </w:r>
        <w:r>
          <w:rPr>
            <w:noProof/>
            <w:webHidden/>
          </w:rPr>
          <w:t>8</w:t>
        </w:r>
        <w:r w:rsidR="00DA2B90">
          <w:rPr>
            <w:noProof/>
            <w:webHidden/>
          </w:rPr>
          <w:fldChar w:fldCharType="end"/>
        </w:r>
      </w:hyperlink>
    </w:p>
    <w:p w14:paraId="242ECA27" w14:textId="7DE0F12C" w:rsidR="00DA2B90" w:rsidRDefault="00D2215B">
      <w:pPr>
        <w:pStyle w:val="TOC1"/>
        <w:rPr>
          <w:rFonts w:asciiTheme="minorHAnsi" w:eastAsiaTheme="minorEastAsia" w:hAnsiTheme="minorHAnsi" w:cstheme="minorBidi"/>
          <w:noProof/>
          <w:sz w:val="22"/>
          <w:szCs w:val="22"/>
          <w:lang w:eastAsia="en-NZ"/>
        </w:rPr>
      </w:pPr>
      <w:hyperlink w:anchor="_Toc19102292" w:history="1">
        <w:r w:rsidR="00DA2B90" w:rsidRPr="00F850A8">
          <w:rPr>
            <w:rStyle w:val="Hyperlink"/>
            <w:noProof/>
          </w:rPr>
          <w:t>Socioeconomic determinants of health</w:t>
        </w:r>
        <w:r w:rsidR="00DA2B90">
          <w:rPr>
            <w:noProof/>
            <w:webHidden/>
          </w:rPr>
          <w:tab/>
        </w:r>
        <w:r w:rsidR="00DA2B90">
          <w:rPr>
            <w:noProof/>
            <w:webHidden/>
          </w:rPr>
          <w:fldChar w:fldCharType="begin"/>
        </w:r>
        <w:r w:rsidR="00DA2B90">
          <w:rPr>
            <w:noProof/>
            <w:webHidden/>
          </w:rPr>
          <w:instrText xml:space="preserve"> PAGEREF _Toc19102292 \h </w:instrText>
        </w:r>
        <w:r w:rsidR="00DA2B90">
          <w:rPr>
            <w:noProof/>
            <w:webHidden/>
          </w:rPr>
        </w:r>
        <w:r w:rsidR="00DA2B90">
          <w:rPr>
            <w:noProof/>
            <w:webHidden/>
          </w:rPr>
          <w:fldChar w:fldCharType="separate"/>
        </w:r>
        <w:r>
          <w:rPr>
            <w:noProof/>
            <w:webHidden/>
          </w:rPr>
          <w:t>15</w:t>
        </w:r>
        <w:r w:rsidR="00DA2B90">
          <w:rPr>
            <w:noProof/>
            <w:webHidden/>
          </w:rPr>
          <w:fldChar w:fldCharType="end"/>
        </w:r>
      </w:hyperlink>
    </w:p>
    <w:p w14:paraId="320DF271" w14:textId="11BC63A2" w:rsidR="00DA2B90" w:rsidRDefault="00D2215B">
      <w:pPr>
        <w:pStyle w:val="TOC2"/>
        <w:rPr>
          <w:rFonts w:asciiTheme="minorHAnsi" w:eastAsiaTheme="minorEastAsia" w:hAnsiTheme="minorHAnsi" w:cstheme="minorBidi"/>
          <w:noProof/>
          <w:sz w:val="22"/>
          <w:szCs w:val="22"/>
          <w:lang w:eastAsia="en-NZ"/>
        </w:rPr>
      </w:pPr>
      <w:hyperlink w:anchor="_Toc19102293" w:history="1">
        <w:r w:rsidR="00DA2B90" w:rsidRPr="00F850A8">
          <w:rPr>
            <w:rStyle w:val="Hyperlink"/>
            <w:noProof/>
          </w:rPr>
          <w:t>Neighbourhood deprivation</w:t>
        </w:r>
        <w:r w:rsidR="00DA2B90">
          <w:rPr>
            <w:noProof/>
            <w:webHidden/>
          </w:rPr>
          <w:tab/>
        </w:r>
        <w:r w:rsidR="00DA2B90">
          <w:rPr>
            <w:noProof/>
            <w:webHidden/>
          </w:rPr>
          <w:fldChar w:fldCharType="begin"/>
        </w:r>
        <w:r w:rsidR="00DA2B90">
          <w:rPr>
            <w:noProof/>
            <w:webHidden/>
          </w:rPr>
          <w:instrText xml:space="preserve"> PAGEREF _Toc19102293 \h </w:instrText>
        </w:r>
        <w:r w:rsidR="00DA2B90">
          <w:rPr>
            <w:noProof/>
            <w:webHidden/>
          </w:rPr>
        </w:r>
        <w:r w:rsidR="00DA2B90">
          <w:rPr>
            <w:noProof/>
            <w:webHidden/>
          </w:rPr>
          <w:fldChar w:fldCharType="separate"/>
        </w:r>
        <w:r>
          <w:rPr>
            <w:noProof/>
            <w:webHidden/>
          </w:rPr>
          <w:t>15</w:t>
        </w:r>
        <w:r w:rsidR="00DA2B90">
          <w:rPr>
            <w:noProof/>
            <w:webHidden/>
          </w:rPr>
          <w:fldChar w:fldCharType="end"/>
        </w:r>
      </w:hyperlink>
    </w:p>
    <w:p w14:paraId="5C1A9C56" w14:textId="560EF962" w:rsidR="00DA2B90" w:rsidRDefault="00D2215B">
      <w:pPr>
        <w:pStyle w:val="TOC2"/>
        <w:rPr>
          <w:rFonts w:asciiTheme="minorHAnsi" w:eastAsiaTheme="minorEastAsia" w:hAnsiTheme="minorHAnsi" w:cstheme="minorBidi"/>
          <w:noProof/>
          <w:sz w:val="22"/>
          <w:szCs w:val="22"/>
          <w:lang w:eastAsia="en-NZ"/>
        </w:rPr>
      </w:pPr>
      <w:hyperlink w:anchor="_Toc19102294" w:history="1">
        <w:r w:rsidR="00DA2B90" w:rsidRPr="00F850A8">
          <w:rPr>
            <w:rStyle w:val="Hyperlink"/>
            <w:noProof/>
          </w:rPr>
          <w:t>Socioeconomic indicators</w:t>
        </w:r>
        <w:r w:rsidR="00DA2B90">
          <w:rPr>
            <w:noProof/>
            <w:webHidden/>
          </w:rPr>
          <w:tab/>
        </w:r>
        <w:r w:rsidR="00DA2B90">
          <w:rPr>
            <w:noProof/>
            <w:webHidden/>
          </w:rPr>
          <w:fldChar w:fldCharType="begin"/>
        </w:r>
        <w:r w:rsidR="00DA2B90">
          <w:rPr>
            <w:noProof/>
            <w:webHidden/>
          </w:rPr>
          <w:instrText xml:space="preserve"> PAGEREF _Toc19102294 \h </w:instrText>
        </w:r>
        <w:r w:rsidR="00DA2B90">
          <w:rPr>
            <w:noProof/>
            <w:webHidden/>
          </w:rPr>
        </w:r>
        <w:r w:rsidR="00DA2B90">
          <w:rPr>
            <w:noProof/>
            <w:webHidden/>
          </w:rPr>
          <w:fldChar w:fldCharType="separate"/>
        </w:r>
        <w:r>
          <w:rPr>
            <w:noProof/>
            <w:webHidden/>
          </w:rPr>
          <w:t>17</w:t>
        </w:r>
        <w:r w:rsidR="00DA2B90">
          <w:rPr>
            <w:noProof/>
            <w:webHidden/>
          </w:rPr>
          <w:fldChar w:fldCharType="end"/>
        </w:r>
      </w:hyperlink>
    </w:p>
    <w:p w14:paraId="03EC6D6E" w14:textId="706D04D6" w:rsidR="00DA2B90" w:rsidRDefault="00D2215B">
      <w:pPr>
        <w:pStyle w:val="TOC2"/>
        <w:rPr>
          <w:rFonts w:asciiTheme="minorHAnsi" w:eastAsiaTheme="minorEastAsia" w:hAnsiTheme="minorHAnsi" w:cstheme="minorBidi"/>
          <w:noProof/>
          <w:sz w:val="22"/>
          <w:szCs w:val="22"/>
          <w:lang w:eastAsia="en-NZ"/>
        </w:rPr>
      </w:pPr>
      <w:hyperlink w:anchor="_Toc19102295" w:history="1">
        <w:r w:rsidR="00DA2B90" w:rsidRPr="00F850A8">
          <w:rPr>
            <w:rStyle w:val="Hyperlink"/>
            <w:noProof/>
          </w:rPr>
          <w:t>Racial discrimination</w:t>
        </w:r>
        <w:r w:rsidR="00DA2B90">
          <w:rPr>
            <w:noProof/>
            <w:webHidden/>
          </w:rPr>
          <w:tab/>
        </w:r>
        <w:r w:rsidR="00DA2B90">
          <w:rPr>
            <w:noProof/>
            <w:webHidden/>
          </w:rPr>
          <w:fldChar w:fldCharType="begin"/>
        </w:r>
        <w:r w:rsidR="00DA2B90">
          <w:rPr>
            <w:noProof/>
            <w:webHidden/>
          </w:rPr>
          <w:instrText xml:space="preserve"> PAGEREF _Toc19102295 \h </w:instrText>
        </w:r>
        <w:r w:rsidR="00DA2B90">
          <w:rPr>
            <w:noProof/>
            <w:webHidden/>
          </w:rPr>
        </w:r>
        <w:r w:rsidR="00DA2B90">
          <w:rPr>
            <w:noProof/>
            <w:webHidden/>
          </w:rPr>
          <w:fldChar w:fldCharType="separate"/>
        </w:r>
        <w:r>
          <w:rPr>
            <w:noProof/>
            <w:webHidden/>
          </w:rPr>
          <w:t>20</w:t>
        </w:r>
        <w:r w:rsidR="00DA2B90">
          <w:rPr>
            <w:noProof/>
            <w:webHidden/>
          </w:rPr>
          <w:fldChar w:fldCharType="end"/>
        </w:r>
      </w:hyperlink>
    </w:p>
    <w:p w14:paraId="182E573F" w14:textId="66AE3D29" w:rsidR="00DA2B90" w:rsidRDefault="00D2215B">
      <w:pPr>
        <w:pStyle w:val="TOC1"/>
        <w:rPr>
          <w:rFonts w:asciiTheme="minorHAnsi" w:eastAsiaTheme="minorEastAsia" w:hAnsiTheme="minorHAnsi" w:cstheme="minorBidi"/>
          <w:noProof/>
          <w:sz w:val="22"/>
          <w:szCs w:val="22"/>
          <w:lang w:eastAsia="en-NZ"/>
        </w:rPr>
      </w:pPr>
      <w:hyperlink w:anchor="_Toc19102299" w:history="1">
        <w:r w:rsidR="00DA2B90" w:rsidRPr="00F850A8">
          <w:rPr>
            <w:rStyle w:val="Hyperlink"/>
            <w:noProof/>
          </w:rPr>
          <w:t>Risk and protective factors</w:t>
        </w:r>
        <w:r w:rsidR="00DA2B90">
          <w:rPr>
            <w:noProof/>
            <w:webHidden/>
          </w:rPr>
          <w:tab/>
        </w:r>
        <w:r w:rsidR="00DA2B90">
          <w:rPr>
            <w:noProof/>
            <w:webHidden/>
          </w:rPr>
          <w:fldChar w:fldCharType="begin"/>
        </w:r>
        <w:r w:rsidR="00DA2B90">
          <w:rPr>
            <w:noProof/>
            <w:webHidden/>
          </w:rPr>
          <w:instrText xml:space="preserve"> PAGEREF _Toc19102299 \h </w:instrText>
        </w:r>
        <w:r w:rsidR="00DA2B90">
          <w:rPr>
            <w:noProof/>
            <w:webHidden/>
          </w:rPr>
        </w:r>
        <w:r w:rsidR="00DA2B90">
          <w:rPr>
            <w:noProof/>
            <w:webHidden/>
          </w:rPr>
          <w:fldChar w:fldCharType="separate"/>
        </w:r>
        <w:r>
          <w:rPr>
            <w:noProof/>
            <w:webHidden/>
          </w:rPr>
          <w:t>23</w:t>
        </w:r>
        <w:r w:rsidR="00DA2B90">
          <w:rPr>
            <w:noProof/>
            <w:webHidden/>
          </w:rPr>
          <w:fldChar w:fldCharType="end"/>
        </w:r>
      </w:hyperlink>
    </w:p>
    <w:p w14:paraId="44D5D218" w14:textId="0C8DCFF1" w:rsidR="00DA2B90" w:rsidRDefault="00D2215B">
      <w:pPr>
        <w:pStyle w:val="TOC2"/>
        <w:rPr>
          <w:rFonts w:asciiTheme="minorHAnsi" w:eastAsiaTheme="minorEastAsia" w:hAnsiTheme="minorHAnsi" w:cstheme="minorBidi"/>
          <w:noProof/>
          <w:sz w:val="22"/>
          <w:szCs w:val="22"/>
          <w:lang w:eastAsia="en-NZ"/>
        </w:rPr>
      </w:pPr>
      <w:hyperlink w:anchor="_Toc19102300" w:history="1">
        <w:r w:rsidR="00DA2B90" w:rsidRPr="00F850A8">
          <w:rPr>
            <w:rStyle w:val="Hyperlink"/>
            <w:noProof/>
          </w:rPr>
          <w:t>Tobacco smoking</w:t>
        </w:r>
        <w:r w:rsidR="00DA2B90">
          <w:rPr>
            <w:noProof/>
            <w:webHidden/>
          </w:rPr>
          <w:tab/>
        </w:r>
        <w:r w:rsidR="00DA2B90">
          <w:rPr>
            <w:noProof/>
            <w:webHidden/>
          </w:rPr>
          <w:fldChar w:fldCharType="begin"/>
        </w:r>
        <w:r w:rsidR="00DA2B90">
          <w:rPr>
            <w:noProof/>
            <w:webHidden/>
          </w:rPr>
          <w:instrText xml:space="preserve"> PAGEREF _Toc19102300 \h </w:instrText>
        </w:r>
        <w:r w:rsidR="00DA2B90">
          <w:rPr>
            <w:noProof/>
            <w:webHidden/>
          </w:rPr>
        </w:r>
        <w:r w:rsidR="00DA2B90">
          <w:rPr>
            <w:noProof/>
            <w:webHidden/>
          </w:rPr>
          <w:fldChar w:fldCharType="separate"/>
        </w:r>
        <w:r>
          <w:rPr>
            <w:noProof/>
            <w:webHidden/>
          </w:rPr>
          <w:t>23</w:t>
        </w:r>
        <w:r w:rsidR="00DA2B90">
          <w:rPr>
            <w:noProof/>
            <w:webHidden/>
          </w:rPr>
          <w:fldChar w:fldCharType="end"/>
        </w:r>
      </w:hyperlink>
    </w:p>
    <w:p w14:paraId="2652A299" w14:textId="36C40BB1" w:rsidR="00DA2B90" w:rsidRDefault="00D2215B">
      <w:pPr>
        <w:pStyle w:val="TOC2"/>
        <w:rPr>
          <w:rFonts w:asciiTheme="minorHAnsi" w:eastAsiaTheme="minorEastAsia" w:hAnsiTheme="minorHAnsi" w:cstheme="minorBidi"/>
          <w:noProof/>
          <w:sz w:val="22"/>
          <w:szCs w:val="22"/>
          <w:lang w:eastAsia="en-NZ"/>
        </w:rPr>
      </w:pPr>
      <w:hyperlink w:anchor="_Toc19102306" w:history="1">
        <w:r w:rsidR="00DA2B90" w:rsidRPr="00F850A8">
          <w:rPr>
            <w:rStyle w:val="Hyperlink"/>
            <w:noProof/>
            <w:lang w:eastAsia="en-NZ"/>
          </w:rPr>
          <w:t>Alcohol and drug use</w:t>
        </w:r>
        <w:r w:rsidR="00DA2B90">
          <w:rPr>
            <w:noProof/>
            <w:webHidden/>
          </w:rPr>
          <w:tab/>
        </w:r>
        <w:r w:rsidR="00DA2B90">
          <w:rPr>
            <w:noProof/>
            <w:webHidden/>
          </w:rPr>
          <w:fldChar w:fldCharType="begin"/>
        </w:r>
        <w:r w:rsidR="00DA2B90">
          <w:rPr>
            <w:noProof/>
            <w:webHidden/>
          </w:rPr>
          <w:instrText xml:space="preserve"> PAGEREF _Toc19102306 \h </w:instrText>
        </w:r>
        <w:r w:rsidR="00DA2B90">
          <w:rPr>
            <w:noProof/>
            <w:webHidden/>
          </w:rPr>
        </w:r>
        <w:r w:rsidR="00DA2B90">
          <w:rPr>
            <w:noProof/>
            <w:webHidden/>
          </w:rPr>
          <w:fldChar w:fldCharType="separate"/>
        </w:r>
        <w:r>
          <w:rPr>
            <w:noProof/>
            <w:webHidden/>
          </w:rPr>
          <w:t>28</w:t>
        </w:r>
        <w:r w:rsidR="00DA2B90">
          <w:rPr>
            <w:noProof/>
            <w:webHidden/>
          </w:rPr>
          <w:fldChar w:fldCharType="end"/>
        </w:r>
      </w:hyperlink>
    </w:p>
    <w:p w14:paraId="5F1D44D9" w14:textId="42890FCB" w:rsidR="00DA2B90" w:rsidRDefault="00D2215B">
      <w:pPr>
        <w:pStyle w:val="TOC2"/>
        <w:rPr>
          <w:rFonts w:asciiTheme="minorHAnsi" w:eastAsiaTheme="minorEastAsia" w:hAnsiTheme="minorHAnsi" w:cstheme="minorBidi"/>
          <w:noProof/>
          <w:sz w:val="22"/>
          <w:szCs w:val="22"/>
          <w:lang w:eastAsia="en-NZ"/>
        </w:rPr>
      </w:pPr>
      <w:hyperlink w:anchor="_Toc19102311" w:history="1">
        <w:r w:rsidR="00DA2B90" w:rsidRPr="00F850A8">
          <w:rPr>
            <w:rStyle w:val="Hyperlink"/>
            <w:noProof/>
          </w:rPr>
          <w:t>Nutrition (vegetable and fruit servings)</w:t>
        </w:r>
        <w:r w:rsidR="00DA2B90">
          <w:rPr>
            <w:noProof/>
            <w:webHidden/>
          </w:rPr>
          <w:tab/>
        </w:r>
        <w:r w:rsidR="00DA2B90">
          <w:rPr>
            <w:noProof/>
            <w:webHidden/>
          </w:rPr>
          <w:fldChar w:fldCharType="begin"/>
        </w:r>
        <w:r w:rsidR="00DA2B90">
          <w:rPr>
            <w:noProof/>
            <w:webHidden/>
          </w:rPr>
          <w:instrText xml:space="preserve"> PAGEREF _Toc19102311 \h </w:instrText>
        </w:r>
        <w:r w:rsidR="00DA2B90">
          <w:rPr>
            <w:noProof/>
            <w:webHidden/>
          </w:rPr>
        </w:r>
        <w:r w:rsidR="00DA2B90">
          <w:rPr>
            <w:noProof/>
            <w:webHidden/>
          </w:rPr>
          <w:fldChar w:fldCharType="separate"/>
        </w:r>
        <w:r>
          <w:rPr>
            <w:noProof/>
            <w:webHidden/>
          </w:rPr>
          <w:t>32</w:t>
        </w:r>
        <w:r w:rsidR="00DA2B90">
          <w:rPr>
            <w:noProof/>
            <w:webHidden/>
          </w:rPr>
          <w:fldChar w:fldCharType="end"/>
        </w:r>
      </w:hyperlink>
    </w:p>
    <w:p w14:paraId="3C063F2F" w14:textId="032856EC" w:rsidR="00DA2B90" w:rsidRDefault="00D2215B">
      <w:pPr>
        <w:pStyle w:val="TOC2"/>
        <w:rPr>
          <w:rFonts w:asciiTheme="minorHAnsi" w:eastAsiaTheme="minorEastAsia" w:hAnsiTheme="minorHAnsi" w:cstheme="minorBidi"/>
          <w:noProof/>
          <w:sz w:val="22"/>
          <w:szCs w:val="22"/>
          <w:lang w:eastAsia="en-NZ"/>
        </w:rPr>
      </w:pPr>
      <w:hyperlink w:anchor="_Toc19102313" w:history="1">
        <w:r w:rsidR="00DA2B90" w:rsidRPr="00F850A8">
          <w:rPr>
            <w:rStyle w:val="Hyperlink"/>
            <w:noProof/>
            <w:lang w:eastAsia="en-NZ"/>
          </w:rPr>
          <w:t>Body size</w:t>
        </w:r>
        <w:r w:rsidR="00DA2B90">
          <w:rPr>
            <w:noProof/>
            <w:webHidden/>
          </w:rPr>
          <w:tab/>
        </w:r>
        <w:r w:rsidR="00DA2B90">
          <w:rPr>
            <w:noProof/>
            <w:webHidden/>
          </w:rPr>
          <w:fldChar w:fldCharType="begin"/>
        </w:r>
        <w:r w:rsidR="00DA2B90">
          <w:rPr>
            <w:noProof/>
            <w:webHidden/>
          </w:rPr>
          <w:instrText xml:space="preserve"> PAGEREF _Toc19102313 \h </w:instrText>
        </w:r>
        <w:r w:rsidR="00DA2B90">
          <w:rPr>
            <w:noProof/>
            <w:webHidden/>
          </w:rPr>
        </w:r>
        <w:r w:rsidR="00DA2B90">
          <w:rPr>
            <w:noProof/>
            <w:webHidden/>
          </w:rPr>
          <w:fldChar w:fldCharType="separate"/>
        </w:r>
        <w:r>
          <w:rPr>
            <w:noProof/>
            <w:webHidden/>
          </w:rPr>
          <w:t>36</w:t>
        </w:r>
        <w:r w:rsidR="00DA2B90">
          <w:rPr>
            <w:noProof/>
            <w:webHidden/>
          </w:rPr>
          <w:fldChar w:fldCharType="end"/>
        </w:r>
      </w:hyperlink>
    </w:p>
    <w:p w14:paraId="4C64CD9E" w14:textId="07B99923" w:rsidR="00DA2B90" w:rsidRDefault="00D2215B">
      <w:pPr>
        <w:pStyle w:val="TOC2"/>
        <w:rPr>
          <w:rFonts w:asciiTheme="minorHAnsi" w:eastAsiaTheme="minorEastAsia" w:hAnsiTheme="minorHAnsi" w:cstheme="minorBidi"/>
          <w:noProof/>
          <w:sz w:val="22"/>
          <w:szCs w:val="22"/>
          <w:lang w:eastAsia="en-NZ"/>
        </w:rPr>
      </w:pPr>
      <w:hyperlink w:anchor="_Toc19102318" w:history="1">
        <w:r w:rsidR="00DA2B90" w:rsidRPr="00F850A8">
          <w:rPr>
            <w:rStyle w:val="Hyperlink"/>
            <w:noProof/>
          </w:rPr>
          <w:t>Physical activity</w:t>
        </w:r>
        <w:r w:rsidR="00DA2B90">
          <w:rPr>
            <w:noProof/>
            <w:webHidden/>
          </w:rPr>
          <w:tab/>
        </w:r>
        <w:r w:rsidR="00DA2B90">
          <w:rPr>
            <w:noProof/>
            <w:webHidden/>
          </w:rPr>
          <w:fldChar w:fldCharType="begin"/>
        </w:r>
        <w:r w:rsidR="00DA2B90">
          <w:rPr>
            <w:noProof/>
            <w:webHidden/>
          </w:rPr>
          <w:instrText xml:space="preserve"> PAGEREF _Toc19102318 \h </w:instrText>
        </w:r>
        <w:r w:rsidR="00DA2B90">
          <w:rPr>
            <w:noProof/>
            <w:webHidden/>
          </w:rPr>
        </w:r>
        <w:r w:rsidR="00DA2B90">
          <w:rPr>
            <w:noProof/>
            <w:webHidden/>
          </w:rPr>
          <w:fldChar w:fldCharType="separate"/>
        </w:r>
        <w:r>
          <w:rPr>
            <w:noProof/>
            <w:webHidden/>
          </w:rPr>
          <w:t>41</w:t>
        </w:r>
        <w:r w:rsidR="00DA2B90">
          <w:rPr>
            <w:noProof/>
            <w:webHidden/>
          </w:rPr>
          <w:fldChar w:fldCharType="end"/>
        </w:r>
      </w:hyperlink>
    </w:p>
    <w:p w14:paraId="3E6144A2" w14:textId="559292BC" w:rsidR="00DA2B90" w:rsidRDefault="00D2215B">
      <w:pPr>
        <w:pStyle w:val="TOC2"/>
        <w:rPr>
          <w:rFonts w:asciiTheme="minorHAnsi" w:eastAsiaTheme="minorEastAsia" w:hAnsiTheme="minorHAnsi" w:cstheme="minorBidi"/>
          <w:noProof/>
          <w:sz w:val="22"/>
          <w:szCs w:val="22"/>
          <w:lang w:eastAsia="en-NZ"/>
        </w:rPr>
      </w:pPr>
      <w:hyperlink w:anchor="_Toc19102320" w:history="1">
        <w:r w:rsidR="00DA2B90" w:rsidRPr="00F850A8">
          <w:rPr>
            <w:rStyle w:val="Hyperlink"/>
            <w:noProof/>
            <w:lang w:eastAsia="en-NZ"/>
          </w:rPr>
          <w:t>Gambling</w:t>
        </w:r>
        <w:r w:rsidR="00DA2B90">
          <w:rPr>
            <w:noProof/>
            <w:webHidden/>
          </w:rPr>
          <w:tab/>
        </w:r>
        <w:r w:rsidR="00DA2B90">
          <w:rPr>
            <w:noProof/>
            <w:webHidden/>
          </w:rPr>
          <w:fldChar w:fldCharType="begin"/>
        </w:r>
        <w:r w:rsidR="00DA2B90">
          <w:rPr>
            <w:noProof/>
            <w:webHidden/>
          </w:rPr>
          <w:instrText xml:space="preserve"> PAGEREF _Toc19102320 \h </w:instrText>
        </w:r>
        <w:r w:rsidR="00DA2B90">
          <w:rPr>
            <w:noProof/>
            <w:webHidden/>
          </w:rPr>
        </w:r>
        <w:r w:rsidR="00DA2B90">
          <w:rPr>
            <w:noProof/>
            <w:webHidden/>
          </w:rPr>
          <w:fldChar w:fldCharType="separate"/>
        </w:r>
        <w:r>
          <w:rPr>
            <w:noProof/>
            <w:webHidden/>
          </w:rPr>
          <w:t>42</w:t>
        </w:r>
        <w:r w:rsidR="00DA2B90">
          <w:rPr>
            <w:noProof/>
            <w:webHidden/>
          </w:rPr>
          <w:fldChar w:fldCharType="end"/>
        </w:r>
      </w:hyperlink>
    </w:p>
    <w:p w14:paraId="304672BF" w14:textId="6473D81C" w:rsidR="00DA2B90" w:rsidRDefault="00D2215B">
      <w:pPr>
        <w:pStyle w:val="TOC1"/>
        <w:rPr>
          <w:rFonts w:asciiTheme="minorHAnsi" w:eastAsiaTheme="minorEastAsia" w:hAnsiTheme="minorHAnsi" w:cstheme="minorBidi"/>
          <w:noProof/>
          <w:sz w:val="22"/>
          <w:szCs w:val="22"/>
          <w:lang w:eastAsia="en-NZ"/>
        </w:rPr>
      </w:pPr>
      <w:hyperlink w:anchor="_Toc19102325" w:history="1">
        <w:r w:rsidR="00DA2B90" w:rsidRPr="00F850A8">
          <w:rPr>
            <w:rStyle w:val="Hyperlink"/>
            <w:noProof/>
          </w:rPr>
          <w:t>Health status indicators</w:t>
        </w:r>
        <w:r w:rsidR="00DA2B90">
          <w:rPr>
            <w:noProof/>
            <w:webHidden/>
          </w:rPr>
          <w:tab/>
        </w:r>
        <w:r w:rsidR="00DA2B90">
          <w:rPr>
            <w:noProof/>
            <w:webHidden/>
          </w:rPr>
          <w:fldChar w:fldCharType="begin"/>
        </w:r>
        <w:r w:rsidR="00DA2B90">
          <w:rPr>
            <w:noProof/>
            <w:webHidden/>
          </w:rPr>
          <w:instrText xml:space="preserve"> PAGEREF _Toc19102325 \h </w:instrText>
        </w:r>
        <w:r w:rsidR="00DA2B90">
          <w:rPr>
            <w:noProof/>
            <w:webHidden/>
          </w:rPr>
        </w:r>
        <w:r w:rsidR="00DA2B90">
          <w:rPr>
            <w:noProof/>
            <w:webHidden/>
          </w:rPr>
          <w:fldChar w:fldCharType="separate"/>
        </w:r>
        <w:r>
          <w:rPr>
            <w:noProof/>
            <w:webHidden/>
          </w:rPr>
          <w:t>45</w:t>
        </w:r>
        <w:r w:rsidR="00DA2B90">
          <w:rPr>
            <w:noProof/>
            <w:webHidden/>
          </w:rPr>
          <w:fldChar w:fldCharType="end"/>
        </w:r>
      </w:hyperlink>
    </w:p>
    <w:p w14:paraId="19ACDC2F" w14:textId="061FB102" w:rsidR="00DA2B90" w:rsidRDefault="00D2215B">
      <w:pPr>
        <w:pStyle w:val="TOC2"/>
        <w:rPr>
          <w:rFonts w:asciiTheme="minorHAnsi" w:eastAsiaTheme="minorEastAsia" w:hAnsiTheme="minorHAnsi" w:cstheme="minorBidi"/>
          <w:noProof/>
          <w:sz w:val="22"/>
          <w:szCs w:val="22"/>
          <w:lang w:eastAsia="en-NZ"/>
        </w:rPr>
      </w:pPr>
      <w:hyperlink w:anchor="_Toc19102326" w:history="1">
        <w:r w:rsidR="00DA2B90" w:rsidRPr="00F850A8">
          <w:rPr>
            <w:rStyle w:val="Hyperlink"/>
            <w:noProof/>
          </w:rPr>
          <w:t>Major causes of death</w:t>
        </w:r>
        <w:r w:rsidR="00DA2B90">
          <w:rPr>
            <w:noProof/>
            <w:webHidden/>
          </w:rPr>
          <w:tab/>
        </w:r>
        <w:r w:rsidR="00DA2B90">
          <w:rPr>
            <w:noProof/>
            <w:webHidden/>
          </w:rPr>
          <w:fldChar w:fldCharType="begin"/>
        </w:r>
        <w:r w:rsidR="00DA2B90">
          <w:rPr>
            <w:noProof/>
            <w:webHidden/>
          </w:rPr>
          <w:instrText xml:space="preserve"> PAGEREF _Toc19102326 \h </w:instrText>
        </w:r>
        <w:r w:rsidR="00DA2B90">
          <w:rPr>
            <w:noProof/>
            <w:webHidden/>
          </w:rPr>
        </w:r>
        <w:r w:rsidR="00DA2B90">
          <w:rPr>
            <w:noProof/>
            <w:webHidden/>
          </w:rPr>
          <w:fldChar w:fldCharType="separate"/>
        </w:r>
        <w:r>
          <w:rPr>
            <w:noProof/>
            <w:webHidden/>
          </w:rPr>
          <w:t>45</w:t>
        </w:r>
        <w:r w:rsidR="00DA2B90">
          <w:rPr>
            <w:noProof/>
            <w:webHidden/>
          </w:rPr>
          <w:fldChar w:fldCharType="end"/>
        </w:r>
      </w:hyperlink>
    </w:p>
    <w:p w14:paraId="32DB88AD" w14:textId="1DBBF3D4" w:rsidR="00DA2B90" w:rsidRDefault="00D2215B">
      <w:pPr>
        <w:pStyle w:val="TOC2"/>
        <w:rPr>
          <w:rFonts w:asciiTheme="minorHAnsi" w:eastAsiaTheme="minorEastAsia" w:hAnsiTheme="minorHAnsi" w:cstheme="minorBidi"/>
          <w:noProof/>
          <w:sz w:val="22"/>
          <w:szCs w:val="22"/>
          <w:lang w:eastAsia="en-NZ"/>
        </w:rPr>
      </w:pPr>
      <w:hyperlink w:anchor="_Toc19102329" w:history="1">
        <w:r w:rsidR="00DA2B90" w:rsidRPr="00F850A8">
          <w:rPr>
            <w:rStyle w:val="Hyperlink"/>
            <w:noProof/>
            <w:lang w:eastAsia="en-NZ"/>
          </w:rPr>
          <w:t>Cardiovascular disease</w:t>
        </w:r>
        <w:r w:rsidR="00DA2B90">
          <w:rPr>
            <w:noProof/>
            <w:webHidden/>
          </w:rPr>
          <w:tab/>
        </w:r>
        <w:r w:rsidR="00DA2B90">
          <w:rPr>
            <w:noProof/>
            <w:webHidden/>
          </w:rPr>
          <w:fldChar w:fldCharType="begin"/>
        </w:r>
        <w:r w:rsidR="00DA2B90">
          <w:rPr>
            <w:noProof/>
            <w:webHidden/>
          </w:rPr>
          <w:instrText xml:space="preserve"> PAGEREF _Toc19102329 \h </w:instrText>
        </w:r>
        <w:r w:rsidR="00DA2B90">
          <w:rPr>
            <w:noProof/>
            <w:webHidden/>
          </w:rPr>
        </w:r>
        <w:r w:rsidR="00DA2B90">
          <w:rPr>
            <w:noProof/>
            <w:webHidden/>
          </w:rPr>
          <w:fldChar w:fldCharType="separate"/>
        </w:r>
        <w:r>
          <w:rPr>
            <w:noProof/>
            <w:webHidden/>
          </w:rPr>
          <w:t>51</w:t>
        </w:r>
        <w:r w:rsidR="00DA2B90">
          <w:rPr>
            <w:noProof/>
            <w:webHidden/>
          </w:rPr>
          <w:fldChar w:fldCharType="end"/>
        </w:r>
      </w:hyperlink>
    </w:p>
    <w:p w14:paraId="290851AF" w14:textId="7CC80E2A" w:rsidR="00DA2B90" w:rsidRDefault="00D2215B">
      <w:pPr>
        <w:pStyle w:val="TOC2"/>
        <w:rPr>
          <w:rFonts w:asciiTheme="minorHAnsi" w:eastAsiaTheme="minorEastAsia" w:hAnsiTheme="minorHAnsi" w:cstheme="minorBidi"/>
          <w:noProof/>
          <w:sz w:val="22"/>
          <w:szCs w:val="22"/>
          <w:lang w:eastAsia="en-NZ"/>
        </w:rPr>
      </w:pPr>
      <w:hyperlink w:anchor="_Toc19102338" w:history="1">
        <w:r w:rsidR="00DA2B90" w:rsidRPr="00F850A8">
          <w:rPr>
            <w:rStyle w:val="Hyperlink"/>
            <w:noProof/>
            <w:lang w:eastAsia="en-NZ"/>
          </w:rPr>
          <w:t>Cancer</w:t>
        </w:r>
        <w:r w:rsidR="00DA2B90">
          <w:rPr>
            <w:noProof/>
            <w:webHidden/>
          </w:rPr>
          <w:tab/>
        </w:r>
        <w:r w:rsidR="00DA2B90">
          <w:rPr>
            <w:noProof/>
            <w:webHidden/>
          </w:rPr>
          <w:fldChar w:fldCharType="begin"/>
        </w:r>
        <w:r w:rsidR="00DA2B90">
          <w:rPr>
            <w:noProof/>
            <w:webHidden/>
          </w:rPr>
          <w:instrText xml:space="preserve"> PAGEREF _Toc19102338 \h </w:instrText>
        </w:r>
        <w:r w:rsidR="00DA2B90">
          <w:rPr>
            <w:noProof/>
            <w:webHidden/>
          </w:rPr>
        </w:r>
        <w:r w:rsidR="00DA2B90">
          <w:rPr>
            <w:noProof/>
            <w:webHidden/>
          </w:rPr>
          <w:fldChar w:fldCharType="separate"/>
        </w:r>
        <w:r>
          <w:rPr>
            <w:noProof/>
            <w:webHidden/>
          </w:rPr>
          <w:t>72</w:t>
        </w:r>
        <w:r w:rsidR="00DA2B90">
          <w:rPr>
            <w:noProof/>
            <w:webHidden/>
          </w:rPr>
          <w:fldChar w:fldCharType="end"/>
        </w:r>
      </w:hyperlink>
    </w:p>
    <w:p w14:paraId="59A8E033" w14:textId="6C52761C" w:rsidR="00DA2B90" w:rsidRDefault="00D2215B">
      <w:pPr>
        <w:pStyle w:val="TOC2"/>
        <w:rPr>
          <w:rFonts w:asciiTheme="minorHAnsi" w:eastAsiaTheme="minorEastAsia" w:hAnsiTheme="minorHAnsi" w:cstheme="minorBidi"/>
          <w:noProof/>
          <w:sz w:val="22"/>
          <w:szCs w:val="22"/>
          <w:lang w:eastAsia="en-NZ"/>
        </w:rPr>
      </w:pPr>
      <w:hyperlink w:anchor="_Toc19102347" w:history="1">
        <w:r w:rsidR="00DA2B90" w:rsidRPr="00F850A8">
          <w:rPr>
            <w:rStyle w:val="Hyperlink"/>
            <w:noProof/>
            <w:lang w:eastAsia="en-NZ"/>
          </w:rPr>
          <w:t>BreastScreen Aotearoa and National Cervical Screening Programmes</w:t>
        </w:r>
        <w:r w:rsidR="00DA2B90">
          <w:rPr>
            <w:noProof/>
            <w:webHidden/>
          </w:rPr>
          <w:tab/>
        </w:r>
        <w:r w:rsidR="00DA2B90">
          <w:rPr>
            <w:noProof/>
            <w:webHidden/>
          </w:rPr>
          <w:fldChar w:fldCharType="begin"/>
        </w:r>
        <w:r w:rsidR="00DA2B90">
          <w:rPr>
            <w:noProof/>
            <w:webHidden/>
          </w:rPr>
          <w:instrText xml:space="preserve"> PAGEREF _Toc19102347 \h </w:instrText>
        </w:r>
        <w:r w:rsidR="00DA2B90">
          <w:rPr>
            <w:noProof/>
            <w:webHidden/>
          </w:rPr>
        </w:r>
        <w:r w:rsidR="00DA2B90">
          <w:rPr>
            <w:noProof/>
            <w:webHidden/>
          </w:rPr>
          <w:fldChar w:fldCharType="separate"/>
        </w:r>
        <w:r>
          <w:rPr>
            <w:noProof/>
            <w:webHidden/>
          </w:rPr>
          <w:t>104</w:t>
        </w:r>
        <w:r w:rsidR="00DA2B90">
          <w:rPr>
            <w:noProof/>
            <w:webHidden/>
          </w:rPr>
          <w:fldChar w:fldCharType="end"/>
        </w:r>
      </w:hyperlink>
    </w:p>
    <w:p w14:paraId="5FD5C787" w14:textId="7549E88E" w:rsidR="00DA2B90" w:rsidRDefault="00D2215B">
      <w:pPr>
        <w:pStyle w:val="TOC2"/>
        <w:rPr>
          <w:rFonts w:asciiTheme="minorHAnsi" w:eastAsiaTheme="minorEastAsia" w:hAnsiTheme="minorHAnsi" w:cstheme="minorBidi"/>
          <w:noProof/>
          <w:sz w:val="22"/>
          <w:szCs w:val="22"/>
          <w:lang w:eastAsia="en-NZ"/>
        </w:rPr>
      </w:pPr>
      <w:hyperlink w:anchor="_Toc19102351" w:history="1">
        <w:r w:rsidR="00DA2B90" w:rsidRPr="00F850A8">
          <w:rPr>
            <w:rStyle w:val="Hyperlink"/>
            <w:noProof/>
            <w:lang w:eastAsia="en-NZ"/>
          </w:rPr>
          <w:t>Respiratory disease</w:t>
        </w:r>
        <w:r w:rsidR="00DA2B90">
          <w:rPr>
            <w:noProof/>
            <w:webHidden/>
          </w:rPr>
          <w:tab/>
        </w:r>
        <w:r w:rsidR="00DA2B90">
          <w:rPr>
            <w:noProof/>
            <w:webHidden/>
          </w:rPr>
          <w:fldChar w:fldCharType="begin"/>
        </w:r>
        <w:r w:rsidR="00DA2B90">
          <w:rPr>
            <w:noProof/>
            <w:webHidden/>
          </w:rPr>
          <w:instrText xml:space="preserve"> PAGEREF _Toc19102351 \h </w:instrText>
        </w:r>
        <w:r w:rsidR="00DA2B90">
          <w:rPr>
            <w:noProof/>
            <w:webHidden/>
          </w:rPr>
        </w:r>
        <w:r w:rsidR="00DA2B90">
          <w:rPr>
            <w:noProof/>
            <w:webHidden/>
          </w:rPr>
          <w:fldChar w:fldCharType="separate"/>
        </w:r>
        <w:r>
          <w:rPr>
            <w:noProof/>
            <w:webHidden/>
          </w:rPr>
          <w:t>109</w:t>
        </w:r>
        <w:r w:rsidR="00DA2B90">
          <w:rPr>
            <w:noProof/>
            <w:webHidden/>
          </w:rPr>
          <w:fldChar w:fldCharType="end"/>
        </w:r>
      </w:hyperlink>
    </w:p>
    <w:p w14:paraId="1AD6ECB1" w14:textId="488CD757" w:rsidR="00DA2B90" w:rsidRDefault="00D2215B">
      <w:pPr>
        <w:pStyle w:val="TOC2"/>
        <w:rPr>
          <w:rFonts w:asciiTheme="minorHAnsi" w:eastAsiaTheme="minorEastAsia" w:hAnsiTheme="minorHAnsi" w:cstheme="minorBidi"/>
          <w:noProof/>
          <w:sz w:val="22"/>
          <w:szCs w:val="22"/>
          <w:lang w:eastAsia="en-NZ"/>
        </w:rPr>
      </w:pPr>
      <w:hyperlink w:anchor="_Toc19102358" w:history="1">
        <w:r w:rsidR="00DA2B90" w:rsidRPr="00F850A8">
          <w:rPr>
            <w:rStyle w:val="Hyperlink"/>
            <w:noProof/>
            <w:lang w:eastAsia="en-NZ"/>
          </w:rPr>
          <w:t>Diabetes</w:t>
        </w:r>
        <w:r w:rsidR="00DA2B90">
          <w:rPr>
            <w:noProof/>
            <w:webHidden/>
          </w:rPr>
          <w:tab/>
        </w:r>
        <w:r w:rsidR="00DA2B90">
          <w:rPr>
            <w:noProof/>
            <w:webHidden/>
          </w:rPr>
          <w:fldChar w:fldCharType="begin"/>
        </w:r>
        <w:r w:rsidR="00DA2B90">
          <w:rPr>
            <w:noProof/>
            <w:webHidden/>
          </w:rPr>
          <w:instrText xml:space="preserve"> PAGEREF _Toc19102358 \h </w:instrText>
        </w:r>
        <w:r w:rsidR="00DA2B90">
          <w:rPr>
            <w:noProof/>
            <w:webHidden/>
          </w:rPr>
        </w:r>
        <w:r w:rsidR="00DA2B90">
          <w:rPr>
            <w:noProof/>
            <w:webHidden/>
          </w:rPr>
          <w:fldChar w:fldCharType="separate"/>
        </w:r>
        <w:r>
          <w:rPr>
            <w:noProof/>
            <w:webHidden/>
          </w:rPr>
          <w:t>119</w:t>
        </w:r>
        <w:r w:rsidR="00DA2B90">
          <w:rPr>
            <w:noProof/>
            <w:webHidden/>
          </w:rPr>
          <w:fldChar w:fldCharType="end"/>
        </w:r>
      </w:hyperlink>
    </w:p>
    <w:p w14:paraId="261F2DFB" w14:textId="249E5790" w:rsidR="00DA2B90" w:rsidRDefault="00D2215B">
      <w:pPr>
        <w:pStyle w:val="TOC2"/>
        <w:rPr>
          <w:rFonts w:asciiTheme="minorHAnsi" w:eastAsiaTheme="minorEastAsia" w:hAnsiTheme="minorHAnsi" w:cstheme="minorBidi"/>
          <w:noProof/>
          <w:sz w:val="22"/>
          <w:szCs w:val="22"/>
          <w:lang w:eastAsia="en-NZ"/>
        </w:rPr>
      </w:pPr>
      <w:hyperlink w:anchor="_Toc19102364" w:history="1">
        <w:r w:rsidR="00DA2B90" w:rsidRPr="00F850A8">
          <w:rPr>
            <w:rStyle w:val="Hyperlink"/>
            <w:noProof/>
            <w:lang w:eastAsia="en-NZ"/>
          </w:rPr>
          <w:t>Chronic conditions: arthritis, osteoporosis, and chronic pain</w:t>
        </w:r>
        <w:r w:rsidR="00DA2B90">
          <w:rPr>
            <w:noProof/>
            <w:webHidden/>
          </w:rPr>
          <w:tab/>
        </w:r>
        <w:r w:rsidR="00DA2B90">
          <w:rPr>
            <w:noProof/>
            <w:webHidden/>
          </w:rPr>
          <w:fldChar w:fldCharType="begin"/>
        </w:r>
        <w:r w:rsidR="00DA2B90">
          <w:rPr>
            <w:noProof/>
            <w:webHidden/>
          </w:rPr>
          <w:instrText xml:space="preserve"> PAGEREF _Toc19102364 \h </w:instrText>
        </w:r>
        <w:r w:rsidR="00DA2B90">
          <w:rPr>
            <w:noProof/>
            <w:webHidden/>
          </w:rPr>
        </w:r>
        <w:r w:rsidR="00DA2B90">
          <w:rPr>
            <w:noProof/>
            <w:webHidden/>
          </w:rPr>
          <w:fldChar w:fldCharType="separate"/>
        </w:r>
        <w:r>
          <w:rPr>
            <w:noProof/>
            <w:webHidden/>
          </w:rPr>
          <w:t>126</w:t>
        </w:r>
        <w:r w:rsidR="00DA2B90">
          <w:rPr>
            <w:noProof/>
            <w:webHidden/>
          </w:rPr>
          <w:fldChar w:fldCharType="end"/>
        </w:r>
      </w:hyperlink>
    </w:p>
    <w:p w14:paraId="288AF616" w14:textId="20ACE368" w:rsidR="00DA2B90" w:rsidRDefault="00D2215B">
      <w:pPr>
        <w:pStyle w:val="TOC2"/>
        <w:rPr>
          <w:rFonts w:asciiTheme="minorHAnsi" w:eastAsiaTheme="minorEastAsia" w:hAnsiTheme="minorHAnsi" w:cstheme="minorBidi"/>
          <w:noProof/>
          <w:sz w:val="22"/>
          <w:szCs w:val="22"/>
          <w:lang w:eastAsia="en-NZ"/>
        </w:rPr>
      </w:pPr>
      <w:hyperlink w:anchor="_Toc19102369" w:history="1">
        <w:r w:rsidR="00DA2B90" w:rsidRPr="00F850A8">
          <w:rPr>
            <w:rStyle w:val="Hyperlink"/>
            <w:noProof/>
            <w:lang w:eastAsia="en-NZ"/>
          </w:rPr>
          <w:t>Dementia mortality</w:t>
        </w:r>
        <w:r w:rsidR="00DA2B90">
          <w:rPr>
            <w:noProof/>
            <w:webHidden/>
          </w:rPr>
          <w:tab/>
        </w:r>
        <w:r w:rsidR="00DA2B90">
          <w:rPr>
            <w:noProof/>
            <w:webHidden/>
          </w:rPr>
          <w:fldChar w:fldCharType="begin"/>
        </w:r>
        <w:r w:rsidR="00DA2B90">
          <w:rPr>
            <w:noProof/>
            <w:webHidden/>
          </w:rPr>
          <w:instrText xml:space="preserve"> PAGEREF _Toc19102369 \h </w:instrText>
        </w:r>
        <w:r w:rsidR="00DA2B90">
          <w:rPr>
            <w:noProof/>
            <w:webHidden/>
          </w:rPr>
        </w:r>
        <w:r w:rsidR="00DA2B90">
          <w:rPr>
            <w:noProof/>
            <w:webHidden/>
          </w:rPr>
          <w:fldChar w:fldCharType="separate"/>
        </w:r>
        <w:r>
          <w:rPr>
            <w:noProof/>
            <w:webHidden/>
          </w:rPr>
          <w:t>132</w:t>
        </w:r>
        <w:r w:rsidR="00DA2B90">
          <w:rPr>
            <w:noProof/>
            <w:webHidden/>
          </w:rPr>
          <w:fldChar w:fldCharType="end"/>
        </w:r>
      </w:hyperlink>
    </w:p>
    <w:p w14:paraId="50A83EC2" w14:textId="4FED111F" w:rsidR="00DA2B90" w:rsidRDefault="00D2215B">
      <w:pPr>
        <w:pStyle w:val="TOC2"/>
        <w:rPr>
          <w:rFonts w:asciiTheme="minorHAnsi" w:eastAsiaTheme="minorEastAsia" w:hAnsiTheme="minorHAnsi" w:cstheme="minorBidi"/>
          <w:noProof/>
          <w:sz w:val="22"/>
          <w:szCs w:val="22"/>
          <w:lang w:eastAsia="en-NZ"/>
        </w:rPr>
      </w:pPr>
      <w:hyperlink w:anchor="_Toc19102373" w:history="1">
        <w:r w:rsidR="00DA2B90" w:rsidRPr="00F850A8">
          <w:rPr>
            <w:rStyle w:val="Hyperlink"/>
            <w:noProof/>
            <w:lang w:eastAsia="en-NZ"/>
          </w:rPr>
          <w:t>Infectious disease</w:t>
        </w:r>
        <w:r w:rsidR="00DA2B90">
          <w:rPr>
            <w:noProof/>
            <w:webHidden/>
          </w:rPr>
          <w:tab/>
        </w:r>
        <w:r w:rsidR="00DA2B90">
          <w:rPr>
            <w:noProof/>
            <w:webHidden/>
          </w:rPr>
          <w:fldChar w:fldCharType="begin"/>
        </w:r>
        <w:r w:rsidR="00DA2B90">
          <w:rPr>
            <w:noProof/>
            <w:webHidden/>
          </w:rPr>
          <w:instrText xml:space="preserve"> PAGEREF _Toc19102373 \h </w:instrText>
        </w:r>
        <w:r w:rsidR="00DA2B90">
          <w:rPr>
            <w:noProof/>
            <w:webHidden/>
          </w:rPr>
        </w:r>
        <w:r w:rsidR="00DA2B90">
          <w:rPr>
            <w:noProof/>
            <w:webHidden/>
          </w:rPr>
          <w:fldChar w:fldCharType="separate"/>
        </w:r>
        <w:r>
          <w:rPr>
            <w:noProof/>
            <w:webHidden/>
          </w:rPr>
          <w:t>136</w:t>
        </w:r>
        <w:r w:rsidR="00DA2B90">
          <w:rPr>
            <w:noProof/>
            <w:webHidden/>
          </w:rPr>
          <w:fldChar w:fldCharType="end"/>
        </w:r>
      </w:hyperlink>
    </w:p>
    <w:p w14:paraId="37F65191" w14:textId="004583FE" w:rsidR="00DA2B90" w:rsidRDefault="00D2215B">
      <w:pPr>
        <w:pStyle w:val="TOC2"/>
        <w:rPr>
          <w:rFonts w:asciiTheme="minorHAnsi" w:eastAsiaTheme="minorEastAsia" w:hAnsiTheme="minorHAnsi" w:cstheme="minorBidi"/>
          <w:noProof/>
          <w:sz w:val="22"/>
          <w:szCs w:val="22"/>
          <w:lang w:eastAsia="en-NZ"/>
        </w:rPr>
      </w:pPr>
      <w:hyperlink w:anchor="_Toc19102379" w:history="1">
        <w:r w:rsidR="00DA2B90" w:rsidRPr="00F850A8">
          <w:rPr>
            <w:rStyle w:val="Hyperlink"/>
            <w:noProof/>
            <w:lang w:eastAsia="en-NZ"/>
          </w:rPr>
          <w:t>Suicide and intentional self-harm</w:t>
        </w:r>
        <w:r w:rsidR="00DA2B90">
          <w:rPr>
            <w:noProof/>
            <w:webHidden/>
          </w:rPr>
          <w:tab/>
        </w:r>
        <w:r w:rsidR="00DA2B90">
          <w:rPr>
            <w:noProof/>
            <w:webHidden/>
          </w:rPr>
          <w:fldChar w:fldCharType="begin"/>
        </w:r>
        <w:r w:rsidR="00DA2B90">
          <w:rPr>
            <w:noProof/>
            <w:webHidden/>
          </w:rPr>
          <w:instrText xml:space="preserve"> PAGEREF _Toc19102379 \h </w:instrText>
        </w:r>
        <w:r w:rsidR="00DA2B90">
          <w:rPr>
            <w:noProof/>
            <w:webHidden/>
          </w:rPr>
        </w:r>
        <w:r w:rsidR="00DA2B90">
          <w:rPr>
            <w:noProof/>
            <w:webHidden/>
          </w:rPr>
          <w:fldChar w:fldCharType="separate"/>
        </w:r>
        <w:r>
          <w:rPr>
            <w:noProof/>
            <w:webHidden/>
          </w:rPr>
          <w:t>147</w:t>
        </w:r>
        <w:r w:rsidR="00DA2B90">
          <w:rPr>
            <w:noProof/>
            <w:webHidden/>
          </w:rPr>
          <w:fldChar w:fldCharType="end"/>
        </w:r>
      </w:hyperlink>
    </w:p>
    <w:p w14:paraId="05E565D6" w14:textId="47818FD5" w:rsidR="00DA2B90" w:rsidRDefault="00D2215B">
      <w:pPr>
        <w:pStyle w:val="TOC2"/>
        <w:rPr>
          <w:rFonts w:asciiTheme="minorHAnsi" w:eastAsiaTheme="minorEastAsia" w:hAnsiTheme="minorHAnsi" w:cstheme="minorBidi"/>
          <w:noProof/>
          <w:sz w:val="22"/>
          <w:szCs w:val="22"/>
          <w:lang w:eastAsia="en-NZ"/>
        </w:rPr>
      </w:pPr>
      <w:hyperlink w:anchor="_Toc19102383" w:history="1">
        <w:r w:rsidR="00DA2B90" w:rsidRPr="00F850A8">
          <w:rPr>
            <w:rStyle w:val="Hyperlink"/>
            <w:noProof/>
            <w:lang w:eastAsia="en-NZ"/>
          </w:rPr>
          <w:t>Interpersonal violence</w:t>
        </w:r>
        <w:r w:rsidR="00DA2B90">
          <w:rPr>
            <w:noProof/>
            <w:webHidden/>
          </w:rPr>
          <w:tab/>
        </w:r>
        <w:r w:rsidR="00DA2B90">
          <w:rPr>
            <w:noProof/>
            <w:webHidden/>
          </w:rPr>
          <w:fldChar w:fldCharType="begin"/>
        </w:r>
        <w:r w:rsidR="00DA2B90">
          <w:rPr>
            <w:noProof/>
            <w:webHidden/>
          </w:rPr>
          <w:instrText xml:space="preserve"> PAGEREF _Toc19102383 \h </w:instrText>
        </w:r>
        <w:r w:rsidR="00DA2B90">
          <w:rPr>
            <w:noProof/>
            <w:webHidden/>
          </w:rPr>
        </w:r>
        <w:r w:rsidR="00DA2B90">
          <w:rPr>
            <w:noProof/>
            <w:webHidden/>
          </w:rPr>
          <w:fldChar w:fldCharType="separate"/>
        </w:r>
        <w:r>
          <w:rPr>
            <w:noProof/>
            <w:webHidden/>
          </w:rPr>
          <w:t>154</w:t>
        </w:r>
        <w:r w:rsidR="00DA2B90">
          <w:rPr>
            <w:noProof/>
            <w:webHidden/>
          </w:rPr>
          <w:fldChar w:fldCharType="end"/>
        </w:r>
      </w:hyperlink>
    </w:p>
    <w:p w14:paraId="3A9AAA5D" w14:textId="1D6C525B" w:rsidR="00DA2B90" w:rsidRDefault="00D2215B">
      <w:pPr>
        <w:pStyle w:val="TOC2"/>
        <w:rPr>
          <w:rFonts w:asciiTheme="minorHAnsi" w:eastAsiaTheme="minorEastAsia" w:hAnsiTheme="minorHAnsi" w:cstheme="minorBidi"/>
          <w:noProof/>
          <w:sz w:val="22"/>
          <w:szCs w:val="22"/>
          <w:lang w:eastAsia="en-NZ"/>
        </w:rPr>
      </w:pPr>
      <w:hyperlink w:anchor="_Toc19102387" w:history="1">
        <w:r w:rsidR="00DA2B90" w:rsidRPr="00F850A8">
          <w:rPr>
            <w:rStyle w:val="Hyperlink"/>
            <w:noProof/>
            <w:lang w:eastAsia="en-NZ"/>
          </w:rPr>
          <w:t>Oral health</w:t>
        </w:r>
        <w:r w:rsidR="00DA2B90">
          <w:rPr>
            <w:noProof/>
            <w:webHidden/>
          </w:rPr>
          <w:tab/>
        </w:r>
        <w:r w:rsidR="00DA2B90">
          <w:rPr>
            <w:noProof/>
            <w:webHidden/>
          </w:rPr>
          <w:fldChar w:fldCharType="begin"/>
        </w:r>
        <w:r w:rsidR="00DA2B90">
          <w:rPr>
            <w:noProof/>
            <w:webHidden/>
          </w:rPr>
          <w:instrText xml:space="preserve"> PAGEREF _Toc19102387 \h </w:instrText>
        </w:r>
        <w:r w:rsidR="00DA2B90">
          <w:rPr>
            <w:noProof/>
            <w:webHidden/>
          </w:rPr>
        </w:r>
        <w:r w:rsidR="00DA2B90">
          <w:rPr>
            <w:noProof/>
            <w:webHidden/>
          </w:rPr>
          <w:fldChar w:fldCharType="separate"/>
        </w:r>
        <w:r>
          <w:rPr>
            <w:noProof/>
            <w:webHidden/>
          </w:rPr>
          <w:t>158</w:t>
        </w:r>
        <w:r w:rsidR="00DA2B90">
          <w:rPr>
            <w:noProof/>
            <w:webHidden/>
          </w:rPr>
          <w:fldChar w:fldCharType="end"/>
        </w:r>
      </w:hyperlink>
    </w:p>
    <w:p w14:paraId="78BBB579" w14:textId="220EFFC4" w:rsidR="00DA2B90" w:rsidRDefault="00D2215B">
      <w:pPr>
        <w:pStyle w:val="TOC2"/>
        <w:rPr>
          <w:rFonts w:asciiTheme="minorHAnsi" w:eastAsiaTheme="minorEastAsia" w:hAnsiTheme="minorHAnsi" w:cstheme="minorBidi"/>
          <w:noProof/>
          <w:sz w:val="22"/>
          <w:szCs w:val="22"/>
          <w:lang w:eastAsia="en-NZ"/>
        </w:rPr>
      </w:pPr>
      <w:hyperlink w:anchor="_Toc19102397" w:history="1">
        <w:r w:rsidR="00DA2B90" w:rsidRPr="00F850A8">
          <w:rPr>
            <w:rStyle w:val="Hyperlink"/>
            <w:noProof/>
            <w:lang w:eastAsia="en-NZ"/>
          </w:rPr>
          <w:t>Self-rated health</w:t>
        </w:r>
        <w:r w:rsidR="00DA2B90">
          <w:rPr>
            <w:noProof/>
            <w:webHidden/>
          </w:rPr>
          <w:tab/>
        </w:r>
        <w:r w:rsidR="00DA2B90">
          <w:rPr>
            <w:noProof/>
            <w:webHidden/>
          </w:rPr>
          <w:fldChar w:fldCharType="begin"/>
        </w:r>
        <w:r w:rsidR="00DA2B90">
          <w:rPr>
            <w:noProof/>
            <w:webHidden/>
          </w:rPr>
          <w:instrText xml:space="preserve"> PAGEREF _Toc19102397 \h </w:instrText>
        </w:r>
        <w:r w:rsidR="00DA2B90">
          <w:rPr>
            <w:noProof/>
            <w:webHidden/>
          </w:rPr>
        </w:r>
        <w:r w:rsidR="00DA2B90">
          <w:rPr>
            <w:noProof/>
            <w:webHidden/>
          </w:rPr>
          <w:fldChar w:fldCharType="separate"/>
        </w:r>
        <w:r>
          <w:rPr>
            <w:noProof/>
            <w:webHidden/>
          </w:rPr>
          <w:t>176</w:t>
        </w:r>
        <w:r w:rsidR="00DA2B90">
          <w:rPr>
            <w:noProof/>
            <w:webHidden/>
          </w:rPr>
          <w:fldChar w:fldCharType="end"/>
        </w:r>
      </w:hyperlink>
    </w:p>
    <w:p w14:paraId="7D7F2416" w14:textId="4997A0B6" w:rsidR="00DA2B90" w:rsidRDefault="00D2215B">
      <w:pPr>
        <w:pStyle w:val="TOC2"/>
        <w:rPr>
          <w:rFonts w:asciiTheme="minorHAnsi" w:eastAsiaTheme="minorEastAsia" w:hAnsiTheme="minorHAnsi" w:cstheme="minorBidi"/>
          <w:noProof/>
          <w:sz w:val="22"/>
          <w:szCs w:val="22"/>
          <w:lang w:eastAsia="en-NZ"/>
        </w:rPr>
      </w:pPr>
      <w:hyperlink w:anchor="_Toc19102399" w:history="1">
        <w:r w:rsidR="00DA2B90" w:rsidRPr="00F850A8">
          <w:rPr>
            <w:rStyle w:val="Hyperlink"/>
            <w:noProof/>
            <w:lang w:eastAsia="en-NZ"/>
          </w:rPr>
          <w:t>Mental health</w:t>
        </w:r>
        <w:r w:rsidR="00DA2B90">
          <w:rPr>
            <w:noProof/>
            <w:webHidden/>
          </w:rPr>
          <w:tab/>
        </w:r>
        <w:r w:rsidR="00DA2B90">
          <w:rPr>
            <w:noProof/>
            <w:webHidden/>
          </w:rPr>
          <w:fldChar w:fldCharType="begin"/>
        </w:r>
        <w:r w:rsidR="00DA2B90">
          <w:rPr>
            <w:noProof/>
            <w:webHidden/>
          </w:rPr>
          <w:instrText xml:space="preserve"> PAGEREF _Toc19102399 \h </w:instrText>
        </w:r>
        <w:r w:rsidR="00DA2B90">
          <w:rPr>
            <w:noProof/>
            <w:webHidden/>
          </w:rPr>
        </w:r>
        <w:r w:rsidR="00DA2B90">
          <w:rPr>
            <w:noProof/>
            <w:webHidden/>
          </w:rPr>
          <w:fldChar w:fldCharType="separate"/>
        </w:r>
        <w:r>
          <w:rPr>
            <w:noProof/>
            <w:webHidden/>
          </w:rPr>
          <w:t>179</w:t>
        </w:r>
        <w:r w:rsidR="00DA2B90">
          <w:rPr>
            <w:noProof/>
            <w:webHidden/>
          </w:rPr>
          <w:fldChar w:fldCharType="end"/>
        </w:r>
      </w:hyperlink>
    </w:p>
    <w:p w14:paraId="4A3AA9AB" w14:textId="04C5401D" w:rsidR="00DA2B90" w:rsidRDefault="00D2215B">
      <w:pPr>
        <w:pStyle w:val="TOC2"/>
        <w:rPr>
          <w:rFonts w:asciiTheme="minorHAnsi" w:eastAsiaTheme="minorEastAsia" w:hAnsiTheme="minorHAnsi" w:cstheme="minorBidi"/>
          <w:noProof/>
          <w:sz w:val="22"/>
          <w:szCs w:val="22"/>
          <w:lang w:eastAsia="en-NZ"/>
        </w:rPr>
      </w:pPr>
      <w:hyperlink w:anchor="_Toc19102403" w:history="1">
        <w:r w:rsidR="00DA2B90" w:rsidRPr="00F850A8">
          <w:rPr>
            <w:rStyle w:val="Hyperlink"/>
            <w:noProof/>
            <w:lang w:eastAsia="en-NZ"/>
          </w:rPr>
          <w:t>Infant health</w:t>
        </w:r>
        <w:r w:rsidR="00DA2B90">
          <w:rPr>
            <w:noProof/>
            <w:webHidden/>
          </w:rPr>
          <w:tab/>
        </w:r>
        <w:r w:rsidR="00DA2B90">
          <w:rPr>
            <w:noProof/>
            <w:webHidden/>
          </w:rPr>
          <w:fldChar w:fldCharType="begin"/>
        </w:r>
        <w:r w:rsidR="00DA2B90">
          <w:rPr>
            <w:noProof/>
            <w:webHidden/>
          </w:rPr>
          <w:instrText xml:space="preserve"> PAGEREF _Toc19102403 \h </w:instrText>
        </w:r>
        <w:r w:rsidR="00DA2B90">
          <w:rPr>
            <w:noProof/>
            <w:webHidden/>
          </w:rPr>
        </w:r>
        <w:r w:rsidR="00DA2B90">
          <w:rPr>
            <w:noProof/>
            <w:webHidden/>
          </w:rPr>
          <w:fldChar w:fldCharType="separate"/>
        </w:r>
        <w:r>
          <w:rPr>
            <w:noProof/>
            <w:webHidden/>
          </w:rPr>
          <w:t>183</w:t>
        </w:r>
        <w:r w:rsidR="00DA2B90">
          <w:rPr>
            <w:noProof/>
            <w:webHidden/>
          </w:rPr>
          <w:fldChar w:fldCharType="end"/>
        </w:r>
      </w:hyperlink>
    </w:p>
    <w:p w14:paraId="3543B55B" w14:textId="16EC635A" w:rsidR="00DA2B90" w:rsidRDefault="00D2215B">
      <w:pPr>
        <w:pStyle w:val="TOC2"/>
        <w:rPr>
          <w:rFonts w:asciiTheme="minorHAnsi" w:eastAsiaTheme="minorEastAsia" w:hAnsiTheme="minorHAnsi" w:cstheme="minorBidi"/>
          <w:noProof/>
          <w:sz w:val="22"/>
          <w:szCs w:val="22"/>
          <w:lang w:eastAsia="en-NZ"/>
        </w:rPr>
      </w:pPr>
      <w:hyperlink w:anchor="_Toc19102407" w:history="1">
        <w:r w:rsidR="00DA2B90" w:rsidRPr="00F850A8">
          <w:rPr>
            <w:rStyle w:val="Hyperlink"/>
            <w:noProof/>
          </w:rPr>
          <w:t>Infant and child mortality</w:t>
        </w:r>
        <w:r w:rsidR="00DA2B90">
          <w:rPr>
            <w:noProof/>
            <w:webHidden/>
          </w:rPr>
          <w:tab/>
        </w:r>
        <w:r w:rsidR="00DA2B90">
          <w:rPr>
            <w:noProof/>
            <w:webHidden/>
          </w:rPr>
          <w:fldChar w:fldCharType="begin"/>
        </w:r>
        <w:r w:rsidR="00DA2B90">
          <w:rPr>
            <w:noProof/>
            <w:webHidden/>
          </w:rPr>
          <w:instrText xml:space="preserve"> PAGEREF _Toc19102407 \h </w:instrText>
        </w:r>
        <w:r w:rsidR="00DA2B90">
          <w:rPr>
            <w:noProof/>
            <w:webHidden/>
          </w:rPr>
        </w:r>
        <w:r w:rsidR="00DA2B90">
          <w:rPr>
            <w:noProof/>
            <w:webHidden/>
          </w:rPr>
          <w:fldChar w:fldCharType="separate"/>
        </w:r>
        <w:r>
          <w:rPr>
            <w:noProof/>
            <w:webHidden/>
          </w:rPr>
          <w:t>188</w:t>
        </w:r>
        <w:r w:rsidR="00DA2B90">
          <w:rPr>
            <w:noProof/>
            <w:webHidden/>
          </w:rPr>
          <w:fldChar w:fldCharType="end"/>
        </w:r>
      </w:hyperlink>
    </w:p>
    <w:p w14:paraId="6ADF3ECF" w14:textId="3930CB9B" w:rsidR="00DA2B90" w:rsidRDefault="00D2215B">
      <w:pPr>
        <w:pStyle w:val="TOC2"/>
        <w:rPr>
          <w:rFonts w:asciiTheme="minorHAnsi" w:eastAsiaTheme="minorEastAsia" w:hAnsiTheme="minorHAnsi" w:cstheme="minorBidi"/>
          <w:noProof/>
          <w:sz w:val="22"/>
          <w:szCs w:val="22"/>
          <w:lang w:eastAsia="en-NZ"/>
        </w:rPr>
      </w:pPr>
      <w:hyperlink w:anchor="_Toc19102416" w:history="1">
        <w:r w:rsidR="00DA2B90" w:rsidRPr="00F850A8">
          <w:rPr>
            <w:rStyle w:val="Hyperlink"/>
            <w:noProof/>
            <w:lang w:eastAsia="en-NZ"/>
          </w:rPr>
          <w:t>Unintentional injury</w:t>
        </w:r>
        <w:r w:rsidR="00DA2B90">
          <w:rPr>
            <w:noProof/>
            <w:webHidden/>
          </w:rPr>
          <w:tab/>
        </w:r>
        <w:r w:rsidR="00DA2B90">
          <w:rPr>
            <w:noProof/>
            <w:webHidden/>
          </w:rPr>
          <w:fldChar w:fldCharType="begin"/>
        </w:r>
        <w:r w:rsidR="00DA2B90">
          <w:rPr>
            <w:noProof/>
            <w:webHidden/>
          </w:rPr>
          <w:instrText xml:space="preserve"> PAGEREF _Toc19102416 \h </w:instrText>
        </w:r>
        <w:r w:rsidR="00DA2B90">
          <w:rPr>
            <w:noProof/>
            <w:webHidden/>
          </w:rPr>
        </w:r>
        <w:r w:rsidR="00DA2B90">
          <w:rPr>
            <w:noProof/>
            <w:webHidden/>
          </w:rPr>
          <w:fldChar w:fldCharType="separate"/>
        </w:r>
        <w:r>
          <w:rPr>
            <w:noProof/>
            <w:webHidden/>
          </w:rPr>
          <w:t>203</w:t>
        </w:r>
        <w:r w:rsidR="00DA2B90">
          <w:rPr>
            <w:noProof/>
            <w:webHidden/>
          </w:rPr>
          <w:fldChar w:fldCharType="end"/>
        </w:r>
      </w:hyperlink>
    </w:p>
    <w:p w14:paraId="029667C2" w14:textId="31464DA8" w:rsidR="00DA2B90" w:rsidRDefault="00D2215B">
      <w:pPr>
        <w:pStyle w:val="TOC2"/>
        <w:rPr>
          <w:rFonts w:asciiTheme="minorHAnsi" w:eastAsiaTheme="minorEastAsia" w:hAnsiTheme="minorHAnsi" w:cstheme="minorBidi"/>
          <w:noProof/>
          <w:sz w:val="22"/>
          <w:szCs w:val="22"/>
          <w:lang w:eastAsia="en-NZ"/>
        </w:rPr>
      </w:pPr>
      <w:hyperlink w:anchor="_Toc19102426" w:history="1">
        <w:r w:rsidR="00DA2B90" w:rsidRPr="00F850A8">
          <w:rPr>
            <w:rStyle w:val="Hyperlink"/>
            <w:noProof/>
          </w:rPr>
          <w:t>Leading unintentional injury mortality categories</w:t>
        </w:r>
        <w:r w:rsidR="00DA2B90">
          <w:rPr>
            <w:noProof/>
            <w:webHidden/>
          </w:rPr>
          <w:tab/>
        </w:r>
        <w:r w:rsidR="00DA2B90">
          <w:rPr>
            <w:noProof/>
            <w:webHidden/>
          </w:rPr>
          <w:fldChar w:fldCharType="begin"/>
        </w:r>
        <w:r w:rsidR="00DA2B90">
          <w:rPr>
            <w:noProof/>
            <w:webHidden/>
          </w:rPr>
          <w:instrText xml:space="preserve"> PAGEREF _Toc19102426 \h </w:instrText>
        </w:r>
        <w:r w:rsidR="00DA2B90">
          <w:rPr>
            <w:noProof/>
            <w:webHidden/>
          </w:rPr>
        </w:r>
        <w:r w:rsidR="00DA2B90">
          <w:rPr>
            <w:noProof/>
            <w:webHidden/>
          </w:rPr>
          <w:fldChar w:fldCharType="separate"/>
        </w:r>
        <w:r>
          <w:rPr>
            <w:noProof/>
            <w:webHidden/>
          </w:rPr>
          <w:t>219</w:t>
        </w:r>
        <w:r w:rsidR="00DA2B90">
          <w:rPr>
            <w:noProof/>
            <w:webHidden/>
          </w:rPr>
          <w:fldChar w:fldCharType="end"/>
        </w:r>
      </w:hyperlink>
    </w:p>
    <w:p w14:paraId="0EE856A4" w14:textId="225ED431" w:rsidR="00DA2B90" w:rsidRDefault="00D2215B">
      <w:pPr>
        <w:pStyle w:val="TOC1"/>
        <w:rPr>
          <w:rFonts w:asciiTheme="minorHAnsi" w:eastAsiaTheme="minorEastAsia" w:hAnsiTheme="minorHAnsi" w:cstheme="minorBidi"/>
          <w:noProof/>
          <w:sz w:val="22"/>
          <w:szCs w:val="22"/>
          <w:lang w:eastAsia="en-NZ"/>
        </w:rPr>
      </w:pPr>
      <w:hyperlink w:anchor="_Toc19102433" w:history="1">
        <w:r w:rsidR="00DA2B90" w:rsidRPr="00F850A8">
          <w:rPr>
            <w:rStyle w:val="Hyperlink"/>
            <w:noProof/>
          </w:rPr>
          <w:t>Health service use</w:t>
        </w:r>
        <w:r w:rsidR="00DA2B90">
          <w:rPr>
            <w:noProof/>
            <w:webHidden/>
          </w:rPr>
          <w:tab/>
        </w:r>
        <w:r w:rsidR="00DA2B90">
          <w:rPr>
            <w:noProof/>
            <w:webHidden/>
          </w:rPr>
          <w:fldChar w:fldCharType="begin"/>
        </w:r>
        <w:r w:rsidR="00DA2B90">
          <w:rPr>
            <w:noProof/>
            <w:webHidden/>
          </w:rPr>
          <w:instrText xml:space="preserve"> PAGEREF _Toc19102433 \h </w:instrText>
        </w:r>
        <w:r w:rsidR="00DA2B90">
          <w:rPr>
            <w:noProof/>
            <w:webHidden/>
          </w:rPr>
        </w:r>
        <w:r w:rsidR="00DA2B90">
          <w:rPr>
            <w:noProof/>
            <w:webHidden/>
          </w:rPr>
          <w:fldChar w:fldCharType="separate"/>
        </w:r>
        <w:r>
          <w:rPr>
            <w:noProof/>
            <w:webHidden/>
          </w:rPr>
          <w:t>226</w:t>
        </w:r>
        <w:r w:rsidR="00DA2B90">
          <w:rPr>
            <w:noProof/>
            <w:webHidden/>
          </w:rPr>
          <w:fldChar w:fldCharType="end"/>
        </w:r>
      </w:hyperlink>
    </w:p>
    <w:p w14:paraId="02508A3A" w14:textId="196F40A3" w:rsidR="00DA2B90" w:rsidRDefault="00D2215B">
      <w:pPr>
        <w:pStyle w:val="TOC2"/>
        <w:rPr>
          <w:rFonts w:asciiTheme="minorHAnsi" w:eastAsiaTheme="minorEastAsia" w:hAnsiTheme="minorHAnsi" w:cstheme="minorBidi"/>
          <w:noProof/>
          <w:sz w:val="22"/>
          <w:szCs w:val="22"/>
          <w:lang w:eastAsia="en-NZ"/>
        </w:rPr>
      </w:pPr>
      <w:hyperlink w:anchor="_Toc19102434" w:history="1">
        <w:r w:rsidR="00DA2B90" w:rsidRPr="00F850A8">
          <w:rPr>
            <w:rStyle w:val="Hyperlink"/>
            <w:noProof/>
            <w:lang w:eastAsia="en-NZ"/>
          </w:rPr>
          <w:t>Primary health care access</w:t>
        </w:r>
        <w:r w:rsidR="00DA2B90">
          <w:rPr>
            <w:noProof/>
            <w:webHidden/>
          </w:rPr>
          <w:tab/>
        </w:r>
        <w:r w:rsidR="00DA2B90">
          <w:rPr>
            <w:noProof/>
            <w:webHidden/>
          </w:rPr>
          <w:fldChar w:fldCharType="begin"/>
        </w:r>
        <w:r w:rsidR="00DA2B90">
          <w:rPr>
            <w:noProof/>
            <w:webHidden/>
          </w:rPr>
          <w:instrText xml:space="preserve"> PAGEREF _Toc19102434 \h </w:instrText>
        </w:r>
        <w:r w:rsidR="00DA2B90">
          <w:rPr>
            <w:noProof/>
            <w:webHidden/>
          </w:rPr>
        </w:r>
        <w:r w:rsidR="00DA2B90">
          <w:rPr>
            <w:noProof/>
            <w:webHidden/>
          </w:rPr>
          <w:fldChar w:fldCharType="separate"/>
        </w:r>
        <w:r>
          <w:rPr>
            <w:noProof/>
            <w:webHidden/>
          </w:rPr>
          <w:t>226</w:t>
        </w:r>
        <w:r w:rsidR="00DA2B90">
          <w:rPr>
            <w:noProof/>
            <w:webHidden/>
          </w:rPr>
          <w:fldChar w:fldCharType="end"/>
        </w:r>
      </w:hyperlink>
    </w:p>
    <w:p w14:paraId="63227004" w14:textId="546D7E70" w:rsidR="00DA2B90" w:rsidRDefault="00D2215B">
      <w:pPr>
        <w:pStyle w:val="TOC1"/>
        <w:rPr>
          <w:rFonts w:asciiTheme="minorHAnsi" w:eastAsiaTheme="minorEastAsia" w:hAnsiTheme="minorHAnsi" w:cstheme="minorBidi"/>
          <w:noProof/>
          <w:sz w:val="22"/>
          <w:szCs w:val="22"/>
          <w:lang w:eastAsia="en-NZ"/>
        </w:rPr>
      </w:pPr>
      <w:hyperlink w:anchor="_Toc19102439" w:history="1">
        <w:r w:rsidR="00DA2B90" w:rsidRPr="00F850A8">
          <w:rPr>
            <w:rStyle w:val="Hyperlink"/>
            <w:noProof/>
          </w:rPr>
          <w:t>Health system indicators</w:t>
        </w:r>
        <w:r w:rsidR="00DA2B90">
          <w:rPr>
            <w:noProof/>
            <w:webHidden/>
          </w:rPr>
          <w:tab/>
        </w:r>
        <w:r w:rsidR="00DA2B90">
          <w:rPr>
            <w:noProof/>
            <w:webHidden/>
          </w:rPr>
          <w:fldChar w:fldCharType="begin"/>
        </w:r>
        <w:r w:rsidR="00DA2B90">
          <w:rPr>
            <w:noProof/>
            <w:webHidden/>
          </w:rPr>
          <w:instrText xml:space="preserve"> PAGEREF _Toc19102439 \h </w:instrText>
        </w:r>
        <w:r w:rsidR="00DA2B90">
          <w:rPr>
            <w:noProof/>
            <w:webHidden/>
          </w:rPr>
        </w:r>
        <w:r w:rsidR="00DA2B90">
          <w:rPr>
            <w:noProof/>
            <w:webHidden/>
          </w:rPr>
          <w:fldChar w:fldCharType="separate"/>
        </w:r>
        <w:r>
          <w:rPr>
            <w:noProof/>
            <w:webHidden/>
          </w:rPr>
          <w:t>233</w:t>
        </w:r>
        <w:r w:rsidR="00DA2B90">
          <w:rPr>
            <w:noProof/>
            <w:webHidden/>
          </w:rPr>
          <w:fldChar w:fldCharType="end"/>
        </w:r>
      </w:hyperlink>
    </w:p>
    <w:p w14:paraId="3B303F64" w14:textId="7EFFBCEA" w:rsidR="00DA2B90" w:rsidRDefault="00D2215B">
      <w:pPr>
        <w:pStyle w:val="TOC2"/>
        <w:rPr>
          <w:rFonts w:asciiTheme="minorHAnsi" w:eastAsiaTheme="minorEastAsia" w:hAnsiTheme="minorHAnsi" w:cstheme="minorBidi"/>
          <w:noProof/>
          <w:sz w:val="22"/>
          <w:szCs w:val="22"/>
          <w:lang w:eastAsia="en-NZ"/>
        </w:rPr>
      </w:pPr>
      <w:hyperlink w:anchor="_Toc19102440" w:history="1">
        <w:r w:rsidR="00DA2B90" w:rsidRPr="00F850A8">
          <w:rPr>
            <w:rStyle w:val="Hyperlink"/>
            <w:noProof/>
            <w:lang w:eastAsia="en-NZ"/>
          </w:rPr>
          <w:t>Amenable mortality and ambulatory sensitive hospitalisation (ASH)</w:t>
        </w:r>
        <w:r w:rsidR="00DA2B90">
          <w:rPr>
            <w:noProof/>
            <w:webHidden/>
          </w:rPr>
          <w:tab/>
        </w:r>
        <w:r w:rsidR="00DA2B90">
          <w:rPr>
            <w:noProof/>
            <w:webHidden/>
          </w:rPr>
          <w:fldChar w:fldCharType="begin"/>
        </w:r>
        <w:r w:rsidR="00DA2B90">
          <w:rPr>
            <w:noProof/>
            <w:webHidden/>
          </w:rPr>
          <w:instrText xml:space="preserve"> PAGEREF _Toc19102440 \h </w:instrText>
        </w:r>
        <w:r w:rsidR="00DA2B90">
          <w:rPr>
            <w:noProof/>
            <w:webHidden/>
          </w:rPr>
        </w:r>
        <w:r w:rsidR="00DA2B90">
          <w:rPr>
            <w:noProof/>
            <w:webHidden/>
          </w:rPr>
          <w:fldChar w:fldCharType="separate"/>
        </w:r>
        <w:r>
          <w:rPr>
            <w:noProof/>
            <w:webHidden/>
          </w:rPr>
          <w:t>233</w:t>
        </w:r>
        <w:r w:rsidR="00DA2B90">
          <w:rPr>
            <w:noProof/>
            <w:webHidden/>
          </w:rPr>
          <w:fldChar w:fldCharType="end"/>
        </w:r>
      </w:hyperlink>
    </w:p>
    <w:p w14:paraId="094B001B" w14:textId="67EF639E" w:rsidR="00DA2B90" w:rsidRDefault="00D2215B">
      <w:pPr>
        <w:pStyle w:val="TOC2"/>
        <w:rPr>
          <w:rFonts w:asciiTheme="minorHAnsi" w:eastAsiaTheme="minorEastAsia" w:hAnsiTheme="minorHAnsi" w:cstheme="minorBidi"/>
          <w:noProof/>
          <w:sz w:val="22"/>
          <w:szCs w:val="22"/>
          <w:lang w:eastAsia="en-NZ"/>
        </w:rPr>
      </w:pPr>
      <w:hyperlink w:anchor="_Toc19102443" w:history="1">
        <w:r w:rsidR="00DA2B90" w:rsidRPr="00F850A8">
          <w:rPr>
            <w:rStyle w:val="Hyperlink"/>
            <w:noProof/>
            <w:lang w:eastAsia="en-NZ"/>
          </w:rPr>
          <w:t>Publicly-funded hospital discharges</w:t>
        </w:r>
        <w:r w:rsidR="00DA2B90">
          <w:rPr>
            <w:noProof/>
            <w:webHidden/>
          </w:rPr>
          <w:tab/>
        </w:r>
        <w:r w:rsidR="00DA2B90">
          <w:rPr>
            <w:noProof/>
            <w:webHidden/>
          </w:rPr>
          <w:fldChar w:fldCharType="begin"/>
        </w:r>
        <w:r w:rsidR="00DA2B90">
          <w:rPr>
            <w:noProof/>
            <w:webHidden/>
          </w:rPr>
          <w:instrText xml:space="preserve"> PAGEREF _Toc19102443 \h </w:instrText>
        </w:r>
        <w:r w:rsidR="00DA2B90">
          <w:rPr>
            <w:noProof/>
            <w:webHidden/>
          </w:rPr>
        </w:r>
        <w:r w:rsidR="00DA2B90">
          <w:rPr>
            <w:noProof/>
            <w:webHidden/>
          </w:rPr>
          <w:fldChar w:fldCharType="separate"/>
        </w:r>
        <w:r>
          <w:rPr>
            <w:noProof/>
            <w:webHidden/>
          </w:rPr>
          <w:t>237</w:t>
        </w:r>
        <w:r w:rsidR="00DA2B90">
          <w:rPr>
            <w:noProof/>
            <w:webHidden/>
          </w:rPr>
          <w:fldChar w:fldCharType="end"/>
        </w:r>
      </w:hyperlink>
    </w:p>
    <w:p w14:paraId="2C3D85B9" w14:textId="1CC05EAA" w:rsidR="00DA2B90" w:rsidRDefault="00D2215B">
      <w:pPr>
        <w:pStyle w:val="TOC2"/>
        <w:rPr>
          <w:rFonts w:asciiTheme="minorHAnsi" w:eastAsiaTheme="minorEastAsia" w:hAnsiTheme="minorHAnsi" w:cstheme="minorBidi"/>
          <w:noProof/>
          <w:sz w:val="22"/>
          <w:szCs w:val="22"/>
          <w:lang w:eastAsia="en-NZ"/>
        </w:rPr>
      </w:pPr>
      <w:hyperlink w:anchor="_Toc19102447" w:history="1">
        <w:r w:rsidR="00DA2B90" w:rsidRPr="00F850A8">
          <w:rPr>
            <w:rStyle w:val="Hyperlink"/>
            <w:noProof/>
            <w:lang w:eastAsia="en-NZ"/>
          </w:rPr>
          <w:t>Emergency department attendances</w:t>
        </w:r>
        <w:r w:rsidR="00DA2B90">
          <w:rPr>
            <w:noProof/>
            <w:webHidden/>
          </w:rPr>
          <w:tab/>
        </w:r>
        <w:r w:rsidR="00DA2B90">
          <w:rPr>
            <w:noProof/>
            <w:webHidden/>
          </w:rPr>
          <w:fldChar w:fldCharType="begin"/>
        </w:r>
        <w:r w:rsidR="00DA2B90">
          <w:rPr>
            <w:noProof/>
            <w:webHidden/>
          </w:rPr>
          <w:instrText xml:space="preserve"> PAGEREF _Toc19102447 \h </w:instrText>
        </w:r>
        <w:r w:rsidR="00DA2B90">
          <w:rPr>
            <w:noProof/>
            <w:webHidden/>
          </w:rPr>
        </w:r>
        <w:r w:rsidR="00DA2B90">
          <w:rPr>
            <w:noProof/>
            <w:webHidden/>
          </w:rPr>
          <w:fldChar w:fldCharType="separate"/>
        </w:r>
        <w:r>
          <w:rPr>
            <w:noProof/>
            <w:webHidden/>
          </w:rPr>
          <w:t>241</w:t>
        </w:r>
        <w:r w:rsidR="00DA2B90">
          <w:rPr>
            <w:noProof/>
            <w:webHidden/>
          </w:rPr>
          <w:fldChar w:fldCharType="end"/>
        </w:r>
      </w:hyperlink>
    </w:p>
    <w:p w14:paraId="15DBFC5F" w14:textId="5E178AB3" w:rsidR="00DA2B90" w:rsidRDefault="00D2215B">
      <w:pPr>
        <w:pStyle w:val="TOC1"/>
        <w:rPr>
          <w:rFonts w:asciiTheme="minorHAnsi" w:eastAsiaTheme="minorEastAsia" w:hAnsiTheme="minorHAnsi" w:cstheme="minorBidi"/>
          <w:noProof/>
          <w:sz w:val="22"/>
          <w:szCs w:val="22"/>
          <w:lang w:eastAsia="en-NZ"/>
        </w:rPr>
      </w:pPr>
      <w:hyperlink w:anchor="_Toc19102451" w:history="1">
        <w:r w:rsidR="00DA2B90" w:rsidRPr="00F850A8">
          <w:rPr>
            <w:rStyle w:val="Hyperlink"/>
            <w:noProof/>
          </w:rPr>
          <w:t>Health workforce</w:t>
        </w:r>
        <w:r w:rsidR="00DA2B90">
          <w:rPr>
            <w:noProof/>
            <w:webHidden/>
          </w:rPr>
          <w:tab/>
        </w:r>
        <w:r w:rsidR="00DA2B90">
          <w:rPr>
            <w:noProof/>
            <w:webHidden/>
          </w:rPr>
          <w:fldChar w:fldCharType="begin"/>
        </w:r>
        <w:r w:rsidR="00DA2B90">
          <w:rPr>
            <w:noProof/>
            <w:webHidden/>
          </w:rPr>
          <w:instrText xml:space="preserve"> PAGEREF _Toc19102451 \h </w:instrText>
        </w:r>
        <w:r w:rsidR="00DA2B90">
          <w:rPr>
            <w:noProof/>
            <w:webHidden/>
          </w:rPr>
        </w:r>
        <w:r w:rsidR="00DA2B90">
          <w:rPr>
            <w:noProof/>
            <w:webHidden/>
          </w:rPr>
          <w:fldChar w:fldCharType="separate"/>
        </w:r>
        <w:r>
          <w:rPr>
            <w:noProof/>
            <w:webHidden/>
          </w:rPr>
          <w:t>244</w:t>
        </w:r>
        <w:r w:rsidR="00DA2B90">
          <w:rPr>
            <w:noProof/>
            <w:webHidden/>
          </w:rPr>
          <w:fldChar w:fldCharType="end"/>
        </w:r>
      </w:hyperlink>
    </w:p>
    <w:p w14:paraId="336D8D12" w14:textId="14B63E3A" w:rsidR="00DA2B90" w:rsidRDefault="00D2215B">
      <w:pPr>
        <w:pStyle w:val="TOC2"/>
        <w:rPr>
          <w:rFonts w:asciiTheme="minorHAnsi" w:eastAsiaTheme="minorEastAsia" w:hAnsiTheme="minorHAnsi" w:cstheme="minorBidi"/>
          <w:noProof/>
          <w:sz w:val="22"/>
          <w:szCs w:val="22"/>
          <w:lang w:eastAsia="en-NZ"/>
        </w:rPr>
      </w:pPr>
      <w:hyperlink w:anchor="_Toc19102452" w:history="1">
        <w:r w:rsidR="00DA2B90" w:rsidRPr="00F850A8">
          <w:rPr>
            <w:rStyle w:val="Hyperlink"/>
            <w:noProof/>
          </w:rPr>
          <w:t>Nursing Council of New Zealand – nurses</w:t>
        </w:r>
        <w:r w:rsidR="00DA2B90">
          <w:rPr>
            <w:noProof/>
            <w:webHidden/>
          </w:rPr>
          <w:tab/>
        </w:r>
        <w:r w:rsidR="00DA2B90">
          <w:rPr>
            <w:noProof/>
            <w:webHidden/>
          </w:rPr>
          <w:fldChar w:fldCharType="begin"/>
        </w:r>
        <w:r w:rsidR="00DA2B90">
          <w:rPr>
            <w:noProof/>
            <w:webHidden/>
          </w:rPr>
          <w:instrText xml:space="preserve"> PAGEREF _Toc19102452 \h </w:instrText>
        </w:r>
        <w:r w:rsidR="00DA2B90">
          <w:rPr>
            <w:noProof/>
            <w:webHidden/>
          </w:rPr>
        </w:r>
        <w:r w:rsidR="00DA2B90">
          <w:rPr>
            <w:noProof/>
            <w:webHidden/>
          </w:rPr>
          <w:fldChar w:fldCharType="separate"/>
        </w:r>
        <w:r>
          <w:rPr>
            <w:noProof/>
            <w:webHidden/>
          </w:rPr>
          <w:t>245</w:t>
        </w:r>
        <w:r w:rsidR="00DA2B90">
          <w:rPr>
            <w:noProof/>
            <w:webHidden/>
          </w:rPr>
          <w:fldChar w:fldCharType="end"/>
        </w:r>
      </w:hyperlink>
    </w:p>
    <w:p w14:paraId="0CC9CD19" w14:textId="3136DC0A" w:rsidR="00DA2B90" w:rsidRDefault="00D2215B">
      <w:pPr>
        <w:pStyle w:val="TOC2"/>
        <w:rPr>
          <w:rFonts w:asciiTheme="minorHAnsi" w:eastAsiaTheme="minorEastAsia" w:hAnsiTheme="minorHAnsi" w:cstheme="minorBidi"/>
          <w:noProof/>
          <w:sz w:val="22"/>
          <w:szCs w:val="22"/>
          <w:lang w:eastAsia="en-NZ"/>
        </w:rPr>
      </w:pPr>
      <w:hyperlink w:anchor="_Toc19102453" w:history="1">
        <w:r w:rsidR="00DA2B90" w:rsidRPr="00F850A8">
          <w:rPr>
            <w:rStyle w:val="Hyperlink"/>
            <w:noProof/>
          </w:rPr>
          <w:t>Midwifery Council of New Zealand – midwifery</w:t>
        </w:r>
        <w:r w:rsidR="00DA2B90">
          <w:rPr>
            <w:noProof/>
            <w:webHidden/>
          </w:rPr>
          <w:tab/>
        </w:r>
        <w:r w:rsidR="00DA2B90">
          <w:rPr>
            <w:noProof/>
            <w:webHidden/>
          </w:rPr>
          <w:fldChar w:fldCharType="begin"/>
        </w:r>
        <w:r w:rsidR="00DA2B90">
          <w:rPr>
            <w:noProof/>
            <w:webHidden/>
          </w:rPr>
          <w:instrText xml:space="preserve"> PAGEREF _Toc19102453 \h </w:instrText>
        </w:r>
        <w:r w:rsidR="00DA2B90">
          <w:rPr>
            <w:noProof/>
            <w:webHidden/>
          </w:rPr>
        </w:r>
        <w:r w:rsidR="00DA2B90">
          <w:rPr>
            <w:noProof/>
            <w:webHidden/>
          </w:rPr>
          <w:fldChar w:fldCharType="separate"/>
        </w:r>
        <w:r>
          <w:rPr>
            <w:noProof/>
            <w:webHidden/>
          </w:rPr>
          <w:t>246</w:t>
        </w:r>
        <w:r w:rsidR="00DA2B90">
          <w:rPr>
            <w:noProof/>
            <w:webHidden/>
          </w:rPr>
          <w:fldChar w:fldCharType="end"/>
        </w:r>
      </w:hyperlink>
    </w:p>
    <w:p w14:paraId="34CDFE97" w14:textId="56E4FD54" w:rsidR="00DA2B90" w:rsidRDefault="00D2215B">
      <w:pPr>
        <w:pStyle w:val="TOC2"/>
        <w:rPr>
          <w:rFonts w:asciiTheme="minorHAnsi" w:eastAsiaTheme="minorEastAsia" w:hAnsiTheme="minorHAnsi" w:cstheme="minorBidi"/>
          <w:noProof/>
          <w:sz w:val="22"/>
          <w:szCs w:val="22"/>
          <w:lang w:eastAsia="en-NZ"/>
        </w:rPr>
      </w:pPr>
      <w:hyperlink w:anchor="_Toc19102454" w:history="1">
        <w:r w:rsidR="00DA2B90" w:rsidRPr="00F850A8">
          <w:rPr>
            <w:rStyle w:val="Hyperlink"/>
            <w:noProof/>
          </w:rPr>
          <w:t>Medical Council of New Zealand – medical employed FTE</w:t>
        </w:r>
        <w:r w:rsidR="00DA2B90">
          <w:rPr>
            <w:noProof/>
            <w:webHidden/>
          </w:rPr>
          <w:tab/>
        </w:r>
        <w:r w:rsidR="00DA2B90">
          <w:rPr>
            <w:noProof/>
            <w:webHidden/>
          </w:rPr>
          <w:fldChar w:fldCharType="begin"/>
        </w:r>
        <w:r w:rsidR="00DA2B90">
          <w:rPr>
            <w:noProof/>
            <w:webHidden/>
          </w:rPr>
          <w:instrText xml:space="preserve"> PAGEREF _Toc19102454 \h </w:instrText>
        </w:r>
        <w:r w:rsidR="00DA2B90">
          <w:rPr>
            <w:noProof/>
            <w:webHidden/>
          </w:rPr>
        </w:r>
        <w:r w:rsidR="00DA2B90">
          <w:rPr>
            <w:noProof/>
            <w:webHidden/>
          </w:rPr>
          <w:fldChar w:fldCharType="separate"/>
        </w:r>
        <w:r>
          <w:rPr>
            <w:noProof/>
            <w:webHidden/>
          </w:rPr>
          <w:t>247</w:t>
        </w:r>
        <w:r w:rsidR="00DA2B90">
          <w:rPr>
            <w:noProof/>
            <w:webHidden/>
          </w:rPr>
          <w:fldChar w:fldCharType="end"/>
        </w:r>
      </w:hyperlink>
    </w:p>
    <w:p w14:paraId="5DACBDC5" w14:textId="4874483C" w:rsidR="00DA2B90" w:rsidRDefault="00D2215B">
      <w:pPr>
        <w:pStyle w:val="TOC2"/>
        <w:rPr>
          <w:rFonts w:asciiTheme="minorHAnsi" w:eastAsiaTheme="minorEastAsia" w:hAnsiTheme="minorHAnsi" w:cstheme="minorBidi"/>
          <w:noProof/>
          <w:sz w:val="22"/>
          <w:szCs w:val="22"/>
          <w:lang w:eastAsia="en-NZ"/>
        </w:rPr>
      </w:pPr>
      <w:hyperlink w:anchor="_Toc19102455" w:history="1">
        <w:r w:rsidR="00DA2B90" w:rsidRPr="00F850A8">
          <w:rPr>
            <w:rStyle w:val="Hyperlink"/>
            <w:noProof/>
          </w:rPr>
          <w:t>Dental Council of New Zealand – oral health</w:t>
        </w:r>
        <w:r w:rsidR="00DA2B90">
          <w:rPr>
            <w:noProof/>
            <w:webHidden/>
          </w:rPr>
          <w:tab/>
        </w:r>
        <w:r w:rsidR="00DA2B90">
          <w:rPr>
            <w:noProof/>
            <w:webHidden/>
          </w:rPr>
          <w:fldChar w:fldCharType="begin"/>
        </w:r>
        <w:r w:rsidR="00DA2B90">
          <w:rPr>
            <w:noProof/>
            <w:webHidden/>
          </w:rPr>
          <w:instrText xml:space="preserve"> PAGEREF _Toc19102455 \h </w:instrText>
        </w:r>
        <w:r w:rsidR="00DA2B90">
          <w:rPr>
            <w:noProof/>
            <w:webHidden/>
          </w:rPr>
        </w:r>
        <w:r w:rsidR="00DA2B90">
          <w:rPr>
            <w:noProof/>
            <w:webHidden/>
          </w:rPr>
          <w:fldChar w:fldCharType="separate"/>
        </w:r>
        <w:r>
          <w:rPr>
            <w:noProof/>
            <w:webHidden/>
          </w:rPr>
          <w:t>248</w:t>
        </w:r>
        <w:r w:rsidR="00DA2B90">
          <w:rPr>
            <w:noProof/>
            <w:webHidden/>
          </w:rPr>
          <w:fldChar w:fldCharType="end"/>
        </w:r>
      </w:hyperlink>
    </w:p>
    <w:p w14:paraId="46F92361" w14:textId="256736E5" w:rsidR="00DA2B90" w:rsidRDefault="00D2215B">
      <w:pPr>
        <w:pStyle w:val="TOC2"/>
        <w:rPr>
          <w:rFonts w:asciiTheme="minorHAnsi" w:eastAsiaTheme="minorEastAsia" w:hAnsiTheme="minorHAnsi" w:cstheme="minorBidi"/>
          <w:noProof/>
          <w:sz w:val="22"/>
          <w:szCs w:val="22"/>
          <w:lang w:eastAsia="en-NZ"/>
        </w:rPr>
      </w:pPr>
      <w:hyperlink w:anchor="_Toc19102456" w:history="1">
        <w:r w:rsidR="00DA2B90" w:rsidRPr="00F850A8">
          <w:rPr>
            <w:rStyle w:val="Hyperlink"/>
            <w:noProof/>
          </w:rPr>
          <w:t>New Zealand Physiotherapists Board – physiotherapists</w:t>
        </w:r>
        <w:r w:rsidR="00DA2B90">
          <w:rPr>
            <w:noProof/>
            <w:webHidden/>
          </w:rPr>
          <w:tab/>
        </w:r>
        <w:r w:rsidR="00DA2B90">
          <w:rPr>
            <w:noProof/>
            <w:webHidden/>
          </w:rPr>
          <w:fldChar w:fldCharType="begin"/>
        </w:r>
        <w:r w:rsidR="00DA2B90">
          <w:rPr>
            <w:noProof/>
            <w:webHidden/>
          </w:rPr>
          <w:instrText xml:space="preserve"> PAGEREF _Toc19102456 \h </w:instrText>
        </w:r>
        <w:r w:rsidR="00DA2B90">
          <w:rPr>
            <w:noProof/>
            <w:webHidden/>
          </w:rPr>
        </w:r>
        <w:r w:rsidR="00DA2B90">
          <w:rPr>
            <w:noProof/>
            <w:webHidden/>
          </w:rPr>
          <w:fldChar w:fldCharType="separate"/>
        </w:r>
        <w:r>
          <w:rPr>
            <w:noProof/>
            <w:webHidden/>
          </w:rPr>
          <w:t>249</w:t>
        </w:r>
        <w:r w:rsidR="00DA2B90">
          <w:rPr>
            <w:noProof/>
            <w:webHidden/>
          </w:rPr>
          <w:fldChar w:fldCharType="end"/>
        </w:r>
      </w:hyperlink>
    </w:p>
    <w:p w14:paraId="5ECF20E5" w14:textId="55A83305" w:rsidR="00DA2B90" w:rsidRDefault="00D2215B">
      <w:pPr>
        <w:pStyle w:val="TOC2"/>
        <w:rPr>
          <w:rFonts w:asciiTheme="minorHAnsi" w:eastAsiaTheme="minorEastAsia" w:hAnsiTheme="minorHAnsi" w:cstheme="minorBidi"/>
          <w:noProof/>
          <w:sz w:val="22"/>
          <w:szCs w:val="22"/>
          <w:lang w:eastAsia="en-NZ"/>
        </w:rPr>
      </w:pPr>
      <w:hyperlink w:anchor="_Toc19102457" w:history="1">
        <w:r w:rsidR="00DA2B90" w:rsidRPr="00F850A8">
          <w:rPr>
            <w:rStyle w:val="Hyperlink"/>
            <w:noProof/>
          </w:rPr>
          <w:t>New Zealand Psychologists Board – psychologists</w:t>
        </w:r>
        <w:r w:rsidR="00DA2B90">
          <w:rPr>
            <w:noProof/>
            <w:webHidden/>
          </w:rPr>
          <w:tab/>
        </w:r>
        <w:r w:rsidR="00DA2B90">
          <w:rPr>
            <w:noProof/>
            <w:webHidden/>
          </w:rPr>
          <w:fldChar w:fldCharType="begin"/>
        </w:r>
        <w:r w:rsidR="00DA2B90">
          <w:rPr>
            <w:noProof/>
            <w:webHidden/>
          </w:rPr>
          <w:instrText xml:space="preserve"> PAGEREF _Toc19102457 \h </w:instrText>
        </w:r>
        <w:r w:rsidR="00DA2B90">
          <w:rPr>
            <w:noProof/>
            <w:webHidden/>
          </w:rPr>
        </w:r>
        <w:r w:rsidR="00DA2B90">
          <w:rPr>
            <w:noProof/>
            <w:webHidden/>
          </w:rPr>
          <w:fldChar w:fldCharType="separate"/>
        </w:r>
        <w:r>
          <w:rPr>
            <w:noProof/>
            <w:webHidden/>
          </w:rPr>
          <w:t>250</w:t>
        </w:r>
        <w:r w:rsidR="00DA2B90">
          <w:rPr>
            <w:noProof/>
            <w:webHidden/>
          </w:rPr>
          <w:fldChar w:fldCharType="end"/>
        </w:r>
      </w:hyperlink>
    </w:p>
    <w:p w14:paraId="4B2DD72B" w14:textId="6E8989F4" w:rsidR="00DA2B90" w:rsidRDefault="00D2215B">
      <w:pPr>
        <w:pStyle w:val="TOC2"/>
        <w:rPr>
          <w:rFonts w:asciiTheme="minorHAnsi" w:eastAsiaTheme="minorEastAsia" w:hAnsiTheme="minorHAnsi" w:cstheme="minorBidi"/>
          <w:noProof/>
          <w:sz w:val="22"/>
          <w:szCs w:val="22"/>
          <w:lang w:eastAsia="en-NZ"/>
        </w:rPr>
      </w:pPr>
      <w:hyperlink w:anchor="_Toc19102458" w:history="1">
        <w:r w:rsidR="00DA2B90" w:rsidRPr="00F850A8">
          <w:rPr>
            <w:rStyle w:val="Hyperlink"/>
            <w:noProof/>
          </w:rPr>
          <w:t>New Zealand Medical Radiation Technologists Board – medical radiologists</w:t>
        </w:r>
        <w:r w:rsidR="00DA2B90">
          <w:rPr>
            <w:noProof/>
            <w:webHidden/>
          </w:rPr>
          <w:tab/>
        </w:r>
        <w:r w:rsidR="00DA2B90">
          <w:rPr>
            <w:noProof/>
            <w:webHidden/>
          </w:rPr>
          <w:fldChar w:fldCharType="begin"/>
        </w:r>
        <w:r w:rsidR="00DA2B90">
          <w:rPr>
            <w:noProof/>
            <w:webHidden/>
          </w:rPr>
          <w:instrText xml:space="preserve"> PAGEREF _Toc19102458 \h </w:instrText>
        </w:r>
        <w:r w:rsidR="00DA2B90">
          <w:rPr>
            <w:noProof/>
            <w:webHidden/>
          </w:rPr>
        </w:r>
        <w:r w:rsidR="00DA2B90">
          <w:rPr>
            <w:noProof/>
            <w:webHidden/>
          </w:rPr>
          <w:fldChar w:fldCharType="separate"/>
        </w:r>
        <w:r>
          <w:rPr>
            <w:noProof/>
            <w:webHidden/>
          </w:rPr>
          <w:t>251</w:t>
        </w:r>
        <w:r w:rsidR="00DA2B90">
          <w:rPr>
            <w:noProof/>
            <w:webHidden/>
          </w:rPr>
          <w:fldChar w:fldCharType="end"/>
        </w:r>
      </w:hyperlink>
    </w:p>
    <w:p w14:paraId="38A46EA1" w14:textId="5EDBDD64" w:rsidR="00DA2B90" w:rsidRDefault="00D2215B">
      <w:pPr>
        <w:pStyle w:val="TOC2"/>
        <w:rPr>
          <w:rFonts w:asciiTheme="minorHAnsi" w:eastAsiaTheme="minorEastAsia" w:hAnsiTheme="minorHAnsi" w:cstheme="minorBidi"/>
          <w:noProof/>
          <w:sz w:val="22"/>
          <w:szCs w:val="22"/>
          <w:lang w:eastAsia="en-NZ"/>
        </w:rPr>
      </w:pPr>
      <w:hyperlink w:anchor="_Toc19102459" w:history="1">
        <w:r w:rsidR="00DA2B90" w:rsidRPr="00F850A8">
          <w:rPr>
            <w:rStyle w:val="Hyperlink"/>
            <w:noProof/>
          </w:rPr>
          <w:t>New Zealand Dietitians Board – dietitians</w:t>
        </w:r>
        <w:r w:rsidR="00DA2B90">
          <w:rPr>
            <w:noProof/>
            <w:webHidden/>
          </w:rPr>
          <w:tab/>
        </w:r>
        <w:r w:rsidR="00DA2B90">
          <w:rPr>
            <w:noProof/>
            <w:webHidden/>
          </w:rPr>
          <w:fldChar w:fldCharType="begin"/>
        </w:r>
        <w:r w:rsidR="00DA2B90">
          <w:rPr>
            <w:noProof/>
            <w:webHidden/>
          </w:rPr>
          <w:instrText xml:space="preserve"> PAGEREF _Toc19102459 \h </w:instrText>
        </w:r>
        <w:r w:rsidR="00DA2B90">
          <w:rPr>
            <w:noProof/>
            <w:webHidden/>
          </w:rPr>
        </w:r>
        <w:r w:rsidR="00DA2B90">
          <w:rPr>
            <w:noProof/>
            <w:webHidden/>
          </w:rPr>
          <w:fldChar w:fldCharType="separate"/>
        </w:r>
        <w:r>
          <w:rPr>
            <w:noProof/>
            <w:webHidden/>
          </w:rPr>
          <w:t>252</w:t>
        </w:r>
        <w:r w:rsidR="00DA2B90">
          <w:rPr>
            <w:noProof/>
            <w:webHidden/>
          </w:rPr>
          <w:fldChar w:fldCharType="end"/>
        </w:r>
      </w:hyperlink>
    </w:p>
    <w:p w14:paraId="1734E072" w14:textId="45A3A775" w:rsidR="00DA2B90" w:rsidRDefault="00D2215B">
      <w:pPr>
        <w:pStyle w:val="TOC2"/>
        <w:rPr>
          <w:rFonts w:asciiTheme="minorHAnsi" w:eastAsiaTheme="minorEastAsia" w:hAnsiTheme="minorHAnsi" w:cstheme="minorBidi"/>
          <w:noProof/>
          <w:sz w:val="22"/>
          <w:szCs w:val="22"/>
          <w:lang w:eastAsia="en-NZ"/>
        </w:rPr>
      </w:pPr>
      <w:hyperlink w:anchor="_Toc19102460" w:history="1">
        <w:r w:rsidR="00DA2B90" w:rsidRPr="00F850A8">
          <w:rPr>
            <w:rStyle w:val="Hyperlink"/>
            <w:noProof/>
          </w:rPr>
          <w:t>Medical Sciences Council of New Zealand – medical laboratory scientist</w:t>
        </w:r>
        <w:r w:rsidR="00DA2B90">
          <w:rPr>
            <w:noProof/>
            <w:webHidden/>
          </w:rPr>
          <w:tab/>
        </w:r>
        <w:r w:rsidR="00DA2B90">
          <w:rPr>
            <w:noProof/>
            <w:webHidden/>
          </w:rPr>
          <w:fldChar w:fldCharType="begin"/>
        </w:r>
        <w:r w:rsidR="00DA2B90">
          <w:rPr>
            <w:noProof/>
            <w:webHidden/>
          </w:rPr>
          <w:instrText xml:space="preserve"> PAGEREF _Toc19102460 \h </w:instrText>
        </w:r>
        <w:r w:rsidR="00DA2B90">
          <w:rPr>
            <w:noProof/>
            <w:webHidden/>
          </w:rPr>
        </w:r>
        <w:r w:rsidR="00DA2B90">
          <w:rPr>
            <w:noProof/>
            <w:webHidden/>
          </w:rPr>
          <w:fldChar w:fldCharType="separate"/>
        </w:r>
        <w:r>
          <w:rPr>
            <w:noProof/>
            <w:webHidden/>
          </w:rPr>
          <w:t>253</w:t>
        </w:r>
        <w:r w:rsidR="00DA2B90">
          <w:rPr>
            <w:noProof/>
            <w:webHidden/>
          </w:rPr>
          <w:fldChar w:fldCharType="end"/>
        </w:r>
      </w:hyperlink>
    </w:p>
    <w:p w14:paraId="6293339A" w14:textId="10369D9E" w:rsidR="00DA2B90" w:rsidRDefault="00D2215B">
      <w:pPr>
        <w:pStyle w:val="TOC2"/>
        <w:rPr>
          <w:rFonts w:asciiTheme="minorHAnsi" w:eastAsiaTheme="minorEastAsia" w:hAnsiTheme="minorHAnsi" w:cstheme="minorBidi"/>
          <w:noProof/>
          <w:sz w:val="22"/>
          <w:szCs w:val="22"/>
          <w:lang w:eastAsia="en-NZ"/>
        </w:rPr>
      </w:pPr>
      <w:hyperlink w:anchor="_Toc19102461" w:history="1">
        <w:r w:rsidR="00DA2B90" w:rsidRPr="00F850A8">
          <w:rPr>
            <w:rStyle w:val="Hyperlink"/>
            <w:noProof/>
          </w:rPr>
          <w:t>Medical Sciences Council of New Zealand – medical laboratory technician</w:t>
        </w:r>
        <w:r w:rsidR="00DA2B90">
          <w:rPr>
            <w:noProof/>
            <w:webHidden/>
          </w:rPr>
          <w:tab/>
        </w:r>
        <w:r w:rsidR="00DA2B90">
          <w:rPr>
            <w:noProof/>
            <w:webHidden/>
          </w:rPr>
          <w:fldChar w:fldCharType="begin"/>
        </w:r>
        <w:r w:rsidR="00DA2B90">
          <w:rPr>
            <w:noProof/>
            <w:webHidden/>
          </w:rPr>
          <w:instrText xml:space="preserve"> PAGEREF _Toc19102461 \h </w:instrText>
        </w:r>
        <w:r w:rsidR="00DA2B90">
          <w:rPr>
            <w:noProof/>
            <w:webHidden/>
          </w:rPr>
        </w:r>
        <w:r w:rsidR="00DA2B90">
          <w:rPr>
            <w:noProof/>
            <w:webHidden/>
          </w:rPr>
          <w:fldChar w:fldCharType="separate"/>
        </w:r>
        <w:r>
          <w:rPr>
            <w:noProof/>
            <w:webHidden/>
          </w:rPr>
          <w:t>254</w:t>
        </w:r>
        <w:r w:rsidR="00DA2B90">
          <w:rPr>
            <w:noProof/>
            <w:webHidden/>
          </w:rPr>
          <w:fldChar w:fldCharType="end"/>
        </w:r>
      </w:hyperlink>
    </w:p>
    <w:p w14:paraId="442F9202" w14:textId="101309A9" w:rsidR="00DA2B90" w:rsidRDefault="00D2215B">
      <w:pPr>
        <w:pStyle w:val="TOC2"/>
        <w:rPr>
          <w:rFonts w:asciiTheme="minorHAnsi" w:eastAsiaTheme="minorEastAsia" w:hAnsiTheme="minorHAnsi" w:cstheme="minorBidi"/>
          <w:noProof/>
          <w:sz w:val="22"/>
          <w:szCs w:val="22"/>
          <w:lang w:eastAsia="en-NZ"/>
        </w:rPr>
      </w:pPr>
      <w:hyperlink w:anchor="_Toc19102462" w:history="1">
        <w:r w:rsidR="00DA2B90" w:rsidRPr="00F850A8">
          <w:rPr>
            <w:rStyle w:val="Hyperlink"/>
            <w:noProof/>
          </w:rPr>
          <w:t>Pharmacy Council of New Zealand – pharmacists</w:t>
        </w:r>
        <w:r w:rsidR="00DA2B90">
          <w:rPr>
            <w:noProof/>
            <w:webHidden/>
          </w:rPr>
          <w:tab/>
        </w:r>
        <w:r w:rsidR="00DA2B90">
          <w:rPr>
            <w:noProof/>
            <w:webHidden/>
          </w:rPr>
          <w:fldChar w:fldCharType="begin"/>
        </w:r>
        <w:r w:rsidR="00DA2B90">
          <w:rPr>
            <w:noProof/>
            <w:webHidden/>
          </w:rPr>
          <w:instrText xml:space="preserve"> PAGEREF _Toc19102462 \h </w:instrText>
        </w:r>
        <w:r w:rsidR="00DA2B90">
          <w:rPr>
            <w:noProof/>
            <w:webHidden/>
          </w:rPr>
        </w:r>
        <w:r w:rsidR="00DA2B90">
          <w:rPr>
            <w:noProof/>
            <w:webHidden/>
          </w:rPr>
          <w:fldChar w:fldCharType="separate"/>
        </w:r>
        <w:r>
          <w:rPr>
            <w:noProof/>
            <w:webHidden/>
          </w:rPr>
          <w:t>255</w:t>
        </w:r>
        <w:r w:rsidR="00DA2B90">
          <w:rPr>
            <w:noProof/>
            <w:webHidden/>
          </w:rPr>
          <w:fldChar w:fldCharType="end"/>
        </w:r>
      </w:hyperlink>
    </w:p>
    <w:p w14:paraId="70012240" w14:textId="7F00EC9F" w:rsidR="00DA2B90" w:rsidRDefault="00D2215B">
      <w:pPr>
        <w:pStyle w:val="TOC2"/>
        <w:rPr>
          <w:rFonts w:asciiTheme="minorHAnsi" w:eastAsiaTheme="minorEastAsia" w:hAnsiTheme="minorHAnsi" w:cstheme="minorBidi"/>
          <w:noProof/>
          <w:sz w:val="22"/>
          <w:szCs w:val="22"/>
          <w:lang w:eastAsia="en-NZ"/>
        </w:rPr>
      </w:pPr>
      <w:hyperlink w:anchor="_Toc19102463" w:history="1">
        <w:r w:rsidR="00DA2B90" w:rsidRPr="00F850A8">
          <w:rPr>
            <w:rStyle w:val="Hyperlink"/>
            <w:noProof/>
          </w:rPr>
          <w:t>New Zealand Optometrists and Dispensing Opticians Board – optometrists</w:t>
        </w:r>
        <w:r w:rsidR="00DA2B90">
          <w:rPr>
            <w:noProof/>
            <w:webHidden/>
          </w:rPr>
          <w:tab/>
        </w:r>
        <w:r w:rsidR="00DA2B90">
          <w:rPr>
            <w:noProof/>
            <w:webHidden/>
          </w:rPr>
          <w:fldChar w:fldCharType="begin"/>
        </w:r>
        <w:r w:rsidR="00DA2B90">
          <w:rPr>
            <w:noProof/>
            <w:webHidden/>
          </w:rPr>
          <w:instrText xml:space="preserve"> PAGEREF _Toc19102463 \h </w:instrText>
        </w:r>
        <w:r w:rsidR="00DA2B90">
          <w:rPr>
            <w:noProof/>
            <w:webHidden/>
          </w:rPr>
        </w:r>
        <w:r w:rsidR="00DA2B90">
          <w:rPr>
            <w:noProof/>
            <w:webHidden/>
          </w:rPr>
          <w:fldChar w:fldCharType="separate"/>
        </w:r>
        <w:r>
          <w:rPr>
            <w:noProof/>
            <w:webHidden/>
          </w:rPr>
          <w:t>256</w:t>
        </w:r>
        <w:r w:rsidR="00DA2B90">
          <w:rPr>
            <w:noProof/>
            <w:webHidden/>
          </w:rPr>
          <w:fldChar w:fldCharType="end"/>
        </w:r>
      </w:hyperlink>
    </w:p>
    <w:p w14:paraId="768BF50C" w14:textId="6932E48A" w:rsidR="00DA2B90" w:rsidRDefault="00D2215B">
      <w:pPr>
        <w:pStyle w:val="TOC2"/>
        <w:rPr>
          <w:rFonts w:asciiTheme="minorHAnsi" w:eastAsiaTheme="minorEastAsia" w:hAnsiTheme="minorHAnsi" w:cstheme="minorBidi"/>
          <w:noProof/>
          <w:sz w:val="22"/>
          <w:szCs w:val="22"/>
          <w:lang w:eastAsia="en-NZ"/>
        </w:rPr>
      </w:pPr>
      <w:hyperlink w:anchor="_Toc19102464" w:history="1">
        <w:r w:rsidR="00DA2B90" w:rsidRPr="00F850A8">
          <w:rPr>
            <w:rStyle w:val="Hyperlink"/>
            <w:noProof/>
          </w:rPr>
          <w:t>New Zealand Optometrists and Dispensing Opticians Board – dispensing optician</w:t>
        </w:r>
        <w:r w:rsidR="00DA2B90">
          <w:rPr>
            <w:noProof/>
            <w:webHidden/>
          </w:rPr>
          <w:tab/>
        </w:r>
        <w:r w:rsidR="00DA2B90">
          <w:rPr>
            <w:noProof/>
            <w:webHidden/>
          </w:rPr>
          <w:fldChar w:fldCharType="begin"/>
        </w:r>
        <w:r w:rsidR="00DA2B90">
          <w:rPr>
            <w:noProof/>
            <w:webHidden/>
          </w:rPr>
          <w:instrText xml:space="preserve"> PAGEREF _Toc19102464 \h </w:instrText>
        </w:r>
        <w:r w:rsidR="00DA2B90">
          <w:rPr>
            <w:noProof/>
            <w:webHidden/>
          </w:rPr>
        </w:r>
        <w:r w:rsidR="00DA2B90">
          <w:rPr>
            <w:noProof/>
            <w:webHidden/>
          </w:rPr>
          <w:fldChar w:fldCharType="separate"/>
        </w:r>
        <w:r>
          <w:rPr>
            <w:noProof/>
            <w:webHidden/>
          </w:rPr>
          <w:t>257</w:t>
        </w:r>
        <w:r w:rsidR="00DA2B90">
          <w:rPr>
            <w:noProof/>
            <w:webHidden/>
          </w:rPr>
          <w:fldChar w:fldCharType="end"/>
        </w:r>
      </w:hyperlink>
    </w:p>
    <w:p w14:paraId="7244BAAD" w14:textId="3D928D7E" w:rsidR="00DA2B90" w:rsidRDefault="00D2215B">
      <w:pPr>
        <w:pStyle w:val="TOC2"/>
        <w:rPr>
          <w:rFonts w:asciiTheme="minorHAnsi" w:eastAsiaTheme="minorEastAsia" w:hAnsiTheme="minorHAnsi" w:cstheme="minorBidi"/>
          <w:noProof/>
          <w:sz w:val="22"/>
          <w:szCs w:val="22"/>
          <w:lang w:eastAsia="en-NZ"/>
        </w:rPr>
      </w:pPr>
      <w:hyperlink w:anchor="_Toc19102465" w:history="1">
        <w:r w:rsidR="00DA2B90" w:rsidRPr="00F850A8">
          <w:rPr>
            <w:rStyle w:val="Hyperlink"/>
            <w:noProof/>
          </w:rPr>
          <w:t>New Zealand Podiatrists Board – podiatrist</w:t>
        </w:r>
        <w:r w:rsidR="00DA2B90">
          <w:rPr>
            <w:noProof/>
            <w:webHidden/>
          </w:rPr>
          <w:tab/>
        </w:r>
        <w:r w:rsidR="00DA2B90">
          <w:rPr>
            <w:noProof/>
            <w:webHidden/>
          </w:rPr>
          <w:fldChar w:fldCharType="begin"/>
        </w:r>
        <w:r w:rsidR="00DA2B90">
          <w:rPr>
            <w:noProof/>
            <w:webHidden/>
          </w:rPr>
          <w:instrText xml:space="preserve"> PAGEREF _Toc19102465 \h </w:instrText>
        </w:r>
        <w:r w:rsidR="00DA2B90">
          <w:rPr>
            <w:noProof/>
            <w:webHidden/>
          </w:rPr>
        </w:r>
        <w:r w:rsidR="00DA2B90">
          <w:rPr>
            <w:noProof/>
            <w:webHidden/>
          </w:rPr>
          <w:fldChar w:fldCharType="separate"/>
        </w:r>
        <w:r>
          <w:rPr>
            <w:noProof/>
            <w:webHidden/>
          </w:rPr>
          <w:t>258</w:t>
        </w:r>
        <w:r w:rsidR="00DA2B90">
          <w:rPr>
            <w:noProof/>
            <w:webHidden/>
          </w:rPr>
          <w:fldChar w:fldCharType="end"/>
        </w:r>
      </w:hyperlink>
    </w:p>
    <w:p w14:paraId="51BA7FA6" w14:textId="677A6982" w:rsidR="00DA2B90" w:rsidRDefault="00D2215B">
      <w:pPr>
        <w:pStyle w:val="TOC2"/>
        <w:rPr>
          <w:rFonts w:asciiTheme="minorHAnsi" w:eastAsiaTheme="minorEastAsia" w:hAnsiTheme="minorHAnsi" w:cstheme="minorBidi"/>
          <w:noProof/>
          <w:sz w:val="22"/>
          <w:szCs w:val="22"/>
          <w:lang w:eastAsia="en-NZ"/>
        </w:rPr>
      </w:pPr>
      <w:hyperlink w:anchor="_Toc19102466" w:history="1">
        <w:r w:rsidR="00DA2B90" w:rsidRPr="00F850A8">
          <w:rPr>
            <w:rStyle w:val="Hyperlink"/>
            <w:noProof/>
          </w:rPr>
          <w:t>Osteopathic Council of New Zealand – osteopaths</w:t>
        </w:r>
        <w:r w:rsidR="00DA2B90">
          <w:rPr>
            <w:noProof/>
            <w:webHidden/>
          </w:rPr>
          <w:tab/>
        </w:r>
        <w:r w:rsidR="00DA2B90">
          <w:rPr>
            <w:noProof/>
            <w:webHidden/>
          </w:rPr>
          <w:fldChar w:fldCharType="begin"/>
        </w:r>
        <w:r w:rsidR="00DA2B90">
          <w:rPr>
            <w:noProof/>
            <w:webHidden/>
          </w:rPr>
          <w:instrText xml:space="preserve"> PAGEREF _Toc19102466 \h </w:instrText>
        </w:r>
        <w:r w:rsidR="00DA2B90">
          <w:rPr>
            <w:noProof/>
            <w:webHidden/>
          </w:rPr>
        </w:r>
        <w:r w:rsidR="00DA2B90">
          <w:rPr>
            <w:noProof/>
            <w:webHidden/>
          </w:rPr>
          <w:fldChar w:fldCharType="separate"/>
        </w:r>
        <w:r>
          <w:rPr>
            <w:noProof/>
            <w:webHidden/>
          </w:rPr>
          <w:t>259</w:t>
        </w:r>
        <w:r w:rsidR="00DA2B90">
          <w:rPr>
            <w:noProof/>
            <w:webHidden/>
          </w:rPr>
          <w:fldChar w:fldCharType="end"/>
        </w:r>
      </w:hyperlink>
    </w:p>
    <w:p w14:paraId="7ABFE66E" w14:textId="3BA2A698" w:rsidR="00DA2B90" w:rsidRDefault="00D2215B">
      <w:pPr>
        <w:pStyle w:val="TOC2"/>
        <w:rPr>
          <w:rFonts w:asciiTheme="minorHAnsi" w:eastAsiaTheme="minorEastAsia" w:hAnsiTheme="minorHAnsi" w:cstheme="minorBidi"/>
          <w:noProof/>
          <w:sz w:val="22"/>
          <w:szCs w:val="22"/>
          <w:lang w:eastAsia="en-NZ"/>
        </w:rPr>
      </w:pPr>
      <w:hyperlink w:anchor="_Toc19102467" w:history="1">
        <w:r w:rsidR="00DA2B90" w:rsidRPr="00F850A8">
          <w:rPr>
            <w:rStyle w:val="Hyperlink"/>
            <w:noProof/>
          </w:rPr>
          <w:t>New Zealand Chiropractic Board – chiropractors</w:t>
        </w:r>
        <w:r w:rsidR="00DA2B90">
          <w:rPr>
            <w:noProof/>
            <w:webHidden/>
          </w:rPr>
          <w:tab/>
        </w:r>
        <w:r w:rsidR="00DA2B90">
          <w:rPr>
            <w:noProof/>
            <w:webHidden/>
          </w:rPr>
          <w:fldChar w:fldCharType="begin"/>
        </w:r>
        <w:r w:rsidR="00DA2B90">
          <w:rPr>
            <w:noProof/>
            <w:webHidden/>
          </w:rPr>
          <w:instrText xml:space="preserve"> PAGEREF _Toc19102467 \h </w:instrText>
        </w:r>
        <w:r w:rsidR="00DA2B90">
          <w:rPr>
            <w:noProof/>
            <w:webHidden/>
          </w:rPr>
        </w:r>
        <w:r w:rsidR="00DA2B90">
          <w:rPr>
            <w:noProof/>
            <w:webHidden/>
          </w:rPr>
          <w:fldChar w:fldCharType="separate"/>
        </w:r>
        <w:r>
          <w:rPr>
            <w:noProof/>
            <w:webHidden/>
          </w:rPr>
          <w:t>260</w:t>
        </w:r>
        <w:r w:rsidR="00DA2B90">
          <w:rPr>
            <w:noProof/>
            <w:webHidden/>
          </w:rPr>
          <w:fldChar w:fldCharType="end"/>
        </w:r>
      </w:hyperlink>
    </w:p>
    <w:p w14:paraId="2EF81614" w14:textId="008DD69E" w:rsidR="00DA2B90" w:rsidRDefault="00D2215B">
      <w:pPr>
        <w:pStyle w:val="TOC1"/>
        <w:rPr>
          <w:rFonts w:asciiTheme="minorHAnsi" w:eastAsiaTheme="minorEastAsia" w:hAnsiTheme="minorHAnsi" w:cstheme="minorBidi"/>
          <w:noProof/>
          <w:sz w:val="22"/>
          <w:szCs w:val="22"/>
          <w:lang w:eastAsia="en-NZ"/>
        </w:rPr>
      </w:pPr>
      <w:hyperlink w:anchor="_Toc19102468" w:history="1">
        <w:r w:rsidR="00DA2B90" w:rsidRPr="00F850A8">
          <w:rPr>
            <w:rStyle w:val="Hyperlink"/>
            <w:noProof/>
          </w:rPr>
          <w:t>Māori and non</w:t>
        </w:r>
        <w:r w:rsidR="00DA2B90" w:rsidRPr="00F850A8">
          <w:rPr>
            <w:rStyle w:val="Hyperlink"/>
            <w:noProof/>
          </w:rPr>
          <w:noBreakHyphen/>
          <w:t>Māori non</w:t>
        </w:r>
        <w:r w:rsidR="00DA2B90" w:rsidRPr="00F850A8">
          <w:rPr>
            <w:rStyle w:val="Hyperlink"/>
            <w:noProof/>
          </w:rPr>
          <w:noBreakHyphen/>
          <w:t>Pacific analysis</w:t>
        </w:r>
        <w:r w:rsidR="00DA2B90">
          <w:rPr>
            <w:noProof/>
            <w:webHidden/>
          </w:rPr>
          <w:tab/>
        </w:r>
        <w:r w:rsidR="00DA2B90">
          <w:rPr>
            <w:noProof/>
            <w:webHidden/>
          </w:rPr>
          <w:fldChar w:fldCharType="begin"/>
        </w:r>
        <w:r w:rsidR="00DA2B90">
          <w:rPr>
            <w:noProof/>
            <w:webHidden/>
          </w:rPr>
          <w:instrText xml:space="preserve"> PAGEREF _Toc19102468 \h </w:instrText>
        </w:r>
        <w:r w:rsidR="00DA2B90">
          <w:rPr>
            <w:noProof/>
            <w:webHidden/>
          </w:rPr>
        </w:r>
        <w:r w:rsidR="00DA2B90">
          <w:rPr>
            <w:noProof/>
            <w:webHidden/>
          </w:rPr>
          <w:fldChar w:fldCharType="separate"/>
        </w:r>
        <w:r>
          <w:rPr>
            <w:noProof/>
            <w:webHidden/>
          </w:rPr>
          <w:t>261</w:t>
        </w:r>
        <w:r w:rsidR="00DA2B90">
          <w:rPr>
            <w:noProof/>
            <w:webHidden/>
          </w:rPr>
          <w:fldChar w:fldCharType="end"/>
        </w:r>
      </w:hyperlink>
    </w:p>
    <w:p w14:paraId="7E73CA83" w14:textId="3002D1E6" w:rsidR="00DA2B90" w:rsidRDefault="00D2215B">
      <w:pPr>
        <w:pStyle w:val="TOC2"/>
        <w:rPr>
          <w:rFonts w:asciiTheme="minorHAnsi" w:eastAsiaTheme="minorEastAsia" w:hAnsiTheme="minorHAnsi" w:cstheme="minorBidi"/>
          <w:noProof/>
          <w:sz w:val="22"/>
          <w:szCs w:val="22"/>
          <w:lang w:eastAsia="en-NZ"/>
        </w:rPr>
      </w:pPr>
      <w:hyperlink w:anchor="_Toc19102469" w:history="1">
        <w:r w:rsidR="00DA2B90" w:rsidRPr="00F850A8">
          <w:rPr>
            <w:rStyle w:val="Hyperlink"/>
            <w:noProof/>
            <w:lang w:eastAsia="en-NZ"/>
          </w:rPr>
          <w:t>Body size</w:t>
        </w:r>
        <w:r w:rsidR="00DA2B90">
          <w:rPr>
            <w:noProof/>
            <w:webHidden/>
          </w:rPr>
          <w:tab/>
        </w:r>
        <w:r w:rsidR="00DA2B90">
          <w:rPr>
            <w:noProof/>
            <w:webHidden/>
          </w:rPr>
          <w:fldChar w:fldCharType="begin"/>
        </w:r>
        <w:r w:rsidR="00DA2B90">
          <w:rPr>
            <w:noProof/>
            <w:webHidden/>
          </w:rPr>
          <w:instrText xml:space="preserve"> PAGEREF _Toc19102469 \h </w:instrText>
        </w:r>
        <w:r w:rsidR="00DA2B90">
          <w:rPr>
            <w:noProof/>
            <w:webHidden/>
          </w:rPr>
        </w:r>
        <w:r w:rsidR="00DA2B90">
          <w:rPr>
            <w:noProof/>
            <w:webHidden/>
          </w:rPr>
          <w:fldChar w:fldCharType="separate"/>
        </w:r>
        <w:r>
          <w:rPr>
            <w:noProof/>
            <w:webHidden/>
          </w:rPr>
          <w:t>262</w:t>
        </w:r>
        <w:r w:rsidR="00DA2B90">
          <w:rPr>
            <w:noProof/>
            <w:webHidden/>
          </w:rPr>
          <w:fldChar w:fldCharType="end"/>
        </w:r>
      </w:hyperlink>
    </w:p>
    <w:p w14:paraId="74524687" w14:textId="372BB67C" w:rsidR="00DA2B90" w:rsidRDefault="00D2215B">
      <w:pPr>
        <w:pStyle w:val="TOC2"/>
        <w:rPr>
          <w:rFonts w:asciiTheme="minorHAnsi" w:eastAsiaTheme="minorEastAsia" w:hAnsiTheme="minorHAnsi" w:cstheme="minorBidi"/>
          <w:noProof/>
          <w:sz w:val="22"/>
          <w:szCs w:val="22"/>
          <w:lang w:eastAsia="en-NZ"/>
        </w:rPr>
      </w:pPr>
      <w:hyperlink w:anchor="_Toc19102473" w:history="1">
        <w:r w:rsidR="00DA2B90" w:rsidRPr="00F850A8">
          <w:rPr>
            <w:rStyle w:val="Hyperlink"/>
            <w:noProof/>
          </w:rPr>
          <w:t>Cardiovascular disease</w:t>
        </w:r>
        <w:r w:rsidR="00DA2B90">
          <w:rPr>
            <w:noProof/>
            <w:webHidden/>
          </w:rPr>
          <w:tab/>
        </w:r>
        <w:r w:rsidR="00DA2B90">
          <w:rPr>
            <w:noProof/>
            <w:webHidden/>
          </w:rPr>
          <w:fldChar w:fldCharType="begin"/>
        </w:r>
        <w:r w:rsidR="00DA2B90">
          <w:rPr>
            <w:noProof/>
            <w:webHidden/>
          </w:rPr>
          <w:instrText xml:space="preserve"> PAGEREF _Toc19102473 \h </w:instrText>
        </w:r>
        <w:r w:rsidR="00DA2B90">
          <w:rPr>
            <w:noProof/>
            <w:webHidden/>
          </w:rPr>
        </w:r>
        <w:r w:rsidR="00DA2B90">
          <w:rPr>
            <w:noProof/>
            <w:webHidden/>
          </w:rPr>
          <w:fldChar w:fldCharType="separate"/>
        </w:r>
        <w:r>
          <w:rPr>
            <w:noProof/>
            <w:webHidden/>
          </w:rPr>
          <w:t>266</w:t>
        </w:r>
        <w:r w:rsidR="00DA2B90">
          <w:rPr>
            <w:noProof/>
            <w:webHidden/>
          </w:rPr>
          <w:fldChar w:fldCharType="end"/>
        </w:r>
      </w:hyperlink>
    </w:p>
    <w:p w14:paraId="2B64887A" w14:textId="7F44C1A7" w:rsidR="00DA2B90" w:rsidRDefault="00D2215B">
      <w:pPr>
        <w:pStyle w:val="TOC2"/>
        <w:rPr>
          <w:rFonts w:asciiTheme="minorHAnsi" w:eastAsiaTheme="minorEastAsia" w:hAnsiTheme="minorHAnsi" w:cstheme="minorBidi"/>
          <w:noProof/>
          <w:sz w:val="22"/>
          <w:szCs w:val="22"/>
          <w:lang w:eastAsia="en-NZ"/>
        </w:rPr>
      </w:pPr>
      <w:hyperlink w:anchor="_Toc19102479" w:history="1">
        <w:r w:rsidR="00DA2B90" w:rsidRPr="00F850A8">
          <w:rPr>
            <w:rStyle w:val="Hyperlink"/>
            <w:noProof/>
            <w:lang w:eastAsia="en-NZ"/>
          </w:rPr>
          <w:t>Cancer</w:t>
        </w:r>
        <w:r w:rsidR="00DA2B90">
          <w:rPr>
            <w:noProof/>
            <w:webHidden/>
          </w:rPr>
          <w:tab/>
        </w:r>
        <w:r w:rsidR="00DA2B90">
          <w:rPr>
            <w:noProof/>
            <w:webHidden/>
          </w:rPr>
          <w:fldChar w:fldCharType="begin"/>
        </w:r>
        <w:r w:rsidR="00DA2B90">
          <w:rPr>
            <w:noProof/>
            <w:webHidden/>
          </w:rPr>
          <w:instrText xml:space="preserve"> PAGEREF _Toc19102479 \h </w:instrText>
        </w:r>
        <w:r w:rsidR="00DA2B90">
          <w:rPr>
            <w:noProof/>
            <w:webHidden/>
          </w:rPr>
        </w:r>
        <w:r w:rsidR="00DA2B90">
          <w:rPr>
            <w:noProof/>
            <w:webHidden/>
          </w:rPr>
          <w:fldChar w:fldCharType="separate"/>
        </w:r>
        <w:r>
          <w:rPr>
            <w:noProof/>
            <w:webHidden/>
          </w:rPr>
          <w:t>275</w:t>
        </w:r>
        <w:r w:rsidR="00DA2B90">
          <w:rPr>
            <w:noProof/>
            <w:webHidden/>
          </w:rPr>
          <w:fldChar w:fldCharType="end"/>
        </w:r>
      </w:hyperlink>
    </w:p>
    <w:p w14:paraId="0E4DEE8F" w14:textId="4AA8BBC7" w:rsidR="00DA2B90" w:rsidRDefault="00D2215B">
      <w:pPr>
        <w:pStyle w:val="TOC2"/>
        <w:rPr>
          <w:rFonts w:asciiTheme="minorHAnsi" w:eastAsiaTheme="minorEastAsia" w:hAnsiTheme="minorHAnsi" w:cstheme="minorBidi"/>
          <w:noProof/>
          <w:sz w:val="22"/>
          <w:szCs w:val="22"/>
          <w:lang w:eastAsia="en-NZ"/>
        </w:rPr>
      </w:pPr>
      <w:hyperlink w:anchor="_Toc19102486" w:history="1">
        <w:r w:rsidR="00DA2B90" w:rsidRPr="00F850A8">
          <w:rPr>
            <w:rStyle w:val="Hyperlink"/>
            <w:noProof/>
            <w:lang w:eastAsia="en-NZ"/>
          </w:rPr>
          <w:t>Respiratory disease</w:t>
        </w:r>
        <w:r w:rsidR="00DA2B90">
          <w:rPr>
            <w:noProof/>
            <w:webHidden/>
          </w:rPr>
          <w:tab/>
        </w:r>
        <w:r w:rsidR="00DA2B90">
          <w:rPr>
            <w:noProof/>
            <w:webHidden/>
          </w:rPr>
          <w:fldChar w:fldCharType="begin"/>
        </w:r>
        <w:r w:rsidR="00DA2B90">
          <w:rPr>
            <w:noProof/>
            <w:webHidden/>
          </w:rPr>
          <w:instrText xml:space="preserve"> PAGEREF _Toc19102486 \h </w:instrText>
        </w:r>
        <w:r w:rsidR="00DA2B90">
          <w:rPr>
            <w:noProof/>
            <w:webHidden/>
          </w:rPr>
        </w:r>
        <w:r w:rsidR="00DA2B90">
          <w:rPr>
            <w:noProof/>
            <w:webHidden/>
          </w:rPr>
          <w:fldChar w:fldCharType="separate"/>
        </w:r>
        <w:r>
          <w:rPr>
            <w:noProof/>
            <w:webHidden/>
          </w:rPr>
          <w:t>298</w:t>
        </w:r>
        <w:r w:rsidR="00DA2B90">
          <w:rPr>
            <w:noProof/>
            <w:webHidden/>
          </w:rPr>
          <w:fldChar w:fldCharType="end"/>
        </w:r>
      </w:hyperlink>
    </w:p>
    <w:p w14:paraId="49D32586" w14:textId="03AA2447" w:rsidR="00DA2B90" w:rsidRDefault="00D2215B">
      <w:pPr>
        <w:pStyle w:val="TOC2"/>
        <w:rPr>
          <w:rFonts w:asciiTheme="minorHAnsi" w:eastAsiaTheme="minorEastAsia" w:hAnsiTheme="minorHAnsi" w:cstheme="minorBidi"/>
          <w:noProof/>
          <w:sz w:val="22"/>
          <w:szCs w:val="22"/>
          <w:lang w:eastAsia="en-NZ"/>
        </w:rPr>
      </w:pPr>
      <w:hyperlink w:anchor="_Toc19102492" w:history="1">
        <w:r w:rsidR="00DA2B90" w:rsidRPr="00F850A8">
          <w:rPr>
            <w:rStyle w:val="Hyperlink"/>
            <w:noProof/>
            <w:lang w:eastAsia="en-NZ"/>
          </w:rPr>
          <w:t>Diabetes complications</w:t>
        </w:r>
        <w:r w:rsidR="00DA2B90">
          <w:rPr>
            <w:noProof/>
            <w:webHidden/>
          </w:rPr>
          <w:tab/>
        </w:r>
        <w:r w:rsidR="00DA2B90">
          <w:rPr>
            <w:noProof/>
            <w:webHidden/>
          </w:rPr>
          <w:fldChar w:fldCharType="begin"/>
        </w:r>
        <w:r w:rsidR="00DA2B90">
          <w:rPr>
            <w:noProof/>
            <w:webHidden/>
          </w:rPr>
          <w:instrText xml:space="preserve"> PAGEREF _Toc19102492 \h </w:instrText>
        </w:r>
        <w:r w:rsidR="00DA2B90">
          <w:rPr>
            <w:noProof/>
            <w:webHidden/>
          </w:rPr>
        </w:r>
        <w:r w:rsidR="00DA2B90">
          <w:rPr>
            <w:noProof/>
            <w:webHidden/>
          </w:rPr>
          <w:fldChar w:fldCharType="separate"/>
        </w:r>
        <w:r>
          <w:rPr>
            <w:noProof/>
            <w:webHidden/>
          </w:rPr>
          <w:t>306</w:t>
        </w:r>
        <w:r w:rsidR="00DA2B90">
          <w:rPr>
            <w:noProof/>
            <w:webHidden/>
          </w:rPr>
          <w:fldChar w:fldCharType="end"/>
        </w:r>
      </w:hyperlink>
    </w:p>
    <w:p w14:paraId="428C2191" w14:textId="449191A0" w:rsidR="00DA2B90" w:rsidRDefault="00D2215B">
      <w:pPr>
        <w:pStyle w:val="TOC2"/>
        <w:rPr>
          <w:rFonts w:asciiTheme="minorHAnsi" w:eastAsiaTheme="minorEastAsia" w:hAnsiTheme="minorHAnsi" w:cstheme="minorBidi"/>
          <w:noProof/>
          <w:sz w:val="22"/>
          <w:szCs w:val="22"/>
          <w:lang w:eastAsia="en-NZ"/>
        </w:rPr>
      </w:pPr>
      <w:hyperlink w:anchor="_Toc19102496" w:history="1">
        <w:r w:rsidR="00DA2B90" w:rsidRPr="00F850A8">
          <w:rPr>
            <w:rStyle w:val="Hyperlink"/>
            <w:noProof/>
            <w:lang w:eastAsia="en-NZ"/>
          </w:rPr>
          <w:t>Infectious diseases</w:t>
        </w:r>
        <w:r w:rsidR="00DA2B90">
          <w:rPr>
            <w:noProof/>
            <w:webHidden/>
          </w:rPr>
          <w:tab/>
        </w:r>
        <w:r w:rsidR="00DA2B90">
          <w:rPr>
            <w:noProof/>
            <w:webHidden/>
          </w:rPr>
          <w:fldChar w:fldCharType="begin"/>
        </w:r>
        <w:r w:rsidR="00DA2B90">
          <w:rPr>
            <w:noProof/>
            <w:webHidden/>
          </w:rPr>
          <w:instrText xml:space="preserve"> PAGEREF _Toc19102496 \h </w:instrText>
        </w:r>
        <w:r w:rsidR="00DA2B90">
          <w:rPr>
            <w:noProof/>
            <w:webHidden/>
          </w:rPr>
        </w:r>
        <w:r w:rsidR="00DA2B90">
          <w:rPr>
            <w:noProof/>
            <w:webHidden/>
          </w:rPr>
          <w:fldChar w:fldCharType="separate"/>
        </w:r>
        <w:r>
          <w:rPr>
            <w:noProof/>
            <w:webHidden/>
          </w:rPr>
          <w:t>311</w:t>
        </w:r>
        <w:r w:rsidR="00DA2B90">
          <w:rPr>
            <w:noProof/>
            <w:webHidden/>
          </w:rPr>
          <w:fldChar w:fldCharType="end"/>
        </w:r>
      </w:hyperlink>
    </w:p>
    <w:p w14:paraId="36B5E67B" w14:textId="6A0BCE9E" w:rsidR="00DA2B90" w:rsidRDefault="00D2215B">
      <w:pPr>
        <w:pStyle w:val="TOC2"/>
        <w:rPr>
          <w:rFonts w:asciiTheme="minorHAnsi" w:eastAsiaTheme="minorEastAsia" w:hAnsiTheme="minorHAnsi" w:cstheme="minorBidi"/>
          <w:noProof/>
          <w:sz w:val="22"/>
          <w:szCs w:val="22"/>
          <w:lang w:eastAsia="en-NZ"/>
        </w:rPr>
      </w:pPr>
      <w:hyperlink w:anchor="_Toc19102501" w:history="1">
        <w:r w:rsidR="00DA2B90" w:rsidRPr="00F850A8">
          <w:rPr>
            <w:rStyle w:val="Hyperlink"/>
            <w:noProof/>
            <w:lang w:eastAsia="en-NZ"/>
          </w:rPr>
          <w:t>Oral health</w:t>
        </w:r>
        <w:r w:rsidR="00DA2B90">
          <w:rPr>
            <w:noProof/>
            <w:webHidden/>
          </w:rPr>
          <w:tab/>
        </w:r>
        <w:r w:rsidR="00DA2B90">
          <w:rPr>
            <w:noProof/>
            <w:webHidden/>
          </w:rPr>
          <w:fldChar w:fldCharType="begin"/>
        </w:r>
        <w:r w:rsidR="00DA2B90">
          <w:rPr>
            <w:noProof/>
            <w:webHidden/>
          </w:rPr>
          <w:instrText xml:space="preserve"> PAGEREF _Toc19102501 \h </w:instrText>
        </w:r>
        <w:r w:rsidR="00DA2B90">
          <w:rPr>
            <w:noProof/>
            <w:webHidden/>
          </w:rPr>
        </w:r>
        <w:r w:rsidR="00DA2B90">
          <w:rPr>
            <w:noProof/>
            <w:webHidden/>
          </w:rPr>
          <w:fldChar w:fldCharType="separate"/>
        </w:r>
        <w:r>
          <w:rPr>
            <w:noProof/>
            <w:webHidden/>
          </w:rPr>
          <w:t>316</w:t>
        </w:r>
        <w:r w:rsidR="00DA2B90">
          <w:rPr>
            <w:noProof/>
            <w:webHidden/>
          </w:rPr>
          <w:fldChar w:fldCharType="end"/>
        </w:r>
      </w:hyperlink>
    </w:p>
    <w:p w14:paraId="15C20C4E" w14:textId="1520A0E3" w:rsidR="00DA2B90" w:rsidRDefault="00D2215B">
      <w:pPr>
        <w:pStyle w:val="TOC2"/>
        <w:rPr>
          <w:rFonts w:asciiTheme="minorHAnsi" w:eastAsiaTheme="minorEastAsia" w:hAnsiTheme="minorHAnsi" w:cstheme="minorBidi"/>
          <w:noProof/>
          <w:sz w:val="22"/>
          <w:szCs w:val="22"/>
          <w:lang w:eastAsia="en-NZ"/>
        </w:rPr>
      </w:pPr>
      <w:hyperlink w:anchor="_Toc19102507" w:history="1">
        <w:r w:rsidR="00DA2B90" w:rsidRPr="00F850A8">
          <w:rPr>
            <w:rStyle w:val="Hyperlink"/>
            <w:noProof/>
            <w:lang w:eastAsia="en-NZ"/>
          </w:rPr>
          <w:t>Mental health</w:t>
        </w:r>
        <w:r w:rsidR="00DA2B90">
          <w:rPr>
            <w:noProof/>
            <w:webHidden/>
          </w:rPr>
          <w:tab/>
        </w:r>
        <w:r w:rsidR="00DA2B90">
          <w:rPr>
            <w:noProof/>
            <w:webHidden/>
          </w:rPr>
          <w:fldChar w:fldCharType="begin"/>
        </w:r>
        <w:r w:rsidR="00DA2B90">
          <w:rPr>
            <w:noProof/>
            <w:webHidden/>
          </w:rPr>
          <w:instrText xml:space="preserve"> PAGEREF _Toc19102507 \h </w:instrText>
        </w:r>
        <w:r w:rsidR="00DA2B90">
          <w:rPr>
            <w:noProof/>
            <w:webHidden/>
          </w:rPr>
        </w:r>
        <w:r w:rsidR="00DA2B90">
          <w:rPr>
            <w:noProof/>
            <w:webHidden/>
          </w:rPr>
          <w:fldChar w:fldCharType="separate"/>
        </w:r>
        <w:r>
          <w:rPr>
            <w:noProof/>
            <w:webHidden/>
          </w:rPr>
          <w:t>323</w:t>
        </w:r>
        <w:r w:rsidR="00DA2B90">
          <w:rPr>
            <w:noProof/>
            <w:webHidden/>
          </w:rPr>
          <w:fldChar w:fldCharType="end"/>
        </w:r>
      </w:hyperlink>
    </w:p>
    <w:p w14:paraId="6128FB87" w14:textId="7A21C6EA" w:rsidR="00DA2B90" w:rsidRDefault="00D2215B">
      <w:pPr>
        <w:pStyle w:val="TOC2"/>
        <w:rPr>
          <w:rFonts w:asciiTheme="minorHAnsi" w:eastAsiaTheme="minorEastAsia" w:hAnsiTheme="minorHAnsi" w:cstheme="minorBidi"/>
          <w:noProof/>
          <w:sz w:val="22"/>
          <w:szCs w:val="22"/>
          <w:lang w:eastAsia="en-NZ"/>
        </w:rPr>
      </w:pPr>
      <w:hyperlink w:anchor="_Toc19102511" w:history="1">
        <w:r w:rsidR="00DA2B90" w:rsidRPr="00F850A8">
          <w:rPr>
            <w:rStyle w:val="Hyperlink"/>
            <w:noProof/>
            <w:lang w:eastAsia="en-NZ"/>
          </w:rPr>
          <w:t>Emergency department attendances</w:t>
        </w:r>
        <w:r w:rsidR="00DA2B90">
          <w:rPr>
            <w:noProof/>
            <w:webHidden/>
          </w:rPr>
          <w:tab/>
        </w:r>
        <w:r w:rsidR="00DA2B90">
          <w:rPr>
            <w:noProof/>
            <w:webHidden/>
          </w:rPr>
          <w:fldChar w:fldCharType="begin"/>
        </w:r>
        <w:r w:rsidR="00DA2B90">
          <w:rPr>
            <w:noProof/>
            <w:webHidden/>
          </w:rPr>
          <w:instrText xml:space="preserve"> PAGEREF _Toc19102511 \h </w:instrText>
        </w:r>
        <w:r w:rsidR="00DA2B90">
          <w:rPr>
            <w:noProof/>
            <w:webHidden/>
          </w:rPr>
        </w:r>
        <w:r w:rsidR="00DA2B90">
          <w:rPr>
            <w:noProof/>
            <w:webHidden/>
          </w:rPr>
          <w:fldChar w:fldCharType="separate"/>
        </w:r>
        <w:r>
          <w:rPr>
            <w:noProof/>
            <w:webHidden/>
          </w:rPr>
          <w:t>326</w:t>
        </w:r>
        <w:r w:rsidR="00DA2B90">
          <w:rPr>
            <w:noProof/>
            <w:webHidden/>
          </w:rPr>
          <w:fldChar w:fldCharType="end"/>
        </w:r>
      </w:hyperlink>
    </w:p>
    <w:p w14:paraId="31954505" w14:textId="29D242D0" w:rsidR="00DA2B90" w:rsidRDefault="00D2215B">
      <w:pPr>
        <w:pStyle w:val="TOC1"/>
        <w:rPr>
          <w:rFonts w:asciiTheme="minorHAnsi" w:eastAsiaTheme="minorEastAsia" w:hAnsiTheme="minorHAnsi" w:cstheme="minorBidi"/>
          <w:noProof/>
          <w:sz w:val="22"/>
          <w:szCs w:val="22"/>
          <w:lang w:eastAsia="en-NZ"/>
        </w:rPr>
      </w:pPr>
      <w:hyperlink w:anchor="_Toc19102513" w:history="1">
        <w:r w:rsidR="00DA2B90" w:rsidRPr="00F850A8">
          <w:rPr>
            <w:rStyle w:val="Hyperlink"/>
            <w:noProof/>
          </w:rPr>
          <w:t>References</w:t>
        </w:r>
        <w:r w:rsidR="00DA2B90">
          <w:rPr>
            <w:noProof/>
            <w:webHidden/>
          </w:rPr>
          <w:tab/>
        </w:r>
        <w:r w:rsidR="00DA2B90">
          <w:rPr>
            <w:noProof/>
            <w:webHidden/>
          </w:rPr>
          <w:fldChar w:fldCharType="begin"/>
        </w:r>
        <w:r w:rsidR="00DA2B90">
          <w:rPr>
            <w:noProof/>
            <w:webHidden/>
          </w:rPr>
          <w:instrText xml:space="preserve"> PAGEREF _Toc19102513 \h </w:instrText>
        </w:r>
        <w:r w:rsidR="00DA2B90">
          <w:rPr>
            <w:noProof/>
            <w:webHidden/>
          </w:rPr>
        </w:r>
        <w:r w:rsidR="00DA2B90">
          <w:rPr>
            <w:noProof/>
            <w:webHidden/>
          </w:rPr>
          <w:fldChar w:fldCharType="separate"/>
        </w:r>
        <w:r>
          <w:rPr>
            <w:noProof/>
            <w:webHidden/>
          </w:rPr>
          <w:t>328</w:t>
        </w:r>
        <w:r w:rsidR="00DA2B90">
          <w:rPr>
            <w:noProof/>
            <w:webHidden/>
          </w:rPr>
          <w:fldChar w:fldCharType="end"/>
        </w:r>
      </w:hyperlink>
    </w:p>
    <w:p w14:paraId="4685A8DB" w14:textId="514BE83A" w:rsidR="00DA2B90" w:rsidRDefault="00D2215B">
      <w:pPr>
        <w:pStyle w:val="TOC1"/>
        <w:rPr>
          <w:rFonts w:asciiTheme="minorHAnsi" w:eastAsiaTheme="minorEastAsia" w:hAnsiTheme="minorHAnsi" w:cstheme="minorBidi"/>
          <w:noProof/>
          <w:sz w:val="22"/>
          <w:szCs w:val="22"/>
          <w:lang w:eastAsia="en-NZ"/>
        </w:rPr>
      </w:pPr>
      <w:hyperlink w:anchor="_Toc19102514" w:history="1">
        <w:r w:rsidR="00DA2B90" w:rsidRPr="00F850A8">
          <w:rPr>
            <w:rStyle w:val="Hyperlink"/>
            <w:noProof/>
          </w:rPr>
          <w:t>Appendices</w:t>
        </w:r>
        <w:r w:rsidR="00DA2B90">
          <w:rPr>
            <w:noProof/>
            <w:webHidden/>
          </w:rPr>
          <w:tab/>
        </w:r>
        <w:r w:rsidR="00DA2B90">
          <w:rPr>
            <w:noProof/>
            <w:webHidden/>
          </w:rPr>
          <w:fldChar w:fldCharType="begin"/>
        </w:r>
        <w:r w:rsidR="00DA2B90">
          <w:rPr>
            <w:noProof/>
            <w:webHidden/>
          </w:rPr>
          <w:instrText xml:space="preserve"> PAGEREF _Toc19102514 \h </w:instrText>
        </w:r>
        <w:r w:rsidR="00DA2B90">
          <w:rPr>
            <w:noProof/>
            <w:webHidden/>
          </w:rPr>
        </w:r>
        <w:r w:rsidR="00DA2B90">
          <w:rPr>
            <w:noProof/>
            <w:webHidden/>
          </w:rPr>
          <w:fldChar w:fldCharType="separate"/>
        </w:r>
        <w:r>
          <w:rPr>
            <w:noProof/>
            <w:webHidden/>
          </w:rPr>
          <w:t>332</w:t>
        </w:r>
        <w:r w:rsidR="00DA2B90">
          <w:rPr>
            <w:noProof/>
            <w:webHidden/>
          </w:rPr>
          <w:fldChar w:fldCharType="end"/>
        </w:r>
      </w:hyperlink>
    </w:p>
    <w:p w14:paraId="10ABC3CF" w14:textId="1DD2C121" w:rsidR="00DA2B90" w:rsidRDefault="00D2215B">
      <w:pPr>
        <w:pStyle w:val="TOC2"/>
        <w:rPr>
          <w:rFonts w:asciiTheme="minorHAnsi" w:eastAsiaTheme="minorEastAsia" w:hAnsiTheme="minorHAnsi" w:cstheme="minorBidi"/>
          <w:noProof/>
          <w:sz w:val="22"/>
          <w:szCs w:val="22"/>
          <w:lang w:eastAsia="en-NZ"/>
        </w:rPr>
      </w:pPr>
      <w:hyperlink w:anchor="_Toc19102515" w:history="1">
        <w:r w:rsidR="00DA2B90" w:rsidRPr="00F850A8">
          <w:rPr>
            <w:rStyle w:val="Hyperlink"/>
            <w:noProof/>
          </w:rPr>
          <w:t>Appendix 1: What Māori and non</w:t>
        </w:r>
        <w:r w:rsidR="00DA2B90" w:rsidRPr="00F850A8">
          <w:rPr>
            <w:rStyle w:val="Hyperlink"/>
            <w:noProof/>
          </w:rPr>
          <w:noBreakHyphen/>
          <w:t>Māori non</w:t>
        </w:r>
        <w:r w:rsidR="00DA2B90" w:rsidRPr="00F850A8">
          <w:rPr>
            <w:rStyle w:val="Hyperlink"/>
            <w:noProof/>
          </w:rPr>
          <w:noBreakHyphen/>
          <w:t>Pacific analysis can be prepared for the Wai 2575 Health Services and Outcomes Inquiry</w:t>
        </w:r>
        <w:r w:rsidR="00DA2B90">
          <w:rPr>
            <w:noProof/>
            <w:webHidden/>
          </w:rPr>
          <w:tab/>
        </w:r>
        <w:r w:rsidR="00DA2B90">
          <w:rPr>
            <w:noProof/>
            <w:webHidden/>
          </w:rPr>
          <w:fldChar w:fldCharType="begin"/>
        </w:r>
        <w:r w:rsidR="00DA2B90">
          <w:rPr>
            <w:noProof/>
            <w:webHidden/>
          </w:rPr>
          <w:instrText xml:space="preserve"> PAGEREF _Toc19102515 \h </w:instrText>
        </w:r>
        <w:r w:rsidR="00DA2B90">
          <w:rPr>
            <w:noProof/>
            <w:webHidden/>
          </w:rPr>
        </w:r>
        <w:r w:rsidR="00DA2B90">
          <w:rPr>
            <w:noProof/>
            <w:webHidden/>
          </w:rPr>
          <w:fldChar w:fldCharType="separate"/>
        </w:r>
        <w:r>
          <w:rPr>
            <w:noProof/>
            <w:webHidden/>
          </w:rPr>
          <w:t>332</w:t>
        </w:r>
        <w:r w:rsidR="00DA2B90">
          <w:rPr>
            <w:noProof/>
            <w:webHidden/>
          </w:rPr>
          <w:fldChar w:fldCharType="end"/>
        </w:r>
      </w:hyperlink>
    </w:p>
    <w:p w14:paraId="450A0900" w14:textId="12E7AACA" w:rsidR="00DA2B90" w:rsidRDefault="00D2215B">
      <w:pPr>
        <w:pStyle w:val="TOC2"/>
        <w:rPr>
          <w:rFonts w:asciiTheme="minorHAnsi" w:eastAsiaTheme="minorEastAsia" w:hAnsiTheme="minorHAnsi" w:cstheme="minorBidi"/>
          <w:noProof/>
          <w:sz w:val="22"/>
          <w:szCs w:val="22"/>
          <w:lang w:eastAsia="en-NZ"/>
        </w:rPr>
      </w:pPr>
      <w:hyperlink w:anchor="_Toc19102518" w:history="1">
        <w:r w:rsidR="00DA2B90" w:rsidRPr="00F850A8">
          <w:rPr>
            <w:rStyle w:val="Hyperlink"/>
            <w:noProof/>
          </w:rPr>
          <w:t>Appendix 2: ICD codes</w:t>
        </w:r>
        <w:r w:rsidR="00DA2B90">
          <w:rPr>
            <w:noProof/>
            <w:webHidden/>
          </w:rPr>
          <w:tab/>
        </w:r>
        <w:r w:rsidR="00DA2B90">
          <w:rPr>
            <w:noProof/>
            <w:webHidden/>
          </w:rPr>
          <w:fldChar w:fldCharType="begin"/>
        </w:r>
        <w:r w:rsidR="00DA2B90">
          <w:rPr>
            <w:noProof/>
            <w:webHidden/>
          </w:rPr>
          <w:instrText xml:space="preserve"> PAGEREF _Toc19102518 \h </w:instrText>
        </w:r>
        <w:r w:rsidR="00DA2B90">
          <w:rPr>
            <w:noProof/>
            <w:webHidden/>
          </w:rPr>
        </w:r>
        <w:r w:rsidR="00DA2B90">
          <w:rPr>
            <w:noProof/>
            <w:webHidden/>
          </w:rPr>
          <w:fldChar w:fldCharType="separate"/>
        </w:r>
        <w:r>
          <w:rPr>
            <w:noProof/>
            <w:webHidden/>
          </w:rPr>
          <w:t>336</w:t>
        </w:r>
        <w:r w:rsidR="00DA2B90">
          <w:rPr>
            <w:noProof/>
            <w:webHidden/>
          </w:rPr>
          <w:fldChar w:fldCharType="end"/>
        </w:r>
      </w:hyperlink>
    </w:p>
    <w:p w14:paraId="2D080CC8" w14:textId="148F929A" w:rsidR="00DA2B90" w:rsidRDefault="00D2215B">
      <w:pPr>
        <w:pStyle w:val="TOC2"/>
        <w:rPr>
          <w:rFonts w:asciiTheme="minorHAnsi" w:eastAsiaTheme="minorEastAsia" w:hAnsiTheme="minorHAnsi" w:cstheme="minorBidi"/>
          <w:noProof/>
          <w:sz w:val="22"/>
          <w:szCs w:val="22"/>
          <w:lang w:eastAsia="en-NZ"/>
        </w:rPr>
      </w:pPr>
      <w:hyperlink w:anchor="_Toc19102519" w:history="1">
        <w:r w:rsidR="00DA2B90" w:rsidRPr="00F850A8">
          <w:rPr>
            <w:rStyle w:val="Hyperlink"/>
            <w:noProof/>
          </w:rPr>
          <w:t>Appendix 3: 2001 Census total Māori population</w:t>
        </w:r>
        <w:r w:rsidR="00DA2B90">
          <w:rPr>
            <w:noProof/>
            <w:webHidden/>
          </w:rPr>
          <w:tab/>
        </w:r>
        <w:r w:rsidR="00DA2B90">
          <w:rPr>
            <w:noProof/>
            <w:webHidden/>
          </w:rPr>
          <w:fldChar w:fldCharType="begin"/>
        </w:r>
        <w:r w:rsidR="00DA2B90">
          <w:rPr>
            <w:noProof/>
            <w:webHidden/>
          </w:rPr>
          <w:instrText xml:space="preserve"> PAGEREF _Toc19102519 \h </w:instrText>
        </w:r>
        <w:r w:rsidR="00DA2B90">
          <w:rPr>
            <w:noProof/>
            <w:webHidden/>
          </w:rPr>
        </w:r>
        <w:r w:rsidR="00DA2B90">
          <w:rPr>
            <w:noProof/>
            <w:webHidden/>
          </w:rPr>
          <w:fldChar w:fldCharType="separate"/>
        </w:r>
        <w:r>
          <w:rPr>
            <w:noProof/>
            <w:webHidden/>
          </w:rPr>
          <w:t>349</w:t>
        </w:r>
        <w:r w:rsidR="00DA2B90">
          <w:rPr>
            <w:noProof/>
            <w:webHidden/>
          </w:rPr>
          <w:fldChar w:fldCharType="end"/>
        </w:r>
      </w:hyperlink>
    </w:p>
    <w:p w14:paraId="28DF2EF2" w14:textId="57CB122C" w:rsidR="00DA2B90" w:rsidRDefault="00D2215B">
      <w:pPr>
        <w:pStyle w:val="TOC2"/>
        <w:rPr>
          <w:rFonts w:asciiTheme="minorHAnsi" w:eastAsiaTheme="minorEastAsia" w:hAnsiTheme="minorHAnsi" w:cstheme="minorBidi"/>
          <w:noProof/>
          <w:sz w:val="22"/>
          <w:szCs w:val="22"/>
          <w:lang w:eastAsia="en-NZ"/>
        </w:rPr>
      </w:pPr>
      <w:hyperlink w:anchor="_Toc19102520" w:history="1">
        <w:r w:rsidR="00DA2B90" w:rsidRPr="00F850A8">
          <w:rPr>
            <w:rStyle w:val="Hyperlink"/>
            <w:noProof/>
          </w:rPr>
          <w:t>Appendix 4: Overview of Breast and Cervical Cancer Screening Programmes</w:t>
        </w:r>
        <w:r w:rsidR="00DA2B90">
          <w:rPr>
            <w:noProof/>
            <w:webHidden/>
          </w:rPr>
          <w:tab/>
        </w:r>
        <w:r w:rsidR="00DA2B90">
          <w:rPr>
            <w:noProof/>
            <w:webHidden/>
          </w:rPr>
          <w:fldChar w:fldCharType="begin"/>
        </w:r>
        <w:r w:rsidR="00DA2B90">
          <w:rPr>
            <w:noProof/>
            <w:webHidden/>
          </w:rPr>
          <w:instrText xml:space="preserve"> PAGEREF _Toc19102520 \h </w:instrText>
        </w:r>
        <w:r w:rsidR="00DA2B90">
          <w:rPr>
            <w:noProof/>
            <w:webHidden/>
          </w:rPr>
        </w:r>
        <w:r w:rsidR="00DA2B90">
          <w:rPr>
            <w:noProof/>
            <w:webHidden/>
          </w:rPr>
          <w:fldChar w:fldCharType="separate"/>
        </w:r>
        <w:r>
          <w:rPr>
            <w:noProof/>
            <w:webHidden/>
          </w:rPr>
          <w:t>350</w:t>
        </w:r>
        <w:r w:rsidR="00DA2B90">
          <w:rPr>
            <w:noProof/>
            <w:webHidden/>
          </w:rPr>
          <w:fldChar w:fldCharType="end"/>
        </w:r>
      </w:hyperlink>
    </w:p>
    <w:p w14:paraId="59533D4C" w14:textId="1FCE5C05" w:rsidR="00DA2B90" w:rsidRDefault="00D2215B">
      <w:pPr>
        <w:pStyle w:val="TOC2"/>
        <w:rPr>
          <w:rFonts w:asciiTheme="minorHAnsi" w:eastAsiaTheme="minorEastAsia" w:hAnsiTheme="minorHAnsi" w:cstheme="minorBidi"/>
          <w:noProof/>
          <w:sz w:val="22"/>
          <w:szCs w:val="22"/>
          <w:lang w:eastAsia="en-NZ"/>
        </w:rPr>
      </w:pPr>
      <w:hyperlink w:anchor="_Toc19102523" w:history="1">
        <w:r w:rsidR="00DA2B90" w:rsidRPr="00F850A8">
          <w:rPr>
            <w:rStyle w:val="Hyperlink"/>
            <w:noProof/>
          </w:rPr>
          <w:t>Appendix 5: Diabetes coding changes</w:t>
        </w:r>
        <w:r w:rsidR="00DA2B90">
          <w:rPr>
            <w:noProof/>
            <w:webHidden/>
          </w:rPr>
          <w:tab/>
        </w:r>
        <w:r w:rsidR="00DA2B90">
          <w:rPr>
            <w:noProof/>
            <w:webHidden/>
          </w:rPr>
          <w:fldChar w:fldCharType="begin"/>
        </w:r>
        <w:r w:rsidR="00DA2B90">
          <w:rPr>
            <w:noProof/>
            <w:webHidden/>
          </w:rPr>
          <w:instrText xml:space="preserve"> PAGEREF _Toc19102523 \h </w:instrText>
        </w:r>
        <w:r w:rsidR="00DA2B90">
          <w:rPr>
            <w:noProof/>
            <w:webHidden/>
          </w:rPr>
        </w:r>
        <w:r w:rsidR="00DA2B90">
          <w:rPr>
            <w:noProof/>
            <w:webHidden/>
          </w:rPr>
          <w:fldChar w:fldCharType="separate"/>
        </w:r>
        <w:r>
          <w:rPr>
            <w:noProof/>
            <w:webHidden/>
          </w:rPr>
          <w:t>361</w:t>
        </w:r>
        <w:r w:rsidR="00DA2B90">
          <w:rPr>
            <w:noProof/>
            <w:webHidden/>
          </w:rPr>
          <w:fldChar w:fldCharType="end"/>
        </w:r>
      </w:hyperlink>
    </w:p>
    <w:p w14:paraId="1A6A175C" w14:textId="68CD8613" w:rsidR="00DA2B90" w:rsidRDefault="00D2215B">
      <w:pPr>
        <w:pStyle w:val="TOC2"/>
        <w:rPr>
          <w:rFonts w:asciiTheme="minorHAnsi" w:eastAsiaTheme="minorEastAsia" w:hAnsiTheme="minorHAnsi" w:cstheme="minorBidi"/>
          <w:noProof/>
          <w:sz w:val="22"/>
          <w:szCs w:val="22"/>
          <w:lang w:eastAsia="en-NZ"/>
        </w:rPr>
      </w:pPr>
      <w:hyperlink w:anchor="_Toc19102526" w:history="1">
        <w:r w:rsidR="00DA2B90" w:rsidRPr="00F850A8">
          <w:rPr>
            <w:rStyle w:val="Hyperlink"/>
            <w:noProof/>
          </w:rPr>
          <w:t>Appendix 6: Health workforce supplementary tables</w:t>
        </w:r>
        <w:r w:rsidR="00DA2B90">
          <w:rPr>
            <w:noProof/>
            <w:webHidden/>
          </w:rPr>
          <w:tab/>
        </w:r>
        <w:r w:rsidR="00DA2B90">
          <w:rPr>
            <w:noProof/>
            <w:webHidden/>
          </w:rPr>
          <w:fldChar w:fldCharType="begin"/>
        </w:r>
        <w:r w:rsidR="00DA2B90">
          <w:rPr>
            <w:noProof/>
            <w:webHidden/>
          </w:rPr>
          <w:instrText xml:space="preserve"> PAGEREF _Toc19102526 \h </w:instrText>
        </w:r>
        <w:r w:rsidR="00DA2B90">
          <w:rPr>
            <w:noProof/>
            <w:webHidden/>
          </w:rPr>
        </w:r>
        <w:r w:rsidR="00DA2B90">
          <w:rPr>
            <w:noProof/>
            <w:webHidden/>
          </w:rPr>
          <w:fldChar w:fldCharType="separate"/>
        </w:r>
        <w:r>
          <w:rPr>
            <w:noProof/>
            <w:webHidden/>
          </w:rPr>
          <w:t>364</w:t>
        </w:r>
        <w:r w:rsidR="00DA2B90">
          <w:rPr>
            <w:noProof/>
            <w:webHidden/>
          </w:rPr>
          <w:fldChar w:fldCharType="end"/>
        </w:r>
      </w:hyperlink>
    </w:p>
    <w:p w14:paraId="763C0CD6" w14:textId="39F3609C" w:rsidR="00C86248" w:rsidRDefault="00DA2B90">
      <w:r>
        <w:rPr>
          <w:rFonts w:ascii="Segoe UI Semibold" w:hAnsi="Segoe UI Semibold"/>
          <w:b/>
          <w:sz w:val="24"/>
        </w:rPr>
        <w:fldChar w:fldCharType="end"/>
      </w:r>
    </w:p>
    <w:p w14:paraId="78C570DD" w14:textId="77777777" w:rsidR="000A0158" w:rsidRDefault="000A0158" w:rsidP="002B76A7">
      <w:pPr>
        <w:pStyle w:val="TOC1"/>
        <w:keepNext/>
      </w:pPr>
      <w:r>
        <w:t xml:space="preserve">List of </w:t>
      </w:r>
      <w:r w:rsidR="00515DFB">
        <w:t>f</w:t>
      </w:r>
      <w:r>
        <w:t>igures</w:t>
      </w:r>
    </w:p>
    <w:p w14:paraId="4D5309B9" w14:textId="6148B77E" w:rsidR="00DA2B90" w:rsidRDefault="000D6D8A">
      <w:pPr>
        <w:pStyle w:val="TOC3"/>
        <w:rPr>
          <w:rFonts w:asciiTheme="minorHAnsi" w:eastAsiaTheme="minorEastAsia" w:hAnsiTheme="minorHAnsi" w:cstheme="minorBidi"/>
          <w:noProof/>
          <w:sz w:val="22"/>
          <w:szCs w:val="22"/>
          <w:lang w:eastAsia="en-NZ"/>
        </w:rPr>
      </w:pPr>
      <w:r>
        <w:fldChar w:fldCharType="begin"/>
      </w:r>
      <w:r>
        <w:instrText xml:space="preserve"> TOC \h \z \t "Figure,3" </w:instrText>
      </w:r>
      <w:r>
        <w:fldChar w:fldCharType="separate"/>
      </w:r>
      <w:hyperlink w:anchor="_Toc19101852" w:history="1">
        <w:r w:rsidR="00DA2B90" w:rsidRPr="00AC13B1">
          <w:rPr>
            <w:rStyle w:val="Hyperlink"/>
            <w:noProof/>
          </w:rPr>
          <w:t>Figure 1: Proportion of DHB population that is Māori, 2001</w:t>
        </w:r>
        <w:r w:rsidR="00DA2B90">
          <w:rPr>
            <w:noProof/>
            <w:webHidden/>
          </w:rPr>
          <w:tab/>
        </w:r>
        <w:r w:rsidR="00DA2B90">
          <w:rPr>
            <w:noProof/>
            <w:webHidden/>
          </w:rPr>
          <w:fldChar w:fldCharType="begin"/>
        </w:r>
        <w:r w:rsidR="00DA2B90">
          <w:rPr>
            <w:noProof/>
            <w:webHidden/>
          </w:rPr>
          <w:instrText xml:space="preserve"> PAGEREF _Toc19101852 \h </w:instrText>
        </w:r>
        <w:r w:rsidR="00DA2B90">
          <w:rPr>
            <w:noProof/>
            <w:webHidden/>
          </w:rPr>
        </w:r>
        <w:r w:rsidR="00DA2B90">
          <w:rPr>
            <w:noProof/>
            <w:webHidden/>
          </w:rPr>
          <w:fldChar w:fldCharType="separate"/>
        </w:r>
        <w:r w:rsidR="00D2215B">
          <w:rPr>
            <w:noProof/>
            <w:webHidden/>
          </w:rPr>
          <w:t>10</w:t>
        </w:r>
        <w:r w:rsidR="00DA2B90">
          <w:rPr>
            <w:noProof/>
            <w:webHidden/>
          </w:rPr>
          <w:fldChar w:fldCharType="end"/>
        </w:r>
      </w:hyperlink>
    </w:p>
    <w:p w14:paraId="05A8D953" w14:textId="4715A5E5" w:rsidR="00DA2B90" w:rsidRDefault="00D2215B">
      <w:pPr>
        <w:pStyle w:val="TOC3"/>
        <w:rPr>
          <w:rFonts w:asciiTheme="minorHAnsi" w:eastAsiaTheme="minorEastAsia" w:hAnsiTheme="minorHAnsi" w:cstheme="minorBidi"/>
          <w:noProof/>
          <w:sz w:val="22"/>
          <w:szCs w:val="22"/>
          <w:lang w:eastAsia="en-NZ"/>
        </w:rPr>
      </w:pPr>
      <w:hyperlink w:anchor="_Toc19101853" w:history="1">
        <w:r w:rsidR="00DA2B90" w:rsidRPr="00AC13B1">
          <w:rPr>
            <w:rStyle w:val="Hyperlink"/>
            <w:noProof/>
          </w:rPr>
          <w:t>Figure 2: Proportion of DHB population that is Māori, 2006</w:t>
        </w:r>
        <w:r w:rsidR="00DA2B90">
          <w:rPr>
            <w:noProof/>
            <w:webHidden/>
          </w:rPr>
          <w:tab/>
        </w:r>
        <w:r w:rsidR="00DA2B90">
          <w:rPr>
            <w:noProof/>
            <w:webHidden/>
          </w:rPr>
          <w:fldChar w:fldCharType="begin"/>
        </w:r>
        <w:r w:rsidR="00DA2B90">
          <w:rPr>
            <w:noProof/>
            <w:webHidden/>
          </w:rPr>
          <w:instrText xml:space="preserve"> PAGEREF _Toc19101853 \h </w:instrText>
        </w:r>
        <w:r w:rsidR="00DA2B90">
          <w:rPr>
            <w:noProof/>
            <w:webHidden/>
          </w:rPr>
        </w:r>
        <w:r w:rsidR="00DA2B90">
          <w:rPr>
            <w:noProof/>
            <w:webHidden/>
          </w:rPr>
          <w:fldChar w:fldCharType="separate"/>
        </w:r>
        <w:r>
          <w:rPr>
            <w:noProof/>
            <w:webHidden/>
          </w:rPr>
          <w:t>12</w:t>
        </w:r>
        <w:r w:rsidR="00DA2B90">
          <w:rPr>
            <w:noProof/>
            <w:webHidden/>
          </w:rPr>
          <w:fldChar w:fldCharType="end"/>
        </w:r>
      </w:hyperlink>
    </w:p>
    <w:p w14:paraId="39A5F3D5" w14:textId="6184AF06" w:rsidR="00DA2B90" w:rsidRDefault="00D2215B">
      <w:pPr>
        <w:pStyle w:val="TOC3"/>
        <w:rPr>
          <w:rFonts w:asciiTheme="minorHAnsi" w:eastAsiaTheme="minorEastAsia" w:hAnsiTheme="minorHAnsi" w:cstheme="minorBidi"/>
          <w:noProof/>
          <w:sz w:val="22"/>
          <w:szCs w:val="22"/>
          <w:lang w:eastAsia="en-NZ"/>
        </w:rPr>
      </w:pPr>
      <w:hyperlink w:anchor="_Toc19101854" w:history="1">
        <w:r w:rsidR="00DA2B90" w:rsidRPr="00AC13B1">
          <w:rPr>
            <w:rStyle w:val="Hyperlink"/>
            <w:noProof/>
          </w:rPr>
          <w:t>Figure 3: Proportion of DHB population that is Māori, 2013</w:t>
        </w:r>
        <w:r w:rsidR="00DA2B90">
          <w:rPr>
            <w:noProof/>
            <w:webHidden/>
          </w:rPr>
          <w:tab/>
        </w:r>
        <w:r w:rsidR="00DA2B90">
          <w:rPr>
            <w:noProof/>
            <w:webHidden/>
          </w:rPr>
          <w:fldChar w:fldCharType="begin"/>
        </w:r>
        <w:r w:rsidR="00DA2B90">
          <w:rPr>
            <w:noProof/>
            <w:webHidden/>
          </w:rPr>
          <w:instrText xml:space="preserve"> PAGEREF _Toc19101854 \h </w:instrText>
        </w:r>
        <w:r w:rsidR="00DA2B90">
          <w:rPr>
            <w:noProof/>
            <w:webHidden/>
          </w:rPr>
        </w:r>
        <w:r w:rsidR="00DA2B90">
          <w:rPr>
            <w:noProof/>
            <w:webHidden/>
          </w:rPr>
          <w:fldChar w:fldCharType="separate"/>
        </w:r>
        <w:r>
          <w:rPr>
            <w:noProof/>
            <w:webHidden/>
          </w:rPr>
          <w:t>14</w:t>
        </w:r>
        <w:r w:rsidR="00DA2B90">
          <w:rPr>
            <w:noProof/>
            <w:webHidden/>
          </w:rPr>
          <w:fldChar w:fldCharType="end"/>
        </w:r>
      </w:hyperlink>
    </w:p>
    <w:p w14:paraId="2E881270" w14:textId="14F1CA31" w:rsidR="00DA2B90" w:rsidRDefault="00D2215B">
      <w:pPr>
        <w:pStyle w:val="TOC3"/>
        <w:rPr>
          <w:rFonts w:asciiTheme="minorHAnsi" w:eastAsiaTheme="minorEastAsia" w:hAnsiTheme="minorHAnsi" w:cstheme="minorBidi"/>
          <w:noProof/>
          <w:sz w:val="22"/>
          <w:szCs w:val="22"/>
          <w:lang w:eastAsia="en-NZ"/>
        </w:rPr>
      </w:pPr>
      <w:hyperlink w:anchor="_Toc19101855" w:history="1">
        <w:r w:rsidR="00DA2B90" w:rsidRPr="00AC13B1">
          <w:rPr>
            <w:rStyle w:val="Hyperlink"/>
            <w:noProof/>
          </w:rPr>
          <w:t>Figure 4: Neighbourhood deprivation distribution (NZDep 2013), Māori and non</w:t>
        </w:r>
        <w:r w:rsidR="00DA2B90" w:rsidRPr="00AC13B1">
          <w:rPr>
            <w:rStyle w:val="Hyperlink"/>
            <w:noProof/>
          </w:rPr>
          <w:noBreakHyphen/>
          <w:t>Māori, 2013</w:t>
        </w:r>
        <w:r w:rsidR="00DA2B90">
          <w:rPr>
            <w:noProof/>
            <w:webHidden/>
          </w:rPr>
          <w:tab/>
        </w:r>
        <w:r w:rsidR="00DA2B90">
          <w:rPr>
            <w:noProof/>
            <w:webHidden/>
          </w:rPr>
          <w:fldChar w:fldCharType="begin"/>
        </w:r>
        <w:r w:rsidR="00DA2B90">
          <w:rPr>
            <w:noProof/>
            <w:webHidden/>
          </w:rPr>
          <w:instrText xml:space="preserve"> PAGEREF _Toc19101855 \h </w:instrText>
        </w:r>
        <w:r w:rsidR="00DA2B90">
          <w:rPr>
            <w:noProof/>
            <w:webHidden/>
          </w:rPr>
        </w:r>
        <w:r w:rsidR="00DA2B90">
          <w:rPr>
            <w:noProof/>
            <w:webHidden/>
          </w:rPr>
          <w:fldChar w:fldCharType="separate"/>
        </w:r>
        <w:r>
          <w:rPr>
            <w:noProof/>
            <w:webHidden/>
          </w:rPr>
          <w:t>16</w:t>
        </w:r>
        <w:r w:rsidR="00DA2B90">
          <w:rPr>
            <w:noProof/>
            <w:webHidden/>
          </w:rPr>
          <w:fldChar w:fldCharType="end"/>
        </w:r>
      </w:hyperlink>
    </w:p>
    <w:p w14:paraId="35382748" w14:textId="1808EB4A" w:rsidR="00DA2B90" w:rsidRDefault="00D2215B">
      <w:pPr>
        <w:pStyle w:val="TOC3"/>
        <w:rPr>
          <w:rFonts w:asciiTheme="minorHAnsi" w:eastAsiaTheme="minorEastAsia" w:hAnsiTheme="minorHAnsi" w:cstheme="minorBidi"/>
          <w:noProof/>
          <w:sz w:val="22"/>
          <w:szCs w:val="22"/>
          <w:lang w:eastAsia="en-NZ"/>
        </w:rPr>
      </w:pPr>
      <w:hyperlink w:anchor="_Toc19101856" w:history="1">
        <w:r w:rsidR="00DA2B90" w:rsidRPr="00AC13B1">
          <w:rPr>
            <w:rStyle w:val="Hyperlink"/>
            <w:noProof/>
          </w:rPr>
          <w:t>Figure 5: Daily smoking in people aged 14–15 years, by gender, Māori and non</w:t>
        </w:r>
        <w:r w:rsidR="00DA2B90" w:rsidRPr="00AC13B1">
          <w:rPr>
            <w:rStyle w:val="Hyperlink"/>
            <w:noProof/>
          </w:rPr>
          <w:noBreakHyphen/>
          <w:t>Māori, 1999–2015</w:t>
        </w:r>
        <w:r w:rsidR="00DA2B90">
          <w:rPr>
            <w:noProof/>
            <w:webHidden/>
          </w:rPr>
          <w:tab/>
        </w:r>
        <w:r w:rsidR="00DA2B90">
          <w:rPr>
            <w:noProof/>
            <w:webHidden/>
          </w:rPr>
          <w:fldChar w:fldCharType="begin"/>
        </w:r>
        <w:r w:rsidR="00DA2B90">
          <w:rPr>
            <w:noProof/>
            <w:webHidden/>
          </w:rPr>
          <w:instrText xml:space="preserve"> PAGEREF _Toc19101856 \h </w:instrText>
        </w:r>
        <w:r w:rsidR="00DA2B90">
          <w:rPr>
            <w:noProof/>
            <w:webHidden/>
          </w:rPr>
        </w:r>
        <w:r w:rsidR="00DA2B90">
          <w:rPr>
            <w:noProof/>
            <w:webHidden/>
          </w:rPr>
          <w:fldChar w:fldCharType="separate"/>
        </w:r>
        <w:r>
          <w:rPr>
            <w:noProof/>
            <w:webHidden/>
          </w:rPr>
          <w:t>24</w:t>
        </w:r>
        <w:r w:rsidR="00DA2B90">
          <w:rPr>
            <w:noProof/>
            <w:webHidden/>
          </w:rPr>
          <w:fldChar w:fldCharType="end"/>
        </w:r>
      </w:hyperlink>
    </w:p>
    <w:p w14:paraId="4647D1C4" w14:textId="48A70D24" w:rsidR="00DA2B90" w:rsidRDefault="00D2215B">
      <w:pPr>
        <w:pStyle w:val="TOC3"/>
        <w:rPr>
          <w:rFonts w:asciiTheme="minorHAnsi" w:eastAsiaTheme="minorEastAsia" w:hAnsiTheme="minorHAnsi" w:cstheme="minorBidi"/>
          <w:noProof/>
          <w:sz w:val="22"/>
          <w:szCs w:val="22"/>
          <w:lang w:eastAsia="en-NZ"/>
        </w:rPr>
      </w:pPr>
      <w:hyperlink w:anchor="_Toc19101857" w:history="1">
        <w:r w:rsidR="00DA2B90" w:rsidRPr="00AC13B1">
          <w:rPr>
            <w:rStyle w:val="Hyperlink"/>
            <w:noProof/>
          </w:rPr>
          <w:t>Figure 6: Current smoking in people aged 15 and over, by gender, Māori and non</w:t>
        </w:r>
        <w:r w:rsidR="00DA2B90" w:rsidRPr="00AC13B1">
          <w:rPr>
            <w:rStyle w:val="Hyperlink"/>
            <w:noProof/>
          </w:rPr>
          <w:noBreakHyphen/>
          <w:t>Māori, 2006/07–2016/17</w:t>
        </w:r>
        <w:r w:rsidR="00DA2B90">
          <w:rPr>
            <w:noProof/>
            <w:webHidden/>
          </w:rPr>
          <w:tab/>
        </w:r>
        <w:r w:rsidR="00DA2B90">
          <w:rPr>
            <w:noProof/>
            <w:webHidden/>
          </w:rPr>
          <w:fldChar w:fldCharType="begin"/>
        </w:r>
        <w:r w:rsidR="00DA2B90">
          <w:rPr>
            <w:noProof/>
            <w:webHidden/>
          </w:rPr>
          <w:instrText xml:space="preserve"> PAGEREF _Toc19101857 \h </w:instrText>
        </w:r>
        <w:r w:rsidR="00DA2B90">
          <w:rPr>
            <w:noProof/>
            <w:webHidden/>
          </w:rPr>
        </w:r>
        <w:r w:rsidR="00DA2B90">
          <w:rPr>
            <w:noProof/>
            <w:webHidden/>
          </w:rPr>
          <w:fldChar w:fldCharType="separate"/>
        </w:r>
        <w:r>
          <w:rPr>
            <w:noProof/>
            <w:webHidden/>
          </w:rPr>
          <w:t>25</w:t>
        </w:r>
        <w:r w:rsidR="00DA2B90">
          <w:rPr>
            <w:noProof/>
            <w:webHidden/>
          </w:rPr>
          <w:fldChar w:fldCharType="end"/>
        </w:r>
      </w:hyperlink>
    </w:p>
    <w:p w14:paraId="4C473986" w14:textId="36D85A4A" w:rsidR="00DA2B90" w:rsidRDefault="00D2215B">
      <w:pPr>
        <w:pStyle w:val="TOC3"/>
        <w:rPr>
          <w:rFonts w:asciiTheme="minorHAnsi" w:eastAsiaTheme="minorEastAsia" w:hAnsiTheme="minorHAnsi" w:cstheme="minorBidi"/>
          <w:noProof/>
          <w:sz w:val="22"/>
          <w:szCs w:val="22"/>
          <w:lang w:eastAsia="en-NZ"/>
        </w:rPr>
      </w:pPr>
      <w:hyperlink w:anchor="_Toc19101858" w:history="1">
        <w:r w:rsidR="00DA2B90" w:rsidRPr="00AC13B1">
          <w:rPr>
            <w:rStyle w:val="Hyperlink"/>
            <w:noProof/>
          </w:rPr>
          <w:t>Figure 7: Daily smoking in people aged 15 and over, by gender, Māori and non</w:t>
        </w:r>
        <w:r w:rsidR="00DA2B90" w:rsidRPr="00AC13B1">
          <w:rPr>
            <w:rStyle w:val="Hyperlink"/>
            <w:noProof/>
          </w:rPr>
          <w:noBreakHyphen/>
          <w:t>Māori, 2006/07–2016/17</w:t>
        </w:r>
        <w:r w:rsidR="00DA2B90">
          <w:rPr>
            <w:noProof/>
            <w:webHidden/>
          </w:rPr>
          <w:tab/>
        </w:r>
        <w:r w:rsidR="00DA2B90">
          <w:rPr>
            <w:noProof/>
            <w:webHidden/>
          </w:rPr>
          <w:fldChar w:fldCharType="begin"/>
        </w:r>
        <w:r w:rsidR="00DA2B90">
          <w:rPr>
            <w:noProof/>
            <w:webHidden/>
          </w:rPr>
          <w:instrText xml:space="preserve"> PAGEREF _Toc19101858 \h </w:instrText>
        </w:r>
        <w:r w:rsidR="00DA2B90">
          <w:rPr>
            <w:noProof/>
            <w:webHidden/>
          </w:rPr>
        </w:r>
        <w:r w:rsidR="00DA2B90">
          <w:rPr>
            <w:noProof/>
            <w:webHidden/>
          </w:rPr>
          <w:fldChar w:fldCharType="separate"/>
        </w:r>
        <w:r>
          <w:rPr>
            <w:noProof/>
            <w:webHidden/>
          </w:rPr>
          <w:t>26</w:t>
        </w:r>
        <w:r w:rsidR="00DA2B90">
          <w:rPr>
            <w:noProof/>
            <w:webHidden/>
          </w:rPr>
          <w:fldChar w:fldCharType="end"/>
        </w:r>
      </w:hyperlink>
    </w:p>
    <w:p w14:paraId="6376A40B" w14:textId="6DB7C850" w:rsidR="00DA2B90" w:rsidRDefault="00D2215B">
      <w:pPr>
        <w:pStyle w:val="TOC3"/>
        <w:rPr>
          <w:rFonts w:asciiTheme="minorHAnsi" w:eastAsiaTheme="minorEastAsia" w:hAnsiTheme="minorHAnsi" w:cstheme="minorBidi"/>
          <w:noProof/>
          <w:sz w:val="22"/>
          <w:szCs w:val="22"/>
          <w:lang w:eastAsia="en-NZ"/>
        </w:rPr>
      </w:pPr>
      <w:hyperlink w:anchor="_Toc19101859" w:history="1">
        <w:r w:rsidR="00DA2B90" w:rsidRPr="00AC13B1">
          <w:rPr>
            <w:rStyle w:val="Hyperlink"/>
            <w:noProof/>
          </w:rPr>
          <w:t>Figure 8: Ex-smokers in people aged 15 and over, by gender, Māori and non</w:t>
        </w:r>
        <w:r w:rsidR="00DA2B90" w:rsidRPr="00AC13B1">
          <w:rPr>
            <w:rStyle w:val="Hyperlink"/>
            <w:noProof/>
          </w:rPr>
          <w:noBreakHyphen/>
          <w:t>Māori, 2006/07–2016/17</w:t>
        </w:r>
        <w:r w:rsidR="00DA2B90">
          <w:rPr>
            <w:noProof/>
            <w:webHidden/>
          </w:rPr>
          <w:tab/>
        </w:r>
        <w:r w:rsidR="00DA2B90">
          <w:rPr>
            <w:noProof/>
            <w:webHidden/>
          </w:rPr>
          <w:fldChar w:fldCharType="begin"/>
        </w:r>
        <w:r w:rsidR="00DA2B90">
          <w:rPr>
            <w:noProof/>
            <w:webHidden/>
          </w:rPr>
          <w:instrText xml:space="preserve"> PAGEREF _Toc19101859 \h </w:instrText>
        </w:r>
        <w:r w:rsidR="00DA2B90">
          <w:rPr>
            <w:noProof/>
            <w:webHidden/>
          </w:rPr>
        </w:r>
        <w:r w:rsidR="00DA2B90">
          <w:rPr>
            <w:noProof/>
            <w:webHidden/>
          </w:rPr>
          <w:fldChar w:fldCharType="separate"/>
        </w:r>
        <w:r>
          <w:rPr>
            <w:noProof/>
            <w:webHidden/>
          </w:rPr>
          <w:t>27</w:t>
        </w:r>
        <w:r w:rsidR="00DA2B90">
          <w:rPr>
            <w:noProof/>
            <w:webHidden/>
          </w:rPr>
          <w:fldChar w:fldCharType="end"/>
        </w:r>
      </w:hyperlink>
    </w:p>
    <w:p w14:paraId="59801615" w14:textId="315A19BB" w:rsidR="00DA2B90" w:rsidRDefault="00D2215B">
      <w:pPr>
        <w:pStyle w:val="TOC3"/>
        <w:rPr>
          <w:rFonts w:asciiTheme="minorHAnsi" w:eastAsiaTheme="minorEastAsia" w:hAnsiTheme="minorHAnsi" w:cstheme="minorBidi"/>
          <w:noProof/>
          <w:sz w:val="22"/>
          <w:szCs w:val="22"/>
          <w:lang w:eastAsia="en-NZ"/>
        </w:rPr>
      </w:pPr>
      <w:hyperlink w:anchor="_Toc19101860" w:history="1">
        <w:r w:rsidR="00DA2B90" w:rsidRPr="00AC13B1">
          <w:rPr>
            <w:rStyle w:val="Hyperlink"/>
            <w:noProof/>
          </w:rPr>
          <w:t>Figure 9: Drank alcohol four or more times a week in the past 12 months (among past year drinkers), 15+ years, by gender, Māori and non</w:t>
        </w:r>
        <w:r w:rsidR="00DA2B90" w:rsidRPr="00AC13B1">
          <w:rPr>
            <w:rStyle w:val="Hyperlink"/>
            <w:noProof/>
          </w:rPr>
          <w:noBreakHyphen/>
          <w:t>Māori, 2006/07–2016/17</w:t>
        </w:r>
        <w:r w:rsidR="00DA2B90">
          <w:rPr>
            <w:noProof/>
            <w:webHidden/>
          </w:rPr>
          <w:tab/>
        </w:r>
        <w:r w:rsidR="00DA2B90">
          <w:rPr>
            <w:noProof/>
            <w:webHidden/>
          </w:rPr>
          <w:fldChar w:fldCharType="begin"/>
        </w:r>
        <w:r w:rsidR="00DA2B90">
          <w:rPr>
            <w:noProof/>
            <w:webHidden/>
          </w:rPr>
          <w:instrText xml:space="preserve"> PAGEREF _Toc19101860 \h </w:instrText>
        </w:r>
        <w:r w:rsidR="00DA2B90">
          <w:rPr>
            <w:noProof/>
            <w:webHidden/>
          </w:rPr>
        </w:r>
        <w:r w:rsidR="00DA2B90">
          <w:rPr>
            <w:noProof/>
            <w:webHidden/>
          </w:rPr>
          <w:fldChar w:fldCharType="separate"/>
        </w:r>
        <w:r>
          <w:rPr>
            <w:noProof/>
            <w:webHidden/>
          </w:rPr>
          <w:t>29</w:t>
        </w:r>
        <w:r w:rsidR="00DA2B90">
          <w:rPr>
            <w:noProof/>
            <w:webHidden/>
          </w:rPr>
          <w:fldChar w:fldCharType="end"/>
        </w:r>
      </w:hyperlink>
    </w:p>
    <w:p w14:paraId="21DC0689" w14:textId="751F43CC" w:rsidR="00DA2B90" w:rsidRDefault="00D2215B">
      <w:pPr>
        <w:pStyle w:val="TOC3"/>
        <w:rPr>
          <w:rFonts w:asciiTheme="minorHAnsi" w:eastAsiaTheme="minorEastAsia" w:hAnsiTheme="minorHAnsi" w:cstheme="minorBidi"/>
          <w:noProof/>
          <w:sz w:val="22"/>
          <w:szCs w:val="22"/>
          <w:lang w:eastAsia="en-NZ"/>
        </w:rPr>
      </w:pPr>
      <w:hyperlink w:anchor="_Toc19101861" w:history="1">
        <w:r w:rsidR="00DA2B90" w:rsidRPr="00AC13B1">
          <w:rPr>
            <w:rStyle w:val="Hyperlink"/>
            <w:noProof/>
          </w:rPr>
          <w:t>Figure 10: Hazardous drinkers (among past year drinkers), 15+ years, by gender, Māori and non</w:t>
        </w:r>
        <w:r w:rsidR="00DA2B90" w:rsidRPr="00AC13B1">
          <w:rPr>
            <w:rStyle w:val="Hyperlink"/>
            <w:noProof/>
          </w:rPr>
          <w:noBreakHyphen/>
          <w:t>Māori, 2006/07–2016/17</w:t>
        </w:r>
        <w:r w:rsidR="00DA2B90">
          <w:rPr>
            <w:noProof/>
            <w:webHidden/>
          </w:rPr>
          <w:tab/>
        </w:r>
        <w:r w:rsidR="00DA2B90">
          <w:rPr>
            <w:noProof/>
            <w:webHidden/>
          </w:rPr>
          <w:fldChar w:fldCharType="begin"/>
        </w:r>
        <w:r w:rsidR="00DA2B90">
          <w:rPr>
            <w:noProof/>
            <w:webHidden/>
          </w:rPr>
          <w:instrText xml:space="preserve"> PAGEREF _Toc19101861 \h </w:instrText>
        </w:r>
        <w:r w:rsidR="00DA2B90">
          <w:rPr>
            <w:noProof/>
            <w:webHidden/>
          </w:rPr>
        </w:r>
        <w:r w:rsidR="00DA2B90">
          <w:rPr>
            <w:noProof/>
            <w:webHidden/>
          </w:rPr>
          <w:fldChar w:fldCharType="separate"/>
        </w:r>
        <w:r>
          <w:rPr>
            <w:noProof/>
            <w:webHidden/>
          </w:rPr>
          <w:t>30</w:t>
        </w:r>
        <w:r w:rsidR="00DA2B90">
          <w:rPr>
            <w:noProof/>
            <w:webHidden/>
          </w:rPr>
          <w:fldChar w:fldCharType="end"/>
        </w:r>
      </w:hyperlink>
    </w:p>
    <w:p w14:paraId="10F3869F" w14:textId="778A6004" w:rsidR="00DA2B90" w:rsidRDefault="00D2215B">
      <w:pPr>
        <w:pStyle w:val="TOC3"/>
        <w:rPr>
          <w:rFonts w:asciiTheme="minorHAnsi" w:eastAsiaTheme="minorEastAsia" w:hAnsiTheme="minorHAnsi" w:cstheme="minorBidi"/>
          <w:noProof/>
          <w:sz w:val="22"/>
          <w:szCs w:val="22"/>
          <w:lang w:eastAsia="en-NZ"/>
        </w:rPr>
      </w:pPr>
      <w:hyperlink w:anchor="_Toc19101862" w:history="1">
        <w:r w:rsidR="00DA2B90" w:rsidRPr="00AC13B1">
          <w:rPr>
            <w:rStyle w:val="Hyperlink"/>
            <w:noProof/>
          </w:rPr>
          <w:t>Figure 11: Using cannabis in the past 12 months, 15+ years, by gender, Māori and non</w:t>
        </w:r>
        <w:r w:rsidR="00DA2B90" w:rsidRPr="00AC13B1">
          <w:rPr>
            <w:rStyle w:val="Hyperlink"/>
            <w:noProof/>
          </w:rPr>
          <w:noBreakHyphen/>
          <w:t>Māori, 2006/07–2016/17</w:t>
        </w:r>
        <w:r w:rsidR="00DA2B90">
          <w:rPr>
            <w:noProof/>
            <w:webHidden/>
          </w:rPr>
          <w:tab/>
        </w:r>
        <w:r w:rsidR="00DA2B90">
          <w:rPr>
            <w:noProof/>
            <w:webHidden/>
          </w:rPr>
          <w:fldChar w:fldCharType="begin"/>
        </w:r>
        <w:r w:rsidR="00DA2B90">
          <w:rPr>
            <w:noProof/>
            <w:webHidden/>
          </w:rPr>
          <w:instrText xml:space="preserve"> PAGEREF _Toc19101862 \h </w:instrText>
        </w:r>
        <w:r w:rsidR="00DA2B90">
          <w:rPr>
            <w:noProof/>
            <w:webHidden/>
          </w:rPr>
        </w:r>
        <w:r w:rsidR="00DA2B90">
          <w:rPr>
            <w:noProof/>
            <w:webHidden/>
          </w:rPr>
          <w:fldChar w:fldCharType="separate"/>
        </w:r>
        <w:r>
          <w:rPr>
            <w:noProof/>
            <w:webHidden/>
          </w:rPr>
          <w:t>31</w:t>
        </w:r>
        <w:r w:rsidR="00DA2B90">
          <w:rPr>
            <w:noProof/>
            <w:webHidden/>
          </w:rPr>
          <w:fldChar w:fldCharType="end"/>
        </w:r>
      </w:hyperlink>
    </w:p>
    <w:p w14:paraId="698034DC" w14:textId="196E870D" w:rsidR="00DA2B90" w:rsidRDefault="00D2215B">
      <w:pPr>
        <w:pStyle w:val="TOC3"/>
        <w:rPr>
          <w:rFonts w:asciiTheme="minorHAnsi" w:eastAsiaTheme="minorEastAsia" w:hAnsiTheme="minorHAnsi" w:cstheme="minorBidi"/>
          <w:noProof/>
          <w:sz w:val="22"/>
          <w:szCs w:val="22"/>
          <w:lang w:eastAsia="en-NZ"/>
        </w:rPr>
      </w:pPr>
      <w:hyperlink w:anchor="_Toc19101863" w:history="1">
        <w:r w:rsidR="00DA2B90" w:rsidRPr="00AC13B1">
          <w:rPr>
            <w:rStyle w:val="Hyperlink"/>
            <w:noProof/>
          </w:rPr>
          <w:t>Figure 12: Three or more servings of vegetables and two or more servings of fruit per day, 15+ years, by gender, Māori and non</w:t>
        </w:r>
        <w:r w:rsidR="00DA2B90" w:rsidRPr="00AC13B1">
          <w:rPr>
            <w:rStyle w:val="Hyperlink"/>
            <w:noProof/>
          </w:rPr>
          <w:noBreakHyphen/>
          <w:t>Māori, 2006/07–2016/17</w:t>
        </w:r>
        <w:r w:rsidR="00DA2B90">
          <w:rPr>
            <w:noProof/>
            <w:webHidden/>
          </w:rPr>
          <w:tab/>
        </w:r>
        <w:r w:rsidR="00DA2B90">
          <w:rPr>
            <w:noProof/>
            <w:webHidden/>
          </w:rPr>
          <w:fldChar w:fldCharType="begin"/>
        </w:r>
        <w:r w:rsidR="00DA2B90">
          <w:rPr>
            <w:noProof/>
            <w:webHidden/>
          </w:rPr>
          <w:instrText xml:space="preserve"> PAGEREF _Toc19101863 \h </w:instrText>
        </w:r>
        <w:r w:rsidR="00DA2B90">
          <w:rPr>
            <w:noProof/>
            <w:webHidden/>
          </w:rPr>
        </w:r>
        <w:r w:rsidR="00DA2B90">
          <w:rPr>
            <w:noProof/>
            <w:webHidden/>
          </w:rPr>
          <w:fldChar w:fldCharType="separate"/>
        </w:r>
        <w:r>
          <w:rPr>
            <w:noProof/>
            <w:webHidden/>
          </w:rPr>
          <w:t>33</w:t>
        </w:r>
        <w:r w:rsidR="00DA2B90">
          <w:rPr>
            <w:noProof/>
            <w:webHidden/>
          </w:rPr>
          <w:fldChar w:fldCharType="end"/>
        </w:r>
      </w:hyperlink>
    </w:p>
    <w:p w14:paraId="7678D77A" w14:textId="6A9CB3BC" w:rsidR="00DA2B90" w:rsidRDefault="00D2215B">
      <w:pPr>
        <w:pStyle w:val="TOC3"/>
        <w:rPr>
          <w:rFonts w:asciiTheme="minorHAnsi" w:eastAsiaTheme="minorEastAsia" w:hAnsiTheme="minorHAnsi" w:cstheme="minorBidi"/>
          <w:noProof/>
          <w:sz w:val="22"/>
          <w:szCs w:val="22"/>
          <w:lang w:eastAsia="en-NZ"/>
        </w:rPr>
      </w:pPr>
      <w:hyperlink w:anchor="_Toc19101864" w:history="1">
        <w:r w:rsidR="00DA2B90" w:rsidRPr="00AC13B1">
          <w:rPr>
            <w:rStyle w:val="Hyperlink"/>
            <w:noProof/>
          </w:rPr>
          <w:t>Figure 13: Three or more servings of vegetables per day, 15+ years, by gender, Māori and non</w:t>
        </w:r>
        <w:r w:rsidR="00DA2B90" w:rsidRPr="00AC13B1">
          <w:rPr>
            <w:rStyle w:val="Hyperlink"/>
            <w:noProof/>
          </w:rPr>
          <w:noBreakHyphen/>
          <w:t>Māori, 2006/07–2016/17</w:t>
        </w:r>
        <w:r w:rsidR="00DA2B90">
          <w:rPr>
            <w:noProof/>
            <w:webHidden/>
          </w:rPr>
          <w:tab/>
        </w:r>
        <w:r w:rsidR="00DA2B90">
          <w:rPr>
            <w:noProof/>
            <w:webHidden/>
          </w:rPr>
          <w:fldChar w:fldCharType="begin"/>
        </w:r>
        <w:r w:rsidR="00DA2B90">
          <w:rPr>
            <w:noProof/>
            <w:webHidden/>
          </w:rPr>
          <w:instrText xml:space="preserve"> PAGEREF _Toc19101864 \h </w:instrText>
        </w:r>
        <w:r w:rsidR="00DA2B90">
          <w:rPr>
            <w:noProof/>
            <w:webHidden/>
          </w:rPr>
        </w:r>
        <w:r w:rsidR="00DA2B90">
          <w:rPr>
            <w:noProof/>
            <w:webHidden/>
          </w:rPr>
          <w:fldChar w:fldCharType="separate"/>
        </w:r>
        <w:r>
          <w:rPr>
            <w:noProof/>
            <w:webHidden/>
          </w:rPr>
          <w:t>34</w:t>
        </w:r>
        <w:r w:rsidR="00DA2B90">
          <w:rPr>
            <w:noProof/>
            <w:webHidden/>
          </w:rPr>
          <w:fldChar w:fldCharType="end"/>
        </w:r>
      </w:hyperlink>
    </w:p>
    <w:p w14:paraId="14EF5151" w14:textId="054B8404" w:rsidR="00DA2B90" w:rsidRDefault="00D2215B">
      <w:pPr>
        <w:pStyle w:val="TOC3"/>
        <w:rPr>
          <w:rFonts w:asciiTheme="minorHAnsi" w:eastAsiaTheme="minorEastAsia" w:hAnsiTheme="minorHAnsi" w:cstheme="minorBidi"/>
          <w:noProof/>
          <w:sz w:val="22"/>
          <w:szCs w:val="22"/>
          <w:lang w:eastAsia="en-NZ"/>
        </w:rPr>
      </w:pPr>
      <w:hyperlink w:anchor="_Toc19101865" w:history="1">
        <w:r w:rsidR="00DA2B90" w:rsidRPr="00AC13B1">
          <w:rPr>
            <w:rStyle w:val="Hyperlink"/>
            <w:noProof/>
          </w:rPr>
          <w:t>Figure 14: Two or more servings of fruit per day, 15+ years, Māori and non</w:t>
        </w:r>
        <w:r w:rsidR="00DA2B90" w:rsidRPr="00AC13B1">
          <w:rPr>
            <w:rStyle w:val="Hyperlink"/>
            <w:noProof/>
          </w:rPr>
          <w:noBreakHyphen/>
          <w:t>Māori, 2006/07–2016/17</w:t>
        </w:r>
        <w:r w:rsidR="00DA2B90">
          <w:rPr>
            <w:noProof/>
            <w:webHidden/>
          </w:rPr>
          <w:tab/>
        </w:r>
        <w:r w:rsidR="00DA2B90">
          <w:rPr>
            <w:noProof/>
            <w:webHidden/>
          </w:rPr>
          <w:fldChar w:fldCharType="begin"/>
        </w:r>
        <w:r w:rsidR="00DA2B90">
          <w:rPr>
            <w:noProof/>
            <w:webHidden/>
          </w:rPr>
          <w:instrText xml:space="preserve"> PAGEREF _Toc19101865 \h </w:instrText>
        </w:r>
        <w:r w:rsidR="00DA2B90">
          <w:rPr>
            <w:noProof/>
            <w:webHidden/>
          </w:rPr>
        </w:r>
        <w:r w:rsidR="00DA2B90">
          <w:rPr>
            <w:noProof/>
            <w:webHidden/>
          </w:rPr>
          <w:fldChar w:fldCharType="separate"/>
        </w:r>
        <w:r>
          <w:rPr>
            <w:noProof/>
            <w:webHidden/>
          </w:rPr>
          <w:t>35</w:t>
        </w:r>
        <w:r w:rsidR="00DA2B90">
          <w:rPr>
            <w:noProof/>
            <w:webHidden/>
          </w:rPr>
          <w:fldChar w:fldCharType="end"/>
        </w:r>
      </w:hyperlink>
    </w:p>
    <w:p w14:paraId="3C0F5CC7" w14:textId="4CB85FE2" w:rsidR="00DA2B90" w:rsidRDefault="00D2215B">
      <w:pPr>
        <w:pStyle w:val="TOC3"/>
        <w:rPr>
          <w:rFonts w:asciiTheme="minorHAnsi" w:eastAsiaTheme="minorEastAsia" w:hAnsiTheme="minorHAnsi" w:cstheme="minorBidi"/>
          <w:noProof/>
          <w:sz w:val="22"/>
          <w:szCs w:val="22"/>
          <w:lang w:eastAsia="en-NZ"/>
        </w:rPr>
      </w:pPr>
      <w:hyperlink w:anchor="_Toc19101866" w:history="1">
        <w:r w:rsidR="00DA2B90" w:rsidRPr="00AC13B1">
          <w:rPr>
            <w:rStyle w:val="Hyperlink"/>
            <w:noProof/>
          </w:rPr>
          <w:t>Figure 15: Overweight, 15+ years, by gender, Māori and non</w:t>
        </w:r>
        <w:r w:rsidR="00DA2B90" w:rsidRPr="00AC13B1">
          <w:rPr>
            <w:rStyle w:val="Hyperlink"/>
            <w:noProof/>
          </w:rPr>
          <w:noBreakHyphen/>
          <w:t>Māori, 2006/07–2016/17</w:t>
        </w:r>
        <w:r w:rsidR="00DA2B90">
          <w:rPr>
            <w:noProof/>
            <w:webHidden/>
          </w:rPr>
          <w:tab/>
        </w:r>
        <w:r w:rsidR="00DA2B90">
          <w:rPr>
            <w:noProof/>
            <w:webHidden/>
          </w:rPr>
          <w:fldChar w:fldCharType="begin"/>
        </w:r>
        <w:r w:rsidR="00DA2B90">
          <w:rPr>
            <w:noProof/>
            <w:webHidden/>
          </w:rPr>
          <w:instrText xml:space="preserve"> PAGEREF _Toc19101866 \h </w:instrText>
        </w:r>
        <w:r w:rsidR="00DA2B90">
          <w:rPr>
            <w:noProof/>
            <w:webHidden/>
          </w:rPr>
        </w:r>
        <w:r w:rsidR="00DA2B90">
          <w:rPr>
            <w:noProof/>
            <w:webHidden/>
          </w:rPr>
          <w:fldChar w:fldCharType="separate"/>
        </w:r>
        <w:r>
          <w:rPr>
            <w:noProof/>
            <w:webHidden/>
          </w:rPr>
          <w:t>38</w:t>
        </w:r>
        <w:r w:rsidR="00DA2B90">
          <w:rPr>
            <w:noProof/>
            <w:webHidden/>
          </w:rPr>
          <w:fldChar w:fldCharType="end"/>
        </w:r>
      </w:hyperlink>
    </w:p>
    <w:p w14:paraId="34671BA8" w14:textId="26D15A5F" w:rsidR="00DA2B90" w:rsidRDefault="00D2215B">
      <w:pPr>
        <w:pStyle w:val="TOC3"/>
        <w:rPr>
          <w:rFonts w:asciiTheme="minorHAnsi" w:eastAsiaTheme="minorEastAsia" w:hAnsiTheme="minorHAnsi" w:cstheme="minorBidi"/>
          <w:noProof/>
          <w:sz w:val="22"/>
          <w:szCs w:val="22"/>
          <w:lang w:eastAsia="en-NZ"/>
        </w:rPr>
      </w:pPr>
      <w:hyperlink w:anchor="_Toc19101867" w:history="1">
        <w:r w:rsidR="00DA2B90" w:rsidRPr="00AC13B1">
          <w:rPr>
            <w:rStyle w:val="Hyperlink"/>
            <w:noProof/>
          </w:rPr>
          <w:t>Figure 16: Obese, 15+ years, by gender, Māori and non</w:t>
        </w:r>
        <w:r w:rsidR="00DA2B90" w:rsidRPr="00AC13B1">
          <w:rPr>
            <w:rStyle w:val="Hyperlink"/>
            <w:noProof/>
          </w:rPr>
          <w:noBreakHyphen/>
          <w:t>Māori, 2006/07–2016/17</w:t>
        </w:r>
        <w:r w:rsidR="00DA2B90">
          <w:rPr>
            <w:noProof/>
            <w:webHidden/>
          </w:rPr>
          <w:tab/>
        </w:r>
        <w:r w:rsidR="00DA2B90">
          <w:rPr>
            <w:noProof/>
            <w:webHidden/>
          </w:rPr>
          <w:fldChar w:fldCharType="begin"/>
        </w:r>
        <w:r w:rsidR="00DA2B90">
          <w:rPr>
            <w:noProof/>
            <w:webHidden/>
          </w:rPr>
          <w:instrText xml:space="preserve"> PAGEREF _Toc19101867 \h </w:instrText>
        </w:r>
        <w:r w:rsidR="00DA2B90">
          <w:rPr>
            <w:noProof/>
            <w:webHidden/>
          </w:rPr>
        </w:r>
        <w:r w:rsidR="00DA2B90">
          <w:rPr>
            <w:noProof/>
            <w:webHidden/>
          </w:rPr>
          <w:fldChar w:fldCharType="separate"/>
        </w:r>
        <w:r>
          <w:rPr>
            <w:noProof/>
            <w:webHidden/>
          </w:rPr>
          <w:t>39</w:t>
        </w:r>
        <w:r w:rsidR="00DA2B90">
          <w:rPr>
            <w:noProof/>
            <w:webHidden/>
          </w:rPr>
          <w:fldChar w:fldCharType="end"/>
        </w:r>
      </w:hyperlink>
    </w:p>
    <w:p w14:paraId="729CBBF1" w14:textId="24F9450E" w:rsidR="00DA2B90" w:rsidRDefault="00D2215B">
      <w:pPr>
        <w:pStyle w:val="TOC3"/>
        <w:rPr>
          <w:rFonts w:asciiTheme="minorHAnsi" w:eastAsiaTheme="minorEastAsia" w:hAnsiTheme="minorHAnsi" w:cstheme="minorBidi"/>
          <w:noProof/>
          <w:sz w:val="22"/>
          <w:szCs w:val="22"/>
          <w:lang w:eastAsia="en-NZ"/>
        </w:rPr>
      </w:pPr>
      <w:hyperlink w:anchor="_Toc19101868" w:history="1">
        <w:r w:rsidR="00DA2B90" w:rsidRPr="00AC13B1">
          <w:rPr>
            <w:rStyle w:val="Hyperlink"/>
            <w:noProof/>
          </w:rPr>
          <w:t>Figure 17: Obese, 2–14 years, by gender, Māori and non</w:t>
        </w:r>
        <w:r w:rsidR="00DA2B90" w:rsidRPr="00AC13B1">
          <w:rPr>
            <w:rStyle w:val="Hyperlink"/>
            <w:noProof/>
          </w:rPr>
          <w:noBreakHyphen/>
          <w:t>Māori, 2006/07–2016/17</w:t>
        </w:r>
        <w:r w:rsidR="00DA2B90">
          <w:rPr>
            <w:noProof/>
            <w:webHidden/>
          </w:rPr>
          <w:tab/>
        </w:r>
        <w:r w:rsidR="00DA2B90">
          <w:rPr>
            <w:noProof/>
            <w:webHidden/>
          </w:rPr>
          <w:fldChar w:fldCharType="begin"/>
        </w:r>
        <w:r w:rsidR="00DA2B90">
          <w:rPr>
            <w:noProof/>
            <w:webHidden/>
          </w:rPr>
          <w:instrText xml:space="preserve"> PAGEREF _Toc19101868 \h </w:instrText>
        </w:r>
        <w:r w:rsidR="00DA2B90">
          <w:rPr>
            <w:noProof/>
            <w:webHidden/>
          </w:rPr>
        </w:r>
        <w:r w:rsidR="00DA2B90">
          <w:rPr>
            <w:noProof/>
            <w:webHidden/>
          </w:rPr>
          <w:fldChar w:fldCharType="separate"/>
        </w:r>
        <w:r>
          <w:rPr>
            <w:noProof/>
            <w:webHidden/>
          </w:rPr>
          <w:t>40</w:t>
        </w:r>
        <w:r w:rsidR="00DA2B90">
          <w:rPr>
            <w:noProof/>
            <w:webHidden/>
          </w:rPr>
          <w:fldChar w:fldCharType="end"/>
        </w:r>
      </w:hyperlink>
    </w:p>
    <w:p w14:paraId="01E30A6F" w14:textId="30DC5C29" w:rsidR="00DA2B90" w:rsidRDefault="00D2215B">
      <w:pPr>
        <w:pStyle w:val="TOC3"/>
        <w:rPr>
          <w:rFonts w:asciiTheme="minorHAnsi" w:eastAsiaTheme="minorEastAsia" w:hAnsiTheme="minorHAnsi" w:cstheme="minorBidi"/>
          <w:noProof/>
          <w:sz w:val="22"/>
          <w:szCs w:val="22"/>
          <w:lang w:eastAsia="en-NZ"/>
        </w:rPr>
      </w:pPr>
      <w:hyperlink w:anchor="_Toc19101869" w:history="1">
        <w:r w:rsidR="00DA2B90" w:rsidRPr="00AC13B1">
          <w:rPr>
            <w:rStyle w:val="Hyperlink"/>
            <w:noProof/>
          </w:rPr>
          <w:t>Figure 18: Regular physical activity, 15+ years, by gender, Māori and non</w:t>
        </w:r>
        <w:r w:rsidR="00DA2B90" w:rsidRPr="00AC13B1">
          <w:rPr>
            <w:rStyle w:val="Hyperlink"/>
            <w:noProof/>
          </w:rPr>
          <w:noBreakHyphen/>
          <w:t>Māori, 2006/07–2016/17</w:t>
        </w:r>
        <w:r w:rsidR="00DA2B90">
          <w:rPr>
            <w:noProof/>
            <w:webHidden/>
          </w:rPr>
          <w:tab/>
        </w:r>
        <w:r w:rsidR="00DA2B90">
          <w:rPr>
            <w:noProof/>
            <w:webHidden/>
          </w:rPr>
          <w:fldChar w:fldCharType="begin"/>
        </w:r>
        <w:r w:rsidR="00DA2B90">
          <w:rPr>
            <w:noProof/>
            <w:webHidden/>
          </w:rPr>
          <w:instrText xml:space="preserve"> PAGEREF _Toc19101869 \h </w:instrText>
        </w:r>
        <w:r w:rsidR="00DA2B90">
          <w:rPr>
            <w:noProof/>
            <w:webHidden/>
          </w:rPr>
        </w:r>
        <w:r w:rsidR="00DA2B90">
          <w:rPr>
            <w:noProof/>
            <w:webHidden/>
          </w:rPr>
          <w:fldChar w:fldCharType="separate"/>
        </w:r>
        <w:r>
          <w:rPr>
            <w:noProof/>
            <w:webHidden/>
          </w:rPr>
          <w:t>41</w:t>
        </w:r>
        <w:r w:rsidR="00DA2B90">
          <w:rPr>
            <w:noProof/>
            <w:webHidden/>
          </w:rPr>
          <w:fldChar w:fldCharType="end"/>
        </w:r>
      </w:hyperlink>
    </w:p>
    <w:p w14:paraId="7E13FDCA" w14:textId="72632F19" w:rsidR="00DA2B90" w:rsidRDefault="00D2215B">
      <w:pPr>
        <w:pStyle w:val="TOC3"/>
        <w:rPr>
          <w:rFonts w:asciiTheme="minorHAnsi" w:eastAsiaTheme="minorEastAsia" w:hAnsiTheme="minorHAnsi" w:cstheme="minorBidi"/>
          <w:noProof/>
          <w:sz w:val="22"/>
          <w:szCs w:val="22"/>
          <w:lang w:eastAsia="en-NZ"/>
        </w:rPr>
      </w:pPr>
      <w:hyperlink w:anchor="_Toc19101870" w:history="1">
        <w:r w:rsidR="00DA2B90" w:rsidRPr="00AC13B1">
          <w:rPr>
            <w:rStyle w:val="Hyperlink"/>
            <w:noProof/>
          </w:rPr>
          <w:t>Figure 19: Total cardiovascular disease mortality rates, 35+ years, by gender, Māori and non</w:t>
        </w:r>
        <w:r w:rsidR="00DA2B90" w:rsidRPr="00AC13B1">
          <w:rPr>
            <w:rStyle w:val="Hyperlink"/>
            <w:noProof/>
          </w:rPr>
          <w:noBreakHyphen/>
          <w:t>Māori, 1996–98 to 2012–14</w:t>
        </w:r>
        <w:r w:rsidR="00DA2B90">
          <w:rPr>
            <w:noProof/>
            <w:webHidden/>
          </w:rPr>
          <w:tab/>
        </w:r>
        <w:r w:rsidR="00DA2B90">
          <w:rPr>
            <w:noProof/>
            <w:webHidden/>
          </w:rPr>
          <w:fldChar w:fldCharType="begin"/>
        </w:r>
        <w:r w:rsidR="00DA2B90">
          <w:rPr>
            <w:noProof/>
            <w:webHidden/>
          </w:rPr>
          <w:instrText xml:space="preserve"> PAGEREF _Toc19101870 \h </w:instrText>
        </w:r>
        <w:r w:rsidR="00DA2B90">
          <w:rPr>
            <w:noProof/>
            <w:webHidden/>
          </w:rPr>
        </w:r>
        <w:r w:rsidR="00DA2B90">
          <w:rPr>
            <w:noProof/>
            <w:webHidden/>
          </w:rPr>
          <w:fldChar w:fldCharType="separate"/>
        </w:r>
        <w:r>
          <w:rPr>
            <w:noProof/>
            <w:webHidden/>
          </w:rPr>
          <w:t>53</w:t>
        </w:r>
        <w:r w:rsidR="00DA2B90">
          <w:rPr>
            <w:noProof/>
            <w:webHidden/>
          </w:rPr>
          <w:fldChar w:fldCharType="end"/>
        </w:r>
      </w:hyperlink>
    </w:p>
    <w:p w14:paraId="5FFC3ACD" w14:textId="048D898D" w:rsidR="00DA2B90" w:rsidRDefault="00D2215B">
      <w:pPr>
        <w:pStyle w:val="TOC3"/>
        <w:rPr>
          <w:rFonts w:asciiTheme="minorHAnsi" w:eastAsiaTheme="minorEastAsia" w:hAnsiTheme="minorHAnsi" w:cstheme="minorBidi"/>
          <w:noProof/>
          <w:sz w:val="22"/>
          <w:szCs w:val="22"/>
          <w:lang w:eastAsia="en-NZ"/>
        </w:rPr>
      </w:pPr>
      <w:hyperlink w:anchor="_Toc19101871" w:history="1">
        <w:r w:rsidR="00DA2B90" w:rsidRPr="00AC13B1">
          <w:rPr>
            <w:rStyle w:val="Hyperlink"/>
            <w:noProof/>
          </w:rPr>
          <w:t>Figure 20: Total cardiovascular disease hospitalisation rates, 35+ years, by gender, Māori and non</w:t>
        </w:r>
        <w:r w:rsidR="00DA2B90" w:rsidRPr="00AC13B1">
          <w:rPr>
            <w:rStyle w:val="Hyperlink"/>
            <w:noProof/>
          </w:rPr>
          <w:noBreakHyphen/>
          <w:t>Māori, 1996–98 to 2014–16</w:t>
        </w:r>
        <w:r w:rsidR="00DA2B90">
          <w:rPr>
            <w:noProof/>
            <w:webHidden/>
          </w:rPr>
          <w:tab/>
        </w:r>
        <w:r w:rsidR="00DA2B90">
          <w:rPr>
            <w:noProof/>
            <w:webHidden/>
          </w:rPr>
          <w:fldChar w:fldCharType="begin"/>
        </w:r>
        <w:r w:rsidR="00DA2B90">
          <w:rPr>
            <w:noProof/>
            <w:webHidden/>
          </w:rPr>
          <w:instrText xml:space="preserve"> PAGEREF _Toc19101871 \h </w:instrText>
        </w:r>
        <w:r w:rsidR="00DA2B90">
          <w:rPr>
            <w:noProof/>
            <w:webHidden/>
          </w:rPr>
        </w:r>
        <w:r w:rsidR="00DA2B90">
          <w:rPr>
            <w:noProof/>
            <w:webHidden/>
          </w:rPr>
          <w:fldChar w:fldCharType="separate"/>
        </w:r>
        <w:r>
          <w:rPr>
            <w:noProof/>
            <w:webHidden/>
          </w:rPr>
          <w:t>54</w:t>
        </w:r>
        <w:r w:rsidR="00DA2B90">
          <w:rPr>
            <w:noProof/>
            <w:webHidden/>
          </w:rPr>
          <w:fldChar w:fldCharType="end"/>
        </w:r>
      </w:hyperlink>
    </w:p>
    <w:p w14:paraId="6A68A429" w14:textId="465440FF" w:rsidR="00DA2B90" w:rsidRDefault="00D2215B">
      <w:pPr>
        <w:pStyle w:val="TOC3"/>
        <w:rPr>
          <w:rFonts w:asciiTheme="minorHAnsi" w:eastAsiaTheme="minorEastAsia" w:hAnsiTheme="minorHAnsi" w:cstheme="minorBidi"/>
          <w:noProof/>
          <w:sz w:val="22"/>
          <w:szCs w:val="22"/>
          <w:lang w:eastAsia="en-NZ"/>
        </w:rPr>
      </w:pPr>
      <w:hyperlink w:anchor="_Toc19101872" w:history="1">
        <w:r w:rsidR="00DA2B90" w:rsidRPr="00AC13B1">
          <w:rPr>
            <w:rStyle w:val="Hyperlink"/>
            <w:noProof/>
          </w:rPr>
          <w:t>Figure 21: Cerebrovascular disease (stroke) mortality rates, 35+ years, by gender, Māori and non</w:t>
        </w:r>
        <w:r w:rsidR="00DA2B90" w:rsidRPr="00AC13B1">
          <w:rPr>
            <w:rStyle w:val="Hyperlink"/>
            <w:noProof/>
          </w:rPr>
          <w:noBreakHyphen/>
          <w:t>Māori, 1996–98 to 2012–14</w:t>
        </w:r>
        <w:r w:rsidR="00DA2B90">
          <w:rPr>
            <w:noProof/>
            <w:webHidden/>
          </w:rPr>
          <w:tab/>
        </w:r>
        <w:r w:rsidR="00DA2B90">
          <w:rPr>
            <w:noProof/>
            <w:webHidden/>
          </w:rPr>
          <w:fldChar w:fldCharType="begin"/>
        </w:r>
        <w:r w:rsidR="00DA2B90">
          <w:rPr>
            <w:noProof/>
            <w:webHidden/>
          </w:rPr>
          <w:instrText xml:space="preserve"> PAGEREF _Toc19101872 \h </w:instrText>
        </w:r>
        <w:r w:rsidR="00DA2B90">
          <w:rPr>
            <w:noProof/>
            <w:webHidden/>
          </w:rPr>
        </w:r>
        <w:r w:rsidR="00DA2B90">
          <w:rPr>
            <w:noProof/>
            <w:webHidden/>
          </w:rPr>
          <w:fldChar w:fldCharType="separate"/>
        </w:r>
        <w:r>
          <w:rPr>
            <w:noProof/>
            <w:webHidden/>
          </w:rPr>
          <w:t>56</w:t>
        </w:r>
        <w:r w:rsidR="00DA2B90">
          <w:rPr>
            <w:noProof/>
            <w:webHidden/>
          </w:rPr>
          <w:fldChar w:fldCharType="end"/>
        </w:r>
      </w:hyperlink>
    </w:p>
    <w:p w14:paraId="4B6EA2FE" w14:textId="3F26EAD3" w:rsidR="00DA2B90" w:rsidRDefault="00D2215B">
      <w:pPr>
        <w:pStyle w:val="TOC3"/>
        <w:rPr>
          <w:rFonts w:asciiTheme="minorHAnsi" w:eastAsiaTheme="minorEastAsia" w:hAnsiTheme="minorHAnsi" w:cstheme="minorBidi"/>
          <w:noProof/>
          <w:sz w:val="22"/>
          <w:szCs w:val="22"/>
          <w:lang w:eastAsia="en-NZ"/>
        </w:rPr>
      </w:pPr>
      <w:hyperlink w:anchor="_Toc19101873" w:history="1">
        <w:r w:rsidR="00DA2B90" w:rsidRPr="00AC13B1">
          <w:rPr>
            <w:rStyle w:val="Hyperlink"/>
            <w:noProof/>
          </w:rPr>
          <w:t>Figure 22: Cerebrovascular disease (stroke) hospitalisation rates, 35+ years, by gender, Māori and non</w:t>
        </w:r>
        <w:r w:rsidR="00DA2B90" w:rsidRPr="00AC13B1">
          <w:rPr>
            <w:rStyle w:val="Hyperlink"/>
            <w:noProof/>
          </w:rPr>
          <w:noBreakHyphen/>
          <w:t>Māori, 1996–98 to 2014–16</w:t>
        </w:r>
        <w:r w:rsidR="00DA2B90">
          <w:rPr>
            <w:noProof/>
            <w:webHidden/>
          </w:rPr>
          <w:tab/>
        </w:r>
        <w:r w:rsidR="00DA2B90">
          <w:rPr>
            <w:noProof/>
            <w:webHidden/>
          </w:rPr>
          <w:fldChar w:fldCharType="begin"/>
        </w:r>
        <w:r w:rsidR="00DA2B90">
          <w:rPr>
            <w:noProof/>
            <w:webHidden/>
          </w:rPr>
          <w:instrText xml:space="preserve"> PAGEREF _Toc19101873 \h </w:instrText>
        </w:r>
        <w:r w:rsidR="00DA2B90">
          <w:rPr>
            <w:noProof/>
            <w:webHidden/>
          </w:rPr>
        </w:r>
        <w:r w:rsidR="00DA2B90">
          <w:rPr>
            <w:noProof/>
            <w:webHidden/>
          </w:rPr>
          <w:fldChar w:fldCharType="separate"/>
        </w:r>
        <w:r>
          <w:rPr>
            <w:noProof/>
            <w:webHidden/>
          </w:rPr>
          <w:t>57</w:t>
        </w:r>
        <w:r w:rsidR="00DA2B90">
          <w:rPr>
            <w:noProof/>
            <w:webHidden/>
          </w:rPr>
          <w:fldChar w:fldCharType="end"/>
        </w:r>
      </w:hyperlink>
    </w:p>
    <w:p w14:paraId="6E6FCBE7" w14:textId="7AF99ED9" w:rsidR="00DA2B90" w:rsidRDefault="00D2215B">
      <w:pPr>
        <w:pStyle w:val="TOC3"/>
        <w:rPr>
          <w:rFonts w:asciiTheme="minorHAnsi" w:eastAsiaTheme="minorEastAsia" w:hAnsiTheme="minorHAnsi" w:cstheme="minorBidi"/>
          <w:noProof/>
          <w:sz w:val="22"/>
          <w:szCs w:val="22"/>
          <w:lang w:eastAsia="en-NZ"/>
        </w:rPr>
      </w:pPr>
      <w:hyperlink w:anchor="_Toc19101874" w:history="1">
        <w:r w:rsidR="00DA2B90" w:rsidRPr="00AC13B1">
          <w:rPr>
            <w:rStyle w:val="Hyperlink"/>
            <w:noProof/>
          </w:rPr>
          <w:t>Figure 23: Heart failure mortality rates, 35+ years, by gender, Māori and non</w:t>
        </w:r>
        <w:r w:rsidR="00DA2B90" w:rsidRPr="00AC13B1">
          <w:rPr>
            <w:rStyle w:val="Hyperlink"/>
            <w:noProof/>
          </w:rPr>
          <w:noBreakHyphen/>
          <w:t>Māori, 1996–98 to 2012–14</w:t>
        </w:r>
        <w:r w:rsidR="00DA2B90">
          <w:rPr>
            <w:noProof/>
            <w:webHidden/>
          </w:rPr>
          <w:tab/>
        </w:r>
        <w:r w:rsidR="00DA2B90">
          <w:rPr>
            <w:noProof/>
            <w:webHidden/>
          </w:rPr>
          <w:fldChar w:fldCharType="begin"/>
        </w:r>
        <w:r w:rsidR="00DA2B90">
          <w:rPr>
            <w:noProof/>
            <w:webHidden/>
          </w:rPr>
          <w:instrText xml:space="preserve"> PAGEREF _Toc19101874 \h </w:instrText>
        </w:r>
        <w:r w:rsidR="00DA2B90">
          <w:rPr>
            <w:noProof/>
            <w:webHidden/>
          </w:rPr>
        </w:r>
        <w:r w:rsidR="00DA2B90">
          <w:rPr>
            <w:noProof/>
            <w:webHidden/>
          </w:rPr>
          <w:fldChar w:fldCharType="separate"/>
        </w:r>
        <w:r>
          <w:rPr>
            <w:noProof/>
            <w:webHidden/>
          </w:rPr>
          <w:t>59</w:t>
        </w:r>
        <w:r w:rsidR="00DA2B90">
          <w:rPr>
            <w:noProof/>
            <w:webHidden/>
          </w:rPr>
          <w:fldChar w:fldCharType="end"/>
        </w:r>
      </w:hyperlink>
    </w:p>
    <w:p w14:paraId="51EE50C2" w14:textId="73270A66" w:rsidR="00DA2B90" w:rsidRDefault="00D2215B">
      <w:pPr>
        <w:pStyle w:val="TOC3"/>
        <w:rPr>
          <w:rFonts w:asciiTheme="minorHAnsi" w:eastAsiaTheme="minorEastAsia" w:hAnsiTheme="minorHAnsi" w:cstheme="minorBidi"/>
          <w:noProof/>
          <w:sz w:val="22"/>
          <w:szCs w:val="22"/>
          <w:lang w:eastAsia="en-NZ"/>
        </w:rPr>
      </w:pPr>
      <w:hyperlink w:anchor="_Toc19101875" w:history="1">
        <w:r w:rsidR="00DA2B90" w:rsidRPr="00AC13B1">
          <w:rPr>
            <w:rStyle w:val="Hyperlink"/>
            <w:noProof/>
          </w:rPr>
          <w:t>Figure 24: Heart failure hospitalisation rates, 35+ years, by gender, Māori and non</w:t>
        </w:r>
        <w:r w:rsidR="00DA2B90" w:rsidRPr="00AC13B1">
          <w:rPr>
            <w:rStyle w:val="Hyperlink"/>
            <w:noProof/>
          </w:rPr>
          <w:noBreakHyphen/>
          <w:t>Māori, 1996–98 to 2014–16</w:t>
        </w:r>
        <w:r w:rsidR="00DA2B90">
          <w:rPr>
            <w:noProof/>
            <w:webHidden/>
          </w:rPr>
          <w:tab/>
        </w:r>
        <w:r w:rsidR="00DA2B90">
          <w:rPr>
            <w:noProof/>
            <w:webHidden/>
          </w:rPr>
          <w:fldChar w:fldCharType="begin"/>
        </w:r>
        <w:r w:rsidR="00DA2B90">
          <w:rPr>
            <w:noProof/>
            <w:webHidden/>
          </w:rPr>
          <w:instrText xml:space="preserve"> PAGEREF _Toc19101875 \h </w:instrText>
        </w:r>
        <w:r w:rsidR="00DA2B90">
          <w:rPr>
            <w:noProof/>
            <w:webHidden/>
          </w:rPr>
        </w:r>
        <w:r w:rsidR="00DA2B90">
          <w:rPr>
            <w:noProof/>
            <w:webHidden/>
          </w:rPr>
          <w:fldChar w:fldCharType="separate"/>
        </w:r>
        <w:r>
          <w:rPr>
            <w:noProof/>
            <w:webHidden/>
          </w:rPr>
          <w:t>60</w:t>
        </w:r>
        <w:r w:rsidR="00DA2B90">
          <w:rPr>
            <w:noProof/>
            <w:webHidden/>
          </w:rPr>
          <w:fldChar w:fldCharType="end"/>
        </w:r>
      </w:hyperlink>
    </w:p>
    <w:p w14:paraId="3E9CF56C" w14:textId="58F43808" w:rsidR="00DA2B90" w:rsidRDefault="00D2215B">
      <w:pPr>
        <w:pStyle w:val="TOC3"/>
        <w:rPr>
          <w:rFonts w:asciiTheme="minorHAnsi" w:eastAsiaTheme="minorEastAsia" w:hAnsiTheme="minorHAnsi" w:cstheme="minorBidi"/>
          <w:noProof/>
          <w:sz w:val="22"/>
          <w:szCs w:val="22"/>
          <w:lang w:eastAsia="en-NZ"/>
        </w:rPr>
      </w:pPr>
      <w:hyperlink w:anchor="_Toc19101876" w:history="1">
        <w:r w:rsidR="00DA2B90" w:rsidRPr="00AC13B1">
          <w:rPr>
            <w:rStyle w:val="Hyperlink"/>
            <w:noProof/>
          </w:rPr>
          <w:t>Figure 25: Chronic rheumatic heart disease mortality rates, 15+ years, by gender, Māori and non</w:t>
        </w:r>
        <w:r w:rsidR="00DA2B90" w:rsidRPr="00AC13B1">
          <w:rPr>
            <w:rStyle w:val="Hyperlink"/>
            <w:noProof/>
          </w:rPr>
          <w:noBreakHyphen/>
          <w:t>Māori, 1996–98 to 2012–14</w:t>
        </w:r>
        <w:r w:rsidR="00DA2B90">
          <w:rPr>
            <w:noProof/>
            <w:webHidden/>
          </w:rPr>
          <w:tab/>
        </w:r>
        <w:r w:rsidR="00DA2B90">
          <w:rPr>
            <w:noProof/>
            <w:webHidden/>
          </w:rPr>
          <w:fldChar w:fldCharType="begin"/>
        </w:r>
        <w:r w:rsidR="00DA2B90">
          <w:rPr>
            <w:noProof/>
            <w:webHidden/>
          </w:rPr>
          <w:instrText xml:space="preserve"> PAGEREF _Toc19101876 \h </w:instrText>
        </w:r>
        <w:r w:rsidR="00DA2B90">
          <w:rPr>
            <w:noProof/>
            <w:webHidden/>
          </w:rPr>
        </w:r>
        <w:r w:rsidR="00DA2B90">
          <w:rPr>
            <w:noProof/>
            <w:webHidden/>
          </w:rPr>
          <w:fldChar w:fldCharType="separate"/>
        </w:r>
        <w:r>
          <w:rPr>
            <w:noProof/>
            <w:webHidden/>
          </w:rPr>
          <w:t>62</w:t>
        </w:r>
        <w:r w:rsidR="00DA2B90">
          <w:rPr>
            <w:noProof/>
            <w:webHidden/>
          </w:rPr>
          <w:fldChar w:fldCharType="end"/>
        </w:r>
      </w:hyperlink>
    </w:p>
    <w:p w14:paraId="26800CFF" w14:textId="725A6299" w:rsidR="00DA2B90" w:rsidRDefault="00D2215B">
      <w:pPr>
        <w:pStyle w:val="TOC3"/>
        <w:rPr>
          <w:rFonts w:asciiTheme="minorHAnsi" w:eastAsiaTheme="minorEastAsia" w:hAnsiTheme="minorHAnsi" w:cstheme="minorBidi"/>
          <w:noProof/>
          <w:sz w:val="22"/>
          <w:szCs w:val="22"/>
          <w:lang w:eastAsia="en-NZ"/>
        </w:rPr>
      </w:pPr>
      <w:hyperlink w:anchor="_Toc19101877" w:history="1">
        <w:r w:rsidR="00DA2B90" w:rsidRPr="00AC13B1">
          <w:rPr>
            <w:rStyle w:val="Hyperlink"/>
            <w:noProof/>
          </w:rPr>
          <w:t>Figure 26: Chronic rheumatic heart disease hospitalisation rates, 15+ years, by gender, Māori and non</w:t>
        </w:r>
        <w:r w:rsidR="00DA2B90" w:rsidRPr="00AC13B1">
          <w:rPr>
            <w:rStyle w:val="Hyperlink"/>
            <w:noProof/>
          </w:rPr>
          <w:noBreakHyphen/>
          <w:t>Māori, 1996–98 to 2014–16</w:t>
        </w:r>
        <w:r w:rsidR="00DA2B90">
          <w:rPr>
            <w:noProof/>
            <w:webHidden/>
          </w:rPr>
          <w:tab/>
        </w:r>
        <w:r w:rsidR="00DA2B90">
          <w:rPr>
            <w:noProof/>
            <w:webHidden/>
          </w:rPr>
          <w:fldChar w:fldCharType="begin"/>
        </w:r>
        <w:r w:rsidR="00DA2B90">
          <w:rPr>
            <w:noProof/>
            <w:webHidden/>
          </w:rPr>
          <w:instrText xml:space="preserve"> PAGEREF _Toc19101877 \h </w:instrText>
        </w:r>
        <w:r w:rsidR="00DA2B90">
          <w:rPr>
            <w:noProof/>
            <w:webHidden/>
          </w:rPr>
        </w:r>
        <w:r w:rsidR="00DA2B90">
          <w:rPr>
            <w:noProof/>
            <w:webHidden/>
          </w:rPr>
          <w:fldChar w:fldCharType="separate"/>
        </w:r>
        <w:r>
          <w:rPr>
            <w:noProof/>
            <w:webHidden/>
          </w:rPr>
          <w:t>63</w:t>
        </w:r>
        <w:r w:rsidR="00DA2B90">
          <w:rPr>
            <w:noProof/>
            <w:webHidden/>
          </w:rPr>
          <w:fldChar w:fldCharType="end"/>
        </w:r>
      </w:hyperlink>
    </w:p>
    <w:p w14:paraId="197F6788" w14:textId="6D695F2E" w:rsidR="00DA2B90" w:rsidRDefault="00D2215B">
      <w:pPr>
        <w:pStyle w:val="TOC3"/>
        <w:rPr>
          <w:rFonts w:asciiTheme="minorHAnsi" w:eastAsiaTheme="minorEastAsia" w:hAnsiTheme="minorHAnsi" w:cstheme="minorBidi"/>
          <w:noProof/>
          <w:sz w:val="22"/>
          <w:szCs w:val="22"/>
          <w:lang w:eastAsia="en-NZ"/>
        </w:rPr>
      </w:pPr>
      <w:hyperlink w:anchor="_Toc19101878" w:history="1">
        <w:r w:rsidR="00DA2B90" w:rsidRPr="00AC13B1">
          <w:rPr>
            <w:rStyle w:val="Hyperlink"/>
            <w:noProof/>
          </w:rPr>
          <w:t>Figure 27: Ischaemic heart disease mortality rates, 35+ years, by gender, Māori and non</w:t>
        </w:r>
        <w:r w:rsidR="00DA2B90" w:rsidRPr="00AC13B1">
          <w:rPr>
            <w:rStyle w:val="Hyperlink"/>
            <w:noProof/>
          </w:rPr>
          <w:noBreakHyphen/>
          <w:t>Māori, 1996–98 to 2012–14</w:t>
        </w:r>
        <w:r w:rsidR="00DA2B90">
          <w:rPr>
            <w:noProof/>
            <w:webHidden/>
          </w:rPr>
          <w:tab/>
        </w:r>
        <w:r w:rsidR="00DA2B90">
          <w:rPr>
            <w:noProof/>
            <w:webHidden/>
          </w:rPr>
          <w:fldChar w:fldCharType="begin"/>
        </w:r>
        <w:r w:rsidR="00DA2B90">
          <w:rPr>
            <w:noProof/>
            <w:webHidden/>
          </w:rPr>
          <w:instrText xml:space="preserve"> PAGEREF _Toc19101878 \h </w:instrText>
        </w:r>
        <w:r w:rsidR="00DA2B90">
          <w:rPr>
            <w:noProof/>
            <w:webHidden/>
          </w:rPr>
        </w:r>
        <w:r w:rsidR="00DA2B90">
          <w:rPr>
            <w:noProof/>
            <w:webHidden/>
          </w:rPr>
          <w:fldChar w:fldCharType="separate"/>
        </w:r>
        <w:r>
          <w:rPr>
            <w:noProof/>
            <w:webHidden/>
          </w:rPr>
          <w:t>65</w:t>
        </w:r>
        <w:r w:rsidR="00DA2B90">
          <w:rPr>
            <w:noProof/>
            <w:webHidden/>
          </w:rPr>
          <w:fldChar w:fldCharType="end"/>
        </w:r>
      </w:hyperlink>
    </w:p>
    <w:p w14:paraId="47B39E87" w14:textId="787C7533" w:rsidR="00DA2B90" w:rsidRDefault="00D2215B">
      <w:pPr>
        <w:pStyle w:val="TOC3"/>
        <w:rPr>
          <w:rFonts w:asciiTheme="minorHAnsi" w:eastAsiaTheme="minorEastAsia" w:hAnsiTheme="minorHAnsi" w:cstheme="minorBidi"/>
          <w:noProof/>
          <w:sz w:val="22"/>
          <w:szCs w:val="22"/>
          <w:lang w:eastAsia="en-NZ"/>
        </w:rPr>
      </w:pPr>
      <w:hyperlink w:anchor="_Toc19101879" w:history="1">
        <w:r w:rsidR="00DA2B90" w:rsidRPr="00AC13B1">
          <w:rPr>
            <w:rStyle w:val="Hyperlink"/>
            <w:noProof/>
          </w:rPr>
          <w:t>Figure 28: Ischaemic heart disease hospitalisation rates, 35+ years, by gender, Māori and non</w:t>
        </w:r>
        <w:r w:rsidR="00DA2B90" w:rsidRPr="00AC13B1">
          <w:rPr>
            <w:rStyle w:val="Hyperlink"/>
            <w:noProof/>
          </w:rPr>
          <w:noBreakHyphen/>
          <w:t>Māori, 1996–98 to 2014–16</w:t>
        </w:r>
        <w:r w:rsidR="00DA2B90">
          <w:rPr>
            <w:noProof/>
            <w:webHidden/>
          </w:rPr>
          <w:tab/>
        </w:r>
        <w:r w:rsidR="00DA2B90">
          <w:rPr>
            <w:noProof/>
            <w:webHidden/>
          </w:rPr>
          <w:fldChar w:fldCharType="begin"/>
        </w:r>
        <w:r w:rsidR="00DA2B90">
          <w:rPr>
            <w:noProof/>
            <w:webHidden/>
          </w:rPr>
          <w:instrText xml:space="preserve"> PAGEREF _Toc19101879 \h </w:instrText>
        </w:r>
        <w:r w:rsidR="00DA2B90">
          <w:rPr>
            <w:noProof/>
            <w:webHidden/>
          </w:rPr>
        </w:r>
        <w:r w:rsidR="00DA2B90">
          <w:rPr>
            <w:noProof/>
            <w:webHidden/>
          </w:rPr>
          <w:fldChar w:fldCharType="separate"/>
        </w:r>
        <w:r>
          <w:rPr>
            <w:noProof/>
            <w:webHidden/>
          </w:rPr>
          <w:t>66</w:t>
        </w:r>
        <w:r w:rsidR="00DA2B90">
          <w:rPr>
            <w:noProof/>
            <w:webHidden/>
          </w:rPr>
          <w:fldChar w:fldCharType="end"/>
        </w:r>
      </w:hyperlink>
    </w:p>
    <w:p w14:paraId="50D57DE1" w14:textId="4616EB57" w:rsidR="00DA2B90" w:rsidRDefault="00D2215B">
      <w:pPr>
        <w:pStyle w:val="TOC3"/>
        <w:rPr>
          <w:rFonts w:asciiTheme="minorHAnsi" w:eastAsiaTheme="minorEastAsia" w:hAnsiTheme="minorHAnsi" w:cstheme="minorBidi"/>
          <w:noProof/>
          <w:sz w:val="22"/>
          <w:szCs w:val="22"/>
          <w:lang w:eastAsia="en-NZ"/>
        </w:rPr>
      </w:pPr>
      <w:hyperlink w:anchor="_Toc19101880" w:history="1">
        <w:r w:rsidR="00DA2B90" w:rsidRPr="00AC13B1">
          <w:rPr>
            <w:rStyle w:val="Hyperlink"/>
            <w:noProof/>
          </w:rPr>
          <w:t>Figure 29: All revascularisation (coronary artery bypass graft (CARB) and angioplasty) heart disease procedure rates, 35+ years, by gender, Māori and non</w:t>
        </w:r>
        <w:r w:rsidR="00DA2B90" w:rsidRPr="00AC13B1">
          <w:rPr>
            <w:rStyle w:val="Hyperlink"/>
            <w:noProof/>
          </w:rPr>
          <w:noBreakHyphen/>
          <w:t>Māori, 1996–98 to 2014–16</w:t>
        </w:r>
        <w:r w:rsidR="00DA2B90">
          <w:rPr>
            <w:noProof/>
            <w:webHidden/>
          </w:rPr>
          <w:tab/>
        </w:r>
        <w:r w:rsidR="00DA2B90">
          <w:rPr>
            <w:noProof/>
            <w:webHidden/>
          </w:rPr>
          <w:fldChar w:fldCharType="begin"/>
        </w:r>
        <w:r w:rsidR="00DA2B90">
          <w:rPr>
            <w:noProof/>
            <w:webHidden/>
          </w:rPr>
          <w:instrText xml:space="preserve"> PAGEREF _Toc19101880 \h </w:instrText>
        </w:r>
        <w:r w:rsidR="00DA2B90">
          <w:rPr>
            <w:noProof/>
            <w:webHidden/>
          </w:rPr>
        </w:r>
        <w:r w:rsidR="00DA2B90">
          <w:rPr>
            <w:noProof/>
            <w:webHidden/>
          </w:rPr>
          <w:fldChar w:fldCharType="separate"/>
        </w:r>
        <w:r>
          <w:rPr>
            <w:noProof/>
            <w:webHidden/>
          </w:rPr>
          <w:t>68</w:t>
        </w:r>
        <w:r w:rsidR="00DA2B90">
          <w:rPr>
            <w:noProof/>
            <w:webHidden/>
          </w:rPr>
          <w:fldChar w:fldCharType="end"/>
        </w:r>
      </w:hyperlink>
    </w:p>
    <w:p w14:paraId="294AFC9A" w14:textId="137883CE" w:rsidR="00DA2B90" w:rsidRDefault="00D2215B">
      <w:pPr>
        <w:pStyle w:val="TOC3"/>
        <w:rPr>
          <w:rFonts w:asciiTheme="minorHAnsi" w:eastAsiaTheme="minorEastAsia" w:hAnsiTheme="minorHAnsi" w:cstheme="minorBidi"/>
          <w:noProof/>
          <w:sz w:val="22"/>
          <w:szCs w:val="22"/>
          <w:lang w:eastAsia="en-NZ"/>
        </w:rPr>
      </w:pPr>
      <w:hyperlink w:anchor="_Toc19101881" w:history="1">
        <w:r w:rsidR="00DA2B90" w:rsidRPr="00AC13B1">
          <w:rPr>
            <w:rStyle w:val="Hyperlink"/>
            <w:noProof/>
          </w:rPr>
          <w:t>Figure 30: All coronary angioplasty procedure (percutaneous) rates, 35+ years, by gender, Māori and non</w:t>
        </w:r>
        <w:r w:rsidR="00DA2B90" w:rsidRPr="00AC13B1">
          <w:rPr>
            <w:rStyle w:val="Hyperlink"/>
            <w:noProof/>
          </w:rPr>
          <w:noBreakHyphen/>
          <w:t>Māori, 1996–98 to 2014–16</w:t>
        </w:r>
        <w:r w:rsidR="00DA2B90">
          <w:rPr>
            <w:noProof/>
            <w:webHidden/>
          </w:rPr>
          <w:tab/>
        </w:r>
        <w:r w:rsidR="00DA2B90">
          <w:rPr>
            <w:noProof/>
            <w:webHidden/>
          </w:rPr>
          <w:fldChar w:fldCharType="begin"/>
        </w:r>
        <w:r w:rsidR="00DA2B90">
          <w:rPr>
            <w:noProof/>
            <w:webHidden/>
          </w:rPr>
          <w:instrText xml:space="preserve"> PAGEREF _Toc19101881 \h </w:instrText>
        </w:r>
        <w:r w:rsidR="00DA2B90">
          <w:rPr>
            <w:noProof/>
            <w:webHidden/>
          </w:rPr>
        </w:r>
        <w:r w:rsidR="00DA2B90">
          <w:rPr>
            <w:noProof/>
            <w:webHidden/>
          </w:rPr>
          <w:fldChar w:fldCharType="separate"/>
        </w:r>
        <w:r>
          <w:rPr>
            <w:noProof/>
            <w:webHidden/>
          </w:rPr>
          <w:t>70</w:t>
        </w:r>
        <w:r w:rsidR="00DA2B90">
          <w:rPr>
            <w:noProof/>
            <w:webHidden/>
          </w:rPr>
          <w:fldChar w:fldCharType="end"/>
        </w:r>
      </w:hyperlink>
    </w:p>
    <w:p w14:paraId="3CC96DF2" w14:textId="7258E370" w:rsidR="00DA2B90" w:rsidRDefault="00D2215B">
      <w:pPr>
        <w:pStyle w:val="TOC3"/>
        <w:rPr>
          <w:rFonts w:asciiTheme="minorHAnsi" w:eastAsiaTheme="minorEastAsia" w:hAnsiTheme="minorHAnsi" w:cstheme="minorBidi"/>
          <w:noProof/>
          <w:sz w:val="22"/>
          <w:szCs w:val="22"/>
          <w:lang w:eastAsia="en-NZ"/>
        </w:rPr>
      </w:pPr>
      <w:hyperlink w:anchor="_Toc19101882" w:history="1">
        <w:r w:rsidR="00DA2B90" w:rsidRPr="00AC13B1">
          <w:rPr>
            <w:rStyle w:val="Hyperlink"/>
            <w:noProof/>
          </w:rPr>
          <w:t>Figure 31: Total cancer registration rates, 25+ years, Māori and non</w:t>
        </w:r>
        <w:r w:rsidR="00DA2B90" w:rsidRPr="00AC13B1">
          <w:rPr>
            <w:rStyle w:val="Hyperlink"/>
            <w:noProof/>
          </w:rPr>
          <w:noBreakHyphen/>
          <w:t>Māori males, 1996–98 to 2013–15</w:t>
        </w:r>
        <w:r w:rsidR="00DA2B90">
          <w:rPr>
            <w:noProof/>
            <w:webHidden/>
          </w:rPr>
          <w:tab/>
        </w:r>
        <w:r w:rsidR="00DA2B90">
          <w:rPr>
            <w:noProof/>
            <w:webHidden/>
          </w:rPr>
          <w:fldChar w:fldCharType="begin"/>
        </w:r>
        <w:r w:rsidR="00DA2B90">
          <w:rPr>
            <w:noProof/>
            <w:webHidden/>
          </w:rPr>
          <w:instrText xml:space="preserve"> PAGEREF _Toc19101882 \h </w:instrText>
        </w:r>
        <w:r w:rsidR="00DA2B90">
          <w:rPr>
            <w:noProof/>
            <w:webHidden/>
          </w:rPr>
        </w:r>
        <w:r w:rsidR="00DA2B90">
          <w:rPr>
            <w:noProof/>
            <w:webHidden/>
          </w:rPr>
          <w:fldChar w:fldCharType="separate"/>
        </w:r>
        <w:r>
          <w:rPr>
            <w:noProof/>
            <w:webHidden/>
          </w:rPr>
          <w:t>73</w:t>
        </w:r>
        <w:r w:rsidR="00DA2B90">
          <w:rPr>
            <w:noProof/>
            <w:webHidden/>
          </w:rPr>
          <w:fldChar w:fldCharType="end"/>
        </w:r>
      </w:hyperlink>
    </w:p>
    <w:p w14:paraId="168BBA21" w14:textId="21ED03CA" w:rsidR="00DA2B90" w:rsidRDefault="00D2215B">
      <w:pPr>
        <w:pStyle w:val="TOC3"/>
        <w:rPr>
          <w:rFonts w:asciiTheme="minorHAnsi" w:eastAsiaTheme="minorEastAsia" w:hAnsiTheme="minorHAnsi" w:cstheme="minorBidi"/>
          <w:noProof/>
          <w:sz w:val="22"/>
          <w:szCs w:val="22"/>
          <w:lang w:eastAsia="en-NZ"/>
        </w:rPr>
      </w:pPr>
      <w:hyperlink w:anchor="_Toc19101883" w:history="1">
        <w:r w:rsidR="00DA2B90" w:rsidRPr="00AC13B1">
          <w:rPr>
            <w:rStyle w:val="Hyperlink"/>
            <w:noProof/>
          </w:rPr>
          <w:t>Figure 32: Total cancer registration rates, 25+ years, Māori and non</w:t>
        </w:r>
        <w:r w:rsidR="00DA2B90" w:rsidRPr="00AC13B1">
          <w:rPr>
            <w:rStyle w:val="Hyperlink"/>
            <w:noProof/>
          </w:rPr>
          <w:noBreakHyphen/>
          <w:t>Māori females, 1996–98 to 2013–15</w:t>
        </w:r>
        <w:r w:rsidR="00DA2B90">
          <w:rPr>
            <w:noProof/>
            <w:webHidden/>
          </w:rPr>
          <w:tab/>
        </w:r>
        <w:r w:rsidR="00DA2B90">
          <w:rPr>
            <w:noProof/>
            <w:webHidden/>
          </w:rPr>
          <w:fldChar w:fldCharType="begin"/>
        </w:r>
        <w:r w:rsidR="00DA2B90">
          <w:rPr>
            <w:noProof/>
            <w:webHidden/>
          </w:rPr>
          <w:instrText xml:space="preserve"> PAGEREF _Toc19101883 \h </w:instrText>
        </w:r>
        <w:r w:rsidR="00DA2B90">
          <w:rPr>
            <w:noProof/>
            <w:webHidden/>
          </w:rPr>
        </w:r>
        <w:r w:rsidR="00DA2B90">
          <w:rPr>
            <w:noProof/>
            <w:webHidden/>
          </w:rPr>
          <w:fldChar w:fldCharType="separate"/>
        </w:r>
        <w:r>
          <w:rPr>
            <w:noProof/>
            <w:webHidden/>
          </w:rPr>
          <w:t>74</w:t>
        </w:r>
        <w:r w:rsidR="00DA2B90">
          <w:rPr>
            <w:noProof/>
            <w:webHidden/>
          </w:rPr>
          <w:fldChar w:fldCharType="end"/>
        </w:r>
      </w:hyperlink>
    </w:p>
    <w:p w14:paraId="097035F8" w14:textId="37554C2C" w:rsidR="00DA2B90" w:rsidRDefault="00D2215B">
      <w:pPr>
        <w:pStyle w:val="TOC3"/>
        <w:rPr>
          <w:rFonts w:asciiTheme="minorHAnsi" w:eastAsiaTheme="minorEastAsia" w:hAnsiTheme="minorHAnsi" w:cstheme="minorBidi"/>
          <w:noProof/>
          <w:sz w:val="22"/>
          <w:szCs w:val="22"/>
          <w:lang w:eastAsia="en-NZ"/>
        </w:rPr>
      </w:pPr>
      <w:hyperlink w:anchor="_Toc19101884" w:history="1">
        <w:r w:rsidR="00DA2B90" w:rsidRPr="00AC13B1">
          <w:rPr>
            <w:rStyle w:val="Hyperlink"/>
            <w:noProof/>
          </w:rPr>
          <w:t>Figure 33: Total cancer mortality rates, 25+ years, Māori and non</w:t>
        </w:r>
        <w:r w:rsidR="00DA2B90" w:rsidRPr="00AC13B1">
          <w:rPr>
            <w:rStyle w:val="Hyperlink"/>
            <w:noProof/>
          </w:rPr>
          <w:noBreakHyphen/>
          <w:t>Māori males, 1996–98 to 2012–14</w:t>
        </w:r>
        <w:r w:rsidR="00DA2B90">
          <w:rPr>
            <w:noProof/>
            <w:webHidden/>
          </w:rPr>
          <w:tab/>
        </w:r>
        <w:r w:rsidR="00DA2B90">
          <w:rPr>
            <w:noProof/>
            <w:webHidden/>
          </w:rPr>
          <w:fldChar w:fldCharType="begin"/>
        </w:r>
        <w:r w:rsidR="00DA2B90">
          <w:rPr>
            <w:noProof/>
            <w:webHidden/>
          </w:rPr>
          <w:instrText xml:space="preserve"> PAGEREF _Toc19101884 \h </w:instrText>
        </w:r>
        <w:r w:rsidR="00DA2B90">
          <w:rPr>
            <w:noProof/>
            <w:webHidden/>
          </w:rPr>
        </w:r>
        <w:r w:rsidR="00DA2B90">
          <w:rPr>
            <w:noProof/>
            <w:webHidden/>
          </w:rPr>
          <w:fldChar w:fldCharType="separate"/>
        </w:r>
        <w:r>
          <w:rPr>
            <w:noProof/>
            <w:webHidden/>
          </w:rPr>
          <w:t>76</w:t>
        </w:r>
        <w:r w:rsidR="00DA2B90">
          <w:rPr>
            <w:noProof/>
            <w:webHidden/>
          </w:rPr>
          <w:fldChar w:fldCharType="end"/>
        </w:r>
      </w:hyperlink>
    </w:p>
    <w:p w14:paraId="30D3247D" w14:textId="6F5434A5" w:rsidR="00DA2B90" w:rsidRDefault="00D2215B">
      <w:pPr>
        <w:pStyle w:val="TOC3"/>
        <w:rPr>
          <w:rFonts w:asciiTheme="minorHAnsi" w:eastAsiaTheme="minorEastAsia" w:hAnsiTheme="minorHAnsi" w:cstheme="minorBidi"/>
          <w:noProof/>
          <w:sz w:val="22"/>
          <w:szCs w:val="22"/>
          <w:lang w:eastAsia="en-NZ"/>
        </w:rPr>
      </w:pPr>
      <w:hyperlink w:anchor="_Toc19101885" w:history="1">
        <w:r w:rsidR="00DA2B90" w:rsidRPr="00AC13B1">
          <w:rPr>
            <w:rStyle w:val="Hyperlink"/>
            <w:noProof/>
          </w:rPr>
          <w:t>Figure 34: Total cancer mortality rates, 25+ years, Māori and non</w:t>
        </w:r>
        <w:r w:rsidR="00DA2B90" w:rsidRPr="00AC13B1">
          <w:rPr>
            <w:rStyle w:val="Hyperlink"/>
            <w:noProof/>
          </w:rPr>
          <w:noBreakHyphen/>
          <w:t>Māori females, 1996–98 to 2012–14</w:t>
        </w:r>
        <w:r w:rsidR="00DA2B90">
          <w:rPr>
            <w:noProof/>
            <w:webHidden/>
          </w:rPr>
          <w:tab/>
        </w:r>
        <w:r w:rsidR="00DA2B90">
          <w:rPr>
            <w:noProof/>
            <w:webHidden/>
          </w:rPr>
          <w:fldChar w:fldCharType="begin"/>
        </w:r>
        <w:r w:rsidR="00DA2B90">
          <w:rPr>
            <w:noProof/>
            <w:webHidden/>
          </w:rPr>
          <w:instrText xml:space="preserve"> PAGEREF _Toc19101885 \h </w:instrText>
        </w:r>
        <w:r w:rsidR="00DA2B90">
          <w:rPr>
            <w:noProof/>
            <w:webHidden/>
          </w:rPr>
        </w:r>
        <w:r w:rsidR="00DA2B90">
          <w:rPr>
            <w:noProof/>
            <w:webHidden/>
          </w:rPr>
          <w:fldChar w:fldCharType="separate"/>
        </w:r>
        <w:r>
          <w:rPr>
            <w:noProof/>
            <w:webHidden/>
          </w:rPr>
          <w:t>77</w:t>
        </w:r>
        <w:r w:rsidR="00DA2B90">
          <w:rPr>
            <w:noProof/>
            <w:webHidden/>
          </w:rPr>
          <w:fldChar w:fldCharType="end"/>
        </w:r>
      </w:hyperlink>
    </w:p>
    <w:p w14:paraId="2F2BAE7F" w14:textId="70BE64F1" w:rsidR="00DA2B90" w:rsidRDefault="00D2215B">
      <w:pPr>
        <w:pStyle w:val="TOC3"/>
        <w:rPr>
          <w:rFonts w:asciiTheme="minorHAnsi" w:eastAsiaTheme="minorEastAsia" w:hAnsiTheme="minorHAnsi" w:cstheme="minorBidi"/>
          <w:noProof/>
          <w:sz w:val="22"/>
          <w:szCs w:val="22"/>
          <w:lang w:eastAsia="en-NZ"/>
        </w:rPr>
      </w:pPr>
      <w:hyperlink w:anchor="_Toc19101886" w:history="1">
        <w:r w:rsidR="00DA2B90" w:rsidRPr="00AC13B1">
          <w:rPr>
            <w:rStyle w:val="Hyperlink"/>
            <w:noProof/>
          </w:rPr>
          <w:t>Figure 35: Cancer registration rates, by site, 25+ years, Māori males, 1996–98 to 2013–15</w:t>
        </w:r>
        <w:r w:rsidR="00DA2B90">
          <w:rPr>
            <w:noProof/>
            <w:webHidden/>
          </w:rPr>
          <w:tab/>
        </w:r>
        <w:r w:rsidR="00DA2B90">
          <w:rPr>
            <w:noProof/>
            <w:webHidden/>
          </w:rPr>
          <w:fldChar w:fldCharType="begin"/>
        </w:r>
        <w:r w:rsidR="00DA2B90">
          <w:rPr>
            <w:noProof/>
            <w:webHidden/>
          </w:rPr>
          <w:instrText xml:space="preserve"> PAGEREF _Toc19101886 \h </w:instrText>
        </w:r>
        <w:r w:rsidR="00DA2B90">
          <w:rPr>
            <w:noProof/>
            <w:webHidden/>
          </w:rPr>
        </w:r>
        <w:r w:rsidR="00DA2B90">
          <w:rPr>
            <w:noProof/>
            <w:webHidden/>
          </w:rPr>
          <w:fldChar w:fldCharType="separate"/>
        </w:r>
        <w:r>
          <w:rPr>
            <w:noProof/>
            <w:webHidden/>
          </w:rPr>
          <w:t>79</w:t>
        </w:r>
        <w:r w:rsidR="00DA2B90">
          <w:rPr>
            <w:noProof/>
            <w:webHidden/>
          </w:rPr>
          <w:fldChar w:fldCharType="end"/>
        </w:r>
      </w:hyperlink>
    </w:p>
    <w:p w14:paraId="39D204DF" w14:textId="762CFB9D" w:rsidR="00DA2B90" w:rsidRDefault="00D2215B">
      <w:pPr>
        <w:pStyle w:val="TOC3"/>
        <w:rPr>
          <w:rFonts w:asciiTheme="minorHAnsi" w:eastAsiaTheme="minorEastAsia" w:hAnsiTheme="minorHAnsi" w:cstheme="minorBidi"/>
          <w:noProof/>
          <w:sz w:val="22"/>
          <w:szCs w:val="22"/>
          <w:lang w:eastAsia="en-NZ"/>
        </w:rPr>
      </w:pPr>
      <w:hyperlink w:anchor="_Toc19101887" w:history="1">
        <w:r w:rsidR="00DA2B90" w:rsidRPr="00AC13B1">
          <w:rPr>
            <w:rStyle w:val="Hyperlink"/>
            <w:noProof/>
          </w:rPr>
          <w:t>Figure 36: Cancer mortality rates, by site, 25+ years, Māori males, 1996–98 to 2012–14</w:t>
        </w:r>
        <w:r w:rsidR="00DA2B90">
          <w:rPr>
            <w:noProof/>
            <w:webHidden/>
          </w:rPr>
          <w:tab/>
        </w:r>
        <w:r w:rsidR="00DA2B90">
          <w:rPr>
            <w:noProof/>
            <w:webHidden/>
          </w:rPr>
          <w:fldChar w:fldCharType="begin"/>
        </w:r>
        <w:r w:rsidR="00DA2B90">
          <w:rPr>
            <w:noProof/>
            <w:webHidden/>
          </w:rPr>
          <w:instrText xml:space="preserve"> PAGEREF _Toc19101887 \h </w:instrText>
        </w:r>
        <w:r w:rsidR="00DA2B90">
          <w:rPr>
            <w:noProof/>
            <w:webHidden/>
          </w:rPr>
        </w:r>
        <w:r w:rsidR="00DA2B90">
          <w:rPr>
            <w:noProof/>
            <w:webHidden/>
          </w:rPr>
          <w:fldChar w:fldCharType="separate"/>
        </w:r>
        <w:r>
          <w:rPr>
            <w:noProof/>
            <w:webHidden/>
          </w:rPr>
          <w:t>80</w:t>
        </w:r>
        <w:r w:rsidR="00DA2B90">
          <w:rPr>
            <w:noProof/>
            <w:webHidden/>
          </w:rPr>
          <w:fldChar w:fldCharType="end"/>
        </w:r>
      </w:hyperlink>
    </w:p>
    <w:p w14:paraId="4911A478" w14:textId="2838A625" w:rsidR="00DA2B90" w:rsidRDefault="00D2215B">
      <w:pPr>
        <w:pStyle w:val="TOC3"/>
        <w:rPr>
          <w:rFonts w:asciiTheme="minorHAnsi" w:eastAsiaTheme="minorEastAsia" w:hAnsiTheme="minorHAnsi" w:cstheme="minorBidi"/>
          <w:noProof/>
          <w:sz w:val="22"/>
          <w:szCs w:val="22"/>
          <w:lang w:eastAsia="en-NZ"/>
        </w:rPr>
      </w:pPr>
      <w:hyperlink w:anchor="_Toc19101888" w:history="1">
        <w:r w:rsidR="00DA2B90" w:rsidRPr="00AC13B1">
          <w:rPr>
            <w:rStyle w:val="Hyperlink"/>
            <w:noProof/>
          </w:rPr>
          <w:t>Figure 37: Cancer registration rates, by site, 25+ years, Māori females, 1996–98 to 2013–15</w:t>
        </w:r>
        <w:r w:rsidR="00DA2B90">
          <w:rPr>
            <w:noProof/>
            <w:webHidden/>
          </w:rPr>
          <w:tab/>
        </w:r>
        <w:r w:rsidR="00DA2B90">
          <w:rPr>
            <w:noProof/>
            <w:webHidden/>
          </w:rPr>
          <w:fldChar w:fldCharType="begin"/>
        </w:r>
        <w:r w:rsidR="00DA2B90">
          <w:rPr>
            <w:noProof/>
            <w:webHidden/>
          </w:rPr>
          <w:instrText xml:space="preserve"> PAGEREF _Toc19101888 \h </w:instrText>
        </w:r>
        <w:r w:rsidR="00DA2B90">
          <w:rPr>
            <w:noProof/>
            <w:webHidden/>
          </w:rPr>
        </w:r>
        <w:r w:rsidR="00DA2B90">
          <w:rPr>
            <w:noProof/>
            <w:webHidden/>
          </w:rPr>
          <w:fldChar w:fldCharType="separate"/>
        </w:r>
        <w:r>
          <w:rPr>
            <w:noProof/>
            <w:webHidden/>
          </w:rPr>
          <w:t>81</w:t>
        </w:r>
        <w:r w:rsidR="00DA2B90">
          <w:rPr>
            <w:noProof/>
            <w:webHidden/>
          </w:rPr>
          <w:fldChar w:fldCharType="end"/>
        </w:r>
      </w:hyperlink>
    </w:p>
    <w:p w14:paraId="44DF780B" w14:textId="6BFACC44" w:rsidR="00DA2B90" w:rsidRDefault="00D2215B">
      <w:pPr>
        <w:pStyle w:val="TOC3"/>
        <w:rPr>
          <w:rFonts w:asciiTheme="minorHAnsi" w:eastAsiaTheme="minorEastAsia" w:hAnsiTheme="minorHAnsi" w:cstheme="minorBidi"/>
          <w:noProof/>
          <w:sz w:val="22"/>
          <w:szCs w:val="22"/>
          <w:lang w:eastAsia="en-NZ"/>
        </w:rPr>
      </w:pPr>
      <w:hyperlink w:anchor="_Toc19101889" w:history="1">
        <w:r w:rsidR="00DA2B90" w:rsidRPr="00AC13B1">
          <w:rPr>
            <w:rStyle w:val="Hyperlink"/>
            <w:noProof/>
          </w:rPr>
          <w:t>Figure 38: Cancer mortality rates, by site, 25+ years, Māori females, 1996–98 to 2012–14</w:t>
        </w:r>
        <w:r w:rsidR="00DA2B90">
          <w:rPr>
            <w:noProof/>
            <w:webHidden/>
          </w:rPr>
          <w:tab/>
        </w:r>
        <w:r w:rsidR="00DA2B90">
          <w:rPr>
            <w:noProof/>
            <w:webHidden/>
          </w:rPr>
          <w:fldChar w:fldCharType="begin"/>
        </w:r>
        <w:r w:rsidR="00DA2B90">
          <w:rPr>
            <w:noProof/>
            <w:webHidden/>
          </w:rPr>
          <w:instrText xml:space="preserve"> PAGEREF _Toc19101889 \h </w:instrText>
        </w:r>
        <w:r w:rsidR="00DA2B90">
          <w:rPr>
            <w:noProof/>
            <w:webHidden/>
          </w:rPr>
        </w:r>
        <w:r w:rsidR="00DA2B90">
          <w:rPr>
            <w:noProof/>
            <w:webHidden/>
          </w:rPr>
          <w:fldChar w:fldCharType="separate"/>
        </w:r>
        <w:r>
          <w:rPr>
            <w:noProof/>
            <w:webHidden/>
          </w:rPr>
          <w:t>82</w:t>
        </w:r>
        <w:r w:rsidR="00DA2B90">
          <w:rPr>
            <w:noProof/>
            <w:webHidden/>
          </w:rPr>
          <w:fldChar w:fldCharType="end"/>
        </w:r>
      </w:hyperlink>
    </w:p>
    <w:p w14:paraId="4C0D1FC7" w14:textId="07481D35" w:rsidR="00DA2B90" w:rsidRDefault="00D2215B">
      <w:pPr>
        <w:pStyle w:val="TOC3"/>
        <w:rPr>
          <w:rFonts w:asciiTheme="minorHAnsi" w:eastAsiaTheme="minorEastAsia" w:hAnsiTheme="minorHAnsi" w:cstheme="minorBidi"/>
          <w:noProof/>
          <w:sz w:val="22"/>
          <w:szCs w:val="22"/>
          <w:lang w:eastAsia="en-NZ"/>
        </w:rPr>
      </w:pPr>
      <w:hyperlink w:anchor="_Toc19101890" w:history="1">
        <w:r w:rsidR="00DA2B90" w:rsidRPr="00AC13B1">
          <w:rPr>
            <w:rStyle w:val="Hyperlink"/>
            <w:noProof/>
          </w:rPr>
          <w:t>Figure 39: Lung cancer registration rates, 25+ years, Māori and non</w:t>
        </w:r>
        <w:r w:rsidR="00DA2B90" w:rsidRPr="00AC13B1">
          <w:rPr>
            <w:rStyle w:val="Hyperlink"/>
            <w:noProof/>
          </w:rPr>
          <w:noBreakHyphen/>
          <w:t>Māori males, 1996–98 to 2013–15</w:t>
        </w:r>
        <w:r w:rsidR="00DA2B90">
          <w:rPr>
            <w:noProof/>
            <w:webHidden/>
          </w:rPr>
          <w:tab/>
        </w:r>
        <w:r w:rsidR="00DA2B90">
          <w:rPr>
            <w:noProof/>
            <w:webHidden/>
          </w:rPr>
          <w:fldChar w:fldCharType="begin"/>
        </w:r>
        <w:r w:rsidR="00DA2B90">
          <w:rPr>
            <w:noProof/>
            <w:webHidden/>
          </w:rPr>
          <w:instrText xml:space="preserve"> PAGEREF _Toc19101890 \h </w:instrText>
        </w:r>
        <w:r w:rsidR="00DA2B90">
          <w:rPr>
            <w:noProof/>
            <w:webHidden/>
          </w:rPr>
        </w:r>
        <w:r w:rsidR="00DA2B90">
          <w:rPr>
            <w:noProof/>
            <w:webHidden/>
          </w:rPr>
          <w:fldChar w:fldCharType="separate"/>
        </w:r>
        <w:r>
          <w:rPr>
            <w:noProof/>
            <w:webHidden/>
          </w:rPr>
          <w:t>83</w:t>
        </w:r>
        <w:r w:rsidR="00DA2B90">
          <w:rPr>
            <w:noProof/>
            <w:webHidden/>
          </w:rPr>
          <w:fldChar w:fldCharType="end"/>
        </w:r>
      </w:hyperlink>
    </w:p>
    <w:p w14:paraId="2E88F0B5" w14:textId="1BF3BA7E" w:rsidR="00DA2B90" w:rsidRDefault="00D2215B">
      <w:pPr>
        <w:pStyle w:val="TOC3"/>
        <w:rPr>
          <w:rFonts w:asciiTheme="minorHAnsi" w:eastAsiaTheme="minorEastAsia" w:hAnsiTheme="minorHAnsi" w:cstheme="minorBidi"/>
          <w:noProof/>
          <w:sz w:val="22"/>
          <w:szCs w:val="22"/>
          <w:lang w:eastAsia="en-NZ"/>
        </w:rPr>
      </w:pPr>
      <w:hyperlink w:anchor="_Toc19101891" w:history="1">
        <w:r w:rsidR="00DA2B90" w:rsidRPr="00AC13B1">
          <w:rPr>
            <w:rStyle w:val="Hyperlink"/>
            <w:noProof/>
          </w:rPr>
          <w:t>Figure 40: Lung cancer registration rates, 25+ years, Māori and non</w:t>
        </w:r>
        <w:r w:rsidR="00DA2B90" w:rsidRPr="00AC13B1">
          <w:rPr>
            <w:rStyle w:val="Hyperlink"/>
            <w:noProof/>
          </w:rPr>
          <w:noBreakHyphen/>
          <w:t>Māori females, 1996–98 to 2013–15</w:t>
        </w:r>
        <w:r w:rsidR="00DA2B90">
          <w:rPr>
            <w:noProof/>
            <w:webHidden/>
          </w:rPr>
          <w:tab/>
        </w:r>
        <w:r w:rsidR="00DA2B90">
          <w:rPr>
            <w:noProof/>
            <w:webHidden/>
          </w:rPr>
          <w:fldChar w:fldCharType="begin"/>
        </w:r>
        <w:r w:rsidR="00DA2B90">
          <w:rPr>
            <w:noProof/>
            <w:webHidden/>
          </w:rPr>
          <w:instrText xml:space="preserve"> PAGEREF _Toc19101891 \h </w:instrText>
        </w:r>
        <w:r w:rsidR="00DA2B90">
          <w:rPr>
            <w:noProof/>
            <w:webHidden/>
          </w:rPr>
        </w:r>
        <w:r w:rsidR="00DA2B90">
          <w:rPr>
            <w:noProof/>
            <w:webHidden/>
          </w:rPr>
          <w:fldChar w:fldCharType="separate"/>
        </w:r>
        <w:r>
          <w:rPr>
            <w:noProof/>
            <w:webHidden/>
          </w:rPr>
          <w:t>84</w:t>
        </w:r>
        <w:r w:rsidR="00DA2B90">
          <w:rPr>
            <w:noProof/>
            <w:webHidden/>
          </w:rPr>
          <w:fldChar w:fldCharType="end"/>
        </w:r>
      </w:hyperlink>
    </w:p>
    <w:p w14:paraId="56871A4E" w14:textId="51EEAACC" w:rsidR="00DA2B90" w:rsidRDefault="00D2215B">
      <w:pPr>
        <w:pStyle w:val="TOC3"/>
        <w:rPr>
          <w:rFonts w:asciiTheme="minorHAnsi" w:eastAsiaTheme="minorEastAsia" w:hAnsiTheme="minorHAnsi" w:cstheme="minorBidi"/>
          <w:noProof/>
          <w:sz w:val="22"/>
          <w:szCs w:val="22"/>
          <w:lang w:eastAsia="en-NZ"/>
        </w:rPr>
      </w:pPr>
      <w:hyperlink w:anchor="_Toc19101892" w:history="1">
        <w:r w:rsidR="00DA2B90" w:rsidRPr="00AC13B1">
          <w:rPr>
            <w:rStyle w:val="Hyperlink"/>
            <w:noProof/>
          </w:rPr>
          <w:t>Figure 41: Lung cancer mortality rates, 25+ years, Māori and non</w:t>
        </w:r>
        <w:r w:rsidR="00DA2B90" w:rsidRPr="00AC13B1">
          <w:rPr>
            <w:rStyle w:val="Hyperlink"/>
            <w:noProof/>
          </w:rPr>
          <w:noBreakHyphen/>
          <w:t>Māori males, 1996–98 to 2012–14</w:t>
        </w:r>
        <w:r w:rsidR="00DA2B90">
          <w:rPr>
            <w:noProof/>
            <w:webHidden/>
          </w:rPr>
          <w:tab/>
        </w:r>
        <w:r w:rsidR="00DA2B90">
          <w:rPr>
            <w:noProof/>
            <w:webHidden/>
          </w:rPr>
          <w:fldChar w:fldCharType="begin"/>
        </w:r>
        <w:r w:rsidR="00DA2B90">
          <w:rPr>
            <w:noProof/>
            <w:webHidden/>
          </w:rPr>
          <w:instrText xml:space="preserve"> PAGEREF _Toc19101892 \h </w:instrText>
        </w:r>
        <w:r w:rsidR="00DA2B90">
          <w:rPr>
            <w:noProof/>
            <w:webHidden/>
          </w:rPr>
        </w:r>
        <w:r w:rsidR="00DA2B90">
          <w:rPr>
            <w:noProof/>
            <w:webHidden/>
          </w:rPr>
          <w:fldChar w:fldCharType="separate"/>
        </w:r>
        <w:r>
          <w:rPr>
            <w:noProof/>
            <w:webHidden/>
          </w:rPr>
          <w:t>86</w:t>
        </w:r>
        <w:r w:rsidR="00DA2B90">
          <w:rPr>
            <w:noProof/>
            <w:webHidden/>
          </w:rPr>
          <w:fldChar w:fldCharType="end"/>
        </w:r>
      </w:hyperlink>
    </w:p>
    <w:p w14:paraId="18091847" w14:textId="48C1A054" w:rsidR="00DA2B90" w:rsidRDefault="00D2215B">
      <w:pPr>
        <w:pStyle w:val="TOC3"/>
        <w:rPr>
          <w:rFonts w:asciiTheme="minorHAnsi" w:eastAsiaTheme="minorEastAsia" w:hAnsiTheme="minorHAnsi" w:cstheme="minorBidi"/>
          <w:noProof/>
          <w:sz w:val="22"/>
          <w:szCs w:val="22"/>
          <w:lang w:eastAsia="en-NZ"/>
        </w:rPr>
      </w:pPr>
      <w:hyperlink w:anchor="_Toc19101893" w:history="1">
        <w:r w:rsidR="00DA2B90" w:rsidRPr="00AC13B1">
          <w:rPr>
            <w:rStyle w:val="Hyperlink"/>
            <w:noProof/>
          </w:rPr>
          <w:t>Figure 42: Lung cancer mortality rates, 25+ years, Māori and non</w:t>
        </w:r>
        <w:r w:rsidR="00DA2B90" w:rsidRPr="00AC13B1">
          <w:rPr>
            <w:rStyle w:val="Hyperlink"/>
            <w:noProof/>
          </w:rPr>
          <w:noBreakHyphen/>
          <w:t>Māori females, 1996–98 to 2012–14</w:t>
        </w:r>
        <w:r w:rsidR="00DA2B90">
          <w:rPr>
            <w:noProof/>
            <w:webHidden/>
          </w:rPr>
          <w:tab/>
        </w:r>
        <w:r w:rsidR="00DA2B90">
          <w:rPr>
            <w:noProof/>
            <w:webHidden/>
          </w:rPr>
          <w:fldChar w:fldCharType="begin"/>
        </w:r>
        <w:r w:rsidR="00DA2B90">
          <w:rPr>
            <w:noProof/>
            <w:webHidden/>
          </w:rPr>
          <w:instrText xml:space="preserve"> PAGEREF _Toc19101893 \h </w:instrText>
        </w:r>
        <w:r w:rsidR="00DA2B90">
          <w:rPr>
            <w:noProof/>
            <w:webHidden/>
          </w:rPr>
        </w:r>
        <w:r w:rsidR="00DA2B90">
          <w:rPr>
            <w:noProof/>
            <w:webHidden/>
          </w:rPr>
          <w:fldChar w:fldCharType="separate"/>
        </w:r>
        <w:r>
          <w:rPr>
            <w:noProof/>
            <w:webHidden/>
          </w:rPr>
          <w:t>87</w:t>
        </w:r>
        <w:r w:rsidR="00DA2B90">
          <w:rPr>
            <w:noProof/>
            <w:webHidden/>
          </w:rPr>
          <w:fldChar w:fldCharType="end"/>
        </w:r>
      </w:hyperlink>
    </w:p>
    <w:p w14:paraId="2FF50B86" w14:textId="2FA86781" w:rsidR="00DA2B90" w:rsidRDefault="00D2215B">
      <w:pPr>
        <w:pStyle w:val="TOC3"/>
        <w:rPr>
          <w:rFonts w:asciiTheme="minorHAnsi" w:eastAsiaTheme="minorEastAsia" w:hAnsiTheme="minorHAnsi" w:cstheme="minorBidi"/>
          <w:noProof/>
          <w:sz w:val="22"/>
          <w:szCs w:val="22"/>
          <w:lang w:eastAsia="en-NZ"/>
        </w:rPr>
      </w:pPr>
      <w:hyperlink w:anchor="_Toc19101894" w:history="1">
        <w:r w:rsidR="00DA2B90" w:rsidRPr="00AC13B1">
          <w:rPr>
            <w:rStyle w:val="Hyperlink"/>
            <w:noProof/>
          </w:rPr>
          <w:t>Figure 43: Colorectal cancer registration rates, 25+ years, Māori and non</w:t>
        </w:r>
        <w:r w:rsidR="00DA2B90" w:rsidRPr="00AC13B1">
          <w:rPr>
            <w:rStyle w:val="Hyperlink"/>
            <w:noProof/>
          </w:rPr>
          <w:noBreakHyphen/>
          <w:t>Māori males, 1996–98 to 2013–15</w:t>
        </w:r>
        <w:r w:rsidR="00DA2B90">
          <w:rPr>
            <w:noProof/>
            <w:webHidden/>
          </w:rPr>
          <w:tab/>
        </w:r>
        <w:r w:rsidR="00DA2B90">
          <w:rPr>
            <w:noProof/>
            <w:webHidden/>
          </w:rPr>
          <w:fldChar w:fldCharType="begin"/>
        </w:r>
        <w:r w:rsidR="00DA2B90">
          <w:rPr>
            <w:noProof/>
            <w:webHidden/>
          </w:rPr>
          <w:instrText xml:space="preserve"> PAGEREF _Toc19101894 \h </w:instrText>
        </w:r>
        <w:r w:rsidR="00DA2B90">
          <w:rPr>
            <w:noProof/>
            <w:webHidden/>
          </w:rPr>
        </w:r>
        <w:r w:rsidR="00DA2B90">
          <w:rPr>
            <w:noProof/>
            <w:webHidden/>
          </w:rPr>
          <w:fldChar w:fldCharType="separate"/>
        </w:r>
        <w:r>
          <w:rPr>
            <w:noProof/>
            <w:webHidden/>
          </w:rPr>
          <w:t>89</w:t>
        </w:r>
        <w:r w:rsidR="00DA2B90">
          <w:rPr>
            <w:noProof/>
            <w:webHidden/>
          </w:rPr>
          <w:fldChar w:fldCharType="end"/>
        </w:r>
      </w:hyperlink>
    </w:p>
    <w:p w14:paraId="66C7E234" w14:textId="5346F334" w:rsidR="00DA2B90" w:rsidRDefault="00D2215B">
      <w:pPr>
        <w:pStyle w:val="TOC3"/>
        <w:rPr>
          <w:rFonts w:asciiTheme="minorHAnsi" w:eastAsiaTheme="minorEastAsia" w:hAnsiTheme="minorHAnsi" w:cstheme="minorBidi"/>
          <w:noProof/>
          <w:sz w:val="22"/>
          <w:szCs w:val="22"/>
          <w:lang w:eastAsia="en-NZ"/>
        </w:rPr>
      </w:pPr>
      <w:hyperlink w:anchor="_Toc19101895" w:history="1">
        <w:r w:rsidR="00DA2B90" w:rsidRPr="00AC13B1">
          <w:rPr>
            <w:rStyle w:val="Hyperlink"/>
            <w:noProof/>
          </w:rPr>
          <w:t>Figure 44: Colorectal cancer registration rates, 25+ years, Māori and non</w:t>
        </w:r>
        <w:r w:rsidR="00DA2B90" w:rsidRPr="00AC13B1">
          <w:rPr>
            <w:rStyle w:val="Hyperlink"/>
            <w:noProof/>
          </w:rPr>
          <w:noBreakHyphen/>
          <w:t>Māori females, 1996–98 to 2013–15</w:t>
        </w:r>
        <w:r w:rsidR="00DA2B90">
          <w:rPr>
            <w:noProof/>
            <w:webHidden/>
          </w:rPr>
          <w:tab/>
        </w:r>
        <w:r w:rsidR="00DA2B90">
          <w:rPr>
            <w:noProof/>
            <w:webHidden/>
          </w:rPr>
          <w:fldChar w:fldCharType="begin"/>
        </w:r>
        <w:r w:rsidR="00DA2B90">
          <w:rPr>
            <w:noProof/>
            <w:webHidden/>
          </w:rPr>
          <w:instrText xml:space="preserve"> PAGEREF _Toc19101895 \h </w:instrText>
        </w:r>
        <w:r w:rsidR="00DA2B90">
          <w:rPr>
            <w:noProof/>
            <w:webHidden/>
          </w:rPr>
        </w:r>
        <w:r w:rsidR="00DA2B90">
          <w:rPr>
            <w:noProof/>
            <w:webHidden/>
          </w:rPr>
          <w:fldChar w:fldCharType="separate"/>
        </w:r>
        <w:r>
          <w:rPr>
            <w:noProof/>
            <w:webHidden/>
          </w:rPr>
          <w:t>90</w:t>
        </w:r>
        <w:r w:rsidR="00DA2B90">
          <w:rPr>
            <w:noProof/>
            <w:webHidden/>
          </w:rPr>
          <w:fldChar w:fldCharType="end"/>
        </w:r>
      </w:hyperlink>
    </w:p>
    <w:p w14:paraId="1D3DCC85" w14:textId="12757E1C" w:rsidR="00DA2B90" w:rsidRDefault="00D2215B">
      <w:pPr>
        <w:pStyle w:val="TOC3"/>
        <w:rPr>
          <w:rFonts w:asciiTheme="minorHAnsi" w:eastAsiaTheme="minorEastAsia" w:hAnsiTheme="minorHAnsi" w:cstheme="minorBidi"/>
          <w:noProof/>
          <w:sz w:val="22"/>
          <w:szCs w:val="22"/>
          <w:lang w:eastAsia="en-NZ"/>
        </w:rPr>
      </w:pPr>
      <w:hyperlink w:anchor="_Toc19101896" w:history="1">
        <w:r w:rsidR="00DA2B90" w:rsidRPr="00AC13B1">
          <w:rPr>
            <w:rStyle w:val="Hyperlink"/>
            <w:noProof/>
          </w:rPr>
          <w:t>Figure 45: Colorectal cancer mortality rates, 25+ years, Māori and non</w:t>
        </w:r>
        <w:r w:rsidR="00DA2B90" w:rsidRPr="00AC13B1">
          <w:rPr>
            <w:rStyle w:val="Hyperlink"/>
            <w:noProof/>
          </w:rPr>
          <w:noBreakHyphen/>
          <w:t>Māori males, 1996–98 to 2012–14</w:t>
        </w:r>
        <w:r w:rsidR="00DA2B90">
          <w:rPr>
            <w:noProof/>
            <w:webHidden/>
          </w:rPr>
          <w:tab/>
        </w:r>
        <w:r w:rsidR="00DA2B90">
          <w:rPr>
            <w:noProof/>
            <w:webHidden/>
          </w:rPr>
          <w:fldChar w:fldCharType="begin"/>
        </w:r>
        <w:r w:rsidR="00DA2B90">
          <w:rPr>
            <w:noProof/>
            <w:webHidden/>
          </w:rPr>
          <w:instrText xml:space="preserve"> PAGEREF _Toc19101896 \h </w:instrText>
        </w:r>
        <w:r w:rsidR="00DA2B90">
          <w:rPr>
            <w:noProof/>
            <w:webHidden/>
          </w:rPr>
        </w:r>
        <w:r w:rsidR="00DA2B90">
          <w:rPr>
            <w:noProof/>
            <w:webHidden/>
          </w:rPr>
          <w:fldChar w:fldCharType="separate"/>
        </w:r>
        <w:r>
          <w:rPr>
            <w:noProof/>
            <w:webHidden/>
          </w:rPr>
          <w:t>92</w:t>
        </w:r>
        <w:r w:rsidR="00DA2B90">
          <w:rPr>
            <w:noProof/>
            <w:webHidden/>
          </w:rPr>
          <w:fldChar w:fldCharType="end"/>
        </w:r>
      </w:hyperlink>
    </w:p>
    <w:p w14:paraId="66DBC5CF" w14:textId="31CEC27E" w:rsidR="00DA2B90" w:rsidRDefault="00D2215B">
      <w:pPr>
        <w:pStyle w:val="TOC3"/>
        <w:rPr>
          <w:rFonts w:asciiTheme="minorHAnsi" w:eastAsiaTheme="minorEastAsia" w:hAnsiTheme="minorHAnsi" w:cstheme="minorBidi"/>
          <w:noProof/>
          <w:sz w:val="22"/>
          <w:szCs w:val="22"/>
          <w:lang w:eastAsia="en-NZ"/>
        </w:rPr>
      </w:pPr>
      <w:hyperlink w:anchor="_Toc19101897" w:history="1">
        <w:r w:rsidR="00DA2B90" w:rsidRPr="00AC13B1">
          <w:rPr>
            <w:rStyle w:val="Hyperlink"/>
            <w:noProof/>
          </w:rPr>
          <w:t>Figure 46: Colorectal cancer mortality rates, 25+ years, Māori and non</w:t>
        </w:r>
        <w:r w:rsidR="00DA2B90" w:rsidRPr="00AC13B1">
          <w:rPr>
            <w:rStyle w:val="Hyperlink"/>
            <w:noProof/>
          </w:rPr>
          <w:noBreakHyphen/>
          <w:t>Māori females, 1996–98 to 2012–14</w:t>
        </w:r>
        <w:r w:rsidR="00DA2B90">
          <w:rPr>
            <w:noProof/>
            <w:webHidden/>
          </w:rPr>
          <w:tab/>
        </w:r>
        <w:r w:rsidR="00DA2B90">
          <w:rPr>
            <w:noProof/>
            <w:webHidden/>
          </w:rPr>
          <w:fldChar w:fldCharType="begin"/>
        </w:r>
        <w:r w:rsidR="00DA2B90">
          <w:rPr>
            <w:noProof/>
            <w:webHidden/>
          </w:rPr>
          <w:instrText xml:space="preserve"> PAGEREF _Toc19101897 \h </w:instrText>
        </w:r>
        <w:r w:rsidR="00DA2B90">
          <w:rPr>
            <w:noProof/>
            <w:webHidden/>
          </w:rPr>
        </w:r>
        <w:r w:rsidR="00DA2B90">
          <w:rPr>
            <w:noProof/>
            <w:webHidden/>
          </w:rPr>
          <w:fldChar w:fldCharType="separate"/>
        </w:r>
        <w:r>
          <w:rPr>
            <w:noProof/>
            <w:webHidden/>
          </w:rPr>
          <w:t>93</w:t>
        </w:r>
        <w:r w:rsidR="00DA2B90">
          <w:rPr>
            <w:noProof/>
            <w:webHidden/>
          </w:rPr>
          <w:fldChar w:fldCharType="end"/>
        </w:r>
      </w:hyperlink>
    </w:p>
    <w:p w14:paraId="18407895" w14:textId="29BE5C8E" w:rsidR="00DA2B90" w:rsidRDefault="00D2215B">
      <w:pPr>
        <w:pStyle w:val="TOC3"/>
        <w:rPr>
          <w:rFonts w:asciiTheme="minorHAnsi" w:eastAsiaTheme="minorEastAsia" w:hAnsiTheme="minorHAnsi" w:cstheme="minorBidi"/>
          <w:noProof/>
          <w:sz w:val="22"/>
          <w:szCs w:val="22"/>
          <w:lang w:eastAsia="en-NZ"/>
        </w:rPr>
      </w:pPr>
      <w:hyperlink w:anchor="_Toc19101898" w:history="1">
        <w:r w:rsidR="00DA2B90" w:rsidRPr="00AC13B1">
          <w:rPr>
            <w:rStyle w:val="Hyperlink"/>
            <w:noProof/>
          </w:rPr>
          <w:t>Figure 47: Cervical cancer registration rates, 25+ years, Māori and non</w:t>
        </w:r>
        <w:r w:rsidR="00DA2B90" w:rsidRPr="00AC13B1">
          <w:rPr>
            <w:rStyle w:val="Hyperlink"/>
            <w:noProof/>
          </w:rPr>
          <w:noBreakHyphen/>
          <w:t>Māori females, 1996–98 to 2013–15</w:t>
        </w:r>
        <w:r w:rsidR="00DA2B90">
          <w:rPr>
            <w:noProof/>
            <w:webHidden/>
          </w:rPr>
          <w:tab/>
        </w:r>
        <w:r w:rsidR="00DA2B90">
          <w:rPr>
            <w:noProof/>
            <w:webHidden/>
          </w:rPr>
          <w:fldChar w:fldCharType="begin"/>
        </w:r>
        <w:r w:rsidR="00DA2B90">
          <w:rPr>
            <w:noProof/>
            <w:webHidden/>
          </w:rPr>
          <w:instrText xml:space="preserve"> PAGEREF _Toc19101898 \h </w:instrText>
        </w:r>
        <w:r w:rsidR="00DA2B90">
          <w:rPr>
            <w:noProof/>
            <w:webHidden/>
          </w:rPr>
        </w:r>
        <w:r w:rsidR="00DA2B90">
          <w:rPr>
            <w:noProof/>
            <w:webHidden/>
          </w:rPr>
          <w:fldChar w:fldCharType="separate"/>
        </w:r>
        <w:r>
          <w:rPr>
            <w:noProof/>
            <w:webHidden/>
          </w:rPr>
          <w:t>95</w:t>
        </w:r>
        <w:r w:rsidR="00DA2B90">
          <w:rPr>
            <w:noProof/>
            <w:webHidden/>
          </w:rPr>
          <w:fldChar w:fldCharType="end"/>
        </w:r>
      </w:hyperlink>
    </w:p>
    <w:p w14:paraId="7C5EB28F" w14:textId="78110B34" w:rsidR="00DA2B90" w:rsidRDefault="00D2215B">
      <w:pPr>
        <w:pStyle w:val="TOC3"/>
        <w:rPr>
          <w:rFonts w:asciiTheme="minorHAnsi" w:eastAsiaTheme="minorEastAsia" w:hAnsiTheme="minorHAnsi" w:cstheme="minorBidi"/>
          <w:noProof/>
          <w:sz w:val="22"/>
          <w:szCs w:val="22"/>
          <w:lang w:eastAsia="en-NZ"/>
        </w:rPr>
      </w:pPr>
      <w:hyperlink w:anchor="_Toc19101899" w:history="1">
        <w:r w:rsidR="00DA2B90" w:rsidRPr="00AC13B1">
          <w:rPr>
            <w:rStyle w:val="Hyperlink"/>
            <w:noProof/>
          </w:rPr>
          <w:t>Figure 48: Cervical cancer mortality rates, 25+ years, Māori and non</w:t>
        </w:r>
        <w:r w:rsidR="00DA2B90" w:rsidRPr="00AC13B1">
          <w:rPr>
            <w:rStyle w:val="Hyperlink"/>
            <w:noProof/>
          </w:rPr>
          <w:noBreakHyphen/>
          <w:t>Māori females, 1996–98 to 2012–14</w:t>
        </w:r>
        <w:r w:rsidR="00DA2B90">
          <w:rPr>
            <w:noProof/>
            <w:webHidden/>
          </w:rPr>
          <w:tab/>
        </w:r>
        <w:r w:rsidR="00DA2B90">
          <w:rPr>
            <w:noProof/>
            <w:webHidden/>
          </w:rPr>
          <w:fldChar w:fldCharType="begin"/>
        </w:r>
        <w:r w:rsidR="00DA2B90">
          <w:rPr>
            <w:noProof/>
            <w:webHidden/>
          </w:rPr>
          <w:instrText xml:space="preserve"> PAGEREF _Toc19101899 \h </w:instrText>
        </w:r>
        <w:r w:rsidR="00DA2B90">
          <w:rPr>
            <w:noProof/>
            <w:webHidden/>
          </w:rPr>
        </w:r>
        <w:r w:rsidR="00DA2B90">
          <w:rPr>
            <w:noProof/>
            <w:webHidden/>
          </w:rPr>
          <w:fldChar w:fldCharType="separate"/>
        </w:r>
        <w:r>
          <w:rPr>
            <w:noProof/>
            <w:webHidden/>
          </w:rPr>
          <w:t>96</w:t>
        </w:r>
        <w:r w:rsidR="00DA2B90">
          <w:rPr>
            <w:noProof/>
            <w:webHidden/>
          </w:rPr>
          <w:fldChar w:fldCharType="end"/>
        </w:r>
      </w:hyperlink>
    </w:p>
    <w:p w14:paraId="57F50E43" w14:textId="1541237D" w:rsidR="00DA2B90" w:rsidRDefault="00D2215B">
      <w:pPr>
        <w:pStyle w:val="TOC3"/>
        <w:rPr>
          <w:rFonts w:asciiTheme="minorHAnsi" w:eastAsiaTheme="minorEastAsia" w:hAnsiTheme="minorHAnsi" w:cstheme="minorBidi"/>
          <w:noProof/>
          <w:sz w:val="22"/>
          <w:szCs w:val="22"/>
          <w:lang w:eastAsia="en-NZ"/>
        </w:rPr>
      </w:pPr>
      <w:hyperlink w:anchor="_Toc19101900" w:history="1">
        <w:r w:rsidR="00DA2B90" w:rsidRPr="00AC13B1">
          <w:rPr>
            <w:rStyle w:val="Hyperlink"/>
            <w:noProof/>
          </w:rPr>
          <w:t>Figure 49: Prostate cancer registration rates, 25+ years, Māori and non</w:t>
        </w:r>
        <w:r w:rsidR="00DA2B90" w:rsidRPr="00AC13B1">
          <w:rPr>
            <w:rStyle w:val="Hyperlink"/>
            <w:noProof/>
          </w:rPr>
          <w:noBreakHyphen/>
          <w:t>Māori males, 1996–98 to 2013–15</w:t>
        </w:r>
        <w:r w:rsidR="00DA2B90">
          <w:rPr>
            <w:noProof/>
            <w:webHidden/>
          </w:rPr>
          <w:tab/>
        </w:r>
        <w:r w:rsidR="00DA2B90">
          <w:rPr>
            <w:noProof/>
            <w:webHidden/>
          </w:rPr>
          <w:fldChar w:fldCharType="begin"/>
        </w:r>
        <w:r w:rsidR="00DA2B90">
          <w:rPr>
            <w:noProof/>
            <w:webHidden/>
          </w:rPr>
          <w:instrText xml:space="preserve"> PAGEREF _Toc19101900 \h </w:instrText>
        </w:r>
        <w:r w:rsidR="00DA2B90">
          <w:rPr>
            <w:noProof/>
            <w:webHidden/>
          </w:rPr>
        </w:r>
        <w:r w:rsidR="00DA2B90">
          <w:rPr>
            <w:noProof/>
            <w:webHidden/>
          </w:rPr>
          <w:fldChar w:fldCharType="separate"/>
        </w:r>
        <w:r>
          <w:rPr>
            <w:noProof/>
            <w:webHidden/>
          </w:rPr>
          <w:t>98</w:t>
        </w:r>
        <w:r w:rsidR="00DA2B90">
          <w:rPr>
            <w:noProof/>
            <w:webHidden/>
          </w:rPr>
          <w:fldChar w:fldCharType="end"/>
        </w:r>
      </w:hyperlink>
    </w:p>
    <w:p w14:paraId="6F30F2FC" w14:textId="059593DF" w:rsidR="00DA2B90" w:rsidRDefault="00D2215B">
      <w:pPr>
        <w:pStyle w:val="TOC3"/>
        <w:rPr>
          <w:rFonts w:asciiTheme="minorHAnsi" w:eastAsiaTheme="minorEastAsia" w:hAnsiTheme="minorHAnsi" w:cstheme="minorBidi"/>
          <w:noProof/>
          <w:sz w:val="22"/>
          <w:szCs w:val="22"/>
          <w:lang w:eastAsia="en-NZ"/>
        </w:rPr>
      </w:pPr>
      <w:hyperlink w:anchor="_Toc19101901" w:history="1">
        <w:r w:rsidR="00DA2B90" w:rsidRPr="00AC13B1">
          <w:rPr>
            <w:rStyle w:val="Hyperlink"/>
            <w:noProof/>
          </w:rPr>
          <w:t>Figure 50: Prostate cancer mortality rates, 25+ years, Māori and non</w:t>
        </w:r>
        <w:r w:rsidR="00DA2B90" w:rsidRPr="00AC13B1">
          <w:rPr>
            <w:rStyle w:val="Hyperlink"/>
            <w:noProof/>
          </w:rPr>
          <w:noBreakHyphen/>
          <w:t>Māori males, 1996–98 to 2012–14</w:t>
        </w:r>
        <w:r w:rsidR="00DA2B90">
          <w:rPr>
            <w:noProof/>
            <w:webHidden/>
          </w:rPr>
          <w:tab/>
        </w:r>
        <w:r w:rsidR="00DA2B90">
          <w:rPr>
            <w:noProof/>
            <w:webHidden/>
          </w:rPr>
          <w:fldChar w:fldCharType="begin"/>
        </w:r>
        <w:r w:rsidR="00DA2B90">
          <w:rPr>
            <w:noProof/>
            <w:webHidden/>
          </w:rPr>
          <w:instrText xml:space="preserve"> PAGEREF _Toc19101901 \h </w:instrText>
        </w:r>
        <w:r w:rsidR="00DA2B90">
          <w:rPr>
            <w:noProof/>
            <w:webHidden/>
          </w:rPr>
        </w:r>
        <w:r w:rsidR="00DA2B90">
          <w:rPr>
            <w:noProof/>
            <w:webHidden/>
          </w:rPr>
          <w:fldChar w:fldCharType="separate"/>
        </w:r>
        <w:r>
          <w:rPr>
            <w:noProof/>
            <w:webHidden/>
          </w:rPr>
          <w:t>99</w:t>
        </w:r>
        <w:r w:rsidR="00DA2B90">
          <w:rPr>
            <w:noProof/>
            <w:webHidden/>
          </w:rPr>
          <w:fldChar w:fldCharType="end"/>
        </w:r>
      </w:hyperlink>
    </w:p>
    <w:p w14:paraId="43E694CC" w14:textId="5034DF1E" w:rsidR="00DA2B90" w:rsidRDefault="00D2215B">
      <w:pPr>
        <w:pStyle w:val="TOC3"/>
        <w:rPr>
          <w:rFonts w:asciiTheme="minorHAnsi" w:eastAsiaTheme="minorEastAsia" w:hAnsiTheme="minorHAnsi" w:cstheme="minorBidi"/>
          <w:noProof/>
          <w:sz w:val="22"/>
          <w:szCs w:val="22"/>
          <w:lang w:eastAsia="en-NZ"/>
        </w:rPr>
      </w:pPr>
      <w:hyperlink w:anchor="_Toc19101902" w:history="1">
        <w:r w:rsidR="00DA2B90" w:rsidRPr="00AC13B1">
          <w:rPr>
            <w:rStyle w:val="Hyperlink"/>
            <w:noProof/>
          </w:rPr>
          <w:t>Figure 51: Breast cancer registration rates, 25+ years, Māori and non</w:t>
        </w:r>
        <w:r w:rsidR="00DA2B90" w:rsidRPr="00AC13B1">
          <w:rPr>
            <w:rStyle w:val="Hyperlink"/>
            <w:noProof/>
          </w:rPr>
          <w:noBreakHyphen/>
          <w:t>Māori females, 1996–98 to 2013–15</w:t>
        </w:r>
        <w:r w:rsidR="00DA2B90">
          <w:rPr>
            <w:noProof/>
            <w:webHidden/>
          </w:rPr>
          <w:tab/>
        </w:r>
        <w:r w:rsidR="00DA2B90">
          <w:rPr>
            <w:noProof/>
            <w:webHidden/>
          </w:rPr>
          <w:fldChar w:fldCharType="begin"/>
        </w:r>
        <w:r w:rsidR="00DA2B90">
          <w:rPr>
            <w:noProof/>
            <w:webHidden/>
          </w:rPr>
          <w:instrText xml:space="preserve"> PAGEREF _Toc19101902 \h </w:instrText>
        </w:r>
        <w:r w:rsidR="00DA2B90">
          <w:rPr>
            <w:noProof/>
            <w:webHidden/>
          </w:rPr>
        </w:r>
        <w:r w:rsidR="00DA2B90">
          <w:rPr>
            <w:noProof/>
            <w:webHidden/>
          </w:rPr>
          <w:fldChar w:fldCharType="separate"/>
        </w:r>
        <w:r>
          <w:rPr>
            <w:noProof/>
            <w:webHidden/>
          </w:rPr>
          <w:t>101</w:t>
        </w:r>
        <w:r w:rsidR="00DA2B90">
          <w:rPr>
            <w:noProof/>
            <w:webHidden/>
          </w:rPr>
          <w:fldChar w:fldCharType="end"/>
        </w:r>
      </w:hyperlink>
    </w:p>
    <w:p w14:paraId="7FE73BA2" w14:textId="65CBFD6B" w:rsidR="00DA2B90" w:rsidRDefault="00D2215B">
      <w:pPr>
        <w:pStyle w:val="TOC3"/>
        <w:rPr>
          <w:rFonts w:asciiTheme="minorHAnsi" w:eastAsiaTheme="minorEastAsia" w:hAnsiTheme="minorHAnsi" w:cstheme="minorBidi"/>
          <w:noProof/>
          <w:sz w:val="22"/>
          <w:szCs w:val="22"/>
          <w:lang w:eastAsia="en-NZ"/>
        </w:rPr>
      </w:pPr>
      <w:hyperlink w:anchor="_Toc19101903" w:history="1">
        <w:r w:rsidR="00DA2B90" w:rsidRPr="00AC13B1">
          <w:rPr>
            <w:rStyle w:val="Hyperlink"/>
            <w:noProof/>
          </w:rPr>
          <w:t>Figure 52: Breast cancer mortality rates, 25+ years, Māori and non</w:t>
        </w:r>
        <w:r w:rsidR="00DA2B90" w:rsidRPr="00AC13B1">
          <w:rPr>
            <w:rStyle w:val="Hyperlink"/>
            <w:noProof/>
          </w:rPr>
          <w:noBreakHyphen/>
          <w:t>Māori females, 1996–98 to 2012–14</w:t>
        </w:r>
        <w:r w:rsidR="00DA2B90">
          <w:rPr>
            <w:noProof/>
            <w:webHidden/>
          </w:rPr>
          <w:tab/>
        </w:r>
        <w:r w:rsidR="00DA2B90">
          <w:rPr>
            <w:noProof/>
            <w:webHidden/>
          </w:rPr>
          <w:fldChar w:fldCharType="begin"/>
        </w:r>
        <w:r w:rsidR="00DA2B90">
          <w:rPr>
            <w:noProof/>
            <w:webHidden/>
          </w:rPr>
          <w:instrText xml:space="preserve"> PAGEREF _Toc19101903 \h </w:instrText>
        </w:r>
        <w:r w:rsidR="00DA2B90">
          <w:rPr>
            <w:noProof/>
            <w:webHidden/>
          </w:rPr>
        </w:r>
        <w:r w:rsidR="00DA2B90">
          <w:rPr>
            <w:noProof/>
            <w:webHidden/>
          </w:rPr>
          <w:fldChar w:fldCharType="separate"/>
        </w:r>
        <w:r>
          <w:rPr>
            <w:noProof/>
            <w:webHidden/>
          </w:rPr>
          <w:t>102</w:t>
        </w:r>
        <w:r w:rsidR="00DA2B90">
          <w:rPr>
            <w:noProof/>
            <w:webHidden/>
          </w:rPr>
          <w:fldChar w:fldCharType="end"/>
        </w:r>
      </w:hyperlink>
    </w:p>
    <w:p w14:paraId="64E7BAC6" w14:textId="0A413E7B" w:rsidR="00DA2B90" w:rsidRDefault="00D2215B">
      <w:pPr>
        <w:pStyle w:val="TOC3"/>
        <w:rPr>
          <w:rFonts w:asciiTheme="minorHAnsi" w:eastAsiaTheme="minorEastAsia" w:hAnsiTheme="minorHAnsi" w:cstheme="minorBidi"/>
          <w:noProof/>
          <w:sz w:val="22"/>
          <w:szCs w:val="22"/>
          <w:lang w:eastAsia="en-NZ"/>
        </w:rPr>
      </w:pPr>
      <w:hyperlink w:anchor="_Toc19101904" w:history="1">
        <w:r w:rsidR="00DA2B90" w:rsidRPr="00AC13B1">
          <w:rPr>
            <w:rStyle w:val="Hyperlink"/>
            <w:noProof/>
            <w:lang w:eastAsia="en-NZ"/>
          </w:rPr>
          <w:t xml:space="preserve">Figure 53: </w:t>
        </w:r>
        <w:r w:rsidR="00DA2B90" w:rsidRPr="00AC13B1">
          <w:rPr>
            <w:rStyle w:val="Hyperlink"/>
            <w:noProof/>
          </w:rPr>
          <w:t>Māori and non</w:t>
        </w:r>
        <w:r w:rsidR="00DA2B90" w:rsidRPr="00AC13B1">
          <w:rPr>
            <w:rStyle w:val="Hyperlink"/>
            <w:noProof/>
          </w:rPr>
          <w:noBreakHyphen/>
          <w:t>Māori women screened in a two year screening period, aged 45–69 years, 2007–2017</w:t>
        </w:r>
        <w:r w:rsidR="00DA2B90">
          <w:rPr>
            <w:noProof/>
            <w:webHidden/>
          </w:rPr>
          <w:tab/>
        </w:r>
        <w:r w:rsidR="00DA2B90">
          <w:rPr>
            <w:noProof/>
            <w:webHidden/>
          </w:rPr>
          <w:fldChar w:fldCharType="begin"/>
        </w:r>
        <w:r w:rsidR="00DA2B90">
          <w:rPr>
            <w:noProof/>
            <w:webHidden/>
          </w:rPr>
          <w:instrText xml:space="preserve"> PAGEREF _Toc19101904 \h </w:instrText>
        </w:r>
        <w:r w:rsidR="00DA2B90">
          <w:rPr>
            <w:noProof/>
            <w:webHidden/>
          </w:rPr>
        </w:r>
        <w:r w:rsidR="00DA2B90">
          <w:rPr>
            <w:noProof/>
            <w:webHidden/>
          </w:rPr>
          <w:fldChar w:fldCharType="separate"/>
        </w:r>
        <w:r>
          <w:rPr>
            <w:noProof/>
            <w:webHidden/>
          </w:rPr>
          <w:t>105</w:t>
        </w:r>
        <w:r w:rsidR="00DA2B90">
          <w:rPr>
            <w:noProof/>
            <w:webHidden/>
          </w:rPr>
          <w:fldChar w:fldCharType="end"/>
        </w:r>
      </w:hyperlink>
    </w:p>
    <w:p w14:paraId="28F520C3" w14:textId="0D3D4C47" w:rsidR="00DA2B90" w:rsidRDefault="00D2215B">
      <w:pPr>
        <w:pStyle w:val="TOC3"/>
        <w:rPr>
          <w:rFonts w:asciiTheme="minorHAnsi" w:eastAsiaTheme="minorEastAsia" w:hAnsiTheme="minorHAnsi" w:cstheme="minorBidi"/>
          <w:noProof/>
          <w:sz w:val="22"/>
          <w:szCs w:val="22"/>
          <w:lang w:eastAsia="en-NZ"/>
        </w:rPr>
      </w:pPr>
      <w:hyperlink w:anchor="_Toc19101905" w:history="1">
        <w:r w:rsidR="00DA2B90" w:rsidRPr="00AC13B1">
          <w:rPr>
            <w:rStyle w:val="Hyperlink"/>
            <w:noProof/>
          </w:rPr>
          <w:t>Figure 54: Māori and non</w:t>
        </w:r>
        <w:r w:rsidR="00DA2B90" w:rsidRPr="00AC13B1">
          <w:rPr>
            <w:rStyle w:val="Hyperlink"/>
            <w:noProof/>
          </w:rPr>
          <w:noBreakHyphen/>
          <w:t>Māori women screened in a two year screening period, aged 50–69 years, 2003–2017</w:t>
        </w:r>
        <w:r w:rsidR="00DA2B90">
          <w:rPr>
            <w:noProof/>
            <w:webHidden/>
          </w:rPr>
          <w:tab/>
        </w:r>
        <w:r w:rsidR="00DA2B90">
          <w:rPr>
            <w:noProof/>
            <w:webHidden/>
          </w:rPr>
          <w:fldChar w:fldCharType="begin"/>
        </w:r>
        <w:r w:rsidR="00DA2B90">
          <w:rPr>
            <w:noProof/>
            <w:webHidden/>
          </w:rPr>
          <w:instrText xml:space="preserve"> PAGEREF _Toc19101905 \h </w:instrText>
        </w:r>
        <w:r w:rsidR="00DA2B90">
          <w:rPr>
            <w:noProof/>
            <w:webHidden/>
          </w:rPr>
        </w:r>
        <w:r w:rsidR="00DA2B90">
          <w:rPr>
            <w:noProof/>
            <w:webHidden/>
          </w:rPr>
          <w:fldChar w:fldCharType="separate"/>
        </w:r>
        <w:r>
          <w:rPr>
            <w:noProof/>
            <w:webHidden/>
          </w:rPr>
          <w:t>106</w:t>
        </w:r>
        <w:r w:rsidR="00DA2B90">
          <w:rPr>
            <w:noProof/>
            <w:webHidden/>
          </w:rPr>
          <w:fldChar w:fldCharType="end"/>
        </w:r>
      </w:hyperlink>
    </w:p>
    <w:p w14:paraId="5EF6A2B8" w14:textId="45E056E8" w:rsidR="00DA2B90" w:rsidRDefault="00D2215B">
      <w:pPr>
        <w:pStyle w:val="TOC3"/>
        <w:rPr>
          <w:rFonts w:asciiTheme="minorHAnsi" w:eastAsiaTheme="minorEastAsia" w:hAnsiTheme="minorHAnsi" w:cstheme="minorBidi"/>
          <w:noProof/>
          <w:sz w:val="22"/>
          <w:szCs w:val="22"/>
          <w:lang w:eastAsia="en-NZ"/>
        </w:rPr>
      </w:pPr>
      <w:hyperlink w:anchor="_Toc19101906" w:history="1">
        <w:r w:rsidR="00DA2B90" w:rsidRPr="00AC13B1">
          <w:rPr>
            <w:rStyle w:val="Hyperlink"/>
            <w:noProof/>
            <w:lang w:eastAsia="en-NZ"/>
          </w:rPr>
          <w:t>Figure 55: Two-year cervical screening coverage of Māori and non</w:t>
        </w:r>
        <w:r w:rsidR="00DA2B90" w:rsidRPr="00AC13B1">
          <w:rPr>
            <w:rStyle w:val="Hyperlink"/>
            <w:noProof/>
            <w:lang w:eastAsia="en-NZ"/>
          </w:rPr>
          <w:noBreakHyphen/>
          <w:t>Māori women aged 20–69 years, 2002–2017</w:t>
        </w:r>
        <w:r w:rsidR="00DA2B90">
          <w:rPr>
            <w:noProof/>
            <w:webHidden/>
          </w:rPr>
          <w:tab/>
        </w:r>
        <w:r w:rsidR="00DA2B90">
          <w:rPr>
            <w:noProof/>
            <w:webHidden/>
          </w:rPr>
          <w:fldChar w:fldCharType="begin"/>
        </w:r>
        <w:r w:rsidR="00DA2B90">
          <w:rPr>
            <w:noProof/>
            <w:webHidden/>
          </w:rPr>
          <w:instrText xml:space="preserve"> PAGEREF _Toc19101906 \h </w:instrText>
        </w:r>
        <w:r w:rsidR="00DA2B90">
          <w:rPr>
            <w:noProof/>
            <w:webHidden/>
          </w:rPr>
        </w:r>
        <w:r w:rsidR="00DA2B90">
          <w:rPr>
            <w:noProof/>
            <w:webHidden/>
          </w:rPr>
          <w:fldChar w:fldCharType="separate"/>
        </w:r>
        <w:r>
          <w:rPr>
            <w:noProof/>
            <w:webHidden/>
          </w:rPr>
          <w:t>107</w:t>
        </w:r>
        <w:r w:rsidR="00DA2B90">
          <w:rPr>
            <w:noProof/>
            <w:webHidden/>
          </w:rPr>
          <w:fldChar w:fldCharType="end"/>
        </w:r>
      </w:hyperlink>
    </w:p>
    <w:p w14:paraId="36CD4A6E" w14:textId="358A0AE1" w:rsidR="00DA2B90" w:rsidRDefault="00D2215B">
      <w:pPr>
        <w:pStyle w:val="TOC3"/>
        <w:rPr>
          <w:rFonts w:asciiTheme="minorHAnsi" w:eastAsiaTheme="minorEastAsia" w:hAnsiTheme="minorHAnsi" w:cstheme="minorBidi"/>
          <w:noProof/>
          <w:sz w:val="22"/>
          <w:szCs w:val="22"/>
          <w:lang w:eastAsia="en-NZ"/>
        </w:rPr>
      </w:pPr>
      <w:hyperlink w:anchor="_Toc19101907" w:history="1">
        <w:r w:rsidR="00DA2B90" w:rsidRPr="00AC13B1">
          <w:rPr>
            <w:rStyle w:val="Hyperlink"/>
            <w:noProof/>
            <w:lang w:eastAsia="en-NZ"/>
          </w:rPr>
          <w:t xml:space="preserve">Figure 56: Two year cervical screening coverage of </w:t>
        </w:r>
        <w:r w:rsidR="00DA2B90" w:rsidRPr="00AC13B1">
          <w:rPr>
            <w:rStyle w:val="Hyperlink"/>
            <w:noProof/>
          </w:rPr>
          <w:t>Māori and non</w:t>
        </w:r>
        <w:r w:rsidR="00DA2B90" w:rsidRPr="00AC13B1">
          <w:rPr>
            <w:rStyle w:val="Hyperlink"/>
            <w:noProof/>
          </w:rPr>
          <w:noBreakHyphen/>
          <w:t>Māori women aged 25–69 years, 2002–2017</w:t>
        </w:r>
        <w:r w:rsidR="00DA2B90">
          <w:rPr>
            <w:noProof/>
            <w:webHidden/>
          </w:rPr>
          <w:tab/>
        </w:r>
        <w:r w:rsidR="00DA2B90">
          <w:rPr>
            <w:noProof/>
            <w:webHidden/>
          </w:rPr>
          <w:fldChar w:fldCharType="begin"/>
        </w:r>
        <w:r w:rsidR="00DA2B90">
          <w:rPr>
            <w:noProof/>
            <w:webHidden/>
          </w:rPr>
          <w:instrText xml:space="preserve"> PAGEREF _Toc19101907 \h </w:instrText>
        </w:r>
        <w:r w:rsidR="00DA2B90">
          <w:rPr>
            <w:noProof/>
            <w:webHidden/>
          </w:rPr>
        </w:r>
        <w:r w:rsidR="00DA2B90">
          <w:rPr>
            <w:noProof/>
            <w:webHidden/>
          </w:rPr>
          <w:fldChar w:fldCharType="separate"/>
        </w:r>
        <w:r>
          <w:rPr>
            <w:noProof/>
            <w:webHidden/>
          </w:rPr>
          <w:t>108</w:t>
        </w:r>
        <w:r w:rsidR="00DA2B90">
          <w:rPr>
            <w:noProof/>
            <w:webHidden/>
          </w:rPr>
          <w:fldChar w:fldCharType="end"/>
        </w:r>
      </w:hyperlink>
    </w:p>
    <w:p w14:paraId="7CAD32C7" w14:textId="4D6305EB" w:rsidR="00DA2B90" w:rsidRDefault="00D2215B">
      <w:pPr>
        <w:pStyle w:val="TOC3"/>
        <w:rPr>
          <w:rFonts w:asciiTheme="minorHAnsi" w:eastAsiaTheme="minorEastAsia" w:hAnsiTheme="minorHAnsi" w:cstheme="minorBidi"/>
          <w:noProof/>
          <w:sz w:val="22"/>
          <w:szCs w:val="22"/>
          <w:lang w:eastAsia="en-NZ"/>
        </w:rPr>
      </w:pPr>
      <w:hyperlink w:anchor="_Toc19101908" w:history="1">
        <w:r w:rsidR="00DA2B90" w:rsidRPr="00AC13B1">
          <w:rPr>
            <w:rStyle w:val="Hyperlink"/>
            <w:noProof/>
          </w:rPr>
          <w:t>Figure 57: Asthma hospitalisation rates, 5–34 years, by gender, Māori and non</w:t>
        </w:r>
        <w:r w:rsidR="00DA2B90" w:rsidRPr="00AC13B1">
          <w:rPr>
            <w:rStyle w:val="Hyperlink"/>
            <w:noProof/>
          </w:rPr>
          <w:noBreakHyphen/>
          <w:t>Māori, 1996–98 to 2014–16</w:t>
        </w:r>
        <w:r w:rsidR="00DA2B90">
          <w:rPr>
            <w:noProof/>
            <w:webHidden/>
          </w:rPr>
          <w:tab/>
        </w:r>
        <w:r w:rsidR="00DA2B90">
          <w:rPr>
            <w:noProof/>
            <w:webHidden/>
          </w:rPr>
          <w:fldChar w:fldCharType="begin"/>
        </w:r>
        <w:r w:rsidR="00DA2B90">
          <w:rPr>
            <w:noProof/>
            <w:webHidden/>
          </w:rPr>
          <w:instrText xml:space="preserve"> PAGEREF _Toc19101908 \h </w:instrText>
        </w:r>
        <w:r w:rsidR="00DA2B90">
          <w:rPr>
            <w:noProof/>
            <w:webHidden/>
          </w:rPr>
        </w:r>
        <w:r w:rsidR="00DA2B90">
          <w:rPr>
            <w:noProof/>
            <w:webHidden/>
          </w:rPr>
          <w:fldChar w:fldCharType="separate"/>
        </w:r>
        <w:r>
          <w:rPr>
            <w:noProof/>
            <w:webHidden/>
          </w:rPr>
          <w:t>111</w:t>
        </w:r>
        <w:r w:rsidR="00DA2B90">
          <w:rPr>
            <w:noProof/>
            <w:webHidden/>
          </w:rPr>
          <w:fldChar w:fldCharType="end"/>
        </w:r>
      </w:hyperlink>
    </w:p>
    <w:p w14:paraId="1B81EDD0" w14:textId="39B71E4D" w:rsidR="00DA2B90" w:rsidRDefault="00D2215B">
      <w:pPr>
        <w:pStyle w:val="TOC3"/>
        <w:rPr>
          <w:rFonts w:asciiTheme="minorHAnsi" w:eastAsiaTheme="minorEastAsia" w:hAnsiTheme="minorHAnsi" w:cstheme="minorBidi"/>
          <w:noProof/>
          <w:sz w:val="22"/>
          <w:szCs w:val="22"/>
          <w:lang w:eastAsia="en-NZ"/>
        </w:rPr>
      </w:pPr>
      <w:hyperlink w:anchor="_Toc19101909" w:history="1">
        <w:r w:rsidR="00DA2B90" w:rsidRPr="00AC13B1">
          <w:rPr>
            <w:rStyle w:val="Hyperlink"/>
            <w:noProof/>
          </w:rPr>
          <w:t>Figure 58: Bronchiectasis (excludes congenital) hospitalisation rates, all age, by gender, Māori and non</w:t>
        </w:r>
        <w:r w:rsidR="00DA2B90" w:rsidRPr="00AC13B1">
          <w:rPr>
            <w:rStyle w:val="Hyperlink"/>
            <w:noProof/>
          </w:rPr>
          <w:noBreakHyphen/>
          <w:t>Māori, 1996–98 to 2014–16</w:t>
        </w:r>
        <w:r w:rsidR="00DA2B90">
          <w:rPr>
            <w:noProof/>
            <w:webHidden/>
          </w:rPr>
          <w:tab/>
        </w:r>
        <w:r w:rsidR="00DA2B90">
          <w:rPr>
            <w:noProof/>
            <w:webHidden/>
          </w:rPr>
          <w:fldChar w:fldCharType="begin"/>
        </w:r>
        <w:r w:rsidR="00DA2B90">
          <w:rPr>
            <w:noProof/>
            <w:webHidden/>
          </w:rPr>
          <w:instrText xml:space="preserve"> PAGEREF _Toc19101909 \h </w:instrText>
        </w:r>
        <w:r w:rsidR="00DA2B90">
          <w:rPr>
            <w:noProof/>
            <w:webHidden/>
          </w:rPr>
        </w:r>
        <w:r w:rsidR="00DA2B90">
          <w:rPr>
            <w:noProof/>
            <w:webHidden/>
          </w:rPr>
          <w:fldChar w:fldCharType="separate"/>
        </w:r>
        <w:r>
          <w:rPr>
            <w:noProof/>
            <w:webHidden/>
          </w:rPr>
          <w:t>112</w:t>
        </w:r>
        <w:r w:rsidR="00DA2B90">
          <w:rPr>
            <w:noProof/>
            <w:webHidden/>
          </w:rPr>
          <w:fldChar w:fldCharType="end"/>
        </w:r>
      </w:hyperlink>
    </w:p>
    <w:p w14:paraId="628CFF3B" w14:textId="772D70A5" w:rsidR="00DA2B90" w:rsidRDefault="00D2215B">
      <w:pPr>
        <w:pStyle w:val="TOC3"/>
        <w:rPr>
          <w:rFonts w:asciiTheme="minorHAnsi" w:eastAsiaTheme="minorEastAsia" w:hAnsiTheme="minorHAnsi" w:cstheme="minorBidi"/>
          <w:noProof/>
          <w:sz w:val="22"/>
          <w:szCs w:val="22"/>
          <w:lang w:eastAsia="en-NZ"/>
        </w:rPr>
      </w:pPr>
      <w:hyperlink w:anchor="_Toc19101910" w:history="1">
        <w:r w:rsidR="00DA2B90" w:rsidRPr="00AC13B1">
          <w:rPr>
            <w:rStyle w:val="Hyperlink"/>
            <w:noProof/>
          </w:rPr>
          <w:t>Figure 59: Bronchiectasis (excludes congenital) hospitalisation rates, 0–14 years, Māori and non</w:t>
        </w:r>
        <w:r w:rsidR="00DA2B90" w:rsidRPr="00AC13B1">
          <w:rPr>
            <w:rStyle w:val="Hyperlink"/>
            <w:noProof/>
          </w:rPr>
          <w:noBreakHyphen/>
          <w:t>Māori, 1996–98 to 2014–16</w:t>
        </w:r>
        <w:r w:rsidR="00DA2B90">
          <w:rPr>
            <w:noProof/>
            <w:webHidden/>
          </w:rPr>
          <w:tab/>
        </w:r>
        <w:r w:rsidR="00DA2B90">
          <w:rPr>
            <w:noProof/>
            <w:webHidden/>
          </w:rPr>
          <w:fldChar w:fldCharType="begin"/>
        </w:r>
        <w:r w:rsidR="00DA2B90">
          <w:rPr>
            <w:noProof/>
            <w:webHidden/>
          </w:rPr>
          <w:instrText xml:space="preserve"> PAGEREF _Toc19101910 \h </w:instrText>
        </w:r>
        <w:r w:rsidR="00DA2B90">
          <w:rPr>
            <w:noProof/>
            <w:webHidden/>
          </w:rPr>
        </w:r>
        <w:r w:rsidR="00DA2B90">
          <w:rPr>
            <w:noProof/>
            <w:webHidden/>
          </w:rPr>
          <w:fldChar w:fldCharType="separate"/>
        </w:r>
        <w:r>
          <w:rPr>
            <w:noProof/>
            <w:webHidden/>
          </w:rPr>
          <w:t>113</w:t>
        </w:r>
        <w:r w:rsidR="00DA2B90">
          <w:rPr>
            <w:noProof/>
            <w:webHidden/>
          </w:rPr>
          <w:fldChar w:fldCharType="end"/>
        </w:r>
      </w:hyperlink>
    </w:p>
    <w:p w14:paraId="56285CE3" w14:textId="3C2DC850" w:rsidR="00DA2B90" w:rsidRDefault="00D2215B">
      <w:pPr>
        <w:pStyle w:val="TOC3"/>
        <w:rPr>
          <w:rFonts w:asciiTheme="minorHAnsi" w:eastAsiaTheme="minorEastAsia" w:hAnsiTheme="minorHAnsi" w:cstheme="minorBidi"/>
          <w:noProof/>
          <w:sz w:val="22"/>
          <w:szCs w:val="22"/>
          <w:lang w:eastAsia="en-NZ"/>
        </w:rPr>
      </w:pPr>
      <w:hyperlink w:anchor="_Toc19101911" w:history="1">
        <w:r w:rsidR="00DA2B90" w:rsidRPr="00AC13B1">
          <w:rPr>
            <w:rStyle w:val="Hyperlink"/>
            <w:noProof/>
          </w:rPr>
          <w:t>Figure 60: Bronchiolitis (acute, excludes chronic) hospitalisation rates, 0–4 years, by gender, Māori and non</w:t>
        </w:r>
        <w:r w:rsidR="00DA2B90" w:rsidRPr="00AC13B1">
          <w:rPr>
            <w:rStyle w:val="Hyperlink"/>
            <w:noProof/>
          </w:rPr>
          <w:noBreakHyphen/>
          <w:t>Māori, 1996–98 to 2014–16</w:t>
        </w:r>
        <w:r w:rsidR="00DA2B90">
          <w:rPr>
            <w:noProof/>
            <w:webHidden/>
          </w:rPr>
          <w:tab/>
        </w:r>
        <w:r w:rsidR="00DA2B90">
          <w:rPr>
            <w:noProof/>
            <w:webHidden/>
          </w:rPr>
          <w:fldChar w:fldCharType="begin"/>
        </w:r>
        <w:r w:rsidR="00DA2B90">
          <w:rPr>
            <w:noProof/>
            <w:webHidden/>
          </w:rPr>
          <w:instrText xml:space="preserve"> PAGEREF _Toc19101911 \h </w:instrText>
        </w:r>
        <w:r w:rsidR="00DA2B90">
          <w:rPr>
            <w:noProof/>
            <w:webHidden/>
          </w:rPr>
        </w:r>
        <w:r w:rsidR="00DA2B90">
          <w:rPr>
            <w:noProof/>
            <w:webHidden/>
          </w:rPr>
          <w:fldChar w:fldCharType="separate"/>
        </w:r>
        <w:r>
          <w:rPr>
            <w:noProof/>
            <w:webHidden/>
          </w:rPr>
          <w:t>114</w:t>
        </w:r>
        <w:r w:rsidR="00DA2B90">
          <w:rPr>
            <w:noProof/>
            <w:webHidden/>
          </w:rPr>
          <w:fldChar w:fldCharType="end"/>
        </w:r>
      </w:hyperlink>
    </w:p>
    <w:p w14:paraId="6580643A" w14:textId="6978FFBB" w:rsidR="00DA2B90" w:rsidRDefault="00D2215B">
      <w:pPr>
        <w:pStyle w:val="TOC3"/>
        <w:rPr>
          <w:rFonts w:asciiTheme="minorHAnsi" w:eastAsiaTheme="minorEastAsia" w:hAnsiTheme="minorHAnsi" w:cstheme="minorBidi"/>
          <w:noProof/>
          <w:sz w:val="22"/>
          <w:szCs w:val="22"/>
          <w:lang w:eastAsia="en-NZ"/>
        </w:rPr>
      </w:pPr>
      <w:hyperlink w:anchor="_Toc19101912" w:history="1">
        <w:r w:rsidR="00DA2B90" w:rsidRPr="00AC13B1">
          <w:rPr>
            <w:rStyle w:val="Hyperlink"/>
            <w:noProof/>
          </w:rPr>
          <w:t>Figure 61: Chronic obstructive pulmonary disease (COPD) hospitalisation rates, 45+ years, by gender, Māori and non</w:t>
        </w:r>
        <w:r w:rsidR="00DA2B90" w:rsidRPr="00AC13B1">
          <w:rPr>
            <w:rStyle w:val="Hyperlink"/>
            <w:noProof/>
          </w:rPr>
          <w:noBreakHyphen/>
          <w:t>Māori, 1996–98 to 2014–16</w:t>
        </w:r>
        <w:r w:rsidR="00DA2B90">
          <w:rPr>
            <w:noProof/>
            <w:webHidden/>
          </w:rPr>
          <w:tab/>
        </w:r>
        <w:r w:rsidR="00DA2B90">
          <w:rPr>
            <w:noProof/>
            <w:webHidden/>
          </w:rPr>
          <w:fldChar w:fldCharType="begin"/>
        </w:r>
        <w:r w:rsidR="00DA2B90">
          <w:rPr>
            <w:noProof/>
            <w:webHidden/>
          </w:rPr>
          <w:instrText xml:space="preserve"> PAGEREF _Toc19101912 \h </w:instrText>
        </w:r>
        <w:r w:rsidR="00DA2B90">
          <w:rPr>
            <w:noProof/>
            <w:webHidden/>
          </w:rPr>
        </w:r>
        <w:r w:rsidR="00DA2B90">
          <w:rPr>
            <w:noProof/>
            <w:webHidden/>
          </w:rPr>
          <w:fldChar w:fldCharType="separate"/>
        </w:r>
        <w:r>
          <w:rPr>
            <w:noProof/>
            <w:webHidden/>
          </w:rPr>
          <w:t>115</w:t>
        </w:r>
        <w:r w:rsidR="00DA2B90">
          <w:rPr>
            <w:noProof/>
            <w:webHidden/>
          </w:rPr>
          <w:fldChar w:fldCharType="end"/>
        </w:r>
      </w:hyperlink>
    </w:p>
    <w:p w14:paraId="0991F744" w14:textId="742C2060" w:rsidR="00DA2B90" w:rsidRDefault="00D2215B">
      <w:pPr>
        <w:pStyle w:val="TOC3"/>
        <w:rPr>
          <w:rFonts w:asciiTheme="minorHAnsi" w:eastAsiaTheme="minorEastAsia" w:hAnsiTheme="minorHAnsi" w:cstheme="minorBidi"/>
          <w:noProof/>
          <w:sz w:val="22"/>
          <w:szCs w:val="22"/>
          <w:lang w:eastAsia="en-NZ"/>
        </w:rPr>
      </w:pPr>
      <w:hyperlink w:anchor="_Toc19101913" w:history="1">
        <w:r w:rsidR="00DA2B90" w:rsidRPr="00AC13B1">
          <w:rPr>
            <w:rStyle w:val="Hyperlink"/>
            <w:noProof/>
          </w:rPr>
          <w:t>Figure 62: Chronic obstructive pulmonary disease (COPD) mortality rates, 45+ years, Māori and non</w:t>
        </w:r>
        <w:r w:rsidR="00DA2B90" w:rsidRPr="00AC13B1">
          <w:rPr>
            <w:rStyle w:val="Hyperlink"/>
            <w:noProof/>
          </w:rPr>
          <w:noBreakHyphen/>
          <w:t>Māori, 1996–98 to 2012–14</w:t>
        </w:r>
        <w:r w:rsidR="00DA2B90">
          <w:rPr>
            <w:noProof/>
            <w:webHidden/>
          </w:rPr>
          <w:tab/>
        </w:r>
        <w:r w:rsidR="00DA2B90">
          <w:rPr>
            <w:noProof/>
            <w:webHidden/>
          </w:rPr>
          <w:fldChar w:fldCharType="begin"/>
        </w:r>
        <w:r w:rsidR="00DA2B90">
          <w:rPr>
            <w:noProof/>
            <w:webHidden/>
          </w:rPr>
          <w:instrText xml:space="preserve"> PAGEREF _Toc19101913 \h </w:instrText>
        </w:r>
        <w:r w:rsidR="00DA2B90">
          <w:rPr>
            <w:noProof/>
            <w:webHidden/>
          </w:rPr>
        </w:r>
        <w:r w:rsidR="00DA2B90">
          <w:rPr>
            <w:noProof/>
            <w:webHidden/>
          </w:rPr>
          <w:fldChar w:fldCharType="separate"/>
        </w:r>
        <w:r>
          <w:rPr>
            <w:noProof/>
            <w:webHidden/>
          </w:rPr>
          <w:t>116</w:t>
        </w:r>
        <w:r w:rsidR="00DA2B90">
          <w:rPr>
            <w:noProof/>
            <w:webHidden/>
          </w:rPr>
          <w:fldChar w:fldCharType="end"/>
        </w:r>
      </w:hyperlink>
    </w:p>
    <w:p w14:paraId="3FC79849" w14:textId="2FA9400D" w:rsidR="00DA2B90" w:rsidRDefault="00D2215B">
      <w:pPr>
        <w:pStyle w:val="TOC3"/>
        <w:rPr>
          <w:rFonts w:asciiTheme="minorHAnsi" w:eastAsiaTheme="minorEastAsia" w:hAnsiTheme="minorHAnsi" w:cstheme="minorBidi"/>
          <w:noProof/>
          <w:sz w:val="22"/>
          <w:szCs w:val="22"/>
          <w:lang w:eastAsia="en-NZ"/>
        </w:rPr>
      </w:pPr>
      <w:hyperlink w:anchor="_Toc19101914" w:history="1">
        <w:r w:rsidR="00DA2B90" w:rsidRPr="00AC13B1">
          <w:rPr>
            <w:rStyle w:val="Hyperlink"/>
            <w:noProof/>
          </w:rPr>
          <w:t>Figure 63: Pneumonia hospitalisation rates, all age, Māori and non</w:t>
        </w:r>
        <w:r w:rsidR="00DA2B90" w:rsidRPr="00AC13B1">
          <w:rPr>
            <w:rStyle w:val="Hyperlink"/>
            <w:noProof/>
          </w:rPr>
          <w:noBreakHyphen/>
          <w:t>Māori, 1996–98 to 2014–16</w:t>
        </w:r>
        <w:r w:rsidR="00DA2B90">
          <w:rPr>
            <w:noProof/>
            <w:webHidden/>
          </w:rPr>
          <w:tab/>
        </w:r>
        <w:r w:rsidR="00DA2B90">
          <w:rPr>
            <w:noProof/>
            <w:webHidden/>
          </w:rPr>
          <w:fldChar w:fldCharType="begin"/>
        </w:r>
        <w:r w:rsidR="00DA2B90">
          <w:rPr>
            <w:noProof/>
            <w:webHidden/>
          </w:rPr>
          <w:instrText xml:space="preserve"> PAGEREF _Toc19101914 \h </w:instrText>
        </w:r>
        <w:r w:rsidR="00DA2B90">
          <w:rPr>
            <w:noProof/>
            <w:webHidden/>
          </w:rPr>
        </w:r>
        <w:r w:rsidR="00DA2B90">
          <w:rPr>
            <w:noProof/>
            <w:webHidden/>
          </w:rPr>
          <w:fldChar w:fldCharType="separate"/>
        </w:r>
        <w:r>
          <w:rPr>
            <w:noProof/>
            <w:webHidden/>
          </w:rPr>
          <w:t>117</w:t>
        </w:r>
        <w:r w:rsidR="00DA2B90">
          <w:rPr>
            <w:noProof/>
            <w:webHidden/>
          </w:rPr>
          <w:fldChar w:fldCharType="end"/>
        </w:r>
      </w:hyperlink>
    </w:p>
    <w:p w14:paraId="672A0547" w14:textId="3EAF075C" w:rsidR="00DA2B90" w:rsidRDefault="00D2215B">
      <w:pPr>
        <w:pStyle w:val="TOC3"/>
        <w:rPr>
          <w:rFonts w:asciiTheme="minorHAnsi" w:eastAsiaTheme="minorEastAsia" w:hAnsiTheme="minorHAnsi" w:cstheme="minorBidi"/>
          <w:noProof/>
          <w:sz w:val="22"/>
          <w:szCs w:val="22"/>
          <w:lang w:eastAsia="en-NZ"/>
        </w:rPr>
      </w:pPr>
      <w:hyperlink w:anchor="_Toc19101915" w:history="1">
        <w:r w:rsidR="00DA2B90" w:rsidRPr="00AC13B1">
          <w:rPr>
            <w:rStyle w:val="Hyperlink"/>
            <w:noProof/>
          </w:rPr>
          <w:t>Figure 64: Pneumonia mortality rates, all age, Māori and non</w:t>
        </w:r>
        <w:r w:rsidR="00DA2B90" w:rsidRPr="00AC13B1">
          <w:rPr>
            <w:rStyle w:val="Hyperlink"/>
            <w:noProof/>
          </w:rPr>
          <w:noBreakHyphen/>
          <w:t>Māori, 1996–98 to 2012–14</w:t>
        </w:r>
        <w:r w:rsidR="00DA2B90">
          <w:rPr>
            <w:noProof/>
            <w:webHidden/>
          </w:rPr>
          <w:tab/>
        </w:r>
        <w:r w:rsidR="00DA2B90">
          <w:rPr>
            <w:noProof/>
            <w:webHidden/>
          </w:rPr>
          <w:fldChar w:fldCharType="begin"/>
        </w:r>
        <w:r w:rsidR="00DA2B90">
          <w:rPr>
            <w:noProof/>
            <w:webHidden/>
          </w:rPr>
          <w:instrText xml:space="preserve"> PAGEREF _Toc19101915 \h </w:instrText>
        </w:r>
        <w:r w:rsidR="00DA2B90">
          <w:rPr>
            <w:noProof/>
            <w:webHidden/>
          </w:rPr>
        </w:r>
        <w:r w:rsidR="00DA2B90">
          <w:rPr>
            <w:noProof/>
            <w:webHidden/>
          </w:rPr>
          <w:fldChar w:fldCharType="separate"/>
        </w:r>
        <w:r>
          <w:rPr>
            <w:noProof/>
            <w:webHidden/>
          </w:rPr>
          <w:t>118</w:t>
        </w:r>
        <w:r w:rsidR="00DA2B90">
          <w:rPr>
            <w:noProof/>
            <w:webHidden/>
          </w:rPr>
          <w:fldChar w:fldCharType="end"/>
        </w:r>
      </w:hyperlink>
    </w:p>
    <w:p w14:paraId="5219700D" w14:textId="10BE6FD1" w:rsidR="00DA2B90" w:rsidRDefault="00D2215B">
      <w:pPr>
        <w:pStyle w:val="TOC3"/>
        <w:rPr>
          <w:rFonts w:asciiTheme="minorHAnsi" w:eastAsiaTheme="minorEastAsia" w:hAnsiTheme="minorHAnsi" w:cstheme="minorBidi"/>
          <w:noProof/>
          <w:sz w:val="22"/>
          <w:szCs w:val="22"/>
          <w:lang w:eastAsia="en-NZ"/>
        </w:rPr>
      </w:pPr>
      <w:hyperlink w:anchor="_Toc19101916" w:history="1">
        <w:r w:rsidR="00DA2B90" w:rsidRPr="00AC13B1">
          <w:rPr>
            <w:rStyle w:val="Hyperlink"/>
            <w:noProof/>
          </w:rPr>
          <w:t>Figure 65: Diabetes diagnosed by doctors, 15+ years, by gender, Māori and non</w:t>
        </w:r>
        <w:r w:rsidR="00DA2B90" w:rsidRPr="00AC13B1">
          <w:rPr>
            <w:rStyle w:val="Hyperlink"/>
            <w:noProof/>
          </w:rPr>
          <w:noBreakHyphen/>
          <w:t>Māori, 2006/07–2016/17</w:t>
        </w:r>
        <w:r w:rsidR="00DA2B90">
          <w:rPr>
            <w:noProof/>
            <w:webHidden/>
          </w:rPr>
          <w:tab/>
        </w:r>
        <w:r w:rsidR="00DA2B90">
          <w:rPr>
            <w:noProof/>
            <w:webHidden/>
          </w:rPr>
          <w:fldChar w:fldCharType="begin"/>
        </w:r>
        <w:r w:rsidR="00DA2B90">
          <w:rPr>
            <w:noProof/>
            <w:webHidden/>
          </w:rPr>
          <w:instrText xml:space="preserve"> PAGEREF _Toc19101916 \h </w:instrText>
        </w:r>
        <w:r w:rsidR="00DA2B90">
          <w:rPr>
            <w:noProof/>
            <w:webHidden/>
          </w:rPr>
        </w:r>
        <w:r w:rsidR="00DA2B90">
          <w:rPr>
            <w:noProof/>
            <w:webHidden/>
          </w:rPr>
          <w:fldChar w:fldCharType="separate"/>
        </w:r>
        <w:r>
          <w:rPr>
            <w:noProof/>
            <w:webHidden/>
          </w:rPr>
          <w:t>120</w:t>
        </w:r>
        <w:r w:rsidR="00DA2B90">
          <w:rPr>
            <w:noProof/>
            <w:webHidden/>
          </w:rPr>
          <w:fldChar w:fldCharType="end"/>
        </w:r>
      </w:hyperlink>
    </w:p>
    <w:p w14:paraId="34EC74D8" w14:textId="123ECE5C" w:rsidR="00DA2B90" w:rsidRDefault="00D2215B">
      <w:pPr>
        <w:pStyle w:val="TOC3"/>
        <w:rPr>
          <w:rFonts w:asciiTheme="minorHAnsi" w:eastAsiaTheme="minorEastAsia" w:hAnsiTheme="minorHAnsi" w:cstheme="minorBidi"/>
          <w:noProof/>
          <w:sz w:val="22"/>
          <w:szCs w:val="22"/>
          <w:lang w:eastAsia="en-NZ"/>
        </w:rPr>
      </w:pPr>
      <w:hyperlink w:anchor="_Toc19101917" w:history="1">
        <w:r w:rsidR="00DA2B90" w:rsidRPr="00AC13B1">
          <w:rPr>
            <w:rStyle w:val="Hyperlink"/>
            <w:noProof/>
            <w:lang w:eastAsia="en-NZ"/>
          </w:rPr>
          <w:t>Figure 66: Type 2 diabetes (diagnosed after 25 years of age)</w:t>
        </w:r>
        <w:r w:rsidR="00DA2B90" w:rsidRPr="00AC13B1">
          <w:rPr>
            <w:rStyle w:val="Hyperlink"/>
            <w:noProof/>
          </w:rPr>
          <w:t>, 15+ years, by gender, Māori and non</w:t>
        </w:r>
        <w:r w:rsidR="00DA2B90" w:rsidRPr="00AC13B1">
          <w:rPr>
            <w:rStyle w:val="Hyperlink"/>
            <w:noProof/>
          </w:rPr>
          <w:noBreakHyphen/>
          <w:t>Māori, 2006/07–2016/17</w:t>
        </w:r>
        <w:r w:rsidR="00DA2B90">
          <w:rPr>
            <w:noProof/>
            <w:webHidden/>
          </w:rPr>
          <w:tab/>
        </w:r>
        <w:r w:rsidR="00DA2B90">
          <w:rPr>
            <w:noProof/>
            <w:webHidden/>
          </w:rPr>
          <w:fldChar w:fldCharType="begin"/>
        </w:r>
        <w:r w:rsidR="00DA2B90">
          <w:rPr>
            <w:noProof/>
            <w:webHidden/>
          </w:rPr>
          <w:instrText xml:space="preserve"> PAGEREF _Toc19101917 \h </w:instrText>
        </w:r>
        <w:r w:rsidR="00DA2B90">
          <w:rPr>
            <w:noProof/>
            <w:webHidden/>
          </w:rPr>
        </w:r>
        <w:r w:rsidR="00DA2B90">
          <w:rPr>
            <w:noProof/>
            <w:webHidden/>
          </w:rPr>
          <w:fldChar w:fldCharType="separate"/>
        </w:r>
        <w:r>
          <w:rPr>
            <w:noProof/>
            <w:webHidden/>
          </w:rPr>
          <w:t>121</w:t>
        </w:r>
        <w:r w:rsidR="00DA2B90">
          <w:rPr>
            <w:noProof/>
            <w:webHidden/>
          </w:rPr>
          <w:fldChar w:fldCharType="end"/>
        </w:r>
      </w:hyperlink>
    </w:p>
    <w:p w14:paraId="6E4B5F4D" w14:textId="46094E50" w:rsidR="00DA2B90" w:rsidRDefault="00D2215B">
      <w:pPr>
        <w:pStyle w:val="TOC3"/>
        <w:rPr>
          <w:rFonts w:asciiTheme="minorHAnsi" w:eastAsiaTheme="minorEastAsia" w:hAnsiTheme="minorHAnsi" w:cstheme="minorBidi"/>
          <w:noProof/>
          <w:sz w:val="22"/>
          <w:szCs w:val="22"/>
          <w:lang w:eastAsia="en-NZ"/>
        </w:rPr>
      </w:pPr>
      <w:hyperlink w:anchor="_Toc19101918" w:history="1">
        <w:r w:rsidR="00DA2B90" w:rsidRPr="00AC13B1">
          <w:rPr>
            <w:rStyle w:val="Hyperlink"/>
            <w:noProof/>
          </w:rPr>
          <w:t>Figure 67: Rates of renal failure with concurrent diabetes, 15+ years, by gender, Māori and non</w:t>
        </w:r>
        <w:r w:rsidR="00DA2B90" w:rsidRPr="00AC13B1">
          <w:rPr>
            <w:rStyle w:val="Hyperlink"/>
            <w:noProof/>
          </w:rPr>
          <w:noBreakHyphen/>
          <w:t>Māori, 1996–98 to 2014–16</w:t>
        </w:r>
        <w:r w:rsidR="00DA2B90">
          <w:rPr>
            <w:noProof/>
            <w:webHidden/>
          </w:rPr>
          <w:tab/>
        </w:r>
        <w:r w:rsidR="00DA2B90">
          <w:rPr>
            <w:noProof/>
            <w:webHidden/>
          </w:rPr>
          <w:fldChar w:fldCharType="begin"/>
        </w:r>
        <w:r w:rsidR="00DA2B90">
          <w:rPr>
            <w:noProof/>
            <w:webHidden/>
          </w:rPr>
          <w:instrText xml:space="preserve"> PAGEREF _Toc19101918 \h </w:instrText>
        </w:r>
        <w:r w:rsidR="00DA2B90">
          <w:rPr>
            <w:noProof/>
            <w:webHidden/>
          </w:rPr>
        </w:r>
        <w:r w:rsidR="00DA2B90">
          <w:rPr>
            <w:noProof/>
            <w:webHidden/>
          </w:rPr>
          <w:fldChar w:fldCharType="separate"/>
        </w:r>
        <w:r>
          <w:rPr>
            <w:noProof/>
            <w:webHidden/>
          </w:rPr>
          <w:t>122</w:t>
        </w:r>
        <w:r w:rsidR="00DA2B90">
          <w:rPr>
            <w:noProof/>
            <w:webHidden/>
          </w:rPr>
          <w:fldChar w:fldCharType="end"/>
        </w:r>
      </w:hyperlink>
    </w:p>
    <w:p w14:paraId="5C940F32" w14:textId="305371CC" w:rsidR="00DA2B90" w:rsidRDefault="00D2215B">
      <w:pPr>
        <w:pStyle w:val="TOC3"/>
        <w:rPr>
          <w:rFonts w:asciiTheme="minorHAnsi" w:eastAsiaTheme="minorEastAsia" w:hAnsiTheme="minorHAnsi" w:cstheme="minorBidi"/>
          <w:noProof/>
          <w:sz w:val="22"/>
          <w:szCs w:val="22"/>
          <w:lang w:eastAsia="en-NZ"/>
        </w:rPr>
      </w:pPr>
      <w:hyperlink w:anchor="_Toc19101919" w:history="1">
        <w:r w:rsidR="00DA2B90" w:rsidRPr="00AC13B1">
          <w:rPr>
            <w:rStyle w:val="Hyperlink"/>
            <w:noProof/>
            <w:lang w:eastAsia="en-NZ"/>
          </w:rPr>
          <w:t>Figure 68: Rate ratios of renal failure with concurrent diabetes, 15+ years,</w:t>
        </w:r>
        <w:r w:rsidR="00DA2B90" w:rsidRPr="00AC13B1">
          <w:rPr>
            <w:rStyle w:val="Hyperlink"/>
            <w:noProof/>
          </w:rPr>
          <w:t xml:space="preserve"> by gender, Māori and non</w:t>
        </w:r>
        <w:r w:rsidR="00DA2B90" w:rsidRPr="00AC13B1">
          <w:rPr>
            <w:rStyle w:val="Hyperlink"/>
            <w:noProof/>
          </w:rPr>
          <w:noBreakHyphen/>
          <w:t>Māori, 1996–98 to 2014–16</w:t>
        </w:r>
        <w:r w:rsidR="00DA2B90">
          <w:rPr>
            <w:noProof/>
            <w:webHidden/>
          </w:rPr>
          <w:tab/>
        </w:r>
        <w:r w:rsidR="00DA2B90">
          <w:rPr>
            <w:noProof/>
            <w:webHidden/>
          </w:rPr>
          <w:fldChar w:fldCharType="begin"/>
        </w:r>
        <w:r w:rsidR="00DA2B90">
          <w:rPr>
            <w:noProof/>
            <w:webHidden/>
          </w:rPr>
          <w:instrText xml:space="preserve"> PAGEREF _Toc19101919 \h </w:instrText>
        </w:r>
        <w:r w:rsidR="00DA2B90">
          <w:rPr>
            <w:noProof/>
            <w:webHidden/>
          </w:rPr>
        </w:r>
        <w:r w:rsidR="00DA2B90">
          <w:rPr>
            <w:noProof/>
            <w:webHidden/>
          </w:rPr>
          <w:fldChar w:fldCharType="separate"/>
        </w:r>
        <w:r>
          <w:rPr>
            <w:noProof/>
            <w:webHidden/>
          </w:rPr>
          <w:t>123</w:t>
        </w:r>
        <w:r w:rsidR="00DA2B90">
          <w:rPr>
            <w:noProof/>
            <w:webHidden/>
          </w:rPr>
          <w:fldChar w:fldCharType="end"/>
        </w:r>
      </w:hyperlink>
    </w:p>
    <w:p w14:paraId="3717E5AE" w14:textId="47A44A1F" w:rsidR="00DA2B90" w:rsidRDefault="00D2215B">
      <w:pPr>
        <w:pStyle w:val="TOC3"/>
        <w:rPr>
          <w:rFonts w:asciiTheme="minorHAnsi" w:eastAsiaTheme="minorEastAsia" w:hAnsiTheme="minorHAnsi" w:cstheme="minorBidi"/>
          <w:noProof/>
          <w:sz w:val="22"/>
          <w:szCs w:val="22"/>
          <w:lang w:eastAsia="en-NZ"/>
        </w:rPr>
      </w:pPr>
      <w:hyperlink w:anchor="_Toc19101920" w:history="1">
        <w:r w:rsidR="00DA2B90" w:rsidRPr="00AC13B1">
          <w:rPr>
            <w:rStyle w:val="Hyperlink"/>
            <w:noProof/>
            <w:lang w:eastAsia="en-NZ"/>
          </w:rPr>
          <w:t>Figure 69: Rates of lower limb amputation with concurrent diabetes, 15+ years</w:t>
        </w:r>
        <w:r w:rsidR="00DA2B90" w:rsidRPr="00AC13B1">
          <w:rPr>
            <w:rStyle w:val="Hyperlink"/>
            <w:noProof/>
          </w:rPr>
          <w:t>, by gender, Māori and non</w:t>
        </w:r>
        <w:r w:rsidR="00DA2B90" w:rsidRPr="00AC13B1">
          <w:rPr>
            <w:rStyle w:val="Hyperlink"/>
            <w:noProof/>
          </w:rPr>
          <w:noBreakHyphen/>
          <w:t>Māori, 1996–98 to 2014–16</w:t>
        </w:r>
        <w:r w:rsidR="00DA2B90">
          <w:rPr>
            <w:noProof/>
            <w:webHidden/>
          </w:rPr>
          <w:tab/>
        </w:r>
        <w:r w:rsidR="00DA2B90">
          <w:rPr>
            <w:noProof/>
            <w:webHidden/>
          </w:rPr>
          <w:fldChar w:fldCharType="begin"/>
        </w:r>
        <w:r w:rsidR="00DA2B90">
          <w:rPr>
            <w:noProof/>
            <w:webHidden/>
          </w:rPr>
          <w:instrText xml:space="preserve"> PAGEREF _Toc19101920 \h </w:instrText>
        </w:r>
        <w:r w:rsidR="00DA2B90">
          <w:rPr>
            <w:noProof/>
            <w:webHidden/>
          </w:rPr>
        </w:r>
        <w:r w:rsidR="00DA2B90">
          <w:rPr>
            <w:noProof/>
            <w:webHidden/>
          </w:rPr>
          <w:fldChar w:fldCharType="separate"/>
        </w:r>
        <w:r>
          <w:rPr>
            <w:noProof/>
            <w:webHidden/>
          </w:rPr>
          <w:t>124</w:t>
        </w:r>
        <w:r w:rsidR="00DA2B90">
          <w:rPr>
            <w:noProof/>
            <w:webHidden/>
          </w:rPr>
          <w:fldChar w:fldCharType="end"/>
        </w:r>
      </w:hyperlink>
    </w:p>
    <w:p w14:paraId="2AD308FF" w14:textId="48E33FC2" w:rsidR="00DA2B90" w:rsidRDefault="00D2215B">
      <w:pPr>
        <w:pStyle w:val="TOC3"/>
        <w:rPr>
          <w:rFonts w:asciiTheme="minorHAnsi" w:eastAsiaTheme="minorEastAsia" w:hAnsiTheme="minorHAnsi" w:cstheme="minorBidi"/>
          <w:noProof/>
          <w:sz w:val="22"/>
          <w:szCs w:val="22"/>
          <w:lang w:eastAsia="en-NZ"/>
        </w:rPr>
      </w:pPr>
      <w:hyperlink w:anchor="_Toc19101921" w:history="1">
        <w:r w:rsidR="00DA2B90" w:rsidRPr="00AC13B1">
          <w:rPr>
            <w:rStyle w:val="Hyperlink"/>
            <w:noProof/>
            <w:lang w:eastAsia="en-NZ"/>
          </w:rPr>
          <w:t>Figure 70: Rate ratios of lower limb amputation with concurrent diabetes, 15+ years,</w:t>
        </w:r>
        <w:r w:rsidR="00DA2B90" w:rsidRPr="00AC13B1">
          <w:rPr>
            <w:rStyle w:val="Hyperlink"/>
            <w:noProof/>
          </w:rPr>
          <w:t xml:space="preserve"> by gender, Māori and non</w:t>
        </w:r>
        <w:r w:rsidR="00DA2B90" w:rsidRPr="00AC13B1">
          <w:rPr>
            <w:rStyle w:val="Hyperlink"/>
            <w:noProof/>
          </w:rPr>
          <w:noBreakHyphen/>
          <w:t>Māori, 1996–98 to 2014–16</w:t>
        </w:r>
        <w:r w:rsidR="00DA2B90">
          <w:rPr>
            <w:noProof/>
            <w:webHidden/>
          </w:rPr>
          <w:tab/>
        </w:r>
        <w:r w:rsidR="00DA2B90">
          <w:rPr>
            <w:noProof/>
            <w:webHidden/>
          </w:rPr>
          <w:fldChar w:fldCharType="begin"/>
        </w:r>
        <w:r w:rsidR="00DA2B90">
          <w:rPr>
            <w:noProof/>
            <w:webHidden/>
          </w:rPr>
          <w:instrText xml:space="preserve"> PAGEREF _Toc19101921 \h </w:instrText>
        </w:r>
        <w:r w:rsidR="00DA2B90">
          <w:rPr>
            <w:noProof/>
            <w:webHidden/>
          </w:rPr>
        </w:r>
        <w:r w:rsidR="00DA2B90">
          <w:rPr>
            <w:noProof/>
            <w:webHidden/>
          </w:rPr>
          <w:fldChar w:fldCharType="separate"/>
        </w:r>
        <w:r>
          <w:rPr>
            <w:noProof/>
            <w:webHidden/>
          </w:rPr>
          <w:t>125</w:t>
        </w:r>
        <w:r w:rsidR="00DA2B90">
          <w:rPr>
            <w:noProof/>
            <w:webHidden/>
          </w:rPr>
          <w:fldChar w:fldCharType="end"/>
        </w:r>
      </w:hyperlink>
    </w:p>
    <w:p w14:paraId="7D0CEEBB" w14:textId="31513EDC" w:rsidR="00DA2B90" w:rsidRDefault="00D2215B">
      <w:pPr>
        <w:pStyle w:val="TOC3"/>
        <w:rPr>
          <w:rFonts w:asciiTheme="minorHAnsi" w:eastAsiaTheme="minorEastAsia" w:hAnsiTheme="minorHAnsi" w:cstheme="minorBidi"/>
          <w:noProof/>
          <w:sz w:val="22"/>
          <w:szCs w:val="22"/>
          <w:lang w:eastAsia="en-NZ"/>
        </w:rPr>
      </w:pPr>
      <w:hyperlink w:anchor="_Toc19101922" w:history="1">
        <w:r w:rsidR="00DA2B90" w:rsidRPr="00AC13B1">
          <w:rPr>
            <w:rStyle w:val="Hyperlink"/>
            <w:noProof/>
          </w:rPr>
          <w:t>Figure 71: Diagnosed arthritis, 15+ years, Māori and non</w:t>
        </w:r>
        <w:r w:rsidR="00DA2B90" w:rsidRPr="00AC13B1">
          <w:rPr>
            <w:rStyle w:val="Hyperlink"/>
            <w:noProof/>
          </w:rPr>
          <w:noBreakHyphen/>
          <w:t>Māori, 2006/07–2016/17</w:t>
        </w:r>
        <w:r w:rsidR="00DA2B90">
          <w:rPr>
            <w:noProof/>
            <w:webHidden/>
          </w:rPr>
          <w:tab/>
        </w:r>
        <w:r w:rsidR="00DA2B90">
          <w:rPr>
            <w:noProof/>
            <w:webHidden/>
          </w:rPr>
          <w:fldChar w:fldCharType="begin"/>
        </w:r>
        <w:r w:rsidR="00DA2B90">
          <w:rPr>
            <w:noProof/>
            <w:webHidden/>
          </w:rPr>
          <w:instrText xml:space="preserve"> PAGEREF _Toc19101922 \h </w:instrText>
        </w:r>
        <w:r w:rsidR="00DA2B90">
          <w:rPr>
            <w:noProof/>
            <w:webHidden/>
          </w:rPr>
        </w:r>
        <w:r w:rsidR="00DA2B90">
          <w:rPr>
            <w:noProof/>
            <w:webHidden/>
          </w:rPr>
          <w:fldChar w:fldCharType="separate"/>
        </w:r>
        <w:r>
          <w:rPr>
            <w:noProof/>
            <w:webHidden/>
          </w:rPr>
          <w:t>127</w:t>
        </w:r>
        <w:r w:rsidR="00DA2B90">
          <w:rPr>
            <w:noProof/>
            <w:webHidden/>
          </w:rPr>
          <w:fldChar w:fldCharType="end"/>
        </w:r>
      </w:hyperlink>
    </w:p>
    <w:p w14:paraId="742F82CD" w14:textId="3CC96C7F" w:rsidR="00DA2B90" w:rsidRDefault="00D2215B">
      <w:pPr>
        <w:pStyle w:val="TOC3"/>
        <w:rPr>
          <w:rFonts w:asciiTheme="minorHAnsi" w:eastAsiaTheme="minorEastAsia" w:hAnsiTheme="minorHAnsi" w:cstheme="minorBidi"/>
          <w:noProof/>
          <w:sz w:val="22"/>
          <w:szCs w:val="22"/>
          <w:lang w:eastAsia="en-NZ"/>
        </w:rPr>
      </w:pPr>
      <w:hyperlink w:anchor="_Toc19101923" w:history="1">
        <w:r w:rsidR="00DA2B90" w:rsidRPr="00AC13B1">
          <w:rPr>
            <w:rStyle w:val="Hyperlink"/>
            <w:noProof/>
          </w:rPr>
          <w:t>Figure 72: Diagnosed arthritis, 15+ years, by gender, Māori and non</w:t>
        </w:r>
        <w:r w:rsidR="00DA2B90" w:rsidRPr="00AC13B1">
          <w:rPr>
            <w:rStyle w:val="Hyperlink"/>
            <w:noProof/>
          </w:rPr>
          <w:noBreakHyphen/>
          <w:t>Māori, 2006/07–2016/17</w:t>
        </w:r>
        <w:r w:rsidR="00DA2B90">
          <w:rPr>
            <w:noProof/>
            <w:webHidden/>
          </w:rPr>
          <w:tab/>
        </w:r>
        <w:r w:rsidR="00DA2B90">
          <w:rPr>
            <w:noProof/>
            <w:webHidden/>
          </w:rPr>
          <w:fldChar w:fldCharType="begin"/>
        </w:r>
        <w:r w:rsidR="00DA2B90">
          <w:rPr>
            <w:noProof/>
            <w:webHidden/>
          </w:rPr>
          <w:instrText xml:space="preserve"> PAGEREF _Toc19101923 \h </w:instrText>
        </w:r>
        <w:r w:rsidR="00DA2B90">
          <w:rPr>
            <w:noProof/>
            <w:webHidden/>
          </w:rPr>
        </w:r>
        <w:r w:rsidR="00DA2B90">
          <w:rPr>
            <w:noProof/>
            <w:webHidden/>
          </w:rPr>
          <w:fldChar w:fldCharType="separate"/>
        </w:r>
        <w:r>
          <w:rPr>
            <w:noProof/>
            <w:webHidden/>
          </w:rPr>
          <w:t>128</w:t>
        </w:r>
        <w:r w:rsidR="00DA2B90">
          <w:rPr>
            <w:noProof/>
            <w:webHidden/>
          </w:rPr>
          <w:fldChar w:fldCharType="end"/>
        </w:r>
      </w:hyperlink>
    </w:p>
    <w:p w14:paraId="5DB9F0E0" w14:textId="32D85F76" w:rsidR="00DA2B90" w:rsidRDefault="00D2215B">
      <w:pPr>
        <w:pStyle w:val="TOC3"/>
        <w:rPr>
          <w:rFonts w:asciiTheme="minorHAnsi" w:eastAsiaTheme="minorEastAsia" w:hAnsiTheme="minorHAnsi" w:cstheme="minorBidi"/>
          <w:noProof/>
          <w:sz w:val="22"/>
          <w:szCs w:val="22"/>
          <w:lang w:eastAsia="en-NZ"/>
        </w:rPr>
      </w:pPr>
      <w:hyperlink w:anchor="_Toc19101924" w:history="1">
        <w:r w:rsidR="00DA2B90" w:rsidRPr="00AC13B1">
          <w:rPr>
            <w:rStyle w:val="Hyperlink"/>
            <w:noProof/>
          </w:rPr>
          <w:t>Figure 73: Diagnosed osteoporosis, 15+ years, by gender, Māori and non</w:t>
        </w:r>
        <w:r w:rsidR="00DA2B90" w:rsidRPr="00AC13B1">
          <w:rPr>
            <w:rStyle w:val="Hyperlink"/>
            <w:noProof/>
          </w:rPr>
          <w:noBreakHyphen/>
          <w:t>Māori, 2006/07–2016/17</w:t>
        </w:r>
        <w:r w:rsidR="00DA2B90">
          <w:rPr>
            <w:noProof/>
            <w:webHidden/>
          </w:rPr>
          <w:tab/>
        </w:r>
        <w:r w:rsidR="00DA2B90">
          <w:rPr>
            <w:noProof/>
            <w:webHidden/>
          </w:rPr>
          <w:fldChar w:fldCharType="begin"/>
        </w:r>
        <w:r w:rsidR="00DA2B90">
          <w:rPr>
            <w:noProof/>
            <w:webHidden/>
          </w:rPr>
          <w:instrText xml:space="preserve"> PAGEREF _Toc19101924 \h </w:instrText>
        </w:r>
        <w:r w:rsidR="00DA2B90">
          <w:rPr>
            <w:noProof/>
            <w:webHidden/>
          </w:rPr>
        </w:r>
        <w:r w:rsidR="00DA2B90">
          <w:rPr>
            <w:noProof/>
            <w:webHidden/>
          </w:rPr>
          <w:fldChar w:fldCharType="separate"/>
        </w:r>
        <w:r>
          <w:rPr>
            <w:noProof/>
            <w:webHidden/>
          </w:rPr>
          <w:t>129</w:t>
        </w:r>
        <w:r w:rsidR="00DA2B90">
          <w:rPr>
            <w:noProof/>
            <w:webHidden/>
          </w:rPr>
          <w:fldChar w:fldCharType="end"/>
        </w:r>
      </w:hyperlink>
    </w:p>
    <w:p w14:paraId="415AABB3" w14:textId="06194B97" w:rsidR="00DA2B90" w:rsidRDefault="00D2215B">
      <w:pPr>
        <w:pStyle w:val="TOC3"/>
        <w:rPr>
          <w:rFonts w:asciiTheme="minorHAnsi" w:eastAsiaTheme="minorEastAsia" w:hAnsiTheme="minorHAnsi" w:cstheme="minorBidi"/>
          <w:noProof/>
          <w:sz w:val="22"/>
          <w:szCs w:val="22"/>
          <w:lang w:eastAsia="en-NZ"/>
        </w:rPr>
      </w:pPr>
      <w:hyperlink w:anchor="_Toc19101925" w:history="1">
        <w:r w:rsidR="00DA2B90" w:rsidRPr="00AC13B1">
          <w:rPr>
            <w:rStyle w:val="Hyperlink"/>
            <w:noProof/>
          </w:rPr>
          <w:t>Figure 74: Experienced chronic pain, 15+ years, Māori and non</w:t>
        </w:r>
        <w:r w:rsidR="00DA2B90" w:rsidRPr="00AC13B1">
          <w:rPr>
            <w:rStyle w:val="Hyperlink"/>
            <w:noProof/>
          </w:rPr>
          <w:noBreakHyphen/>
          <w:t>Māori, 2006/07–2016/17</w:t>
        </w:r>
        <w:r w:rsidR="00DA2B90">
          <w:rPr>
            <w:noProof/>
            <w:webHidden/>
          </w:rPr>
          <w:tab/>
        </w:r>
        <w:r w:rsidR="00DA2B90">
          <w:rPr>
            <w:noProof/>
            <w:webHidden/>
          </w:rPr>
          <w:fldChar w:fldCharType="begin"/>
        </w:r>
        <w:r w:rsidR="00DA2B90">
          <w:rPr>
            <w:noProof/>
            <w:webHidden/>
          </w:rPr>
          <w:instrText xml:space="preserve"> PAGEREF _Toc19101925 \h </w:instrText>
        </w:r>
        <w:r w:rsidR="00DA2B90">
          <w:rPr>
            <w:noProof/>
            <w:webHidden/>
          </w:rPr>
        </w:r>
        <w:r w:rsidR="00DA2B90">
          <w:rPr>
            <w:noProof/>
            <w:webHidden/>
          </w:rPr>
          <w:fldChar w:fldCharType="separate"/>
        </w:r>
        <w:r>
          <w:rPr>
            <w:noProof/>
            <w:webHidden/>
          </w:rPr>
          <w:t>130</w:t>
        </w:r>
        <w:r w:rsidR="00DA2B90">
          <w:rPr>
            <w:noProof/>
            <w:webHidden/>
          </w:rPr>
          <w:fldChar w:fldCharType="end"/>
        </w:r>
      </w:hyperlink>
    </w:p>
    <w:p w14:paraId="4E79C233" w14:textId="1E07138F" w:rsidR="00DA2B90" w:rsidRDefault="00D2215B">
      <w:pPr>
        <w:pStyle w:val="TOC3"/>
        <w:rPr>
          <w:rFonts w:asciiTheme="minorHAnsi" w:eastAsiaTheme="minorEastAsia" w:hAnsiTheme="minorHAnsi" w:cstheme="minorBidi"/>
          <w:noProof/>
          <w:sz w:val="22"/>
          <w:szCs w:val="22"/>
          <w:lang w:eastAsia="en-NZ"/>
        </w:rPr>
      </w:pPr>
      <w:hyperlink w:anchor="_Toc19101926" w:history="1">
        <w:r w:rsidR="00DA2B90" w:rsidRPr="00AC13B1">
          <w:rPr>
            <w:rStyle w:val="Hyperlink"/>
            <w:noProof/>
            <w:lang w:eastAsia="en-NZ"/>
          </w:rPr>
          <w:t>Figure 75: Experienced chronic pain</w:t>
        </w:r>
        <w:r w:rsidR="00DA2B90" w:rsidRPr="00AC13B1">
          <w:rPr>
            <w:rStyle w:val="Hyperlink"/>
            <w:noProof/>
          </w:rPr>
          <w:t>, 15+ years, by gender, Māori and non</w:t>
        </w:r>
        <w:r w:rsidR="00DA2B90" w:rsidRPr="00AC13B1">
          <w:rPr>
            <w:rStyle w:val="Hyperlink"/>
            <w:noProof/>
          </w:rPr>
          <w:noBreakHyphen/>
          <w:t>Māori, 2006/07–2016/17</w:t>
        </w:r>
        <w:r w:rsidR="00DA2B90">
          <w:rPr>
            <w:noProof/>
            <w:webHidden/>
          </w:rPr>
          <w:tab/>
        </w:r>
        <w:r w:rsidR="00DA2B90">
          <w:rPr>
            <w:noProof/>
            <w:webHidden/>
          </w:rPr>
          <w:fldChar w:fldCharType="begin"/>
        </w:r>
        <w:r w:rsidR="00DA2B90">
          <w:rPr>
            <w:noProof/>
            <w:webHidden/>
          </w:rPr>
          <w:instrText xml:space="preserve"> PAGEREF _Toc19101926 \h </w:instrText>
        </w:r>
        <w:r w:rsidR="00DA2B90">
          <w:rPr>
            <w:noProof/>
            <w:webHidden/>
          </w:rPr>
        </w:r>
        <w:r w:rsidR="00DA2B90">
          <w:rPr>
            <w:noProof/>
            <w:webHidden/>
          </w:rPr>
          <w:fldChar w:fldCharType="separate"/>
        </w:r>
        <w:r>
          <w:rPr>
            <w:noProof/>
            <w:webHidden/>
          </w:rPr>
          <w:t>131</w:t>
        </w:r>
        <w:r w:rsidR="00DA2B90">
          <w:rPr>
            <w:noProof/>
            <w:webHidden/>
          </w:rPr>
          <w:fldChar w:fldCharType="end"/>
        </w:r>
      </w:hyperlink>
    </w:p>
    <w:p w14:paraId="301C0601" w14:textId="0079D539" w:rsidR="00DA2B90" w:rsidRDefault="00D2215B">
      <w:pPr>
        <w:pStyle w:val="TOC3"/>
        <w:rPr>
          <w:rFonts w:asciiTheme="minorHAnsi" w:eastAsiaTheme="minorEastAsia" w:hAnsiTheme="minorHAnsi" w:cstheme="minorBidi"/>
          <w:noProof/>
          <w:sz w:val="22"/>
          <w:szCs w:val="22"/>
          <w:lang w:eastAsia="en-NZ"/>
        </w:rPr>
      </w:pPr>
      <w:hyperlink w:anchor="_Toc19101927" w:history="1">
        <w:r w:rsidR="00DA2B90" w:rsidRPr="00AC13B1">
          <w:rPr>
            <w:rStyle w:val="Hyperlink"/>
            <w:noProof/>
          </w:rPr>
          <w:t>Figure 76: Dementia (including Alzheimer’s Disease) mortality rates, 65+ years, Māori and non</w:t>
        </w:r>
        <w:r w:rsidR="00DA2B90" w:rsidRPr="00AC13B1">
          <w:rPr>
            <w:rStyle w:val="Hyperlink"/>
            <w:noProof/>
          </w:rPr>
          <w:noBreakHyphen/>
          <w:t>Māori, 1996–98 to 2012–14</w:t>
        </w:r>
        <w:r w:rsidR="00DA2B90">
          <w:rPr>
            <w:noProof/>
            <w:webHidden/>
          </w:rPr>
          <w:tab/>
        </w:r>
        <w:r w:rsidR="00DA2B90">
          <w:rPr>
            <w:noProof/>
            <w:webHidden/>
          </w:rPr>
          <w:fldChar w:fldCharType="begin"/>
        </w:r>
        <w:r w:rsidR="00DA2B90">
          <w:rPr>
            <w:noProof/>
            <w:webHidden/>
          </w:rPr>
          <w:instrText xml:space="preserve"> PAGEREF _Toc19101927 \h </w:instrText>
        </w:r>
        <w:r w:rsidR="00DA2B90">
          <w:rPr>
            <w:noProof/>
            <w:webHidden/>
          </w:rPr>
        </w:r>
        <w:r w:rsidR="00DA2B90">
          <w:rPr>
            <w:noProof/>
            <w:webHidden/>
          </w:rPr>
          <w:fldChar w:fldCharType="separate"/>
        </w:r>
        <w:r>
          <w:rPr>
            <w:noProof/>
            <w:webHidden/>
          </w:rPr>
          <w:t>134</w:t>
        </w:r>
        <w:r w:rsidR="00DA2B90">
          <w:rPr>
            <w:noProof/>
            <w:webHidden/>
          </w:rPr>
          <w:fldChar w:fldCharType="end"/>
        </w:r>
      </w:hyperlink>
    </w:p>
    <w:p w14:paraId="3E1F2849" w14:textId="55812467" w:rsidR="00DA2B90" w:rsidRDefault="00D2215B">
      <w:pPr>
        <w:pStyle w:val="TOC3"/>
        <w:rPr>
          <w:rFonts w:asciiTheme="minorHAnsi" w:eastAsiaTheme="minorEastAsia" w:hAnsiTheme="minorHAnsi" w:cstheme="minorBidi"/>
          <w:noProof/>
          <w:sz w:val="22"/>
          <w:szCs w:val="22"/>
          <w:lang w:eastAsia="en-NZ"/>
        </w:rPr>
      </w:pPr>
      <w:hyperlink w:anchor="_Toc19101928" w:history="1">
        <w:r w:rsidR="00DA2B90" w:rsidRPr="00AC13B1">
          <w:rPr>
            <w:rStyle w:val="Hyperlink"/>
            <w:noProof/>
          </w:rPr>
          <w:t>Figure 77: Dementia (including Alzheimer’s Disease) mortality rates, 65+ years, by gender, Māori and non</w:t>
        </w:r>
        <w:r w:rsidR="00DA2B90" w:rsidRPr="00AC13B1">
          <w:rPr>
            <w:rStyle w:val="Hyperlink"/>
            <w:noProof/>
          </w:rPr>
          <w:noBreakHyphen/>
          <w:t>Māori, 1996–98 to 2012–14</w:t>
        </w:r>
        <w:r w:rsidR="00DA2B90">
          <w:rPr>
            <w:noProof/>
            <w:webHidden/>
          </w:rPr>
          <w:tab/>
        </w:r>
        <w:r w:rsidR="00DA2B90">
          <w:rPr>
            <w:noProof/>
            <w:webHidden/>
          </w:rPr>
          <w:fldChar w:fldCharType="begin"/>
        </w:r>
        <w:r w:rsidR="00DA2B90">
          <w:rPr>
            <w:noProof/>
            <w:webHidden/>
          </w:rPr>
          <w:instrText xml:space="preserve"> PAGEREF _Toc19101928 \h </w:instrText>
        </w:r>
        <w:r w:rsidR="00DA2B90">
          <w:rPr>
            <w:noProof/>
            <w:webHidden/>
          </w:rPr>
        </w:r>
        <w:r w:rsidR="00DA2B90">
          <w:rPr>
            <w:noProof/>
            <w:webHidden/>
          </w:rPr>
          <w:fldChar w:fldCharType="separate"/>
        </w:r>
        <w:r>
          <w:rPr>
            <w:noProof/>
            <w:webHidden/>
          </w:rPr>
          <w:t>135</w:t>
        </w:r>
        <w:r w:rsidR="00DA2B90">
          <w:rPr>
            <w:noProof/>
            <w:webHidden/>
          </w:rPr>
          <w:fldChar w:fldCharType="end"/>
        </w:r>
      </w:hyperlink>
    </w:p>
    <w:p w14:paraId="4C593CC7" w14:textId="7E0F946E" w:rsidR="00DA2B90" w:rsidRDefault="00D2215B">
      <w:pPr>
        <w:pStyle w:val="TOC3"/>
        <w:rPr>
          <w:rFonts w:asciiTheme="minorHAnsi" w:eastAsiaTheme="minorEastAsia" w:hAnsiTheme="minorHAnsi" w:cstheme="minorBidi"/>
          <w:noProof/>
          <w:sz w:val="22"/>
          <w:szCs w:val="22"/>
          <w:lang w:eastAsia="en-NZ"/>
        </w:rPr>
      </w:pPr>
      <w:hyperlink w:anchor="_Toc19101929" w:history="1">
        <w:r w:rsidR="00DA2B90" w:rsidRPr="00AC13B1">
          <w:rPr>
            <w:rStyle w:val="Hyperlink"/>
            <w:noProof/>
          </w:rPr>
          <w:t>Figure 78: Tuberculosis (TB) notification rates, Māori and non</w:t>
        </w:r>
        <w:r w:rsidR="00DA2B90" w:rsidRPr="00AC13B1">
          <w:rPr>
            <w:rStyle w:val="Hyperlink"/>
            <w:noProof/>
          </w:rPr>
          <w:noBreakHyphen/>
          <w:t>Māori, 1997–99 to 2015–17</w:t>
        </w:r>
        <w:r w:rsidR="00DA2B90">
          <w:rPr>
            <w:noProof/>
            <w:webHidden/>
          </w:rPr>
          <w:tab/>
        </w:r>
        <w:r w:rsidR="00DA2B90">
          <w:rPr>
            <w:noProof/>
            <w:webHidden/>
          </w:rPr>
          <w:fldChar w:fldCharType="begin"/>
        </w:r>
        <w:r w:rsidR="00DA2B90">
          <w:rPr>
            <w:noProof/>
            <w:webHidden/>
          </w:rPr>
          <w:instrText xml:space="preserve"> PAGEREF _Toc19101929 \h </w:instrText>
        </w:r>
        <w:r w:rsidR="00DA2B90">
          <w:rPr>
            <w:noProof/>
            <w:webHidden/>
          </w:rPr>
        </w:r>
        <w:r w:rsidR="00DA2B90">
          <w:rPr>
            <w:noProof/>
            <w:webHidden/>
          </w:rPr>
          <w:fldChar w:fldCharType="separate"/>
        </w:r>
        <w:r>
          <w:rPr>
            <w:noProof/>
            <w:webHidden/>
          </w:rPr>
          <w:t>137</w:t>
        </w:r>
        <w:r w:rsidR="00DA2B90">
          <w:rPr>
            <w:noProof/>
            <w:webHidden/>
          </w:rPr>
          <w:fldChar w:fldCharType="end"/>
        </w:r>
      </w:hyperlink>
    </w:p>
    <w:p w14:paraId="167D8A58" w14:textId="38D35DE9" w:rsidR="00DA2B90" w:rsidRDefault="00D2215B">
      <w:pPr>
        <w:pStyle w:val="TOC3"/>
        <w:rPr>
          <w:rFonts w:asciiTheme="minorHAnsi" w:eastAsiaTheme="minorEastAsia" w:hAnsiTheme="minorHAnsi" w:cstheme="minorBidi"/>
          <w:noProof/>
          <w:sz w:val="22"/>
          <w:szCs w:val="22"/>
          <w:lang w:eastAsia="en-NZ"/>
        </w:rPr>
      </w:pPr>
      <w:hyperlink w:anchor="_Toc19101930" w:history="1">
        <w:r w:rsidR="00DA2B90" w:rsidRPr="00AC13B1">
          <w:rPr>
            <w:rStyle w:val="Hyperlink"/>
            <w:noProof/>
          </w:rPr>
          <w:t>Figure 79: First episode rheumatic fever hospitalisation rates, Māori and non</w:t>
        </w:r>
        <w:r w:rsidR="00DA2B90" w:rsidRPr="00AC13B1">
          <w:rPr>
            <w:rStyle w:val="Hyperlink"/>
            <w:noProof/>
          </w:rPr>
          <w:noBreakHyphen/>
          <w:t>Māori, 1996–98 and 2014–16</w:t>
        </w:r>
        <w:r w:rsidR="00DA2B90">
          <w:rPr>
            <w:noProof/>
            <w:webHidden/>
          </w:rPr>
          <w:tab/>
        </w:r>
        <w:r w:rsidR="00DA2B90">
          <w:rPr>
            <w:noProof/>
            <w:webHidden/>
          </w:rPr>
          <w:fldChar w:fldCharType="begin"/>
        </w:r>
        <w:r w:rsidR="00DA2B90">
          <w:rPr>
            <w:noProof/>
            <w:webHidden/>
          </w:rPr>
          <w:instrText xml:space="preserve"> PAGEREF _Toc19101930 \h </w:instrText>
        </w:r>
        <w:r w:rsidR="00DA2B90">
          <w:rPr>
            <w:noProof/>
            <w:webHidden/>
          </w:rPr>
        </w:r>
        <w:r w:rsidR="00DA2B90">
          <w:rPr>
            <w:noProof/>
            <w:webHidden/>
          </w:rPr>
          <w:fldChar w:fldCharType="separate"/>
        </w:r>
        <w:r>
          <w:rPr>
            <w:noProof/>
            <w:webHidden/>
          </w:rPr>
          <w:t>139</w:t>
        </w:r>
        <w:r w:rsidR="00DA2B90">
          <w:rPr>
            <w:noProof/>
            <w:webHidden/>
          </w:rPr>
          <w:fldChar w:fldCharType="end"/>
        </w:r>
      </w:hyperlink>
    </w:p>
    <w:p w14:paraId="69310298" w14:textId="1B9F68B8" w:rsidR="00DA2B90" w:rsidRDefault="00D2215B">
      <w:pPr>
        <w:pStyle w:val="TOC3"/>
        <w:rPr>
          <w:rFonts w:asciiTheme="minorHAnsi" w:eastAsiaTheme="minorEastAsia" w:hAnsiTheme="minorHAnsi" w:cstheme="minorBidi"/>
          <w:noProof/>
          <w:sz w:val="22"/>
          <w:szCs w:val="22"/>
          <w:lang w:eastAsia="en-NZ"/>
        </w:rPr>
      </w:pPr>
      <w:hyperlink w:anchor="_Toc19101931" w:history="1">
        <w:r w:rsidR="00DA2B90" w:rsidRPr="00AC13B1">
          <w:rPr>
            <w:rStyle w:val="Hyperlink"/>
            <w:noProof/>
          </w:rPr>
          <w:t>Figure 80: Meningococcal notification rates, Māori and non</w:t>
        </w:r>
        <w:r w:rsidR="00DA2B90" w:rsidRPr="00AC13B1">
          <w:rPr>
            <w:rStyle w:val="Hyperlink"/>
            <w:noProof/>
          </w:rPr>
          <w:noBreakHyphen/>
          <w:t>Māori, 1997–99 and 2015–17</w:t>
        </w:r>
        <w:r w:rsidR="00DA2B90">
          <w:rPr>
            <w:noProof/>
            <w:webHidden/>
          </w:rPr>
          <w:tab/>
        </w:r>
        <w:r w:rsidR="00DA2B90">
          <w:rPr>
            <w:noProof/>
            <w:webHidden/>
          </w:rPr>
          <w:fldChar w:fldCharType="begin"/>
        </w:r>
        <w:r w:rsidR="00DA2B90">
          <w:rPr>
            <w:noProof/>
            <w:webHidden/>
          </w:rPr>
          <w:instrText xml:space="preserve"> PAGEREF _Toc19101931 \h </w:instrText>
        </w:r>
        <w:r w:rsidR="00DA2B90">
          <w:rPr>
            <w:noProof/>
            <w:webHidden/>
          </w:rPr>
        </w:r>
        <w:r w:rsidR="00DA2B90">
          <w:rPr>
            <w:noProof/>
            <w:webHidden/>
          </w:rPr>
          <w:fldChar w:fldCharType="separate"/>
        </w:r>
        <w:r>
          <w:rPr>
            <w:noProof/>
            <w:webHidden/>
          </w:rPr>
          <w:t>141</w:t>
        </w:r>
        <w:r w:rsidR="00DA2B90">
          <w:rPr>
            <w:noProof/>
            <w:webHidden/>
          </w:rPr>
          <w:fldChar w:fldCharType="end"/>
        </w:r>
      </w:hyperlink>
    </w:p>
    <w:p w14:paraId="183D7D01" w14:textId="6B4B8EBE" w:rsidR="00DA2B90" w:rsidRDefault="00D2215B">
      <w:pPr>
        <w:pStyle w:val="TOC3"/>
        <w:rPr>
          <w:rFonts w:asciiTheme="minorHAnsi" w:eastAsiaTheme="minorEastAsia" w:hAnsiTheme="minorHAnsi" w:cstheme="minorBidi"/>
          <w:noProof/>
          <w:sz w:val="22"/>
          <w:szCs w:val="22"/>
          <w:lang w:eastAsia="en-NZ"/>
        </w:rPr>
      </w:pPr>
      <w:hyperlink w:anchor="_Toc19101932" w:history="1">
        <w:r w:rsidR="00DA2B90" w:rsidRPr="00AC13B1">
          <w:rPr>
            <w:rStyle w:val="Hyperlink"/>
            <w:noProof/>
          </w:rPr>
          <w:t>Figure 81: Suicide mortality rates, all age groups, by gender, Māori and non</w:t>
        </w:r>
        <w:r w:rsidR="00DA2B90" w:rsidRPr="00AC13B1">
          <w:rPr>
            <w:rStyle w:val="Hyperlink"/>
            <w:noProof/>
          </w:rPr>
          <w:noBreakHyphen/>
          <w:t>Māori, 1996–98 to 2012–14</w:t>
        </w:r>
        <w:r w:rsidR="00DA2B90">
          <w:rPr>
            <w:noProof/>
            <w:webHidden/>
          </w:rPr>
          <w:tab/>
        </w:r>
        <w:r w:rsidR="00DA2B90">
          <w:rPr>
            <w:noProof/>
            <w:webHidden/>
          </w:rPr>
          <w:fldChar w:fldCharType="begin"/>
        </w:r>
        <w:r w:rsidR="00DA2B90">
          <w:rPr>
            <w:noProof/>
            <w:webHidden/>
          </w:rPr>
          <w:instrText xml:space="preserve"> PAGEREF _Toc19101932 \h </w:instrText>
        </w:r>
        <w:r w:rsidR="00DA2B90">
          <w:rPr>
            <w:noProof/>
            <w:webHidden/>
          </w:rPr>
        </w:r>
        <w:r w:rsidR="00DA2B90">
          <w:rPr>
            <w:noProof/>
            <w:webHidden/>
          </w:rPr>
          <w:fldChar w:fldCharType="separate"/>
        </w:r>
        <w:r>
          <w:rPr>
            <w:noProof/>
            <w:webHidden/>
          </w:rPr>
          <w:t>148</w:t>
        </w:r>
        <w:r w:rsidR="00DA2B90">
          <w:rPr>
            <w:noProof/>
            <w:webHidden/>
          </w:rPr>
          <w:fldChar w:fldCharType="end"/>
        </w:r>
      </w:hyperlink>
    </w:p>
    <w:p w14:paraId="09F1458A" w14:textId="17BB279D" w:rsidR="00DA2B90" w:rsidRDefault="00D2215B">
      <w:pPr>
        <w:pStyle w:val="TOC3"/>
        <w:rPr>
          <w:rFonts w:asciiTheme="minorHAnsi" w:eastAsiaTheme="minorEastAsia" w:hAnsiTheme="minorHAnsi" w:cstheme="minorBidi"/>
          <w:noProof/>
          <w:sz w:val="22"/>
          <w:szCs w:val="22"/>
          <w:lang w:eastAsia="en-NZ"/>
        </w:rPr>
      </w:pPr>
      <w:hyperlink w:anchor="_Toc19101933" w:history="1">
        <w:r w:rsidR="00DA2B90" w:rsidRPr="00AC13B1">
          <w:rPr>
            <w:rStyle w:val="Hyperlink"/>
            <w:noProof/>
          </w:rPr>
          <w:t>Figure 82: Suicide mortality, 15–24 years, by gender, Māori and non</w:t>
        </w:r>
        <w:r w:rsidR="00DA2B90" w:rsidRPr="00AC13B1">
          <w:rPr>
            <w:rStyle w:val="Hyperlink"/>
            <w:noProof/>
          </w:rPr>
          <w:noBreakHyphen/>
          <w:t>Māori, 1996–98 to 2012–14</w:t>
        </w:r>
        <w:r w:rsidR="00DA2B90">
          <w:rPr>
            <w:noProof/>
            <w:webHidden/>
          </w:rPr>
          <w:tab/>
        </w:r>
        <w:r w:rsidR="00DA2B90">
          <w:rPr>
            <w:noProof/>
            <w:webHidden/>
          </w:rPr>
          <w:fldChar w:fldCharType="begin"/>
        </w:r>
        <w:r w:rsidR="00DA2B90">
          <w:rPr>
            <w:noProof/>
            <w:webHidden/>
          </w:rPr>
          <w:instrText xml:space="preserve"> PAGEREF _Toc19101933 \h </w:instrText>
        </w:r>
        <w:r w:rsidR="00DA2B90">
          <w:rPr>
            <w:noProof/>
            <w:webHidden/>
          </w:rPr>
        </w:r>
        <w:r w:rsidR="00DA2B90">
          <w:rPr>
            <w:noProof/>
            <w:webHidden/>
          </w:rPr>
          <w:fldChar w:fldCharType="separate"/>
        </w:r>
        <w:r>
          <w:rPr>
            <w:noProof/>
            <w:webHidden/>
          </w:rPr>
          <w:t>149</w:t>
        </w:r>
        <w:r w:rsidR="00DA2B90">
          <w:rPr>
            <w:noProof/>
            <w:webHidden/>
          </w:rPr>
          <w:fldChar w:fldCharType="end"/>
        </w:r>
      </w:hyperlink>
    </w:p>
    <w:p w14:paraId="08057F20" w14:textId="3F06BFBC" w:rsidR="00DA2B90" w:rsidRDefault="00D2215B">
      <w:pPr>
        <w:pStyle w:val="TOC3"/>
        <w:rPr>
          <w:rFonts w:asciiTheme="minorHAnsi" w:eastAsiaTheme="minorEastAsia" w:hAnsiTheme="minorHAnsi" w:cstheme="minorBidi"/>
          <w:noProof/>
          <w:sz w:val="22"/>
          <w:szCs w:val="22"/>
          <w:lang w:eastAsia="en-NZ"/>
        </w:rPr>
      </w:pPr>
      <w:hyperlink w:anchor="_Toc19101934" w:history="1">
        <w:r w:rsidR="00DA2B90" w:rsidRPr="00AC13B1">
          <w:rPr>
            <w:rStyle w:val="Hyperlink"/>
            <w:noProof/>
          </w:rPr>
          <w:t>Figure 83: Intentional self-harm hospitalisation rates, all age groups, by gender, Māori and non</w:t>
        </w:r>
        <w:r w:rsidR="00DA2B90" w:rsidRPr="00AC13B1">
          <w:rPr>
            <w:rStyle w:val="Hyperlink"/>
            <w:noProof/>
          </w:rPr>
          <w:noBreakHyphen/>
          <w:t>Māori, 1996–98 to 2014–16</w:t>
        </w:r>
        <w:r w:rsidR="00DA2B90">
          <w:rPr>
            <w:noProof/>
            <w:webHidden/>
          </w:rPr>
          <w:tab/>
        </w:r>
        <w:r w:rsidR="00DA2B90">
          <w:rPr>
            <w:noProof/>
            <w:webHidden/>
          </w:rPr>
          <w:fldChar w:fldCharType="begin"/>
        </w:r>
        <w:r w:rsidR="00DA2B90">
          <w:rPr>
            <w:noProof/>
            <w:webHidden/>
          </w:rPr>
          <w:instrText xml:space="preserve"> PAGEREF _Toc19101934 \h </w:instrText>
        </w:r>
        <w:r w:rsidR="00DA2B90">
          <w:rPr>
            <w:noProof/>
            <w:webHidden/>
          </w:rPr>
        </w:r>
        <w:r w:rsidR="00DA2B90">
          <w:rPr>
            <w:noProof/>
            <w:webHidden/>
          </w:rPr>
          <w:fldChar w:fldCharType="separate"/>
        </w:r>
        <w:r>
          <w:rPr>
            <w:noProof/>
            <w:webHidden/>
          </w:rPr>
          <w:t>150</w:t>
        </w:r>
        <w:r w:rsidR="00DA2B90">
          <w:rPr>
            <w:noProof/>
            <w:webHidden/>
          </w:rPr>
          <w:fldChar w:fldCharType="end"/>
        </w:r>
      </w:hyperlink>
    </w:p>
    <w:p w14:paraId="55EAA6BF" w14:textId="097C9D43" w:rsidR="00DA2B90" w:rsidRDefault="00D2215B">
      <w:pPr>
        <w:pStyle w:val="TOC3"/>
        <w:rPr>
          <w:rFonts w:asciiTheme="minorHAnsi" w:eastAsiaTheme="minorEastAsia" w:hAnsiTheme="minorHAnsi" w:cstheme="minorBidi"/>
          <w:noProof/>
          <w:sz w:val="22"/>
          <w:szCs w:val="22"/>
          <w:lang w:eastAsia="en-NZ"/>
        </w:rPr>
      </w:pPr>
      <w:hyperlink w:anchor="_Toc19101935" w:history="1">
        <w:r w:rsidR="00DA2B90" w:rsidRPr="00AC13B1">
          <w:rPr>
            <w:rStyle w:val="Hyperlink"/>
            <w:noProof/>
          </w:rPr>
          <w:t>Figure 84: Intentional self-harm hospitalisation, 15–24 years, by gender, Māori and non</w:t>
        </w:r>
        <w:r w:rsidR="00DA2B90" w:rsidRPr="00AC13B1">
          <w:rPr>
            <w:rStyle w:val="Hyperlink"/>
            <w:noProof/>
          </w:rPr>
          <w:noBreakHyphen/>
          <w:t>Māori, 1996–98 to 2014–16</w:t>
        </w:r>
        <w:r w:rsidR="00DA2B90">
          <w:rPr>
            <w:noProof/>
            <w:webHidden/>
          </w:rPr>
          <w:tab/>
        </w:r>
        <w:r w:rsidR="00DA2B90">
          <w:rPr>
            <w:noProof/>
            <w:webHidden/>
          </w:rPr>
          <w:fldChar w:fldCharType="begin"/>
        </w:r>
        <w:r w:rsidR="00DA2B90">
          <w:rPr>
            <w:noProof/>
            <w:webHidden/>
          </w:rPr>
          <w:instrText xml:space="preserve"> PAGEREF _Toc19101935 \h </w:instrText>
        </w:r>
        <w:r w:rsidR="00DA2B90">
          <w:rPr>
            <w:noProof/>
            <w:webHidden/>
          </w:rPr>
        </w:r>
        <w:r w:rsidR="00DA2B90">
          <w:rPr>
            <w:noProof/>
            <w:webHidden/>
          </w:rPr>
          <w:fldChar w:fldCharType="separate"/>
        </w:r>
        <w:r>
          <w:rPr>
            <w:noProof/>
            <w:webHidden/>
          </w:rPr>
          <w:t>151</w:t>
        </w:r>
        <w:r w:rsidR="00DA2B90">
          <w:rPr>
            <w:noProof/>
            <w:webHidden/>
          </w:rPr>
          <w:fldChar w:fldCharType="end"/>
        </w:r>
      </w:hyperlink>
    </w:p>
    <w:p w14:paraId="260BC91A" w14:textId="694B50F1" w:rsidR="00DA2B90" w:rsidRDefault="00D2215B">
      <w:pPr>
        <w:pStyle w:val="TOC3"/>
        <w:rPr>
          <w:rFonts w:asciiTheme="minorHAnsi" w:eastAsiaTheme="minorEastAsia" w:hAnsiTheme="minorHAnsi" w:cstheme="minorBidi"/>
          <w:noProof/>
          <w:sz w:val="22"/>
          <w:szCs w:val="22"/>
          <w:lang w:eastAsia="en-NZ"/>
        </w:rPr>
      </w:pPr>
      <w:hyperlink w:anchor="_Toc19101936" w:history="1">
        <w:r w:rsidR="00DA2B90" w:rsidRPr="00AC13B1">
          <w:rPr>
            <w:rStyle w:val="Hyperlink"/>
            <w:noProof/>
          </w:rPr>
          <w:t>Figure 85: Intentional self-harm hospitalisation, 25–44 years, by gender, Māori and non</w:t>
        </w:r>
        <w:r w:rsidR="00DA2B90" w:rsidRPr="00AC13B1">
          <w:rPr>
            <w:rStyle w:val="Hyperlink"/>
            <w:noProof/>
          </w:rPr>
          <w:noBreakHyphen/>
          <w:t>Māori, 1996–98 to 2014–16</w:t>
        </w:r>
        <w:r w:rsidR="00DA2B90">
          <w:rPr>
            <w:noProof/>
            <w:webHidden/>
          </w:rPr>
          <w:tab/>
        </w:r>
        <w:r w:rsidR="00DA2B90">
          <w:rPr>
            <w:noProof/>
            <w:webHidden/>
          </w:rPr>
          <w:fldChar w:fldCharType="begin"/>
        </w:r>
        <w:r w:rsidR="00DA2B90">
          <w:rPr>
            <w:noProof/>
            <w:webHidden/>
          </w:rPr>
          <w:instrText xml:space="preserve"> PAGEREF _Toc19101936 \h </w:instrText>
        </w:r>
        <w:r w:rsidR="00DA2B90">
          <w:rPr>
            <w:noProof/>
            <w:webHidden/>
          </w:rPr>
        </w:r>
        <w:r w:rsidR="00DA2B90">
          <w:rPr>
            <w:noProof/>
            <w:webHidden/>
          </w:rPr>
          <w:fldChar w:fldCharType="separate"/>
        </w:r>
        <w:r>
          <w:rPr>
            <w:noProof/>
            <w:webHidden/>
          </w:rPr>
          <w:t>152</w:t>
        </w:r>
        <w:r w:rsidR="00DA2B90">
          <w:rPr>
            <w:noProof/>
            <w:webHidden/>
          </w:rPr>
          <w:fldChar w:fldCharType="end"/>
        </w:r>
      </w:hyperlink>
    </w:p>
    <w:p w14:paraId="2D2EAA83" w14:textId="385256FF" w:rsidR="00DA2B90" w:rsidRDefault="00D2215B">
      <w:pPr>
        <w:pStyle w:val="TOC3"/>
        <w:rPr>
          <w:rFonts w:asciiTheme="minorHAnsi" w:eastAsiaTheme="minorEastAsia" w:hAnsiTheme="minorHAnsi" w:cstheme="minorBidi"/>
          <w:noProof/>
          <w:sz w:val="22"/>
          <w:szCs w:val="22"/>
          <w:lang w:eastAsia="en-NZ"/>
        </w:rPr>
      </w:pPr>
      <w:hyperlink w:anchor="_Toc19101937" w:history="1">
        <w:r w:rsidR="00DA2B90" w:rsidRPr="00AC13B1">
          <w:rPr>
            <w:rStyle w:val="Hyperlink"/>
            <w:noProof/>
          </w:rPr>
          <w:t>Figure 86: Intentional self-harm hospitalisation, 45–64 years, by gender, Māori and non</w:t>
        </w:r>
        <w:r w:rsidR="00DA2B90" w:rsidRPr="00AC13B1">
          <w:rPr>
            <w:rStyle w:val="Hyperlink"/>
            <w:noProof/>
          </w:rPr>
          <w:noBreakHyphen/>
          <w:t>Māori, 1996–98 to 2014–16</w:t>
        </w:r>
        <w:r w:rsidR="00DA2B90">
          <w:rPr>
            <w:noProof/>
            <w:webHidden/>
          </w:rPr>
          <w:tab/>
        </w:r>
        <w:r w:rsidR="00DA2B90">
          <w:rPr>
            <w:noProof/>
            <w:webHidden/>
          </w:rPr>
          <w:fldChar w:fldCharType="begin"/>
        </w:r>
        <w:r w:rsidR="00DA2B90">
          <w:rPr>
            <w:noProof/>
            <w:webHidden/>
          </w:rPr>
          <w:instrText xml:space="preserve"> PAGEREF _Toc19101937 \h </w:instrText>
        </w:r>
        <w:r w:rsidR="00DA2B90">
          <w:rPr>
            <w:noProof/>
            <w:webHidden/>
          </w:rPr>
        </w:r>
        <w:r w:rsidR="00DA2B90">
          <w:rPr>
            <w:noProof/>
            <w:webHidden/>
          </w:rPr>
          <w:fldChar w:fldCharType="separate"/>
        </w:r>
        <w:r>
          <w:rPr>
            <w:noProof/>
            <w:webHidden/>
          </w:rPr>
          <w:t>153</w:t>
        </w:r>
        <w:r w:rsidR="00DA2B90">
          <w:rPr>
            <w:noProof/>
            <w:webHidden/>
          </w:rPr>
          <w:fldChar w:fldCharType="end"/>
        </w:r>
      </w:hyperlink>
    </w:p>
    <w:p w14:paraId="725022AD" w14:textId="3DB969C9" w:rsidR="00DA2B90" w:rsidRDefault="00D2215B">
      <w:pPr>
        <w:pStyle w:val="TOC3"/>
        <w:rPr>
          <w:rFonts w:asciiTheme="minorHAnsi" w:eastAsiaTheme="minorEastAsia" w:hAnsiTheme="minorHAnsi" w:cstheme="minorBidi"/>
          <w:noProof/>
          <w:sz w:val="22"/>
          <w:szCs w:val="22"/>
          <w:lang w:eastAsia="en-NZ"/>
        </w:rPr>
      </w:pPr>
      <w:hyperlink w:anchor="_Toc19101938" w:history="1">
        <w:r w:rsidR="00DA2B90" w:rsidRPr="00AC13B1">
          <w:rPr>
            <w:rStyle w:val="Hyperlink"/>
            <w:noProof/>
          </w:rPr>
          <w:t>Figure 87: Assault and homicide mortality rates, 15+ years, by gender, Māori and non</w:t>
        </w:r>
        <w:r w:rsidR="00DA2B90" w:rsidRPr="00AC13B1">
          <w:rPr>
            <w:rStyle w:val="Hyperlink"/>
            <w:noProof/>
          </w:rPr>
          <w:noBreakHyphen/>
          <w:t>Māori, 1996–98 to 2012–14</w:t>
        </w:r>
        <w:r w:rsidR="00DA2B90">
          <w:rPr>
            <w:noProof/>
            <w:webHidden/>
          </w:rPr>
          <w:tab/>
        </w:r>
        <w:r w:rsidR="00DA2B90">
          <w:rPr>
            <w:noProof/>
            <w:webHidden/>
          </w:rPr>
          <w:fldChar w:fldCharType="begin"/>
        </w:r>
        <w:r w:rsidR="00DA2B90">
          <w:rPr>
            <w:noProof/>
            <w:webHidden/>
          </w:rPr>
          <w:instrText xml:space="preserve"> PAGEREF _Toc19101938 \h </w:instrText>
        </w:r>
        <w:r w:rsidR="00DA2B90">
          <w:rPr>
            <w:noProof/>
            <w:webHidden/>
          </w:rPr>
        </w:r>
        <w:r w:rsidR="00DA2B90">
          <w:rPr>
            <w:noProof/>
            <w:webHidden/>
          </w:rPr>
          <w:fldChar w:fldCharType="separate"/>
        </w:r>
        <w:r>
          <w:rPr>
            <w:noProof/>
            <w:webHidden/>
          </w:rPr>
          <w:t>155</w:t>
        </w:r>
        <w:r w:rsidR="00DA2B90">
          <w:rPr>
            <w:noProof/>
            <w:webHidden/>
          </w:rPr>
          <w:fldChar w:fldCharType="end"/>
        </w:r>
      </w:hyperlink>
    </w:p>
    <w:p w14:paraId="074F44CE" w14:textId="09BB1DB8" w:rsidR="00DA2B90" w:rsidRDefault="00D2215B">
      <w:pPr>
        <w:pStyle w:val="TOC3"/>
        <w:rPr>
          <w:rFonts w:asciiTheme="minorHAnsi" w:eastAsiaTheme="minorEastAsia" w:hAnsiTheme="minorHAnsi" w:cstheme="minorBidi"/>
          <w:noProof/>
          <w:sz w:val="22"/>
          <w:szCs w:val="22"/>
          <w:lang w:eastAsia="en-NZ"/>
        </w:rPr>
      </w:pPr>
      <w:hyperlink w:anchor="_Toc19101939" w:history="1">
        <w:r w:rsidR="00DA2B90" w:rsidRPr="00AC13B1">
          <w:rPr>
            <w:rStyle w:val="Hyperlink"/>
            <w:noProof/>
          </w:rPr>
          <w:t>Figure 88: Assault and attempted homicide hospitalisation rates, 15+ years, by gender, Māori and non</w:t>
        </w:r>
        <w:r w:rsidR="00DA2B90" w:rsidRPr="00AC13B1">
          <w:rPr>
            <w:rStyle w:val="Hyperlink"/>
            <w:noProof/>
          </w:rPr>
          <w:noBreakHyphen/>
          <w:t>Māori, 1996–98 to 2014–16</w:t>
        </w:r>
        <w:r w:rsidR="00DA2B90">
          <w:rPr>
            <w:noProof/>
            <w:webHidden/>
          </w:rPr>
          <w:tab/>
        </w:r>
        <w:r w:rsidR="00DA2B90">
          <w:rPr>
            <w:noProof/>
            <w:webHidden/>
          </w:rPr>
          <w:fldChar w:fldCharType="begin"/>
        </w:r>
        <w:r w:rsidR="00DA2B90">
          <w:rPr>
            <w:noProof/>
            <w:webHidden/>
          </w:rPr>
          <w:instrText xml:space="preserve"> PAGEREF _Toc19101939 \h </w:instrText>
        </w:r>
        <w:r w:rsidR="00DA2B90">
          <w:rPr>
            <w:noProof/>
            <w:webHidden/>
          </w:rPr>
        </w:r>
        <w:r w:rsidR="00DA2B90">
          <w:rPr>
            <w:noProof/>
            <w:webHidden/>
          </w:rPr>
          <w:fldChar w:fldCharType="separate"/>
        </w:r>
        <w:r>
          <w:rPr>
            <w:noProof/>
            <w:webHidden/>
          </w:rPr>
          <w:t>156</w:t>
        </w:r>
        <w:r w:rsidR="00DA2B90">
          <w:rPr>
            <w:noProof/>
            <w:webHidden/>
          </w:rPr>
          <w:fldChar w:fldCharType="end"/>
        </w:r>
      </w:hyperlink>
    </w:p>
    <w:p w14:paraId="070F535A" w14:textId="5FBEBF75" w:rsidR="00DA2B90" w:rsidRDefault="00D2215B">
      <w:pPr>
        <w:pStyle w:val="TOC3"/>
        <w:rPr>
          <w:rFonts w:asciiTheme="minorHAnsi" w:eastAsiaTheme="minorEastAsia" w:hAnsiTheme="minorHAnsi" w:cstheme="minorBidi"/>
          <w:noProof/>
          <w:sz w:val="22"/>
          <w:szCs w:val="22"/>
          <w:lang w:eastAsia="en-NZ"/>
        </w:rPr>
      </w:pPr>
      <w:hyperlink w:anchor="_Toc19101940" w:history="1">
        <w:r w:rsidR="00DA2B90" w:rsidRPr="00AC13B1">
          <w:rPr>
            <w:rStyle w:val="Hyperlink"/>
            <w:noProof/>
          </w:rPr>
          <w:t>Figure 89: Mean number of decayed, missing and filled teeth (dmft), 5 years, Māori and non</w:t>
        </w:r>
        <w:r w:rsidR="00DA2B90" w:rsidRPr="00AC13B1">
          <w:rPr>
            <w:rStyle w:val="Hyperlink"/>
            <w:noProof/>
          </w:rPr>
          <w:noBreakHyphen/>
          <w:t>Māori, 2002–2016</w:t>
        </w:r>
        <w:r w:rsidR="00DA2B90">
          <w:rPr>
            <w:noProof/>
            <w:webHidden/>
          </w:rPr>
          <w:tab/>
        </w:r>
        <w:r w:rsidR="00DA2B90">
          <w:rPr>
            <w:noProof/>
            <w:webHidden/>
          </w:rPr>
          <w:fldChar w:fldCharType="begin"/>
        </w:r>
        <w:r w:rsidR="00DA2B90">
          <w:rPr>
            <w:noProof/>
            <w:webHidden/>
          </w:rPr>
          <w:instrText xml:space="preserve"> PAGEREF _Toc19101940 \h </w:instrText>
        </w:r>
        <w:r w:rsidR="00DA2B90">
          <w:rPr>
            <w:noProof/>
            <w:webHidden/>
          </w:rPr>
        </w:r>
        <w:r w:rsidR="00DA2B90">
          <w:rPr>
            <w:noProof/>
            <w:webHidden/>
          </w:rPr>
          <w:fldChar w:fldCharType="separate"/>
        </w:r>
        <w:r>
          <w:rPr>
            <w:noProof/>
            <w:webHidden/>
          </w:rPr>
          <w:t>159</w:t>
        </w:r>
        <w:r w:rsidR="00DA2B90">
          <w:rPr>
            <w:noProof/>
            <w:webHidden/>
          </w:rPr>
          <w:fldChar w:fldCharType="end"/>
        </w:r>
      </w:hyperlink>
    </w:p>
    <w:p w14:paraId="71FD663B" w14:textId="7B7EAFB8" w:rsidR="00DA2B90" w:rsidRDefault="00D2215B">
      <w:pPr>
        <w:pStyle w:val="TOC3"/>
        <w:rPr>
          <w:rFonts w:asciiTheme="minorHAnsi" w:eastAsiaTheme="minorEastAsia" w:hAnsiTheme="minorHAnsi" w:cstheme="minorBidi"/>
          <w:noProof/>
          <w:sz w:val="22"/>
          <w:szCs w:val="22"/>
          <w:lang w:eastAsia="en-NZ"/>
        </w:rPr>
      </w:pPr>
      <w:hyperlink w:anchor="_Toc19101941" w:history="1">
        <w:r w:rsidR="00DA2B90" w:rsidRPr="00AC13B1">
          <w:rPr>
            <w:rStyle w:val="Hyperlink"/>
            <w:noProof/>
          </w:rPr>
          <w:t>Figure 90: Mean number of decayed, missing and filled teeth (DMFT), Year 8, Māori and non</w:t>
        </w:r>
        <w:r w:rsidR="00DA2B90" w:rsidRPr="00AC13B1">
          <w:rPr>
            <w:rStyle w:val="Hyperlink"/>
            <w:noProof/>
          </w:rPr>
          <w:noBreakHyphen/>
          <w:t>Māori, 2002–2016</w:t>
        </w:r>
        <w:r w:rsidR="00DA2B90">
          <w:rPr>
            <w:noProof/>
            <w:webHidden/>
          </w:rPr>
          <w:tab/>
        </w:r>
        <w:r w:rsidR="00DA2B90">
          <w:rPr>
            <w:noProof/>
            <w:webHidden/>
          </w:rPr>
          <w:fldChar w:fldCharType="begin"/>
        </w:r>
        <w:r w:rsidR="00DA2B90">
          <w:rPr>
            <w:noProof/>
            <w:webHidden/>
          </w:rPr>
          <w:instrText xml:space="preserve"> PAGEREF _Toc19101941 \h </w:instrText>
        </w:r>
        <w:r w:rsidR="00DA2B90">
          <w:rPr>
            <w:noProof/>
            <w:webHidden/>
          </w:rPr>
        </w:r>
        <w:r w:rsidR="00DA2B90">
          <w:rPr>
            <w:noProof/>
            <w:webHidden/>
          </w:rPr>
          <w:fldChar w:fldCharType="separate"/>
        </w:r>
        <w:r>
          <w:rPr>
            <w:noProof/>
            <w:webHidden/>
          </w:rPr>
          <w:t>161</w:t>
        </w:r>
        <w:r w:rsidR="00DA2B90">
          <w:rPr>
            <w:noProof/>
            <w:webHidden/>
          </w:rPr>
          <w:fldChar w:fldCharType="end"/>
        </w:r>
      </w:hyperlink>
    </w:p>
    <w:p w14:paraId="2147CAAA" w14:textId="0D316D25" w:rsidR="00DA2B90" w:rsidRDefault="00D2215B">
      <w:pPr>
        <w:pStyle w:val="TOC3"/>
        <w:rPr>
          <w:rFonts w:asciiTheme="minorHAnsi" w:eastAsiaTheme="minorEastAsia" w:hAnsiTheme="minorHAnsi" w:cstheme="minorBidi"/>
          <w:noProof/>
          <w:sz w:val="22"/>
          <w:szCs w:val="22"/>
          <w:lang w:eastAsia="en-NZ"/>
        </w:rPr>
      </w:pPr>
      <w:hyperlink w:anchor="_Toc19101942" w:history="1">
        <w:r w:rsidR="00DA2B90" w:rsidRPr="00AC13B1">
          <w:rPr>
            <w:rStyle w:val="Hyperlink"/>
            <w:noProof/>
          </w:rPr>
          <w:t>Figure 91: Percentage of caries-free children, 5 years, Māori and non</w:t>
        </w:r>
        <w:r w:rsidR="00DA2B90" w:rsidRPr="00AC13B1">
          <w:rPr>
            <w:rStyle w:val="Hyperlink"/>
            <w:noProof/>
          </w:rPr>
          <w:noBreakHyphen/>
          <w:t>Māori, 2002–2016</w:t>
        </w:r>
        <w:r w:rsidR="00DA2B90">
          <w:rPr>
            <w:noProof/>
            <w:webHidden/>
          </w:rPr>
          <w:tab/>
        </w:r>
        <w:r w:rsidR="00DA2B90">
          <w:rPr>
            <w:noProof/>
            <w:webHidden/>
          </w:rPr>
          <w:fldChar w:fldCharType="begin"/>
        </w:r>
        <w:r w:rsidR="00DA2B90">
          <w:rPr>
            <w:noProof/>
            <w:webHidden/>
          </w:rPr>
          <w:instrText xml:space="preserve"> PAGEREF _Toc19101942 \h </w:instrText>
        </w:r>
        <w:r w:rsidR="00DA2B90">
          <w:rPr>
            <w:noProof/>
            <w:webHidden/>
          </w:rPr>
        </w:r>
        <w:r w:rsidR="00DA2B90">
          <w:rPr>
            <w:noProof/>
            <w:webHidden/>
          </w:rPr>
          <w:fldChar w:fldCharType="separate"/>
        </w:r>
        <w:r>
          <w:rPr>
            <w:noProof/>
            <w:webHidden/>
          </w:rPr>
          <w:t>163</w:t>
        </w:r>
        <w:r w:rsidR="00DA2B90">
          <w:rPr>
            <w:noProof/>
            <w:webHidden/>
          </w:rPr>
          <w:fldChar w:fldCharType="end"/>
        </w:r>
      </w:hyperlink>
    </w:p>
    <w:p w14:paraId="5A369E85" w14:textId="5277421A" w:rsidR="00DA2B90" w:rsidRDefault="00D2215B">
      <w:pPr>
        <w:pStyle w:val="TOC3"/>
        <w:rPr>
          <w:rFonts w:asciiTheme="minorHAnsi" w:eastAsiaTheme="minorEastAsia" w:hAnsiTheme="minorHAnsi" w:cstheme="minorBidi"/>
          <w:noProof/>
          <w:sz w:val="22"/>
          <w:szCs w:val="22"/>
          <w:lang w:eastAsia="en-NZ"/>
        </w:rPr>
      </w:pPr>
      <w:hyperlink w:anchor="_Toc19101943" w:history="1">
        <w:r w:rsidR="00DA2B90" w:rsidRPr="00AC13B1">
          <w:rPr>
            <w:rStyle w:val="Hyperlink"/>
            <w:noProof/>
          </w:rPr>
          <w:t>Figure 92: Percentage of caries-free children, Year 8, Māori and non</w:t>
        </w:r>
        <w:r w:rsidR="00DA2B90" w:rsidRPr="00AC13B1">
          <w:rPr>
            <w:rStyle w:val="Hyperlink"/>
            <w:noProof/>
          </w:rPr>
          <w:noBreakHyphen/>
          <w:t>Māori, 2002–2016</w:t>
        </w:r>
        <w:r w:rsidR="00DA2B90">
          <w:rPr>
            <w:noProof/>
            <w:webHidden/>
          </w:rPr>
          <w:tab/>
        </w:r>
        <w:r w:rsidR="00DA2B90">
          <w:rPr>
            <w:noProof/>
            <w:webHidden/>
          </w:rPr>
          <w:fldChar w:fldCharType="begin"/>
        </w:r>
        <w:r w:rsidR="00DA2B90">
          <w:rPr>
            <w:noProof/>
            <w:webHidden/>
          </w:rPr>
          <w:instrText xml:space="preserve"> PAGEREF _Toc19101943 \h </w:instrText>
        </w:r>
        <w:r w:rsidR="00DA2B90">
          <w:rPr>
            <w:noProof/>
            <w:webHidden/>
          </w:rPr>
        </w:r>
        <w:r w:rsidR="00DA2B90">
          <w:rPr>
            <w:noProof/>
            <w:webHidden/>
          </w:rPr>
          <w:fldChar w:fldCharType="separate"/>
        </w:r>
        <w:r>
          <w:rPr>
            <w:noProof/>
            <w:webHidden/>
          </w:rPr>
          <w:t>165</w:t>
        </w:r>
        <w:r w:rsidR="00DA2B90">
          <w:rPr>
            <w:noProof/>
            <w:webHidden/>
          </w:rPr>
          <w:fldChar w:fldCharType="end"/>
        </w:r>
      </w:hyperlink>
    </w:p>
    <w:p w14:paraId="7C6C2815" w14:textId="780EBE3A" w:rsidR="00DA2B90" w:rsidRDefault="00D2215B">
      <w:pPr>
        <w:pStyle w:val="TOC3"/>
        <w:rPr>
          <w:rFonts w:asciiTheme="minorHAnsi" w:eastAsiaTheme="minorEastAsia" w:hAnsiTheme="minorHAnsi" w:cstheme="minorBidi"/>
          <w:noProof/>
          <w:sz w:val="22"/>
          <w:szCs w:val="22"/>
          <w:lang w:eastAsia="en-NZ"/>
        </w:rPr>
      </w:pPr>
      <w:hyperlink w:anchor="_Toc19101944" w:history="1">
        <w:r w:rsidR="00DA2B90" w:rsidRPr="00AC13B1">
          <w:rPr>
            <w:rStyle w:val="Hyperlink"/>
            <w:noProof/>
          </w:rPr>
          <w:t>Figure 93: Visiting dental health care worker in previous year, 1–14 years, Māori and non</w:t>
        </w:r>
        <w:r w:rsidR="00DA2B90" w:rsidRPr="00AC13B1">
          <w:rPr>
            <w:rStyle w:val="Hyperlink"/>
            <w:noProof/>
          </w:rPr>
          <w:noBreakHyphen/>
          <w:t>Māori, 2006/07–2016/17</w:t>
        </w:r>
        <w:r w:rsidR="00DA2B90">
          <w:rPr>
            <w:noProof/>
            <w:webHidden/>
          </w:rPr>
          <w:tab/>
        </w:r>
        <w:r w:rsidR="00DA2B90">
          <w:rPr>
            <w:noProof/>
            <w:webHidden/>
          </w:rPr>
          <w:fldChar w:fldCharType="begin"/>
        </w:r>
        <w:r w:rsidR="00DA2B90">
          <w:rPr>
            <w:noProof/>
            <w:webHidden/>
          </w:rPr>
          <w:instrText xml:space="preserve"> PAGEREF _Toc19101944 \h </w:instrText>
        </w:r>
        <w:r w:rsidR="00DA2B90">
          <w:rPr>
            <w:noProof/>
            <w:webHidden/>
          </w:rPr>
        </w:r>
        <w:r w:rsidR="00DA2B90">
          <w:rPr>
            <w:noProof/>
            <w:webHidden/>
          </w:rPr>
          <w:fldChar w:fldCharType="separate"/>
        </w:r>
        <w:r>
          <w:rPr>
            <w:noProof/>
            <w:webHidden/>
          </w:rPr>
          <w:t>167</w:t>
        </w:r>
        <w:r w:rsidR="00DA2B90">
          <w:rPr>
            <w:noProof/>
            <w:webHidden/>
          </w:rPr>
          <w:fldChar w:fldCharType="end"/>
        </w:r>
      </w:hyperlink>
    </w:p>
    <w:p w14:paraId="5C4AB0AD" w14:textId="13905950" w:rsidR="00DA2B90" w:rsidRDefault="00D2215B">
      <w:pPr>
        <w:pStyle w:val="TOC3"/>
        <w:rPr>
          <w:rFonts w:asciiTheme="minorHAnsi" w:eastAsiaTheme="minorEastAsia" w:hAnsiTheme="minorHAnsi" w:cstheme="minorBidi"/>
          <w:noProof/>
          <w:sz w:val="22"/>
          <w:szCs w:val="22"/>
          <w:lang w:eastAsia="en-NZ"/>
        </w:rPr>
      </w:pPr>
      <w:hyperlink w:anchor="_Toc19101945" w:history="1">
        <w:r w:rsidR="00DA2B90" w:rsidRPr="00AC13B1">
          <w:rPr>
            <w:rStyle w:val="Hyperlink"/>
            <w:noProof/>
          </w:rPr>
          <w:t>Figure 94: Visiting dental health care worker in previous year, 15+ years, Māori and non</w:t>
        </w:r>
        <w:r w:rsidR="00DA2B90" w:rsidRPr="00AC13B1">
          <w:rPr>
            <w:rStyle w:val="Hyperlink"/>
            <w:noProof/>
          </w:rPr>
          <w:noBreakHyphen/>
          <w:t>Māori with natural teeth, 2006/07–2016/17</w:t>
        </w:r>
        <w:r w:rsidR="00DA2B90">
          <w:rPr>
            <w:noProof/>
            <w:webHidden/>
          </w:rPr>
          <w:tab/>
        </w:r>
        <w:r w:rsidR="00DA2B90">
          <w:rPr>
            <w:noProof/>
            <w:webHidden/>
          </w:rPr>
          <w:fldChar w:fldCharType="begin"/>
        </w:r>
        <w:r w:rsidR="00DA2B90">
          <w:rPr>
            <w:noProof/>
            <w:webHidden/>
          </w:rPr>
          <w:instrText xml:space="preserve"> PAGEREF _Toc19101945 \h </w:instrText>
        </w:r>
        <w:r w:rsidR="00DA2B90">
          <w:rPr>
            <w:noProof/>
            <w:webHidden/>
          </w:rPr>
        </w:r>
        <w:r w:rsidR="00DA2B90">
          <w:rPr>
            <w:noProof/>
            <w:webHidden/>
          </w:rPr>
          <w:fldChar w:fldCharType="separate"/>
        </w:r>
        <w:r>
          <w:rPr>
            <w:noProof/>
            <w:webHidden/>
          </w:rPr>
          <w:t>168</w:t>
        </w:r>
        <w:r w:rsidR="00DA2B90">
          <w:rPr>
            <w:noProof/>
            <w:webHidden/>
          </w:rPr>
          <w:fldChar w:fldCharType="end"/>
        </w:r>
      </w:hyperlink>
    </w:p>
    <w:p w14:paraId="3868D136" w14:textId="73DF5E4F" w:rsidR="00DA2B90" w:rsidRDefault="00D2215B">
      <w:pPr>
        <w:pStyle w:val="TOC3"/>
        <w:rPr>
          <w:rFonts w:asciiTheme="minorHAnsi" w:eastAsiaTheme="minorEastAsia" w:hAnsiTheme="minorHAnsi" w:cstheme="minorBidi"/>
          <w:noProof/>
          <w:sz w:val="22"/>
          <w:szCs w:val="22"/>
          <w:lang w:eastAsia="en-NZ"/>
        </w:rPr>
      </w:pPr>
      <w:hyperlink w:anchor="_Toc19101946" w:history="1">
        <w:r w:rsidR="00DA2B90" w:rsidRPr="00AC13B1">
          <w:rPr>
            <w:rStyle w:val="Hyperlink"/>
            <w:noProof/>
          </w:rPr>
          <w:t>Figure 95: Had teeth extracted due to decay, abscess or infection in previous year, 1–14 years, Māori and non</w:t>
        </w:r>
        <w:r w:rsidR="00DA2B90" w:rsidRPr="00AC13B1">
          <w:rPr>
            <w:rStyle w:val="Hyperlink"/>
            <w:noProof/>
          </w:rPr>
          <w:noBreakHyphen/>
          <w:t>Māori, 2011/12–2016/17</w:t>
        </w:r>
        <w:r w:rsidR="00DA2B90">
          <w:rPr>
            <w:noProof/>
            <w:webHidden/>
          </w:rPr>
          <w:tab/>
        </w:r>
        <w:r w:rsidR="00DA2B90">
          <w:rPr>
            <w:noProof/>
            <w:webHidden/>
          </w:rPr>
          <w:fldChar w:fldCharType="begin"/>
        </w:r>
        <w:r w:rsidR="00DA2B90">
          <w:rPr>
            <w:noProof/>
            <w:webHidden/>
          </w:rPr>
          <w:instrText xml:space="preserve"> PAGEREF _Toc19101946 \h </w:instrText>
        </w:r>
        <w:r w:rsidR="00DA2B90">
          <w:rPr>
            <w:noProof/>
            <w:webHidden/>
          </w:rPr>
        </w:r>
        <w:r w:rsidR="00DA2B90">
          <w:rPr>
            <w:noProof/>
            <w:webHidden/>
          </w:rPr>
          <w:fldChar w:fldCharType="separate"/>
        </w:r>
        <w:r>
          <w:rPr>
            <w:noProof/>
            <w:webHidden/>
          </w:rPr>
          <w:t>170</w:t>
        </w:r>
        <w:r w:rsidR="00DA2B90">
          <w:rPr>
            <w:noProof/>
            <w:webHidden/>
          </w:rPr>
          <w:fldChar w:fldCharType="end"/>
        </w:r>
      </w:hyperlink>
    </w:p>
    <w:p w14:paraId="282EE1D4" w14:textId="259AF44B" w:rsidR="00DA2B90" w:rsidRDefault="00D2215B">
      <w:pPr>
        <w:pStyle w:val="TOC3"/>
        <w:rPr>
          <w:rFonts w:asciiTheme="minorHAnsi" w:eastAsiaTheme="minorEastAsia" w:hAnsiTheme="minorHAnsi" w:cstheme="minorBidi"/>
          <w:noProof/>
          <w:sz w:val="22"/>
          <w:szCs w:val="22"/>
          <w:lang w:eastAsia="en-NZ"/>
        </w:rPr>
      </w:pPr>
      <w:hyperlink w:anchor="_Toc19101947" w:history="1">
        <w:r w:rsidR="00DA2B90" w:rsidRPr="00AC13B1">
          <w:rPr>
            <w:rStyle w:val="Hyperlink"/>
            <w:noProof/>
          </w:rPr>
          <w:t>Figure 96: Had teeth extracted due to decay, abscess, infection or gum disease in previous year, 15+ years, Māori and non</w:t>
        </w:r>
        <w:r w:rsidR="00DA2B90" w:rsidRPr="00AC13B1">
          <w:rPr>
            <w:rStyle w:val="Hyperlink"/>
            <w:noProof/>
          </w:rPr>
          <w:noBreakHyphen/>
          <w:t>Māori, 2011/12–2016/17</w:t>
        </w:r>
        <w:r w:rsidR="00DA2B90">
          <w:rPr>
            <w:noProof/>
            <w:webHidden/>
          </w:rPr>
          <w:tab/>
        </w:r>
        <w:r w:rsidR="00DA2B90">
          <w:rPr>
            <w:noProof/>
            <w:webHidden/>
          </w:rPr>
          <w:fldChar w:fldCharType="begin"/>
        </w:r>
        <w:r w:rsidR="00DA2B90">
          <w:rPr>
            <w:noProof/>
            <w:webHidden/>
          </w:rPr>
          <w:instrText xml:space="preserve"> PAGEREF _Toc19101947 \h </w:instrText>
        </w:r>
        <w:r w:rsidR="00DA2B90">
          <w:rPr>
            <w:noProof/>
            <w:webHidden/>
          </w:rPr>
        </w:r>
        <w:r w:rsidR="00DA2B90">
          <w:rPr>
            <w:noProof/>
            <w:webHidden/>
          </w:rPr>
          <w:fldChar w:fldCharType="separate"/>
        </w:r>
        <w:r>
          <w:rPr>
            <w:noProof/>
            <w:webHidden/>
          </w:rPr>
          <w:t>172</w:t>
        </w:r>
        <w:r w:rsidR="00DA2B90">
          <w:rPr>
            <w:noProof/>
            <w:webHidden/>
          </w:rPr>
          <w:fldChar w:fldCharType="end"/>
        </w:r>
      </w:hyperlink>
    </w:p>
    <w:p w14:paraId="299A5A5C" w14:textId="7C30CD61" w:rsidR="00DA2B90" w:rsidRDefault="00D2215B">
      <w:pPr>
        <w:pStyle w:val="TOC3"/>
        <w:rPr>
          <w:rFonts w:asciiTheme="minorHAnsi" w:eastAsiaTheme="minorEastAsia" w:hAnsiTheme="minorHAnsi" w:cstheme="minorBidi"/>
          <w:noProof/>
          <w:sz w:val="22"/>
          <w:szCs w:val="22"/>
          <w:lang w:eastAsia="en-NZ"/>
        </w:rPr>
      </w:pPr>
      <w:hyperlink w:anchor="_Toc19101948" w:history="1">
        <w:r w:rsidR="00DA2B90" w:rsidRPr="00AC13B1">
          <w:rPr>
            <w:rStyle w:val="Hyperlink"/>
            <w:noProof/>
          </w:rPr>
          <w:t>Figure 97: Only visit a dental health care worker for dental problems, or never visits, 15+ years, Māori and non</w:t>
        </w:r>
        <w:r w:rsidR="00DA2B90" w:rsidRPr="00AC13B1">
          <w:rPr>
            <w:rStyle w:val="Hyperlink"/>
            <w:noProof/>
          </w:rPr>
          <w:noBreakHyphen/>
          <w:t>Māori with natural teeth, 2006/07–2016/17</w:t>
        </w:r>
        <w:r w:rsidR="00DA2B90">
          <w:rPr>
            <w:noProof/>
            <w:webHidden/>
          </w:rPr>
          <w:tab/>
        </w:r>
        <w:r w:rsidR="00DA2B90">
          <w:rPr>
            <w:noProof/>
            <w:webHidden/>
          </w:rPr>
          <w:fldChar w:fldCharType="begin"/>
        </w:r>
        <w:r w:rsidR="00DA2B90">
          <w:rPr>
            <w:noProof/>
            <w:webHidden/>
          </w:rPr>
          <w:instrText xml:space="preserve"> PAGEREF _Toc19101948 \h </w:instrText>
        </w:r>
        <w:r w:rsidR="00DA2B90">
          <w:rPr>
            <w:noProof/>
            <w:webHidden/>
          </w:rPr>
        </w:r>
        <w:r w:rsidR="00DA2B90">
          <w:rPr>
            <w:noProof/>
            <w:webHidden/>
          </w:rPr>
          <w:fldChar w:fldCharType="separate"/>
        </w:r>
        <w:r>
          <w:rPr>
            <w:noProof/>
            <w:webHidden/>
          </w:rPr>
          <w:t>174</w:t>
        </w:r>
        <w:r w:rsidR="00DA2B90">
          <w:rPr>
            <w:noProof/>
            <w:webHidden/>
          </w:rPr>
          <w:fldChar w:fldCharType="end"/>
        </w:r>
      </w:hyperlink>
    </w:p>
    <w:p w14:paraId="218934D2" w14:textId="0812CFBC" w:rsidR="00DA2B90" w:rsidRDefault="00D2215B">
      <w:pPr>
        <w:pStyle w:val="TOC3"/>
        <w:rPr>
          <w:rFonts w:asciiTheme="minorHAnsi" w:eastAsiaTheme="minorEastAsia" w:hAnsiTheme="minorHAnsi" w:cstheme="minorBidi"/>
          <w:noProof/>
          <w:sz w:val="22"/>
          <w:szCs w:val="22"/>
          <w:lang w:eastAsia="en-NZ"/>
        </w:rPr>
      </w:pPr>
      <w:hyperlink w:anchor="_Toc19101949" w:history="1">
        <w:r w:rsidR="00DA2B90" w:rsidRPr="00AC13B1">
          <w:rPr>
            <w:rStyle w:val="Hyperlink"/>
            <w:noProof/>
          </w:rPr>
          <w:t>Figure 98: Excellent, very good or good self-rated health, 15+ years, Māori and non</w:t>
        </w:r>
        <w:r w:rsidR="00DA2B90" w:rsidRPr="00AC13B1">
          <w:rPr>
            <w:rStyle w:val="Hyperlink"/>
            <w:noProof/>
          </w:rPr>
          <w:noBreakHyphen/>
          <w:t>Māori, 2006/07–2016/17</w:t>
        </w:r>
        <w:r w:rsidR="00DA2B90">
          <w:rPr>
            <w:noProof/>
            <w:webHidden/>
          </w:rPr>
          <w:tab/>
        </w:r>
        <w:r w:rsidR="00DA2B90">
          <w:rPr>
            <w:noProof/>
            <w:webHidden/>
          </w:rPr>
          <w:fldChar w:fldCharType="begin"/>
        </w:r>
        <w:r w:rsidR="00DA2B90">
          <w:rPr>
            <w:noProof/>
            <w:webHidden/>
          </w:rPr>
          <w:instrText xml:space="preserve"> PAGEREF _Toc19101949 \h </w:instrText>
        </w:r>
        <w:r w:rsidR="00DA2B90">
          <w:rPr>
            <w:noProof/>
            <w:webHidden/>
          </w:rPr>
        </w:r>
        <w:r w:rsidR="00DA2B90">
          <w:rPr>
            <w:noProof/>
            <w:webHidden/>
          </w:rPr>
          <w:fldChar w:fldCharType="separate"/>
        </w:r>
        <w:r>
          <w:rPr>
            <w:noProof/>
            <w:webHidden/>
          </w:rPr>
          <w:t>177</w:t>
        </w:r>
        <w:r w:rsidR="00DA2B90">
          <w:rPr>
            <w:noProof/>
            <w:webHidden/>
          </w:rPr>
          <w:fldChar w:fldCharType="end"/>
        </w:r>
      </w:hyperlink>
    </w:p>
    <w:p w14:paraId="27BC1503" w14:textId="33E610EA" w:rsidR="00DA2B90" w:rsidRDefault="00D2215B">
      <w:pPr>
        <w:pStyle w:val="TOC3"/>
        <w:rPr>
          <w:rFonts w:asciiTheme="minorHAnsi" w:eastAsiaTheme="minorEastAsia" w:hAnsiTheme="minorHAnsi" w:cstheme="minorBidi"/>
          <w:noProof/>
          <w:sz w:val="22"/>
          <w:szCs w:val="22"/>
          <w:lang w:eastAsia="en-NZ"/>
        </w:rPr>
      </w:pPr>
      <w:hyperlink w:anchor="_Toc19101950" w:history="1">
        <w:r w:rsidR="00DA2B90" w:rsidRPr="00AC13B1">
          <w:rPr>
            <w:rStyle w:val="Hyperlink"/>
            <w:noProof/>
          </w:rPr>
          <w:t>Figure 99: Excellent, very good or good self-rated health, 15+ years, by gender, Māori and non</w:t>
        </w:r>
        <w:r w:rsidR="00DA2B90" w:rsidRPr="00AC13B1">
          <w:rPr>
            <w:rStyle w:val="Hyperlink"/>
            <w:noProof/>
          </w:rPr>
          <w:noBreakHyphen/>
          <w:t>Māori, 2006/07–2016/17</w:t>
        </w:r>
        <w:r w:rsidR="00DA2B90">
          <w:rPr>
            <w:noProof/>
            <w:webHidden/>
          </w:rPr>
          <w:tab/>
        </w:r>
        <w:r w:rsidR="00DA2B90">
          <w:rPr>
            <w:noProof/>
            <w:webHidden/>
          </w:rPr>
          <w:fldChar w:fldCharType="begin"/>
        </w:r>
        <w:r w:rsidR="00DA2B90">
          <w:rPr>
            <w:noProof/>
            <w:webHidden/>
          </w:rPr>
          <w:instrText xml:space="preserve"> PAGEREF _Toc19101950 \h </w:instrText>
        </w:r>
        <w:r w:rsidR="00DA2B90">
          <w:rPr>
            <w:noProof/>
            <w:webHidden/>
          </w:rPr>
        </w:r>
        <w:r w:rsidR="00DA2B90">
          <w:rPr>
            <w:noProof/>
            <w:webHidden/>
          </w:rPr>
          <w:fldChar w:fldCharType="separate"/>
        </w:r>
        <w:r>
          <w:rPr>
            <w:noProof/>
            <w:webHidden/>
          </w:rPr>
          <w:t>178</w:t>
        </w:r>
        <w:r w:rsidR="00DA2B90">
          <w:rPr>
            <w:noProof/>
            <w:webHidden/>
          </w:rPr>
          <w:fldChar w:fldCharType="end"/>
        </w:r>
      </w:hyperlink>
    </w:p>
    <w:p w14:paraId="757EDAD2" w14:textId="202BBADF" w:rsidR="00DA2B90" w:rsidRDefault="00D2215B">
      <w:pPr>
        <w:pStyle w:val="TOC3"/>
        <w:rPr>
          <w:rFonts w:asciiTheme="minorHAnsi" w:eastAsiaTheme="minorEastAsia" w:hAnsiTheme="minorHAnsi" w:cstheme="minorBidi"/>
          <w:noProof/>
          <w:sz w:val="22"/>
          <w:szCs w:val="22"/>
          <w:lang w:eastAsia="en-NZ"/>
        </w:rPr>
      </w:pPr>
      <w:hyperlink w:anchor="_Toc19101951" w:history="1">
        <w:r w:rsidR="00DA2B90" w:rsidRPr="00AC13B1">
          <w:rPr>
            <w:rStyle w:val="Hyperlink"/>
            <w:noProof/>
          </w:rPr>
          <w:t>Figure 100: Psychological distress (high or very high probability of anxiety or depressive disorder), 15+ years, Māori and non</w:t>
        </w:r>
        <w:r w:rsidR="00DA2B90" w:rsidRPr="00AC13B1">
          <w:rPr>
            <w:rStyle w:val="Hyperlink"/>
            <w:noProof/>
          </w:rPr>
          <w:noBreakHyphen/>
          <w:t>Māori, 2006/07–2016/17</w:t>
        </w:r>
        <w:r w:rsidR="00DA2B90">
          <w:rPr>
            <w:noProof/>
            <w:webHidden/>
          </w:rPr>
          <w:tab/>
        </w:r>
        <w:r w:rsidR="00DA2B90">
          <w:rPr>
            <w:noProof/>
            <w:webHidden/>
          </w:rPr>
          <w:fldChar w:fldCharType="begin"/>
        </w:r>
        <w:r w:rsidR="00DA2B90">
          <w:rPr>
            <w:noProof/>
            <w:webHidden/>
          </w:rPr>
          <w:instrText xml:space="preserve"> PAGEREF _Toc19101951 \h </w:instrText>
        </w:r>
        <w:r w:rsidR="00DA2B90">
          <w:rPr>
            <w:noProof/>
            <w:webHidden/>
          </w:rPr>
        </w:r>
        <w:r w:rsidR="00DA2B90">
          <w:rPr>
            <w:noProof/>
            <w:webHidden/>
          </w:rPr>
          <w:fldChar w:fldCharType="separate"/>
        </w:r>
        <w:r>
          <w:rPr>
            <w:noProof/>
            <w:webHidden/>
          </w:rPr>
          <w:t>180</w:t>
        </w:r>
        <w:r w:rsidR="00DA2B90">
          <w:rPr>
            <w:noProof/>
            <w:webHidden/>
          </w:rPr>
          <w:fldChar w:fldCharType="end"/>
        </w:r>
      </w:hyperlink>
    </w:p>
    <w:p w14:paraId="1E9D961D" w14:textId="255FED0C" w:rsidR="00DA2B90" w:rsidRDefault="00D2215B">
      <w:pPr>
        <w:pStyle w:val="TOC3"/>
        <w:rPr>
          <w:rFonts w:asciiTheme="minorHAnsi" w:eastAsiaTheme="minorEastAsia" w:hAnsiTheme="minorHAnsi" w:cstheme="minorBidi"/>
          <w:noProof/>
          <w:sz w:val="22"/>
          <w:szCs w:val="22"/>
          <w:lang w:eastAsia="en-NZ"/>
        </w:rPr>
      </w:pPr>
      <w:hyperlink w:anchor="_Toc19101952" w:history="1">
        <w:r w:rsidR="00DA2B90" w:rsidRPr="00AC13B1">
          <w:rPr>
            <w:rStyle w:val="Hyperlink"/>
            <w:noProof/>
          </w:rPr>
          <w:t>Figure 101: Psychological distress (high or very high probability of anxiety or depressive disorder), 15+ years, by gender, Māori and non</w:t>
        </w:r>
        <w:r w:rsidR="00DA2B90" w:rsidRPr="00AC13B1">
          <w:rPr>
            <w:rStyle w:val="Hyperlink"/>
            <w:noProof/>
          </w:rPr>
          <w:noBreakHyphen/>
          <w:t>Māori 2006/07–2016/17</w:t>
        </w:r>
        <w:r w:rsidR="00DA2B90">
          <w:rPr>
            <w:noProof/>
            <w:webHidden/>
          </w:rPr>
          <w:tab/>
        </w:r>
        <w:r w:rsidR="00DA2B90">
          <w:rPr>
            <w:noProof/>
            <w:webHidden/>
          </w:rPr>
          <w:fldChar w:fldCharType="begin"/>
        </w:r>
        <w:r w:rsidR="00DA2B90">
          <w:rPr>
            <w:noProof/>
            <w:webHidden/>
          </w:rPr>
          <w:instrText xml:space="preserve"> PAGEREF _Toc19101952 \h </w:instrText>
        </w:r>
        <w:r w:rsidR="00DA2B90">
          <w:rPr>
            <w:noProof/>
            <w:webHidden/>
          </w:rPr>
        </w:r>
        <w:r w:rsidR="00DA2B90">
          <w:rPr>
            <w:noProof/>
            <w:webHidden/>
          </w:rPr>
          <w:fldChar w:fldCharType="separate"/>
        </w:r>
        <w:r>
          <w:rPr>
            <w:noProof/>
            <w:webHidden/>
          </w:rPr>
          <w:t>181</w:t>
        </w:r>
        <w:r w:rsidR="00DA2B90">
          <w:rPr>
            <w:noProof/>
            <w:webHidden/>
          </w:rPr>
          <w:fldChar w:fldCharType="end"/>
        </w:r>
      </w:hyperlink>
    </w:p>
    <w:p w14:paraId="1E9498B3" w14:textId="176C2F30" w:rsidR="00DA2B90" w:rsidRDefault="00D2215B">
      <w:pPr>
        <w:pStyle w:val="TOC3"/>
        <w:rPr>
          <w:rFonts w:asciiTheme="minorHAnsi" w:eastAsiaTheme="minorEastAsia" w:hAnsiTheme="minorHAnsi" w:cstheme="minorBidi"/>
          <w:noProof/>
          <w:sz w:val="22"/>
          <w:szCs w:val="22"/>
          <w:lang w:eastAsia="en-NZ"/>
        </w:rPr>
      </w:pPr>
      <w:hyperlink w:anchor="_Toc19101953" w:history="1">
        <w:r w:rsidR="00DA2B90" w:rsidRPr="00AC13B1">
          <w:rPr>
            <w:rStyle w:val="Hyperlink"/>
            <w:noProof/>
          </w:rPr>
          <w:t>Figure 102: Diagnosed common mental disorder (depression, bipolar disorder and/or anxiety disorder), 15+ years, by gender, Māori and non</w:t>
        </w:r>
        <w:r w:rsidR="00DA2B90" w:rsidRPr="00AC13B1">
          <w:rPr>
            <w:rStyle w:val="Hyperlink"/>
            <w:noProof/>
          </w:rPr>
          <w:noBreakHyphen/>
          <w:t>Māori, 2006/07–2016/17</w:t>
        </w:r>
        <w:r w:rsidR="00DA2B90">
          <w:rPr>
            <w:noProof/>
            <w:webHidden/>
          </w:rPr>
          <w:tab/>
        </w:r>
        <w:r w:rsidR="00DA2B90">
          <w:rPr>
            <w:noProof/>
            <w:webHidden/>
          </w:rPr>
          <w:fldChar w:fldCharType="begin"/>
        </w:r>
        <w:r w:rsidR="00DA2B90">
          <w:rPr>
            <w:noProof/>
            <w:webHidden/>
          </w:rPr>
          <w:instrText xml:space="preserve"> PAGEREF _Toc19101953 \h </w:instrText>
        </w:r>
        <w:r w:rsidR="00DA2B90">
          <w:rPr>
            <w:noProof/>
            <w:webHidden/>
          </w:rPr>
        </w:r>
        <w:r w:rsidR="00DA2B90">
          <w:rPr>
            <w:noProof/>
            <w:webHidden/>
          </w:rPr>
          <w:fldChar w:fldCharType="separate"/>
        </w:r>
        <w:r>
          <w:rPr>
            <w:noProof/>
            <w:webHidden/>
          </w:rPr>
          <w:t>182</w:t>
        </w:r>
        <w:r w:rsidR="00DA2B90">
          <w:rPr>
            <w:noProof/>
            <w:webHidden/>
          </w:rPr>
          <w:fldChar w:fldCharType="end"/>
        </w:r>
      </w:hyperlink>
    </w:p>
    <w:p w14:paraId="45B2CD6A" w14:textId="3A558D20" w:rsidR="00DA2B90" w:rsidRDefault="00D2215B">
      <w:pPr>
        <w:pStyle w:val="TOC3"/>
        <w:rPr>
          <w:rFonts w:asciiTheme="minorHAnsi" w:eastAsiaTheme="minorEastAsia" w:hAnsiTheme="minorHAnsi" w:cstheme="minorBidi"/>
          <w:noProof/>
          <w:sz w:val="22"/>
          <w:szCs w:val="22"/>
          <w:lang w:eastAsia="en-NZ"/>
        </w:rPr>
      </w:pPr>
      <w:hyperlink w:anchor="_Toc19101954" w:history="1">
        <w:r w:rsidR="00DA2B90" w:rsidRPr="00AC13B1">
          <w:rPr>
            <w:rStyle w:val="Hyperlink"/>
            <w:noProof/>
          </w:rPr>
          <w:t>Figure 103: Exclusively breastfed at 13 weeks (among children aged 13 weeks–4 years), Māori and non</w:t>
        </w:r>
        <w:r w:rsidR="00DA2B90" w:rsidRPr="00AC13B1">
          <w:rPr>
            <w:rStyle w:val="Hyperlink"/>
            <w:noProof/>
          </w:rPr>
          <w:noBreakHyphen/>
          <w:t>Māori, 2006/07–2016/17</w:t>
        </w:r>
        <w:r w:rsidR="00DA2B90">
          <w:rPr>
            <w:noProof/>
            <w:webHidden/>
          </w:rPr>
          <w:tab/>
        </w:r>
        <w:r w:rsidR="00DA2B90">
          <w:rPr>
            <w:noProof/>
            <w:webHidden/>
          </w:rPr>
          <w:fldChar w:fldCharType="begin"/>
        </w:r>
        <w:r w:rsidR="00DA2B90">
          <w:rPr>
            <w:noProof/>
            <w:webHidden/>
          </w:rPr>
          <w:instrText xml:space="preserve"> PAGEREF _Toc19101954 \h </w:instrText>
        </w:r>
        <w:r w:rsidR="00DA2B90">
          <w:rPr>
            <w:noProof/>
            <w:webHidden/>
          </w:rPr>
        </w:r>
        <w:r w:rsidR="00DA2B90">
          <w:rPr>
            <w:noProof/>
            <w:webHidden/>
          </w:rPr>
          <w:fldChar w:fldCharType="separate"/>
        </w:r>
        <w:r>
          <w:rPr>
            <w:noProof/>
            <w:webHidden/>
          </w:rPr>
          <w:t>184</w:t>
        </w:r>
        <w:r w:rsidR="00DA2B90">
          <w:rPr>
            <w:noProof/>
            <w:webHidden/>
          </w:rPr>
          <w:fldChar w:fldCharType="end"/>
        </w:r>
      </w:hyperlink>
    </w:p>
    <w:p w14:paraId="777F32CC" w14:textId="39A8FD20" w:rsidR="00DA2B90" w:rsidRDefault="00D2215B">
      <w:pPr>
        <w:pStyle w:val="TOC3"/>
        <w:rPr>
          <w:rFonts w:asciiTheme="minorHAnsi" w:eastAsiaTheme="minorEastAsia" w:hAnsiTheme="minorHAnsi" w:cstheme="minorBidi"/>
          <w:noProof/>
          <w:sz w:val="22"/>
          <w:szCs w:val="22"/>
          <w:lang w:eastAsia="en-NZ"/>
        </w:rPr>
      </w:pPr>
      <w:hyperlink w:anchor="_Toc19101955" w:history="1">
        <w:r w:rsidR="00DA2B90" w:rsidRPr="00AC13B1">
          <w:rPr>
            <w:rStyle w:val="Hyperlink"/>
            <w:noProof/>
          </w:rPr>
          <w:t>Figure 104: Exclusively breastfed at 26 weeks (among children aged 26 weeks–4 years), Māori and non</w:t>
        </w:r>
        <w:r w:rsidR="00DA2B90" w:rsidRPr="00AC13B1">
          <w:rPr>
            <w:rStyle w:val="Hyperlink"/>
            <w:noProof/>
          </w:rPr>
          <w:noBreakHyphen/>
          <w:t>Māori, 2006/07–2016/17</w:t>
        </w:r>
        <w:r w:rsidR="00DA2B90">
          <w:rPr>
            <w:noProof/>
            <w:webHidden/>
          </w:rPr>
          <w:tab/>
        </w:r>
        <w:r w:rsidR="00DA2B90">
          <w:rPr>
            <w:noProof/>
            <w:webHidden/>
          </w:rPr>
          <w:fldChar w:fldCharType="begin"/>
        </w:r>
        <w:r w:rsidR="00DA2B90">
          <w:rPr>
            <w:noProof/>
            <w:webHidden/>
          </w:rPr>
          <w:instrText xml:space="preserve"> PAGEREF _Toc19101955 \h </w:instrText>
        </w:r>
        <w:r w:rsidR="00DA2B90">
          <w:rPr>
            <w:noProof/>
            <w:webHidden/>
          </w:rPr>
        </w:r>
        <w:r w:rsidR="00DA2B90">
          <w:rPr>
            <w:noProof/>
            <w:webHidden/>
          </w:rPr>
          <w:fldChar w:fldCharType="separate"/>
        </w:r>
        <w:r>
          <w:rPr>
            <w:noProof/>
            <w:webHidden/>
          </w:rPr>
          <w:t>185</w:t>
        </w:r>
        <w:r w:rsidR="00DA2B90">
          <w:rPr>
            <w:noProof/>
            <w:webHidden/>
          </w:rPr>
          <w:fldChar w:fldCharType="end"/>
        </w:r>
      </w:hyperlink>
    </w:p>
    <w:p w14:paraId="65CCAD66" w14:textId="59D0C4A9" w:rsidR="00DA2B90" w:rsidRDefault="00D2215B">
      <w:pPr>
        <w:pStyle w:val="TOC3"/>
        <w:rPr>
          <w:rFonts w:asciiTheme="minorHAnsi" w:eastAsiaTheme="minorEastAsia" w:hAnsiTheme="minorHAnsi" w:cstheme="minorBidi"/>
          <w:noProof/>
          <w:sz w:val="22"/>
          <w:szCs w:val="22"/>
          <w:lang w:eastAsia="en-NZ"/>
        </w:rPr>
      </w:pPr>
      <w:hyperlink w:anchor="_Toc19101956" w:history="1">
        <w:r w:rsidR="00DA2B90" w:rsidRPr="00AC13B1">
          <w:rPr>
            <w:rStyle w:val="Hyperlink"/>
            <w:noProof/>
          </w:rPr>
          <w:t>Figure 105: Low birthweight, Māori and non</w:t>
        </w:r>
        <w:r w:rsidR="00DA2B90" w:rsidRPr="00AC13B1">
          <w:rPr>
            <w:rStyle w:val="Hyperlink"/>
            <w:noProof/>
          </w:rPr>
          <w:noBreakHyphen/>
          <w:t>Māori, 1996–2016</w:t>
        </w:r>
        <w:r w:rsidR="00DA2B90">
          <w:rPr>
            <w:noProof/>
            <w:webHidden/>
          </w:rPr>
          <w:tab/>
        </w:r>
        <w:r w:rsidR="00DA2B90">
          <w:rPr>
            <w:noProof/>
            <w:webHidden/>
          </w:rPr>
          <w:fldChar w:fldCharType="begin"/>
        </w:r>
        <w:r w:rsidR="00DA2B90">
          <w:rPr>
            <w:noProof/>
            <w:webHidden/>
          </w:rPr>
          <w:instrText xml:space="preserve"> PAGEREF _Toc19101956 \h </w:instrText>
        </w:r>
        <w:r w:rsidR="00DA2B90">
          <w:rPr>
            <w:noProof/>
            <w:webHidden/>
          </w:rPr>
        </w:r>
        <w:r w:rsidR="00DA2B90">
          <w:rPr>
            <w:noProof/>
            <w:webHidden/>
          </w:rPr>
          <w:fldChar w:fldCharType="separate"/>
        </w:r>
        <w:r>
          <w:rPr>
            <w:noProof/>
            <w:webHidden/>
          </w:rPr>
          <w:t>186</w:t>
        </w:r>
        <w:r w:rsidR="00DA2B90">
          <w:rPr>
            <w:noProof/>
            <w:webHidden/>
          </w:rPr>
          <w:fldChar w:fldCharType="end"/>
        </w:r>
      </w:hyperlink>
    </w:p>
    <w:p w14:paraId="78251478" w14:textId="06BE2FC3" w:rsidR="00DA2B90" w:rsidRDefault="00D2215B">
      <w:pPr>
        <w:pStyle w:val="TOC3"/>
        <w:rPr>
          <w:rFonts w:asciiTheme="minorHAnsi" w:eastAsiaTheme="minorEastAsia" w:hAnsiTheme="minorHAnsi" w:cstheme="minorBidi"/>
          <w:noProof/>
          <w:sz w:val="22"/>
          <w:szCs w:val="22"/>
          <w:lang w:eastAsia="en-NZ"/>
        </w:rPr>
      </w:pPr>
      <w:hyperlink w:anchor="_Toc19101957" w:history="1">
        <w:r w:rsidR="00DA2B90" w:rsidRPr="00AC13B1">
          <w:rPr>
            <w:rStyle w:val="Hyperlink"/>
            <w:noProof/>
            <w:lang w:eastAsia="en-NZ"/>
          </w:rPr>
          <w:t>Figure 106: Low birthweight, by gender, Māori and non</w:t>
        </w:r>
        <w:r w:rsidR="00DA2B90" w:rsidRPr="00AC13B1">
          <w:rPr>
            <w:rStyle w:val="Hyperlink"/>
            <w:noProof/>
            <w:lang w:eastAsia="en-NZ"/>
          </w:rPr>
          <w:noBreakHyphen/>
          <w:t>Māori, 1996–2016</w:t>
        </w:r>
        <w:r w:rsidR="00DA2B90">
          <w:rPr>
            <w:noProof/>
            <w:webHidden/>
          </w:rPr>
          <w:tab/>
        </w:r>
        <w:r w:rsidR="00DA2B90">
          <w:rPr>
            <w:noProof/>
            <w:webHidden/>
          </w:rPr>
          <w:fldChar w:fldCharType="begin"/>
        </w:r>
        <w:r w:rsidR="00DA2B90">
          <w:rPr>
            <w:noProof/>
            <w:webHidden/>
          </w:rPr>
          <w:instrText xml:space="preserve"> PAGEREF _Toc19101957 \h </w:instrText>
        </w:r>
        <w:r w:rsidR="00DA2B90">
          <w:rPr>
            <w:noProof/>
            <w:webHidden/>
          </w:rPr>
        </w:r>
        <w:r w:rsidR="00DA2B90">
          <w:rPr>
            <w:noProof/>
            <w:webHidden/>
          </w:rPr>
          <w:fldChar w:fldCharType="separate"/>
        </w:r>
        <w:r>
          <w:rPr>
            <w:noProof/>
            <w:webHidden/>
          </w:rPr>
          <w:t>187</w:t>
        </w:r>
        <w:r w:rsidR="00DA2B90">
          <w:rPr>
            <w:noProof/>
            <w:webHidden/>
          </w:rPr>
          <w:fldChar w:fldCharType="end"/>
        </w:r>
      </w:hyperlink>
    </w:p>
    <w:p w14:paraId="418F2772" w14:textId="78308EC8" w:rsidR="00DA2B90" w:rsidRDefault="00D2215B">
      <w:pPr>
        <w:pStyle w:val="TOC3"/>
        <w:rPr>
          <w:rFonts w:asciiTheme="minorHAnsi" w:eastAsiaTheme="minorEastAsia" w:hAnsiTheme="minorHAnsi" w:cstheme="minorBidi"/>
          <w:noProof/>
          <w:sz w:val="22"/>
          <w:szCs w:val="22"/>
          <w:lang w:eastAsia="en-NZ"/>
        </w:rPr>
      </w:pPr>
      <w:hyperlink w:anchor="_Toc19101958" w:history="1">
        <w:r w:rsidR="00DA2B90" w:rsidRPr="00AC13B1">
          <w:rPr>
            <w:rStyle w:val="Hyperlink"/>
            <w:noProof/>
          </w:rPr>
          <w:t>Figure 107: Time periods for fetal and infant deaths</w:t>
        </w:r>
        <w:r w:rsidR="00DA2B90">
          <w:rPr>
            <w:noProof/>
            <w:webHidden/>
          </w:rPr>
          <w:tab/>
        </w:r>
        <w:r w:rsidR="00DA2B90">
          <w:rPr>
            <w:noProof/>
            <w:webHidden/>
          </w:rPr>
          <w:fldChar w:fldCharType="begin"/>
        </w:r>
        <w:r w:rsidR="00DA2B90">
          <w:rPr>
            <w:noProof/>
            <w:webHidden/>
          </w:rPr>
          <w:instrText xml:space="preserve"> PAGEREF _Toc19101958 \h </w:instrText>
        </w:r>
        <w:r w:rsidR="00DA2B90">
          <w:rPr>
            <w:noProof/>
            <w:webHidden/>
          </w:rPr>
        </w:r>
        <w:r w:rsidR="00DA2B90">
          <w:rPr>
            <w:noProof/>
            <w:webHidden/>
          </w:rPr>
          <w:fldChar w:fldCharType="separate"/>
        </w:r>
        <w:r>
          <w:rPr>
            <w:noProof/>
            <w:webHidden/>
          </w:rPr>
          <w:t>188</w:t>
        </w:r>
        <w:r w:rsidR="00DA2B90">
          <w:rPr>
            <w:noProof/>
            <w:webHidden/>
          </w:rPr>
          <w:fldChar w:fldCharType="end"/>
        </w:r>
      </w:hyperlink>
    </w:p>
    <w:p w14:paraId="2BE910F7" w14:textId="05050EDC" w:rsidR="00DA2B90" w:rsidRDefault="00D2215B">
      <w:pPr>
        <w:pStyle w:val="TOC3"/>
        <w:rPr>
          <w:rFonts w:asciiTheme="minorHAnsi" w:eastAsiaTheme="minorEastAsia" w:hAnsiTheme="minorHAnsi" w:cstheme="minorBidi"/>
          <w:noProof/>
          <w:sz w:val="22"/>
          <w:szCs w:val="22"/>
          <w:lang w:eastAsia="en-NZ"/>
        </w:rPr>
      </w:pPr>
      <w:hyperlink w:anchor="_Toc19101959" w:history="1">
        <w:r w:rsidR="00DA2B90" w:rsidRPr="00AC13B1">
          <w:rPr>
            <w:rStyle w:val="Hyperlink"/>
            <w:noProof/>
          </w:rPr>
          <w:t>Figure 108: Infant mortality rates, Māori and non</w:t>
        </w:r>
        <w:r w:rsidR="00DA2B90" w:rsidRPr="00AC13B1">
          <w:rPr>
            <w:rStyle w:val="Hyperlink"/>
            <w:noProof/>
          </w:rPr>
          <w:noBreakHyphen/>
          <w:t>Māori, 1996–98 to 2012–14</w:t>
        </w:r>
        <w:r w:rsidR="00DA2B90">
          <w:rPr>
            <w:noProof/>
            <w:webHidden/>
          </w:rPr>
          <w:tab/>
        </w:r>
        <w:r w:rsidR="00DA2B90">
          <w:rPr>
            <w:noProof/>
            <w:webHidden/>
          </w:rPr>
          <w:fldChar w:fldCharType="begin"/>
        </w:r>
        <w:r w:rsidR="00DA2B90">
          <w:rPr>
            <w:noProof/>
            <w:webHidden/>
          </w:rPr>
          <w:instrText xml:space="preserve"> PAGEREF _Toc19101959 \h </w:instrText>
        </w:r>
        <w:r w:rsidR="00DA2B90">
          <w:rPr>
            <w:noProof/>
            <w:webHidden/>
          </w:rPr>
        </w:r>
        <w:r w:rsidR="00DA2B90">
          <w:rPr>
            <w:noProof/>
            <w:webHidden/>
          </w:rPr>
          <w:fldChar w:fldCharType="separate"/>
        </w:r>
        <w:r>
          <w:rPr>
            <w:noProof/>
            <w:webHidden/>
          </w:rPr>
          <w:t>190</w:t>
        </w:r>
        <w:r w:rsidR="00DA2B90">
          <w:rPr>
            <w:noProof/>
            <w:webHidden/>
          </w:rPr>
          <w:fldChar w:fldCharType="end"/>
        </w:r>
      </w:hyperlink>
    </w:p>
    <w:p w14:paraId="273C9153" w14:textId="6193EA04" w:rsidR="00DA2B90" w:rsidRDefault="00D2215B">
      <w:pPr>
        <w:pStyle w:val="TOC3"/>
        <w:rPr>
          <w:rFonts w:asciiTheme="minorHAnsi" w:eastAsiaTheme="minorEastAsia" w:hAnsiTheme="minorHAnsi" w:cstheme="minorBidi"/>
          <w:noProof/>
          <w:sz w:val="22"/>
          <w:szCs w:val="22"/>
          <w:lang w:eastAsia="en-NZ"/>
        </w:rPr>
      </w:pPr>
      <w:hyperlink w:anchor="_Toc19101960" w:history="1">
        <w:r w:rsidR="00DA2B90" w:rsidRPr="00AC13B1">
          <w:rPr>
            <w:rStyle w:val="Hyperlink"/>
            <w:noProof/>
          </w:rPr>
          <w:t>Figure 109: Early neonatal mortality rates, Māori and non</w:t>
        </w:r>
        <w:r w:rsidR="00DA2B90" w:rsidRPr="00AC13B1">
          <w:rPr>
            <w:rStyle w:val="Hyperlink"/>
            <w:noProof/>
          </w:rPr>
          <w:noBreakHyphen/>
          <w:t>Māori, 1996–98 to 2012–14</w:t>
        </w:r>
        <w:r w:rsidR="00DA2B90">
          <w:rPr>
            <w:noProof/>
            <w:webHidden/>
          </w:rPr>
          <w:tab/>
        </w:r>
        <w:r w:rsidR="00DA2B90">
          <w:rPr>
            <w:noProof/>
            <w:webHidden/>
          </w:rPr>
          <w:fldChar w:fldCharType="begin"/>
        </w:r>
        <w:r w:rsidR="00DA2B90">
          <w:rPr>
            <w:noProof/>
            <w:webHidden/>
          </w:rPr>
          <w:instrText xml:space="preserve"> PAGEREF _Toc19101960 \h </w:instrText>
        </w:r>
        <w:r w:rsidR="00DA2B90">
          <w:rPr>
            <w:noProof/>
            <w:webHidden/>
          </w:rPr>
        </w:r>
        <w:r w:rsidR="00DA2B90">
          <w:rPr>
            <w:noProof/>
            <w:webHidden/>
          </w:rPr>
          <w:fldChar w:fldCharType="separate"/>
        </w:r>
        <w:r>
          <w:rPr>
            <w:noProof/>
            <w:webHidden/>
          </w:rPr>
          <w:t>192</w:t>
        </w:r>
        <w:r w:rsidR="00DA2B90">
          <w:rPr>
            <w:noProof/>
            <w:webHidden/>
          </w:rPr>
          <w:fldChar w:fldCharType="end"/>
        </w:r>
      </w:hyperlink>
    </w:p>
    <w:p w14:paraId="599FDC77" w14:textId="5866E816" w:rsidR="00DA2B90" w:rsidRDefault="00D2215B">
      <w:pPr>
        <w:pStyle w:val="TOC3"/>
        <w:rPr>
          <w:rFonts w:asciiTheme="minorHAnsi" w:eastAsiaTheme="minorEastAsia" w:hAnsiTheme="minorHAnsi" w:cstheme="minorBidi"/>
          <w:noProof/>
          <w:sz w:val="22"/>
          <w:szCs w:val="22"/>
          <w:lang w:eastAsia="en-NZ"/>
        </w:rPr>
      </w:pPr>
      <w:hyperlink w:anchor="_Toc19101961" w:history="1">
        <w:r w:rsidR="00DA2B90" w:rsidRPr="00AC13B1">
          <w:rPr>
            <w:rStyle w:val="Hyperlink"/>
            <w:noProof/>
          </w:rPr>
          <w:t>Figure 110: Late neonatal mortality rates, Māori and non</w:t>
        </w:r>
        <w:r w:rsidR="00DA2B90" w:rsidRPr="00AC13B1">
          <w:rPr>
            <w:rStyle w:val="Hyperlink"/>
            <w:noProof/>
          </w:rPr>
          <w:noBreakHyphen/>
          <w:t>Māori, 1996–98 to 2012–14</w:t>
        </w:r>
        <w:r w:rsidR="00DA2B90">
          <w:rPr>
            <w:noProof/>
            <w:webHidden/>
          </w:rPr>
          <w:tab/>
        </w:r>
        <w:r w:rsidR="00DA2B90">
          <w:rPr>
            <w:noProof/>
            <w:webHidden/>
          </w:rPr>
          <w:fldChar w:fldCharType="begin"/>
        </w:r>
        <w:r w:rsidR="00DA2B90">
          <w:rPr>
            <w:noProof/>
            <w:webHidden/>
          </w:rPr>
          <w:instrText xml:space="preserve"> PAGEREF _Toc19101961 \h </w:instrText>
        </w:r>
        <w:r w:rsidR="00DA2B90">
          <w:rPr>
            <w:noProof/>
            <w:webHidden/>
          </w:rPr>
        </w:r>
        <w:r w:rsidR="00DA2B90">
          <w:rPr>
            <w:noProof/>
            <w:webHidden/>
          </w:rPr>
          <w:fldChar w:fldCharType="separate"/>
        </w:r>
        <w:r>
          <w:rPr>
            <w:noProof/>
            <w:webHidden/>
          </w:rPr>
          <w:t>194</w:t>
        </w:r>
        <w:r w:rsidR="00DA2B90">
          <w:rPr>
            <w:noProof/>
            <w:webHidden/>
          </w:rPr>
          <w:fldChar w:fldCharType="end"/>
        </w:r>
      </w:hyperlink>
    </w:p>
    <w:p w14:paraId="64D9ADBA" w14:textId="4F0CB385" w:rsidR="00DA2B90" w:rsidRDefault="00D2215B">
      <w:pPr>
        <w:pStyle w:val="TOC3"/>
        <w:rPr>
          <w:rFonts w:asciiTheme="minorHAnsi" w:eastAsiaTheme="minorEastAsia" w:hAnsiTheme="minorHAnsi" w:cstheme="minorBidi"/>
          <w:noProof/>
          <w:sz w:val="22"/>
          <w:szCs w:val="22"/>
          <w:lang w:eastAsia="en-NZ"/>
        </w:rPr>
      </w:pPr>
      <w:hyperlink w:anchor="_Toc19101962" w:history="1">
        <w:r w:rsidR="00DA2B90" w:rsidRPr="00AC13B1">
          <w:rPr>
            <w:rStyle w:val="Hyperlink"/>
            <w:noProof/>
          </w:rPr>
          <w:t>Figure 111: Post neonatal mortality rates, Māori and non</w:t>
        </w:r>
        <w:r w:rsidR="00DA2B90" w:rsidRPr="00AC13B1">
          <w:rPr>
            <w:rStyle w:val="Hyperlink"/>
            <w:noProof/>
          </w:rPr>
          <w:noBreakHyphen/>
          <w:t>Māori, 1996–98 to 2012–14</w:t>
        </w:r>
        <w:r w:rsidR="00DA2B90">
          <w:rPr>
            <w:noProof/>
            <w:webHidden/>
          </w:rPr>
          <w:tab/>
        </w:r>
        <w:r w:rsidR="00DA2B90">
          <w:rPr>
            <w:noProof/>
            <w:webHidden/>
          </w:rPr>
          <w:fldChar w:fldCharType="begin"/>
        </w:r>
        <w:r w:rsidR="00DA2B90">
          <w:rPr>
            <w:noProof/>
            <w:webHidden/>
          </w:rPr>
          <w:instrText xml:space="preserve"> PAGEREF _Toc19101962 \h </w:instrText>
        </w:r>
        <w:r w:rsidR="00DA2B90">
          <w:rPr>
            <w:noProof/>
            <w:webHidden/>
          </w:rPr>
        </w:r>
        <w:r w:rsidR="00DA2B90">
          <w:rPr>
            <w:noProof/>
            <w:webHidden/>
          </w:rPr>
          <w:fldChar w:fldCharType="separate"/>
        </w:r>
        <w:r>
          <w:rPr>
            <w:noProof/>
            <w:webHidden/>
          </w:rPr>
          <w:t>195</w:t>
        </w:r>
        <w:r w:rsidR="00DA2B90">
          <w:rPr>
            <w:noProof/>
            <w:webHidden/>
          </w:rPr>
          <w:fldChar w:fldCharType="end"/>
        </w:r>
      </w:hyperlink>
    </w:p>
    <w:p w14:paraId="0DEA9303" w14:textId="5282FAED" w:rsidR="00DA2B90" w:rsidRDefault="00D2215B">
      <w:pPr>
        <w:pStyle w:val="TOC3"/>
        <w:rPr>
          <w:rFonts w:asciiTheme="minorHAnsi" w:eastAsiaTheme="minorEastAsia" w:hAnsiTheme="minorHAnsi" w:cstheme="minorBidi"/>
          <w:noProof/>
          <w:sz w:val="22"/>
          <w:szCs w:val="22"/>
          <w:lang w:eastAsia="en-NZ"/>
        </w:rPr>
      </w:pPr>
      <w:hyperlink w:anchor="_Toc19101963" w:history="1">
        <w:r w:rsidR="00DA2B90" w:rsidRPr="00AC13B1">
          <w:rPr>
            <w:rStyle w:val="Hyperlink"/>
            <w:noProof/>
          </w:rPr>
          <w:t>Figure 112: Sudden unexpected death in infancy (SUDI) mortality rates, Māori and non</w:t>
        </w:r>
        <w:r w:rsidR="00DA2B90" w:rsidRPr="00AC13B1">
          <w:rPr>
            <w:rStyle w:val="Hyperlink"/>
            <w:noProof/>
          </w:rPr>
          <w:noBreakHyphen/>
          <w:t>Māori, 1996–98 to 2012–14</w:t>
        </w:r>
        <w:r w:rsidR="00DA2B90">
          <w:rPr>
            <w:noProof/>
            <w:webHidden/>
          </w:rPr>
          <w:tab/>
        </w:r>
        <w:r w:rsidR="00DA2B90">
          <w:rPr>
            <w:noProof/>
            <w:webHidden/>
          </w:rPr>
          <w:fldChar w:fldCharType="begin"/>
        </w:r>
        <w:r w:rsidR="00DA2B90">
          <w:rPr>
            <w:noProof/>
            <w:webHidden/>
          </w:rPr>
          <w:instrText xml:space="preserve"> PAGEREF _Toc19101963 \h </w:instrText>
        </w:r>
        <w:r w:rsidR="00DA2B90">
          <w:rPr>
            <w:noProof/>
            <w:webHidden/>
          </w:rPr>
        </w:r>
        <w:r w:rsidR="00DA2B90">
          <w:rPr>
            <w:noProof/>
            <w:webHidden/>
          </w:rPr>
          <w:fldChar w:fldCharType="separate"/>
        </w:r>
        <w:r>
          <w:rPr>
            <w:noProof/>
            <w:webHidden/>
          </w:rPr>
          <w:t>197</w:t>
        </w:r>
        <w:r w:rsidR="00DA2B90">
          <w:rPr>
            <w:noProof/>
            <w:webHidden/>
          </w:rPr>
          <w:fldChar w:fldCharType="end"/>
        </w:r>
      </w:hyperlink>
    </w:p>
    <w:p w14:paraId="7B1696C7" w14:textId="2B9F945C" w:rsidR="00DA2B90" w:rsidRDefault="00D2215B">
      <w:pPr>
        <w:pStyle w:val="TOC3"/>
        <w:rPr>
          <w:rFonts w:asciiTheme="minorHAnsi" w:eastAsiaTheme="minorEastAsia" w:hAnsiTheme="minorHAnsi" w:cstheme="minorBidi"/>
          <w:noProof/>
          <w:sz w:val="22"/>
          <w:szCs w:val="22"/>
          <w:lang w:eastAsia="en-NZ"/>
        </w:rPr>
      </w:pPr>
      <w:hyperlink w:anchor="_Toc19101964" w:history="1">
        <w:r w:rsidR="00DA2B90" w:rsidRPr="00AC13B1">
          <w:rPr>
            <w:rStyle w:val="Hyperlink"/>
            <w:noProof/>
          </w:rPr>
          <w:t>Figure 113: Sudden infant death syndrome (SIDS) mortality rate, Māori and non</w:t>
        </w:r>
        <w:r w:rsidR="00DA2B90" w:rsidRPr="00AC13B1">
          <w:rPr>
            <w:rStyle w:val="Hyperlink"/>
            <w:noProof/>
          </w:rPr>
          <w:noBreakHyphen/>
          <w:t>Māori, 1996–98 and 2012–14</w:t>
        </w:r>
        <w:r w:rsidR="00DA2B90">
          <w:rPr>
            <w:noProof/>
            <w:webHidden/>
          </w:rPr>
          <w:tab/>
        </w:r>
        <w:r w:rsidR="00DA2B90">
          <w:rPr>
            <w:noProof/>
            <w:webHidden/>
          </w:rPr>
          <w:fldChar w:fldCharType="begin"/>
        </w:r>
        <w:r w:rsidR="00DA2B90">
          <w:rPr>
            <w:noProof/>
            <w:webHidden/>
          </w:rPr>
          <w:instrText xml:space="preserve"> PAGEREF _Toc19101964 \h </w:instrText>
        </w:r>
        <w:r w:rsidR="00DA2B90">
          <w:rPr>
            <w:noProof/>
            <w:webHidden/>
          </w:rPr>
        </w:r>
        <w:r w:rsidR="00DA2B90">
          <w:rPr>
            <w:noProof/>
            <w:webHidden/>
          </w:rPr>
          <w:fldChar w:fldCharType="separate"/>
        </w:r>
        <w:r>
          <w:rPr>
            <w:noProof/>
            <w:webHidden/>
          </w:rPr>
          <w:t>199</w:t>
        </w:r>
        <w:r w:rsidR="00DA2B90">
          <w:rPr>
            <w:noProof/>
            <w:webHidden/>
          </w:rPr>
          <w:fldChar w:fldCharType="end"/>
        </w:r>
      </w:hyperlink>
    </w:p>
    <w:p w14:paraId="2CA35571" w14:textId="6320D70C" w:rsidR="00DA2B90" w:rsidRDefault="00D2215B">
      <w:pPr>
        <w:pStyle w:val="TOC3"/>
        <w:rPr>
          <w:rFonts w:asciiTheme="minorHAnsi" w:eastAsiaTheme="minorEastAsia" w:hAnsiTheme="minorHAnsi" w:cstheme="minorBidi"/>
          <w:noProof/>
          <w:sz w:val="22"/>
          <w:szCs w:val="22"/>
          <w:lang w:eastAsia="en-NZ"/>
        </w:rPr>
      </w:pPr>
      <w:hyperlink w:anchor="_Toc19101965" w:history="1">
        <w:r w:rsidR="00DA2B90" w:rsidRPr="00AC13B1">
          <w:rPr>
            <w:rStyle w:val="Hyperlink"/>
            <w:noProof/>
          </w:rPr>
          <w:t>Figure 114: Child mortality rates, Māori and non</w:t>
        </w:r>
        <w:r w:rsidR="00DA2B90" w:rsidRPr="00AC13B1">
          <w:rPr>
            <w:rStyle w:val="Hyperlink"/>
            <w:noProof/>
          </w:rPr>
          <w:noBreakHyphen/>
          <w:t>Māori, 1996–98 and 2012–2014</w:t>
        </w:r>
        <w:r w:rsidR="00DA2B90">
          <w:rPr>
            <w:noProof/>
            <w:webHidden/>
          </w:rPr>
          <w:tab/>
        </w:r>
        <w:r w:rsidR="00DA2B90">
          <w:rPr>
            <w:noProof/>
            <w:webHidden/>
          </w:rPr>
          <w:fldChar w:fldCharType="begin"/>
        </w:r>
        <w:r w:rsidR="00DA2B90">
          <w:rPr>
            <w:noProof/>
            <w:webHidden/>
          </w:rPr>
          <w:instrText xml:space="preserve"> PAGEREF _Toc19101965 \h </w:instrText>
        </w:r>
        <w:r w:rsidR="00DA2B90">
          <w:rPr>
            <w:noProof/>
            <w:webHidden/>
          </w:rPr>
        </w:r>
        <w:r w:rsidR="00DA2B90">
          <w:rPr>
            <w:noProof/>
            <w:webHidden/>
          </w:rPr>
          <w:fldChar w:fldCharType="separate"/>
        </w:r>
        <w:r>
          <w:rPr>
            <w:noProof/>
            <w:webHidden/>
          </w:rPr>
          <w:t>201</w:t>
        </w:r>
        <w:r w:rsidR="00DA2B90">
          <w:rPr>
            <w:noProof/>
            <w:webHidden/>
          </w:rPr>
          <w:fldChar w:fldCharType="end"/>
        </w:r>
      </w:hyperlink>
    </w:p>
    <w:p w14:paraId="1111A15A" w14:textId="1A54BEC5" w:rsidR="00DA2B90" w:rsidRDefault="00D2215B">
      <w:pPr>
        <w:pStyle w:val="TOC3"/>
        <w:rPr>
          <w:rFonts w:asciiTheme="minorHAnsi" w:eastAsiaTheme="minorEastAsia" w:hAnsiTheme="minorHAnsi" w:cstheme="minorBidi"/>
          <w:noProof/>
          <w:sz w:val="22"/>
          <w:szCs w:val="22"/>
          <w:lang w:eastAsia="en-NZ"/>
        </w:rPr>
      </w:pPr>
      <w:hyperlink w:anchor="_Toc19101966" w:history="1">
        <w:r w:rsidR="00DA2B90" w:rsidRPr="00AC13B1">
          <w:rPr>
            <w:rStyle w:val="Hyperlink"/>
            <w:noProof/>
          </w:rPr>
          <w:t>Figure 115: Unintentional injury hospitalisation rates, all ages, by gender, Māori and non</w:t>
        </w:r>
        <w:r w:rsidR="00DA2B90" w:rsidRPr="00AC13B1">
          <w:rPr>
            <w:rStyle w:val="Hyperlink"/>
            <w:noProof/>
          </w:rPr>
          <w:noBreakHyphen/>
          <w:t>Māori, 1996–98 to 2014–16</w:t>
        </w:r>
        <w:r w:rsidR="00DA2B90">
          <w:rPr>
            <w:noProof/>
            <w:webHidden/>
          </w:rPr>
          <w:tab/>
        </w:r>
        <w:r w:rsidR="00DA2B90">
          <w:rPr>
            <w:noProof/>
            <w:webHidden/>
          </w:rPr>
          <w:fldChar w:fldCharType="begin"/>
        </w:r>
        <w:r w:rsidR="00DA2B90">
          <w:rPr>
            <w:noProof/>
            <w:webHidden/>
          </w:rPr>
          <w:instrText xml:space="preserve"> PAGEREF _Toc19101966 \h </w:instrText>
        </w:r>
        <w:r w:rsidR="00DA2B90">
          <w:rPr>
            <w:noProof/>
            <w:webHidden/>
          </w:rPr>
        </w:r>
        <w:r w:rsidR="00DA2B90">
          <w:rPr>
            <w:noProof/>
            <w:webHidden/>
          </w:rPr>
          <w:fldChar w:fldCharType="separate"/>
        </w:r>
        <w:r>
          <w:rPr>
            <w:noProof/>
            <w:webHidden/>
          </w:rPr>
          <w:t>204</w:t>
        </w:r>
        <w:r w:rsidR="00DA2B90">
          <w:rPr>
            <w:noProof/>
            <w:webHidden/>
          </w:rPr>
          <w:fldChar w:fldCharType="end"/>
        </w:r>
      </w:hyperlink>
    </w:p>
    <w:p w14:paraId="6C67B03E" w14:textId="3CC159A2" w:rsidR="00DA2B90" w:rsidRDefault="00D2215B">
      <w:pPr>
        <w:pStyle w:val="TOC3"/>
        <w:rPr>
          <w:rFonts w:asciiTheme="minorHAnsi" w:eastAsiaTheme="minorEastAsia" w:hAnsiTheme="minorHAnsi" w:cstheme="minorBidi"/>
          <w:noProof/>
          <w:sz w:val="22"/>
          <w:szCs w:val="22"/>
          <w:lang w:eastAsia="en-NZ"/>
        </w:rPr>
      </w:pPr>
      <w:hyperlink w:anchor="_Toc19101967" w:history="1">
        <w:r w:rsidR="00DA2B90" w:rsidRPr="00AC13B1">
          <w:rPr>
            <w:rStyle w:val="Hyperlink"/>
            <w:noProof/>
          </w:rPr>
          <w:t>Figure 116: Unintentional injury hospitalisation rates, 0–14 years, by gender, Māori and non</w:t>
        </w:r>
        <w:r w:rsidR="00DA2B90" w:rsidRPr="00AC13B1">
          <w:rPr>
            <w:rStyle w:val="Hyperlink"/>
            <w:noProof/>
          </w:rPr>
          <w:noBreakHyphen/>
          <w:t>Māori, 1996–98 to 2014–16</w:t>
        </w:r>
        <w:r w:rsidR="00DA2B90">
          <w:rPr>
            <w:noProof/>
            <w:webHidden/>
          </w:rPr>
          <w:tab/>
        </w:r>
        <w:r w:rsidR="00DA2B90">
          <w:rPr>
            <w:noProof/>
            <w:webHidden/>
          </w:rPr>
          <w:fldChar w:fldCharType="begin"/>
        </w:r>
        <w:r w:rsidR="00DA2B90">
          <w:rPr>
            <w:noProof/>
            <w:webHidden/>
          </w:rPr>
          <w:instrText xml:space="preserve"> PAGEREF _Toc19101967 \h </w:instrText>
        </w:r>
        <w:r w:rsidR="00DA2B90">
          <w:rPr>
            <w:noProof/>
            <w:webHidden/>
          </w:rPr>
        </w:r>
        <w:r w:rsidR="00DA2B90">
          <w:rPr>
            <w:noProof/>
            <w:webHidden/>
          </w:rPr>
          <w:fldChar w:fldCharType="separate"/>
        </w:r>
        <w:r>
          <w:rPr>
            <w:noProof/>
            <w:webHidden/>
          </w:rPr>
          <w:t>206</w:t>
        </w:r>
        <w:r w:rsidR="00DA2B90">
          <w:rPr>
            <w:noProof/>
            <w:webHidden/>
          </w:rPr>
          <w:fldChar w:fldCharType="end"/>
        </w:r>
      </w:hyperlink>
    </w:p>
    <w:p w14:paraId="60E11D5A" w14:textId="54A59070" w:rsidR="00DA2B90" w:rsidRDefault="00D2215B">
      <w:pPr>
        <w:pStyle w:val="TOC3"/>
        <w:rPr>
          <w:rFonts w:asciiTheme="minorHAnsi" w:eastAsiaTheme="minorEastAsia" w:hAnsiTheme="minorHAnsi" w:cstheme="minorBidi"/>
          <w:noProof/>
          <w:sz w:val="22"/>
          <w:szCs w:val="22"/>
          <w:lang w:eastAsia="en-NZ"/>
        </w:rPr>
      </w:pPr>
      <w:hyperlink w:anchor="_Toc19101968" w:history="1">
        <w:r w:rsidR="00DA2B90" w:rsidRPr="00AC13B1">
          <w:rPr>
            <w:rStyle w:val="Hyperlink"/>
            <w:noProof/>
          </w:rPr>
          <w:t>Figure 117: Unintentional injury hospitalisation rates, 15–64 years, by gender, Māori and non</w:t>
        </w:r>
        <w:r w:rsidR="00DA2B90" w:rsidRPr="00AC13B1">
          <w:rPr>
            <w:rStyle w:val="Hyperlink"/>
            <w:noProof/>
          </w:rPr>
          <w:noBreakHyphen/>
          <w:t>Māori, 1996–98 to 2014–16</w:t>
        </w:r>
        <w:r w:rsidR="00DA2B90">
          <w:rPr>
            <w:noProof/>
            <w:webHidden/>
          </w:rPr>
          <w:tab/>
        </w:r>
        <w:r w:rsidR="00DA2B90">
          <w:rPr>
            <w:noProof/>
            <w:webHidden/>
          </w:rPr>
          <w:fldChar w:fldCharType="begin"/>
        </w:r>
        <w:r w:rsidR="00DA2B90">
          <w:rPr>
            <w:noProof/>
            <w:webHidden/>
          </w:rPr>
          <w:instrText xml:space="preserve"> PAGEREF _Toc19101968 \h </w:instrText>
        </w:r>
        <w:r w:rsidR="00DA2B90">
          <w:rPr>
            <w:noProof/>
            <w:webHidden/>
          </w:rPr>
        </w:r>
        <w:r w:rsidR="00DA2B90">
          <w:rPr>
            <w:noProof/>
            <w:webHidden/>
          </w:rPr>
          <w:fldChar w:fldCharType="separate"/>
        </w:r>
        <w:r>
          <w:rPr>
            <w:noProof/>
            <w:webHidden/>
          </w:rPr>
          <w:t>208</w:t>
        </w:r>
        <w:r w:rsidR="00DA2B90">
          <w:rPr>
            <w:noProof/>
            <w:webHidden/>
          </w:rPr>
          <w:fldChar w:fldCharType="end"/>
        </w:r>
      </w:hyperlink>
    </w:p>
    <w:p w14:paraId="372FF604" w14:textId="7BA97D70" w:rsidR="00DA2B90" w:rsidRDefault="00D2215B">
      <w:pPr>
        <w:pStyle w:val="TOC3"/>
        <w:rPr>
          <w:rFonts w:asciiTheme="minorHAnsi" w:eastAsiaTheme="minorEastAsia" w:hAnsiTheme="minorHAnsi" w:cstheme="minorBidi"/>
          <w:noProof/>
          <w:sz w:val="22"/>
          <w:szCs w:val="22"/>
          <w:lang w:eastAsia="en-NZ"/>
        </w:rPr>
      </w:pPr>
      <w:hyperlink w:anchor="_Toc19101969" w:history="1">
        <w:r w:rsidR="00DA2B90" w:rsidRPr="00AC13B1">
          <w:rPr>
            <w:rStyle w:val="Hyperlink"/>
            <w:noProof/>
          </w:rPr>
          <w:t>Figure 118: Unintentional injury hospitalisation rates, 65+ years, by gender, Māori and non</w:t>
        </w:r>
        <w:r w:rsidR="00DA2B90" w:rsidRPr="00AC13B1">
          <w:rPr>
            <w:rStyle w:val="Hyperlink"/>
            <w:noProof/>
          </w:rPr>
          <w:noBreakHyphen/>
          <w:t>Māori, 1996–98 to 2014–16</w:t>
        </w:r>
        <w:r w:rsidR="00DA2B90">
          <w:rPr>
            <w:noProof/>
            <w:webHidden/>
          </w:rPr>
          <w:tab/>
        </w:r>
        <w:r w:rsidR="00DA2B90">
          <w:rPr>
            <w:noProof/>
            <w:webHidden/>
          </w:rPr>
          <w:fldChar w:fldCharType="begin"/>
        </w:r>
        <w:r w:rsidR="00DA2B90">
          <w:rPr>
            <w:noProof/>
            <w:webHidden/>
          </w:rPr>
          <w:instrText xml:space="preserve"> PAGEREF _Toc19101969 \h </w:instrText>
        </w:r>
        <w:r w:rsidR="00DA2B90">
          <w:rPr>
            <w:noProof/>
            <w:webHidden/>
          </w:rPr>
        </w:r>
        <w:r w:rsidR="00DA2B90">
          <w:rPr>
            <w:noProof/>
            <w:webHidden/>
          </w:rPr>
          <w:fldChar w:fldCharType="separate"/>
        </w:r>
        <w:r>
          <w:rPr>
            <w:noProof/>
            <w:webHidden/>
          </w:rPr>
          <w:t>210</w:t>
        </w:r>
        <w:r w:rsidR="00DA2B90">
          <w:rPr>
            <w:noProof/>
            <w:webHidden/>
          </w:rPr>
          <w:fldChar w:fldCharType="end"/>
        </w:r>
      </w:hyperlink>
    </w:p>
    <w:p w14:paraId="45FDB5A5" w14:textId="5A9FE582" w:rsidR="00DA2B90" w:rsidRDefault="00D2215B">
      <w:pPr>
        <w:pStyle w:val="TOC3"/>
        <w:rPr>
          <w:rFonts w:asciiTheme="minorHAnsi" w:eastAsiaTheme="minorEastAsia" w:hAnsiTheme="minorHAnsi" w:cstheme="minorBidi"/>
          <w:noProof/>
          <w:sz w:val="22"/>
          <w:szCs w:val="22"/>
          <w:lang w:eastAsia="en-NZ"/>
        </w:rPr>
      </w:pPr>
      <w:hyperlink w:anchor="_Toc19101970" w:history="1">
        <w:r w:rsidR="00DA2B90" w:rsidRPr="00AC13B1">
          <w:rPr>
            <w:rStyle w:val="Hyperlink"/>
            <w:noProof/>
          </w:rPr>
          <w:t>Figure 119: Unintentional injury mortality rates, all ages, by gender, Māori and non</w:t>
        </w:r>
        <w:r w:rsidR="00DA2B90" w:rsidRPr="00AC13B1">
          <w:rPr>
            <w:rStyle w:val="Hyperlink"/>
            <w:noProof/>
          </w:rPr>
          <w:noBreakHyphen/>
          <w:t>Māori, 1996–98 to 2012–14</w:t>
        </w:r>
        <w:r w:rsidR="00DA2B90">
          <w:rPr>
            <w:noProof/>
            <w:webHidden/>
          </w:rPr>
          <w:tab/>
        </w:r>
        <w:r w:rsidR="00DA2B90">
          <w:rPr>
            <w:noProof/>
            <w:webHidden/>
          </w:rPr>
          <w:fldChar w:fldCharType="begin"/>
        </w:r>
        <w:r w:rsidR="00DA2B90">
          <w:rPr>
            <w:noProof/>
            <w:webHidden/>
          </w:rPr>
          <w:instrText xml:space="preserve"> PAGEREF _Toc19101970 \h </w:instrText>
        </w:r>
        <w:r w:rsidR="00DA2B90">
          <w:rPr>
            <w:noProof/>
            <w:webHidden/>
          </w:rPr>
        </w:r>
        <w:r w:rsidR="00DA2B90">
          <w:rPr>
            <w:noProof/>
            <w:webHidden/>
          </w:rPr>
          <w:fldChar w:fldCharType="separate"/>
        </w:r>
        <w:r>
          <w:rPr>
            <w:noProof/>
            <w:webHidden/>
          </w:rPr>
          <w:t>212</w:t>
        </w:r>
        <w:r w:rsidR="00DA2B90">
          <w:rPr>
            <w:noProof/>
            <w:webHidden/>
          </w:rPr>
          <w:fldChar w:fldCharType="end"/>
        </w:r>
      </w:hyperlink>
    </w:p>
    <w:p w14:paraId="312E4BA4" w14:textId="532D1325" w:rsidR="00DA2B90" w:rsidRDefault="00D2215B">
      <w:pPr>
        <w:pStyle w:val="TOC3"/>
        <w:rPr>
          <w:rFonts w:asciiTheme="minorHAnsi" w:eastAsiaTheme="minorEastAsia" w:hAnsiTheme="minorHAnsi" w:cstheme="minorBidi"/>
          <w:noProof/>
          <w:sz w:val="22"/>
          <w:szCs w:val="22"/>
          <w:lang w:eastAsia="en-NZ"/>
        </w:rPr>
      </w:pPr>
      <w:hyperlink w:anchor="_Toc19101971" w:history="1">
        <w:r w:rsidR="00DA2B90" w:rsidRPr="00AC13B1">
          <w:rPr>
            <w:rStyle w:val="Hyperlink"/>
            <w:noProof/>
          </w:rPr>
          <w:t>Figure 120: Unintentional injury mortality rates, 0–14 years, by gender, Māori and non</w:t>
        </w:r>
        <w:r w:rsidR="00DA2B90" w:rsidRPr="00AC13B1">
          <w:rPr>
            <w:rStyle w:val="Hyperlink"/>
            <w:noProof/>
          </w:rPr>
          <w:noBreakHyphen/>
          <w:t>Māori, 1996–98 to 2012–14</w:t>
        </w:r>
        <w:r w:rsidR="00DA2B90">
          <w:rPr>
            <w:noProof/>
            <w:webHidden/>
          </w:rPr>
          <w:tab/>
        </w:r>
        <w:r w:rsidR="00DA2B90">
          <w:rPr>
            <w:noProof/>
            <w:webHidden/>
          </w:rPr>
          <w:fldChar w:fldCharType="begin"/>
        </w:r>
        <w:r w:rsidR="00DA2B90">
          <w:rPr>
            <w:noProof/>
            <w:webHidden/>
          </w:rPr>
          <w:instrText xml:space="preserve"> PAGEREF _Toc19101971 \h </w:instrText>
        </w:r>
        <w:r w:rsidR="00DA2B90">
          <w:rPr>
            <w:noProof/>
            <w:webHidden/>
          </w:rPr>
        </w:r>
        <w:r w:rsidR="00DA2B90">
          <w:rPr>
            <w:noProof/>
            <w:webHidden/>
          </w:rPr>
          <w:fldChar w:fldCharType="separate"/>
        </w:r>
        <w:r>
          <w:rPr>
            <w:noProof/>
            <w:webHidden/>
          </w:rPr>
          <w:t>214</w:t>
        </w:r>
        <w:r w:rsidR="00DA2B90">
          <w:rPr>
            <w:noProof/>
            <w:webHidden/>
          </w:rPr>
          <w:fldChar w:fldCharType="end"/>
        </w:r>
      </w:hyperlink>
    </w:p>
    <w:p w14:paraId="58189E1B" w14:textId="70E3F8A8" w:rsidR="00DA2B90" w:rsidRDefault="00D2215B">
      <w:pPr>
        <w:pStyle w:val="TOC3"/>
        <w:rPr>
          <w:rFonts w:asciiTheme="minorHAnsi" w:eastAsiaTheme="minorEastAsia" w:hAnsiTheme="minorHAnsi" w:cstheme="minorBidi"/>
          <w:noProof/>
          <w:sz w:val="22"/>
          <w:szCs w:val="22"/>
          <w:lang w:eastAsia="en-NZ"/>
        </w:rPr>
      </w:pPr>
      <w:hyperlink w:anchor="_Toc19101972" w:history="1">
        <w:r w:rsidR="00DA2B90" w:rsidRPr="00AC13B1">
          <w:rPr>
            <w:rStyle w:val="Hyperlink"/>
            <w:noProof/>
          </w:rPr>
          <w:t>Figure 121: Unintentional injury mortality rates, 15–64 years, by gender, Māori and non</w:t>
        </w:r>
        <w:r w:rsidR="00DA2B90" w:rsidRPr="00AC13B1">
          <w:rPr>
            <w:rStyle w:val="Hyperlink"/>
            <w:noProof/>
          </w:rPr>
          <w:noBreakHyphen/>
          <w:t>Māori, 1996–98 to 2012–14</w:t>
        </w:r>
        <w:r w:rsidR="00DA2B90">
          <w:rPr>
            <w:noProof/>
            <w:webHidden/>
          </w:rPr>
          <w:tab/>
        </w:r>
        <w:r w:rsidR="00DA2B90">
          <w:rPr>
            <w:noProof/>
            <w:webHidden/>
          </w:rPr>
          <w:fldChar w:fldCharType="begin"/>
        </w:r>
        <w:r w:rsidR="00DA2B90">
          <w:rPr>
            <w:noProof/>
            <w:webHidden/>
          </w:rPr>
          <w:instrText xml:space="preserve"> PAGEREF _Toc19101972 \h </w:instrText>
        </w:r>
        <w:r w:rsidR="00DA2B90">
          <w:rPr>
            <w:noProof/>
            <w:webHidden/>
          </w:rPr>
        </w:r>
        <w:r w:rsidR="00DA2B90">
          <w:rPr>
            <w:noProof/>
            <w:webHidden/>
          </w:rPr>
          <w:fldChar w:fldCharType="separate"/>
        </w:r>
        <w:r>
          <w:rPr>
            <w:noProof/>
            <w:webHidden/>
          </w:rPr>
          <w:t>216</w:t>
        </w:r>
        <w:r w:rsidR="00DA2B90">
          <w:rPr>
            <w:noProof/>
            <w:webHidden/>
          </w:rPr>
          <w:fldChar w:fldCharType="end"/>
        </w:r>
      </w:hyperlink>
    </w:p>
    <w:p w14:paraId="43764F3F" w14:textId="1C4A90F4" w:rsidR="00DA2B90" w:rsidRDefault="00D2215B">
      <w:pPr>
        <w:pStyle w:val="TOC3"/>
        <w:rPr>
          <w:rFonts w:asciiTheme="minorHAnsi" w:eastAsiaTheme="minorEastAsia" w:hAnsiTheme="minorHAnsi" w:cstheme="minorBidi"/>
          <w:noProof/>
          <w:sz w:val="22"/>
          <w:szCs w:val="22"/>
          <w:lang w:eastAsia="en-NZ"/>
        </w:rPr>
      </w:pPr>
      <w:hyperlink w:anchor="_Toc19101973" w:history="1">
        <w:r w:rsidR="00DA2B90" w:rsidRPr="00AC13B1">
          <w:rPr>
            <w:rStyle w:val="Hyperlink"/>
            <w:noProof/>
          </w:rPr>
          <w:t>Figure 122: Unintentional injury mortality rates, 65+ years, by gender, Māori and non</w:t>
        </w:r>
        <w:r w:rsidR="00DA2B90" w:rsidRPr="00AC13B1">
          <w:rPr>
            <w:rStyle w:val="Hyperlink"/>
            <w:noProof/>
          </w:rPr>
          <w:noBreakHyphen/>
          <w:t>Māori, 1996–98 to 2012–14</w:t>
        </w:r>
        <w:r w:rsidR="00DA2B90">
          <w:rPr>
            <w:noProof/>
            <w:webHidden/>
          </w:rPr>
          <w:tab/>
        </w:r>
        <w:r w:rsidR="00DA2B90">
          <w:rPr>
            <w:noProof/>
            <w:webHidden/>
          </w:rPr>
          <w:fldChar w:fldCharType="begin"/>
        </w:r>
        <w:r w:rsidR="00DA2B90">
          <w:rPr>
            <w:noProof/>
            <w:webHidden/>
          </w:rPr>
          <w:instrText xml:space="preserve"> PAGEREF _Toc19101973 \h </w:instrText>
        </w:r>
        <w:r w:rsidR="00DA2B90">
          <w:rPr>
            <w:noProof/>
            <w:webHidden/>
          </w:rPr>
        </w:r>
        <w:r w:rsidR="00DA2B90">
          <w:rPr>
            <w:noProof/>
            <w:webHidden/>
          </w:rPr>
          <w:fldChar w:fldCharType="separate"/>
        </w:r>
        <w:r>
          <w:rPr>
            <w:noProof/>
            <w:webHidden/>
          </w:rPr>
          <w:t>218</w:t>
        </w:r>
        <w:r w:rsidR="00DA2B90">
          <w:rPr>
            <w:noProof/>
            <w:webHidden/>
          </w:rPr>
          <w:fldChar w:fldCharType="end"/>
        </w:r>
      </w:hyperlink>
    </w:p>
    <w:p w14:paraId="2CCAEAC5" w14:textId="018AB650" w:rsidR="00DA2B90" w:rsidRDefault="00D2215B">
      <w:pPr>
        <w:pStyle w:val="TOC3"/>
        <w:rPr>
          <w:rFonts w:asciiTheme="minorHAnsi" w:eastAsiaTheme="minorEastAsia" w:hAnsiTheme="minorHAnsi" w:cstheme="minorBidi"/>
          <w:noProof/>
          <w:sz w:val="22"/>
          <w:szCs w:val="22"/>
          <w:lang w:eastAsia="en-NZ"/>
        </w:rPr>
      </w:pPr>
      <w:hyperlink w:anchor="_Toc19101974" w:history="1">
        <w:r w:rsidR="00DA2B90" w:rsidRPr="00AC13B1">
          <w:rPr>
            <w:rStyle w:val="Hyperlink"/>
            <w:rFonts w:eastAsia="Calibri"/>
            <w:noProof/>
          </w:rPr>
          <w:t xml:space="preserve">Figure 123: Has GP clinic or medical centre that usually goes to when unwell or injured, </w:t>
        </w:r>
        <w:r w:rsidR="00DA2B90" w:rsidRPr="00AC13B1">
          <w:rPr>
            <w:rStyle w:val="Hyperlink"/>
            <w:noProof/>
          </w:rPr>
          <w:t>15+ years, Māori and non</w:t>
        </w:r>
        <w:r w:rsidR="00DA2B90" w:rsidRPr="00AC13B1">
          <w:rPr>
            <w:rStyle w:val="Hyperlink"/>
            <w:noProof/>
          </w:rPr>
          <w:noBreakHyphen/>
          <w:t>Māori, 2006/07–2016/17</w:t>
        </w:r>
        <w:r w:rsidR="00DA2B90">
          <w:rPr>
            <w:noProof/>
            <w:webHidden/>
          </w:rPr>
          <w:tab/>
        </w:r>
        <w:r w:rsidR="00DA2B90">
          <w:rPr>
            <w:noProof/>
            <w:webHidden/>
          </w:rPr>
          <w:fldChar w:fldCharType="begin"/>
        </w:r>
        <w:r w:rsidR="00DA2B90">
          <w:rPr>
            <w:noProof/>
            <w:webHidden/>
          </w:rPr>
          <w:instrText xml:space="preserve"> PAGEREF _Toc19101974 \h </w:instrText>
        </w:r>
        <w:r w:rsidR="00DA2B90">
          <w:rPr>
            <w:noProof/>
            <w:webHidden/>
          </w:rPr>
        </w:r>
        <w:r w:rsidR="00DA2B90">
          <w:rPr>
            <w:noProof/>
            <w:webHidden/>
          </w:rPr>
          <w:fldChar w:fldCharType="separate"/>
        </w:r>
        <w:r>
          <w:rPr>
            <w:noProof/>
            <w:webHidden/>
          </w:rPr>
          <w:t>227</w:t>
        </w:r>
        <w:r w:rsidR="00DA2B90">
          <w:rPr>
            <w:noProof/>
            <w:webHidden/>
          </w:rPr>
          <w:fldChar w:fldCharType="end"/>
        </w:r>
      </w:hyperlink>
    </w:p>
    <w:p w14:paraId="7F9D5AF5" w14:textId="04A5DFA3" w:rsidR="00DA2B90" w:rsidRDefault="00D2215B">
      <w:pPr>
        <w:pStyle w:val="TOC3"/>
        <w:rPr>
          <w:rFonts w:asciiTheme="minorHAnsi" w:eastAsiaTheme="minorEastAsia" w:hAnsiTheme="minorHAnsi" w:cstheme="minorBidi"/>
          <w:noProof/>
          <w:sz w:val="22"/>
          <w:szCs w:val="22"/>
          <w:lang w:eastAsia="en-NZ"/>
        </w:rPr>
      </w:pPr>
      <w:hyperlink w:anchor="_Toc19101975" w:history="1">
        <w:r w:rsidR="00DA2B90" w:rsidRPr="00AC13B1">
          <w:rPr>
            <w:rStyle w:val="Hyperlink"/>
            <w:rFonts w:eastAsia="Calibri"/>
            <w:noProof/>
          </w:rPr>
          <w:t>Figure 124: Visited after-hours medical centre in past 12 months, 0–14 years, Māori and non</w:t>
        </w:r>
        <w:r w:rsidR="00DA2B90" w:rsidRPr="00AC13B1">
          <w:rPr>
            <w:rStyle w:val="Hyperlink"/>
            <w:rFonts w:eastAsia="Calibri"/>
            <w:noProof/>
          </w:rPr>
          <w:noBreakHyphen/>
          <w:t>Māori, 2011/12–2016/17</w:t>
        </w:r>
        <w:r w:rsidR="00DA2B90">
          <w:rPr>
            <w:noProof/>
            <w:webHidden/>
          </w:rPr>
          <w:tab/>
        </w:r>
        <w:r w:rsidR="00DA2B90">
          <w:rPr>
            <w:noProof/>
            <w:webHidden/>
          </w:rPr>
          <w:fldChar w:fldCharType="begin"/>
        </w:r>
        <w:r w:rsidR="00DA2B90">
          <w:rPr>
            <w:noProof/>
            <w:webHidden/>
          </w:rPr>
          <w:instrText xml:space="preserve"> PAGEREF _Toc19101975 \h </w:instrText>
        </w:r>
        <w:r w:rsidR="00DA2B90">
          <w:rPr>
            <w:noProof/>
            <w:webHidden/>
          </w:rPr>
        </w:r>
        <w:r w:rsidR="00DA2B90">
          <w:rPr>
            <w:noProof/>
            <w:webHidden/>
          </w:rPr>
          <w:fldChar w:fldCharType="separate"/>
        </w:r>
        <w:r>
          <w:rPr>
            <w:noProof/>
            <w:webHidden/>
          </w:rPr>
          <w:t>228</w:t>
        </w:r>
        <w:r w:rsidR="00DA2B90">
          <w:rPr>
            <w:noProof/>
            <w:webHidden/>
          </w:rPr>
          <w:fldChar w:fldCharType="end"/>
        </w:r>
      </w:hyperlink>
    </w:p>
    <w:p w14:paraId="52B76F93" w14:textId="79DB1118" w:rsidR="00DA2B90" w:rsidRDefault="00D2215B">
      <w:pPr>
        <w:pStyle w:val="TOC3"/>
        <w:rPr>
          <w:rFonts w:asciiTheme="minorHAnsi" w:eastAsiaTheme="minorEastAsia" w:hAnsiTheme="minorHAnsi" w:cstheme="minorBidi"/>
          <w:noProof/>
          <w:sz w:val="22"/>
          <w:szCs w:val="22"/>
          <w:lang w:eastAsia="en-NZ"/>
        </w:rPr>
      </w:pPr>
      <w:hyperlink w:anchor="_Toc19101976" w:history="1">
        <w:r w:rsidR="00DA2B90" w:rsidRPr="00AC13B1">
          <w:rPr>
            <w:rStyle w:val="Hyperlink"/>
            <w:rFonts w:eastAsia="Calibri"/>
            <w:noProof/>
          </w:rPr>
          <w:t>Figure 125: Unfilled prescription due to cost in past 12 months, 15+ years, Māori and non</w:t>
        </w:r>
        <w:r w:rsidR="00DA2B90" w:rsidRPr="00AC13B1">
          <w:rPr>
            <w:rStyle w:val="Hyperlink"/>
            <w:rFonts w:eastAsia="Calibri"/>
            <w:noProof/>
          </w:rPr>
          <w:noBreakHyphen/>
          <w:t>Māori, 2011/12–2016/17</w:t>
        </w:r>
        <w:r w:rsidR="00DA2B90">
          <w:rPr>
            <w:noProof/>
            <w:webHidden/>
          </w:rPr>
          <w:tab/>
        </w:r>
        <w:r w:rsidR="00DA2B90">
          <w:rPr>
            <w:noProof/>
            <w:webHidden/>
          </w:rPr>
          <w:fldChar w:fldCharType="begin"/>
        </w:r>
        <w:r w:rsidR="00DA2B90">
          <w:rPr>
            <w:noProof/>
            <w:webHidden/>
          </w:rPr>
          <w:instrText xml:space="preserve"> PAGEREF _Toc19101976 \h </w:instrText>
        </w:r>
        <w:r w:rsidR="00DA2B90">
          <w:rPr>
            <w:noProof/>
            <w:webHidden/>
          </w:rPr>
        </w:r>
        <w:r w:rsidR="00DA2B90">
          <w:rPr>
            <w:noProof/>
            <w:webHidden/>
          </w:rPr>
          <w:fldChar w:fldCharType="separate"/>
        </w:r>
        <w:r>
          <w:rPr>
            <w:noProof/>
            <w:webHidden/>
          </w:rPr>
          <w:t>231</w:t>
        </w:r>
        <w:r w:rsidR="00DA2B90">
          <w:rPr>
            <w:noProof/>
            <w:webHidden/>
          </w:rPr>
          <w:fldChar w:fldCharType="end"/>
        </w:r>
      </w:hyperlink>
    </w:p>
    <w:p w14:paraId="62403CEE" w14:textId="7F5494E5" w:rsidR="00DA2B90" w:rsidRDefault="00D2215B">
      <w:pPr>
        <w:pStyle w:val="TOC3"/>
        <w:rPr>
          <w:rFonts w:asciiTheme="minorHAnsi" w:eastAsiaTheme="minorEastAsia" w:hAnsiTheme="minorHAnsi" w:cstheme="minorBidi"/>
          <w:noProof/>
          <w:sz w:val="22"/>
          <w:szCs w:val="22"/>
          <w:lang w:eastAsia="en-NZ"/>
        </w:rPr>
      </w:pPr>
      <w:hyperlink w:anchor="_Toc19101977" w:history="1">
        <w:r w:rsidR="00DA2B90" w:rsidRPr="00AC13B1">
          <w:rPr>
            <w:rStyle w:val="Hyperlink"/>
            <w:rFonts w:eastAsia="Calibri"/>
            <w:noProof/>
          </w:rPr>
          <w:t>Figure 126: Unfilled prescription due to cost in past 12 months, 0–14 years, by gender, Māori and non</w:t>
        </w:r>
        <w:r w:rsidR="00DA2B90" w:rsidRPr="00AC13B1">
          <w:rPr>
            <w:rStyle w:val="Hyperlink"/>
            <w:rFonts w:eastAsia="Calibri"/>
            <w:noProof/>
          </w:rPr>
          <w:noBreakHyphen/>
          <w:t>Māori, 2011/12–2016/17</w:t>
        </w:r>
        <w:r w:rsidR="00DA2B90">
          <w:rPr>
            <w:noProof/>
            <w:webHidden/>
          </w:rPr>
          <w:tab/>
        </w:r>
        <w:r w:rsidR="00DA2B90">
          <w:rPr>
            <w:noProof/>
            <w:webHidden/>
          </w:rPr>
          <w:fldChar w:fldCharType="begin"/>
        </w:r>
        <w:r w:rsidR="00DA2B90">
          <w:rPr>
            <w:noProof/>
            <w:webHidden/>
          </w:rPr>
          <w:instrText xml:space="preserve"> PAGEREF _Toc19101977 \h </w:instrText>
        </w:r>
        <w:r w:rsidR="00DA2B90">
          <w:rPr>
            <w:noProof/>
            <w:webHidden/>
          </w:rPr>
        </w:r>
        <w:r w:rsidR="00DA2B90">
          <w:rPr>
            <w:noProof/>
            <w:webHidden/>
          </w:rPr>
          <w:fldChar w:fldCharType="separate"/>
        </w:r>
        <w:r>
          <w:rPr>
            <w:noProof/>
            <w:webHidden/>
          </w:rPr>
          <w:t>232</w:t>
        </w:r>
        <w:r w:rsidR="00DA2B90">
          <w:rPr>
            <w:noProof/>
            <w:webHidden/>
          </w:rPr>
          <w:fldChar w:fldCharType="end"/>
        </w:r>
      </w:hyperlink>
    </w:p>
    <w:p w14:paraId="556E7131" w14:textId="54B45B68" w:rsidR="00DA2B90" w:rsidRDefault="00D2215B">
      <w:pPr>
        <w:pStyle w:val="TOC3"/>
        <w:rPr>
          <w:rFonts w:asciiTheme="minorHAnsi" w:eastAsiaTheme="minorEastAsia" w:hAnsiTheme="minorHAnsi" w:cstheme="minorBidi"/>
          <w:noProof/>
          <w:sz w:val="22"/>
          <w:szCs w:val="22"/>
          <w:lang w:eastAsia="en-NZ"/>
        </w:rPr>
      </w:pPr>
      <w:hyperlink w:anchor="_Toc19101978" w:history="1">
        <w:r w:rsidR="00DA2B90" w:rsidRPr="00AC13B1">
          <w:rPr>
            <w:rStyle w:val="Hyperlink"/>
            <w:noProof/>
          </w:rPr>
          <w:t>Figure 127: Amenable mortality rates, 0–74 years, by gender, Māori and non</w:t>
        </w:r>
        <w:r w:rsidR="00DA2B90" w:rsidRPr="00AC13B1">
          <w:rPr>
            <w:rStyle w:val="Hyperlink"/>
            <w:noProof/>
          </w:rPr>
          <w:noBreakHyphen/>
          <w:t>Māori, 2000–2015</w:t>
        </w:r>
        <w:r w:rsidR="00DA2B90">
          <w:rPr>
            <w:noProof/>
            <w:webHidden/>
          </w:rPr>
          <w:tab/>
        </w:r>
        <w:r w:rsidR="00DA2B90">
          <w:rPr>
            <w:noProof/>
            <w:webHidden/>
          </w:rPr>
          <w:fldChar w:fldCharType="begin"/>
        </w:r>
        <w:r w:rsidR="00DA2B90">
          <w:rPr>
            <w:noProof/>
            <w:webHidden/>
          </w:rPr>
          <w:instrText xml:space="preserve"> PAGEREF _Toc19101978 \h </w:instrText>
        </w:r>
        <w:r w:rsidR="00DA2B90">
          <w:rPr>
            <w:noProof/>
            <w:webHidden/>
          </w:rPr>
        </w:r>
        <w:r w:rsidR="00DA2B90">
          <w:rPr>
            <w:noProof/>
            <w:webHidden/>
          </w:rPr>
          <w:fldChar w:fldCharType="separate"/>
        </w:r>
        <w:r>
          <w:rPr>
            <w:noProof/>
            <w:webHidden/>
          </w:rPr>
          <w:t>233</w:t>
        </w:r>
        <w:r w:rsidR="00DA2B90">
          <w:rPr>
            <w:noProof/>
            <w:webHidden/>
          </w:rPr>
          <w:fldChar w:fldCharType="end"/>
        </w:r>
      </w:hyperlink>
    </w:p>
    <w:p w14:paraId="08F952E0" w14:textId="39C076D1" w:rsidR="00DA2B90" w:rsidRDefault="00D2215B">
      <w:pPr>
        <w:pStyle w:val="TOC3"/>
        <w:rPr>
          <w:rFonts w:asciiTheme="minorHAnsi" w:eastAsiaTheme="minorEastAsia" w:hAnsiTheme="minorHAnsi" w:cstheme="minorBidi"/>
          <w:noProof/>
          <w:sz w:val="22"/>
          <w:szCs w:val="22"/>
          <w:lang w:eastAsia="en-NZ"/>
        </w:rPr>
      </w:pPr>
      <w:hyperlink w:anchor="_Toc19101979" w:history="1">
        <w:r w:rsidR="00DA2B90" w:rsidRPr="00AC13B1">
          <w:rPr>
            <w:rStyle w:val="Hyperlink"/>
            <w:noProof/>
          </w:rPr>
          <w:t>Figure 128: Age-standardised rate ratios for amenable mortality, 0–74 years, by gender, Māori vs non</w:t>
        </w:r>
        <w:r w:rsidR="00DA2B90" w:rsidRPr="00AC13B1">
          <w:rPr>
            <w:rStyle w:val="Hyperlink"/>
            <w:noProof/>
          </w:rPr>
          <w:noBreakHyphen/>
          <w:t>Māori, 2000–2015</w:t>
        </w:r>
        <w:r w:rsidR="00DA2B90">
          <w:rPr>
            <w:noProof/>
            <w:webHidden/>
          </w:rPr>
          <w:tab/>
        </w:r>
        <w:r w:rsidR="00DA2B90">
          <w:rPr>
            <w:noProof/>
            <w:webHidden/>
          </w:rPr>
          <w:fldChar w:fldCharType="begin"/>
        </w:r>
        <w:r w:rsidR="00DA2B90">
          <w:rPr>
            <w:noProof/>
            <w:webHidden/>
          </w:rPr>
          <w:instrText xml:space="preserve"> PAGEREF _Toc19101979 \h </w:instrText>
        </w:r>
        <w:r w:rsidR="00DA2B90">
          <w:rPr>
            <w:noProof/>
            <w:webHidden/>
          </w:rPr>
        </w:r>
        <w:r w:rsidR="00DA2B90">
          <w:rPr>
            <w:noProof/>
            <w:webHidden/>
          </w:rPr>
          <w:fldChar w:fldCharType="separate"/>
        </w:r>
        <w:r>
          <w:rPr>
            <w:noProof/>
            <w:webHidden/>
          </w:rPr>
          <w:t>234</w:t>
        </w:r>
        <w:r w:rsidR="00DA2B90">
          <w:rPr>
            <w:noProof/>
            <w:webHidden/>
          </w:rPr>
          <w:fldChar w:fldCharType="end"/>
        </w:r>
      </w:hyperlink>
    </w:p>
    <w:p w14:paraId="5FED0855" w14:textId="7E9C5ADC" w:rsidR="00DA2B90" w:rsidRDefault="00D2215B">
      <w:pPr>
        <w:pStyle w:val="TOC3"/>
        <w:rPr>
          <w:rFonts w:asciiTheme="minorHAnsi" w:eastAsiaTheme="minorEastAsia" w:hAnsiTheme="minorHAnsi" w:cstheme="minorBidi"/>
          <w:noProof/>
          <w:sz w:val="22"/>
          <w:szCs w:val="22"/>
          <w:lang w:eastAsia="en-NZ"/>
        </w:rPr>
      </w:pPr>
      <w:hyperlink w:anchor="_Toc19101980" w:history="1">
        <w:r w:rsidR="00DA2B90" w:rsidRPr="00AC13B1">
          <w:rPr>
            <w:rStyle w:val="Hyperlink"/>
            <w:noProof/>
          </w:rPr>
          <w:t>Figure 129: Ambulatory sensitive hospitalisation (ASH) rates, 0–4 years, by gender, Māori and non</w:t>
        </w:r>
        <w:r w:rsidR="00DA2B90" w:rsidRPr="00AC13B1">
          <w:rPr>
            <w:rStyle w:val="Hyperlink"/>
            <w:noProof/>
          </w:rPr>
          <w:noBreakHyphen/>
          <w:t>Māori, 2002–2017</w:t>
        </w:r>
        <w:r w:rsidR="00DA2B90">
          <w:rPr>
            <w:noProof/>
            <w:webHidden/>
          </w:rPr>
          <w:tab/>
        </w:r>
        <w:r w:rsidR="00DA2B90">
          <w:rPr>
            <w:noProof/>
            <w:webHidden/>
          </w:rPr>
          <w:fldChar w:fldCharType="begin"/>
        </w:r>
        <w:r w:rsidR="00DA2B90">
          <w:rPr>
            <w:noProof/>
            <w:webHidden/>
          </w:rPr>
          <w:instrText xml:space="preserve"> PAGEREF _Toc19101980 \h </w:instrText>
        </w:r>
        <w:r w:rsidR="00DA2B90">
          <w:rPr>
            <w:noProof/>
            <w:webHidden/>
          </w:rPr>
        </w:r>
        <w:r w:rsidR="00DA2B90">
          <w:rPr>
            <w:noProof/>
            <w:webHidden/>
          </w:rPr>
          <w:fldChar w:fldCharType="separate"/>
        </w:r>
        <w:r>
          <w:rPr>
            <w:noProof/>
            <w:webHidden/>
          </w:rPr>
          <w:t>235</w:t>
        </w:r>
        <w:r w:rsidR="00DA2B90">
          <w:rPr>
            <w:noProof/>
            <w:webHidden/>
          </w:rPr>
          <w:fldChar w:fldCharType="end"/>
        </w:r>
      </w:hyperlink>
    </w:p>
    <w:p w14:paraId="23657E1F" w14:textId="491FF283" w:rsidR="00DA2B90" w:rsidRDefault="00D2215B">
      <w:pPr>
        <w:pStyle w:val="TOC3"/>
        <w:rPr>
          <w:rFonts w:asciiTheme="minorHAnsi" w:eastAsiaTheme="minorEastAsia" w:hAnsiTheme="minorHAnsi" w:cstheme="minorBidi"/>
          <w:noProof/>
          <w:sz w:val="22"/>
          <w:szCs w:val="22"/>
          <w:lang w:eastAsia="en-NZ"/>
        </w:rPr>
      </w:pPr>
      <w:hyperlink w:anchor="_Toc19101981" w:history="1">
        <w:r w:rsidR="00DA2B90" w:rsidRPr="00AC13B1">
          <w:rPr>
            <w:rStyle w:val="Hyperlink"/>
            <w:noProof/>
          </w:rPr>
          <w:t>Figure 130: Age-standardised rate ratios for ambulatory sensitive hospitalisation (ASH), 45–64 years, by gender, Māori vs non</w:t>
        </w:r>
        <w:r w:rsidR="00DA2B90" w:rsidRPr="00AC13B1">
          <w:rPr>
            <w:rStyle w:val="Hyperlink"/>
            <w:noProof/>
          </w:rPr>
          <w:noBreakHyphen/>
          <w:t>Māori, 2002–2017</w:t>
        </w:r>
        <w:r w:rsidR="00DA2B90">
          <w:rPr>
            <w:noProof/>
            <w:webHidden/>
          </w:rPr>
          <w:tab/>
        </w:r>
        <w:r w:rsidR="00DA2B90">
          <w:rPr>
            <w:noProof/>
            <w:webHidden/>
          </w:rPr>
          <w:fldChar w:fldCharType="begin"/>
        </w:r>
        <w:r w:rsidR="00DA2B90">
          <w:rPr>
            <w:noProof/>
            <w:webHidden/>
          </w:rPr>
          <w:instrText xml:space="preserve"> PAGEREF _Toc19101981 \h </w:instrText>
        </w:r>
        <w:r w:rsidR="00DA2B90">
          <w:rPr>
            <w:noProof/>
            <w:webHidden/>
          </w:rPr>
        </w:r>
        <w:r w:rsidR="00DA2B90">
          <w:rPr>
            <w:noProof/>
            <w:webHidden/>
          </w:rPr>
          <w:fldChar w:fldCharType="separate"/>
        </w:r>
        <w:r>
          <w:rPr>
            <w:noProof/>
            <w:webHidden/>
          </w:rPr>
          <w:t>236</w:t>
        </w:r>
        <w:r w:rsidR="00DA2B90">
          <w:rPr>
            <w:noProof/>
            <w:webHidden/>
          </w:rPr>
          <w:fldChar w:fldCharType="end"/>
        </w:r>
      </w:hyperlink>
    </w:p>
    <w:p w14:paraId="07A42B8E" w14:textId="564F9A1B" w:rsidR="00DA2B90" w:rsidRDefault="00D2215B">
      <w:pPr>
        <w:pStyle w:val="TOC3"/>
        <w:rPr>
          <w:rFonts w:asciiTheme="minorHAnsi" w:eastAsiaTheme="minorEastAsia" w:hAnsiTheme="minorHAnsi" w:cstheme="minorBidi"/>
          <w:noProof/>
          <w:sz w:val="22"/>
          <w:szCs w:val="22"/>
          <w:lang w:eastAsia="en-NZ"/>
        </w:rPr>
      </w:pPr>
      <w:hyperlink w:anchor="_Toc19101982" w:history="1">
        <w:r w:rsidR="00DA2B90" w:rsidRPr="00AC13B1">
          <w:rPr>
            <w:rStyle w:val="Hyperlink"/>
            <w:noProof/>
          </w:rPr>
          <w:t>Figure 131: Publicly-funded hospital discharge rates, by gender, Māori and non</w:t>
        </w:r>
        <w:r w:rsidR="00DA2B90" w:rsidRPr="00AC13B1">
          <w:rPr>
            <w:rStyle w:val="Hyperlink"/>
            <w:noProof/>
          </w:rPr>
          <w:noBreakHyphen/>
          <w:t>Māori, 1996–97 to 2016–17</w:t>
        </w:r>
        <w:r w:rsidR="00DA2B90">
          <w:rPr>
            <w:noProof/>
            <w:webHidden/>
          </w:rPr>
          <w:tab/>
        </w:r>
        <w:r w:rsidR="00DA2B90">
          <w:rPr>
            <w:noProof/>
            <w:webHidden/>
          </w:rPr>
          <w:fldChar w:fldCharType="begin"/>
        </w:r>
        <w:r w:rsidR="00DA2B90">
          <w:rPr>
            <w:noProof/>
            <w:webHidden/>
          </w:rPr>
          <w:instrText xml:space="preserve"> PAGEREF _Toc19101982 \h </w:instrText>
        </w:r>
        <w:r w:rsidR="00DA2B90">
          <w:rPr>
            <w:noProof/>
            <w:webHidden/>
          </w:rPr>
        </w:r>
        <w:r w:rsidR="00DA2B90">
          <w:rPr>
            <w:noProof/>
            <w:webHidden/>
          </w:rPr>
          <w:fldChar w:fldCharType="separate"/>
        </w:r>
        <w:r>
          <w:rPr>
            <w:noProof/>
            <w:webHidden/>
          </w:rPr>
          <w:t>238</w:t>
        </w:r>
        <w:r w:rsidR="00DA2B90">
          <w:rPr>
            <w:noProof/>
            <w:webHidden/>
          </w:rPr>
          <w:fldChar w:fldCharType="end"/>
        </w:r>
      </w:hyperlink>
    </w:p>
    <w:p w14:paraId="40279438" w14:textId="62C91DD8" w:rsidR="00DA2B90" w:rsidRDefault="00D2215B">
      <w:pPr>
        <w:pStyle w:val="TOC3"/>
        <w:rPr>
          <w:rFonts w:asciiTheme="minorHAnsi" w:eastAsiaTheme="minorEastAsia" w:hAnsiTheme="minorHAnsi" w:cstheme="minorBidi"/>
          <w:noProof/>
          <w:sz w:val="22"/>
          <w:szCs w:val="22"/>
          <w:lang w:eastAsia="en-NZ"/>
        </w:rPr>
      </w:pPr>
      <w:hyperlink w:anchor="_Toc19101983" w:history="1">
        <w:r w:rsidR="00DA2B90" w:rsidRPr="00AC13B1">
          <w:rPr>
            <w:rStyle w:val="Hyperlink"/>
            <w:noProof/>
          </w:rPr>
          <w:t>Figure 132: Emergency department attendance rates, by gender, Māori and non</w:t>
        </w:r>
        <w:r w:rsidR="00DA2B90" w:rsidRPr="00AC13B1">
          <w:rPr>
            <w:rStyle w:val="Hyperlink"/>
            <w:noProof/>
          </w:rPr>
          <w:noBreakHyphen/>
          <w:t>Māori, 2007–08 to 2016–17</w:t>
        </w:r>
        <w:r w:rsidR="00DA2B90">
          <w:rPr>
            <w:noProof/>
            <w:webHidden/>
          </w:rPr>
          <w:tab/>
        </w:r>
        <w:r w:rsidR="00DA2B90">
          <w:rPr>
            <w:noProof/>
            <w:webHidden/>
          </w:rPr>
          <w:fldChar w:fldCharType="begin"/>
        </w:r>
        <w:r w:rsidR="00DA2B90">
          <w:rPr>
            <w:noProof/>
            <w:webHidden/>
          </w:rPr>
          <w:instrText xml:space="preserve"> PAGEREF _Toc19101983 \h </w:instrText>
        </w:r>
        <w:r w:rsidR="00DA2B90">
          <w:rPr>
            <w:noProof/>
            <w:webHidden/>
          </w:rPr>
        </w:r>
        <w:r w:rsidR="00DA2B90">
          <w:rPr>
            <w:noProof/>
            <w:webHidden/>
          </w:rPr>
          <w:fldChar w:fldCharType="separate"/>
        </w:r>
        <w:r>
          <w:rPr>
            <w:noProof/>
            <w:webHidden/>
          </w:rPr>
          <w:t>242</w:t>
        </w:r>
        <w:r w:rsidR="00DA2B90">
          <w:rPr>
            <w:noProof/>
            <w:webHidden/>
          </w:rPr>
          <w:fldChar w:fldCharType="end"/>
        </w:r>
      </w:hyperlink>
    </w:p>
    <w:p w14:paraId="496DF392" w14:textId="6090C990" w:rsidR="00DA2B90" w:rsidRDefault="00D2215B">
      <w:pPr>
        <w:pStyle w:val="TOC3"/>
        <w:rPr>
          <w:rFonts w:asciiTheme="minorHAnsi" w:eastAsiaTheme="minorEastAsia" w:hAnsiTheme="minorHAnsi" w:cstheme="minorBidi"/>
          <w:noProof/>
          <w:sz w:val="22"/>
          <w:szCs w:val="22"/>
          <w:lang w:eastAsia="en-NZ"/>
        </w:rPr>
      </w:pPr>
      <w:hyperlink w:anchor="_Toc19101984" w:history="1">
        <w:r w:rsidR="00DA2B90" w:rsidRPr="00AC13B1">
          <w:rPr>
            <w:rStyle w:val="Hyperlink"/>
            <w:noProof/>
          </w:rPr>
          <w:t>Figure 133: Overweight, 15+ years, by gender, Māori and non</w:t>
        </w:r>
        <w:r w:rsidR="00DA2B90" w:rsidRPr="00AC13B1">
          <w:rPr>
            <w:rStyle w:val="Hyperlink"/>
            <w:noProof/>
          </w:rPr>
          <w:noBreakHyphen/>
          <w:t>Māori non</w:t>
        </w:r>
        <w:r w:rsidR="00DA2B90" w:rsidRPr="00AC13B1">
          <w:rPr>
            <w:rStyle w:val="Hyperlink"/>
            <w:noProof/>
          </w:rPr>
          <w:noBreakHyphen/>
          <w:t>Pacific, 2006/07–2016/17</w:t>
        </w:r>
        <w:r w:rsidR="00DA2B90">
          <w:rPr>
            <w:noProof/>
            <w:webHidden/>
          </w:rPr>
          <w:tab/>
        </w:r>
        <w:r w:rsidR="00DA2B90">
          <w:rPr>
            <w:noProof/>
            <w:webHidden/>
          </w:rPr>
          <w:fldChar w:fldCharType="begin"/>
        </w:r>
        <w:r w:rsidR="00DA2B90">
          <w:rPr>
            <w:noProof/>
            <w:webHidden/>
          </w:rPr>
          <w:instrText xml:space="preserve"> PAGEREF _Toc19101984 \h </w:instrText>
        </w:r>
        <w:r w:rsidR="00DA2B90">
          <w:rPr>
            <w:noProof/>
            <w:webHidden/>
          </w:rPr>
        </w:r>
        <w:r w:rsidR="00DA2B90">
          <w:rPr>
            <w:noProof/>
            <w:webHidden/>
          </w:rPr>
          <w:fldChar w:fldCharType="separate"/>
        </w:r>
        <w:r>
          <w:rPr>
            <w:noProof/>
            <w:webHidden/>
          </w:rPr>
          <w:t>263</w:t>
        </w:r>
        <w:r w:rsidR="00DA2B90">
          <w:rPr>
            <w:noProof/>
            <w:webHidden/>
          </w:rPr>
          <w:fldChar w:fldCharType="end"/>
        </w:r>
      </w:hyperlink>
    </w:p>
    <w:p w14:paraId="1A260FF8" w14:textId="451D15BD" w:rsidR="00DA2B90" w:rsidRDefault="00D2215B">
      <w:pPr>
        <w:pStyle w:val="TOC3"/>
        <w:rPr>
          <w:rFonts w:asciiTheme="minorHAnsi" w:eastAsiaTheme="minorEastAsia" w:hAnsiTheme="minorHAnsi" w:cstheme="minorBidi"/>
          <w:noProof/>
          <w:sz w:val="22"/>
          <w:szCs w:val="22"/>
          <w:lang w:eastAsia="en-NZ"/>
        </w:rPr>
      </w:pPr>
      <w:hyperlink w:anchor="_Toc19101985" w:history="1">
        <w:r w:rsidR="00DA2B90" w:rsidRPr="00AC13B1">
          <w:rPr>
            <w:rStyle w:val="Hyperlink"/>
            <w:noProof/>
          </w:rPr>
          <w:t>Figure 134: Obese, 15+ years, by gender, Māori and non</w:t>
        </w:r>
        <w:r w:rsidR="00DA2B90" w:rsidRPr="00AC13B1">
          <w:rPr>
            <w:rStyle w:val="Hyperlink"/>
            <w:noProof/>
          </w:rPr>
          <w:noBreakHyphen/>
          <w:t>Māori non</w:t>
        </w:r>
        <w:r w:rsidR="00DA2B90" w:rsidRPr="00AC13B1">
          <w:rPr>
            <w:rStyle w:val="Hyperlink"/>
            <w:noProof/>
          </w:rPr>
          <w:noBreakHyphen/>
          <w:t>Pacific, 2006/07–2016/17</w:t>
        </w:r>
        <w:r w:rsidR="00DA2B90">
          <w:rPr>
            <w:noProof/>
            <w:webHidden/>
          </w:rPr>
          <w:tab/>
        </w:r>
        <w:r w:rsidR="00DA2B90">
          <w:rPr>
            <w:noProof/>
            <w:webHidden/>
          </w:rPr>
          <w:fldChar w:fldCharType="begin"/>
        </w:r>
        <w:r w:rsidR="00DA2B90">
          <w:rPr>
            <w:noProof/>
            <w:webHidden/>
          </w:rPr>
          <w:instrText xml:space="preserve"> PAGEREF _Toc19101985 \h </w:instrText>
        </w:r>
        <w:r w:rsidR="00DA2B90">
          <w:rPr>
            <w:noProof/>
            <w:webHidden/>
          </w:rPr>
        </w:r>
        <w:r w:rsidR="00DA2B90">
          <w:rPr>
            <w:noProof/>
            <w:webHidden/>
          </w:rPr>
          <w:fldChar w:fldCharType="separate"/>
        </w:r>
        <w:r>
          <w:rPr>
            <w:noProof/>
            <w:webHidden/>
          </w:rPr>
          <w:t>264</w:t>
        </w:r>
        <w:r w:rsidR="00DA2B90">
          <w:rPr>
            <w:noProof/>
            <w:webHidden/>
          </w:rPr>
          <w:fldChar w:fldCharType="end"/>
        </w:r>
      </w:hyperlink>
    </w:p>
    <w:p w14:paraId="413F4E19" w14:textId="7C5B2006" w:rsidR="00DA2B90" w:rsidRDefault="00D2215B">
      <w:pPr>
        <w:pStyle w:val="TOC3"/>
        <w:rPr>
          <w:rFonts w:asciiTheme="minorHAnsi" w:eastAsiaTheme="minorEastAsia" w:hAnsiTheme="minorHAnsi" w:cstheme="minorBidi"/>
          <w:noProof/>
          <w:sz w:val="22"/>
          <w:szCs w:val="22"/>
          <w:lang w:eastAsia="en-NZ"/>
        </w:rPr>
      </w:pPr>
      <w:hyperlink w:anchor="_Toc19101986" w:history="1">
        <w:r w:rsidR="00DA2B90" w:rsidRPr="00AC13B1">
          <w:rPr>
            <w:rStyle w:val="Hyperlink"/>
            <w:noProof/>
          </w:rPr>
          <w:t>Figure 135: Obes</w:t>
        </w:r>
        <w:r w:rsidR="00DA2B90" w:rsidRPr="00AC13B1">
          <w:rPr>
            <w:rStyle w:val="Hyperlink"/>
            <w:noProof/>
          </w:rPr>
          <w:t>e</w:t>
        </w:r>
        <w:r w:rsidR="00DA2B90" w:rsidRPr="00AC13B1">
          <w:rPr>
            <w:rStyle w:val="Hyperlink"/>
            <w:noProof/>
          </w:rPr>
          <w:t>, 2–14 years, by gender, Māori and non</w:t>
        </w:r>
        <w:r w:rsidR="00DA2B90" w:rsidRPr="00AC13B1">
          <w:rPr>
            <w:rStyle w:val="Hyperlink"/>
            <w:noProof/>
          </w:rPr>
          <w:noBreakHyphen/>
          <w:t>Māori non</w:t>
        </w:r>
        <w:r w:rsidR="00DA2B90" w:rsidRPr="00AC13B1">
          <w:rPr>
            <w:rStyle w:val="Hyperlink"/>
            <w:noProof/>
          </w:rPr>
          <w:noBreakHyphen/>
          <w:t>Pacific, 2006/07–2016/17</w:t>
        </w:r>
        <w:r w:rsidR="00DA2B90">
          <w:rPr>
            <w:noProof/>
            <w:webHidden/>
          </w:rPr>
          <w:tab/>
        </w:r>
        <w:r w:rsidR="00DA2B90">
          <w:rPr>
            <w:noProof/>
            <w:webHidden/>
          </w:rPr>
          <w:fldChar w:fldCharType="begin"/>
        </w:r>
        <w:r w:rsidR="00DA2B90">
          <w:rPr>
            <w:noProof/>
            <w:webHidden/>
          </w:rPr>
          <w:instrText xml:space="preserve"> PAGEREF _Toc19101986 \h </w:instrText>
        </w:r>
        <w:r w:rsidR="00DA2B90">
          <w:rPr>
            <w:noProof/>
            <w:webHidden/>
          </w:rPr>
        </w:r>
        <w:r w:rsidR="00DA2B90">
          <w:rPr>
            <w:noProof/>
            <w:webHidden/>
          </w:rPr>
          <w:fldChar w:fldCharType="separate"/>
        </w:r>
        <w:r>
          <w:rPr>
            <w:noProof/>
            <w:webHidden/>
          </w:rPr>
          <w:t>265</w:t>
        </w:r>
        <w:r w:rsidR="00DA2B90">
          <w:rPr>
            <w:noProof/>
            <w:webHidden/>
          </w:rPr>
          <w:fldChar w:fldCharType="end"/>
        </w:r>
      </w:hyperlink>
    </w:p>
    <w:p w14:paraId="34A3E6FB" w14:textId="47A3A45A" w:rsidR="00DA2B90" w:rsidRDefault="00D2215B">
      <w:pPr>
        <w:pStyle w:val="TOC3"/>
        <w:rPr>
          <w:rFonts w:asciiTheme="minorHAnsi" w:eastAsiaTheme="minorEastAsia" w:hAnsiTheme="minorHAnsi" w:cstheme="minorBidi"/>
          <w:noProof/>
          <w:sz w:val="22"/>
          <w:szCs w:val="22"/>
          <w:lang w:eastAsia="en-NZ"/>
        </w:rPr>
      </w:pPr>
      <w:hyperlink w:anchor="_Toc19101987" w:history="1">
        <w:r w:rsidR="00DA2B90" w:rsidRPr="00AC13B1">
          <w:rPr>
            <w:rStyle w:val="Hyperlink"/>
            <w:noProof/>
          </w:rPr>
          <w:t>Figure 136: Chronic rheumatic heart disease mortality rates, 15+ years, by gender, Māori and non</w:t>
        </w:r>
        <w:r w:rsidR="00DA2B90" w:rsidRPr="00AC13B1">
          <w:rPr>
            <w:rStyle w:val="Hyperlink"/>
            <w:noProof/>
          </w:rPr>
          <w:noBreakHyphen/>
          <w:t>Māori non</w:t>
        </w:r>
        <w:r w:rsidR="00DA2B90" w:rsidRPr="00AC13B1">
          <w:rPr>
            <w:rStyle w:val="Hyperlink"/>
            <w:noProof/>
          </w:rPr>
          <w:noBreakHyphen/>
          <w:t>Pacific, 2001–03 to 2011–13</w:t>
        </w:r>
        <w:r w:rsidR="00DA2B90">
          <w:rPr>
            <w:noProof/>
            <w:webHidden/>
          </w:rPr>
          <w:tab/>
        </w:r>
        <w:r w:rsidR="00DA2B90">
          <w:rPr>
            <w:noProof/>
            <w:webHidden/>
          </w:rPr>
          <w:fldChar w:fldCharType="begin"/>
        </w:r>
        <w:r w:rsidR="00DA2B90">
          <w:rPr>
            <w:noProof/>
            <w:webHidden/>
          </w:rPr>
          <w:instrText xml:space="preserve"> PAGEREF _Toc19101987 \h </w:instrText>
        </w:r>
        <w:r w:rsidR="00DA2B90">
          <w:rPr>
            <w:noProof/>
            <w:webHidden/>
          </w:rPr>
        </w:r>
        <w:r w:rsidR="00DA2B90">
          <w:rPr>
            <w:noProof/>
            <w:webHidden/>
          </w:rPr>
          <w:fldChar w:fldCharType="separate"/>
        </w:r>
        <w:r>
          <w:rPr>
            <w:noProof/>
            <w:webHidden/>
          </w:rPr>
          <w:t>267</w:t>
        </w:r>
        <w:r w:rsidR="00DA2B90">
          <w:rPr>
            <w:noProof/>
            <w:webHidden/>
          </w:rPr>
          <w:fldChar w:fldCharType="end"/>
        </w:r>
      </w:hyperlink>
    </w:p>
    <w:p w14:paraId="0EE0F31E" w14:textId="4AE35A77" w:rsidR="00DA2B90" w:rsidRDefault="00D2215B">
      <w:pPr>
        <w:pStyle w:val="TOC3"/>
        <w:rPr>
          <w:rFonts w:asciiTheme="minorHAnsi" w:eastAsiaTheme="minorEastAsia" w:hAnsiTheme="minorHAnsi" w:cstheme="minorBidi"/>
          <w:noProof/>
          <w:sz w:val="22"/>
          <w:szCs w:val="22"/>
          <w:lang w:eastAsia="en-NZ"/>
        </w:rPr>
      </w:pPr>
      <w:hyperlink w:anchor="_Toc19101988" w:history="1">
        <w:r w:rsidR="00DA2B90" w:rsidRPr="00AC13B1">
          <w:rPr>
            <w:rStyle w:val="Hyperlink"/>
            <w:noProof/>
          </w:rPr>
          <w:t>Figure 137: Chronic rheumatic heart disease hospitalisation rates, 15+ years, by gender, Māori and non</w:t>
        </w:r>
        <w:r w:rsidR="00DA2B90" w:rsidRPr="00AC13B1">
          <w:rPr>
            <w:rStyle w:val="Hyperlink"/>
            <w:noProof/>
          </w:rPr>
          <w:noBreakHyphen/>
          <w:t>Māori non</w:t>
        </w:r>
        <w:r w:rsidR="00DA2B90" w:rsidRPr="00AC13B1">
          <w:rPr>
            <w:rStyle w:val="Hyperlink"/>
            <w:noProof/>
          </w:rPr>
          <w:noBreakHyphen/>
          <w:t>Pacific, 2001–03 to 2011–13</w:t>
        </w:r>
        <w:r w:rsidR="00DA2B90">
          <w:rPr>
            <w:noProof/>
            <w:webHidden/>
          </w:rPr>
          <w:tab/>
        </w:r>
        <w:r w:rsidR="00DA2B90">
          <w:rPr>
            <w:noProof/>
            <w:webHidden/>
          </w:rPr>
          <w:fldChar w:fldCharType="begin"/>
        </w:r>
        <w:r w:rsidR="00DA2B90">
          <w:rPr>
            <w:noProof/>
            <w:webHidden/>
          </w:rPr>
          <w:instrText xml:space="preserve"> PAGEREF _Toc19101988 \h </w:instrText>
        </w:r>
        <w:r w:rsidR="00DA2B90">
          <w:rPr>
            <w:noProof/>
            <w:webHidden/>
          </w:rPr>
        </w:r>
        <w:r w:rsidR="00DA2B90">
          <w:rPr>
            <w:noProof/>
            <w:webHidden/>
          </w:rPr>
          <w:fldChar w:fldCharType="separate"/>
        </w:r>
        <w:r>
          <w:rPr>
            <w:noProof/>
            <w:webHidden/>
          </w:rPr>
          <w:t>269</w:t>
        </w:r>
        <w:r w:rsidR="00DA2B90">
          <w:rPr>
            <w:noProof/>
            <w:webHidden/>
          </w:rPr>
          <w:fldChar w:fldCharType="end"/>
        </w:r>
      </w:hyperlink>
    </w:p>
    <w:p w14:paraId="66DB87C2" w14:textId="4CD29BDA" w:rsidR="00DA2B90" w:rsidRDefault="00D2215B">
      <w:pPr>
        <w:pStyle w:val="TOC3"/>
        <w:rPr>
          <w:rFonts w:asciiTheme="minorHAnsi" w:eastAsiaTheme="minorEastAsia" w:hAnsiTheme="minorHAnsi" w:cstheme="minorBidi"/>
          <w:noProof/>
          <w:sz w:val="22"/>
          <w:szCs w:val="22"/>
          <w:lang w:eastAsia="en-NZ"/>
        </w:rPr>
      </w:pPr>
      <w:hyperlink w:anchor="_Toc19101989" w:history="1">
        <w:r w:rsidR="00DA2B90" w:rsidRPr="00AC13B1">
          <w:rPr>
            <w:rStyle w:val="Hyperlink"/>
            <w:noProof/>
          </w:rPr>
          <w:t>Figure 138: All revascularisation (coronary artery bypass graft (CARB) and angioplasty) heart disease procedure rates, 35+ years, by gender, Māori and non</w:t>
        </w:r>
        <w:r w:rsidR="00DA2B90" w:rsidRPr="00AC13B1">
          <w:rPr>
            <w:rStyle w:val="Hyperlink"/>
            <w:noProof/>
          </w:rPr>
          <w:noBreakHyphen/>
          <w:t>Māori non</w:t>
        </w:r>
        <w:r w:rsidR="00DA2B90" w:rsidRPr="00AC13B1">
          <w:rPr>
            <w:rStyle w:val="Hyperlink"/>
            <w:noProof/>
          </w:rPr>
          <w:noBreakHyphen/>
          <w:t>Pacific, 2001–03 to 2011–13</w:t>
        </w:r>
        <w:r w:rsidR="00DA2B90">
          <w:rPr>
            <w:noProof/>
            <w:webHidden/>
          </w:rPr>
          <w:tab/>
        </w:r>
        <w:r w:rsidR="00DA2B90">
          <w:rPr>
            <w:noProof/>
            <w:webHidden/>
          </w:rPr>
          <w:fldChar w:fldCharType="begin"/>
        </w:r>
        <w:r w:rsidR="00DA2B90">
          <w:rPr>
            <w:noProof/>
            <w:webHidden/>
          </w:rPr>
          <w:instrText xml:space="preserve"> PAGEREF _Toc19101989 \h </w:instrText>
        </w:r>
        <w:r w:rsidR="00DA2B90">
          <w:rPr>
            <w:noProof/>
            <w:webHidden/>
          </w:rPr>
        </w:r>
        <w:r w:rsidR="00DA2B90">
          <w:rPr>
            <w:noProof/>
            <w:webHidden/>
          </w:rPr>
          <w:fldChar w:fldCharType="separate"/>
        </w:r>
        <w:r>
          <w:rPr>
            <w:noProof/>
            <w:webHidden/>
          </w:rPr>
          <w:t>271</w:t>
        </w:r>
        <w:r w:rsidR="00DA2B90">
          <w:rPr>
            <w:noProof/>
            <w:webHidden/>
          </w:rPr>
          <w:fldChar w:fldCharType="end"/>
        </w:r>
      </w:hyperlink>
    </w:p>
    <w:p w14:paraId="0EF410B8" w14:textId="2FCCA72F" w:rsidR="00DA2B90" w:rsidRDefault="00D2215B">
      <w:pPr>
        <w:pStyle w:val="TOC3"/>
        <w:rPr>
          <w:rFonts w:asciiTheme="minorHAnsi" w:eastAsiaTheme="minorEastAsia" w:hAnsiTheme="minorHAnsi" w:cstheme="minorBidi"/>
          <w:noProof/>
          <w:sz w:val="22"/>
          <w:szCs w:val="22"/>
          <w:lang w:eastAsia="en-NZ"/>
        </w:rPr>
      </w:pPr>
      <w:hyperlink w:anchor="_Toc19101990" w:history="1">
        <w:r w:rsidR="00DA2B90" w:rsidRPr="00AC13B1">
          <w:rPr>
            <w:rStyle w:val="Hyperlink"/>
            <w:noProof/>
          </w:rPr>
          <w:t>Figure 139: All coronary angioplasty procedure (percutaneous) rates, 35+ years, by gender, Māori and non</w:t>
        </w:r>
        <w:r w:rsidR="00DA2B90" w:rsidRPr="00AC13B1">
          <w:rPr>
            <w:rStyle w:val="Hyperlink"/>
            <w:noProof/>
          </w:rPr>
          <w:noBreakHyphen/>
          <w:t>Māori non</w:t>
        </w:r>
        <w:r w:rsidR="00DA2B90" w:rsidRPr="00AC13B1">
          <w:rPr>
            <w:rStyle w:val="Hyperlink"/>
            <w:noProof/>
          </w:rPr>
          <w:noBreakHyphen/>
          <w:t>Pacific, 2001–03 to 2011–13</w:t>
        </w:r>
        <w:r w:rsidR="00DA2B90">
          <w:rPr>
            <w:noProof/>
            <w:webHidden/>
          </w:rPr>
          <w:tab/>
        </w:r>
        <w:r w:rsidR="00DA2B90">
          <w:rPr>
            <w:noProof/>
            <w:webHidden/>
          </w:rPr>
          <w:fldChar w:fldCharType="begin"/>
        </w:r>
        <w:r w:rsidR="00DA2B90">
          <w:rPr>
            <w:noProof/>
            <w:webHidden/>
          </w:rPr>
          <w:instrText xml:space="preserve"> PAGEREF _Toc19101990 \h </w:instrText>
        </w:r>
        <w:r w:rsidR="00DA2B90">
          <w:rPr>
            <w:noProof/>
            <w:webHidden/>
          </w:rPr>
        </w:r>
        <w:r w:rsidR="00DA2B90">
          <w:rPr>
            <w:noProof/>
            <w:webHidden/>
          </w:rPr>
          <w:fldChar w:fldCharType="separate"/>
        </w:r>
        <w:r>
          <w:rPr>
            <w:noProof/>
            <w:webHidden/>
          </w:rPr>
          <w:t>273</w:t>
        </w:r>
        <w:r w:rsidR="00DA2B90">
          <w:rPr>
            <w:noProof/>
            <w:webHidden/>
          </w:rPr>
          <w:fldChar w:fldCharType="end"/>
        </w:r>
      </w:hyperlink>
    </w:p>
    <w:p w14:paraId="44322442" w14:textId="1A9B33F2" w:rsidR="00DA2B90" w:rsidRDefault="00D2215B">
      <w:pPr>
        <w:pStyle w:val="TOC3"/>
        <w:rPr>
          <w:rFonts w:asciiTheme="minorHAnsi" w:eastAsiaTheme="minorEastAsia" w:hAnsiTheme="minorHAnsi" w:cstheme="minorBidi"/>
          <w:noProof/>
          <w:sz w:val="22"/>
          <w:szCs w:val="22"/>
          <w:lang w:eastAsia="en-NZ"/>
        </w:rPr>
      </w:pPr>
      <w:hyperlink w:anchor="_Toc19101991" w:history="1">
        <w:r w:rsidR="00DA2B90" w:rsidRPr="00AC13B1">
          <w:rPr>
            <w:rStyle w:val="Hyperlink"/>
            <w:noProof/>
          </w:rPr>
          <w:t>Figure 140: Total cancer registration rates, 25+ years, Māori and non</w:t>
        </w:r>
        <w:r w:rsidR="00DA2B90" w:rsidRPr="00AC13B1">
          <w:rPr>
            <w:rStyle w:val="Hyperlink"/>
            <w:noProof/>
          </w:rPr>
          <w:noBreakHyphen/>
          <w:t>Māori non</w:t>
        </w:r>
        <w:r w:rsidR="00DA2B90" w:rsidRPr="00AC13B1">
          <w:rPr>
            <w:rStyle w:val="Hyperlink"/>
            <w:noProof/>
          </w:rPr>
          <w:noBreakHyphen/>
          <w:t>Pacific males, 2001–03 to 2011–13</w:t>
        </w:r>
        <w:r w:rsidR="00DA2B90">
          <w:rPr>
            <w:noProof/>
            <w:webHidden/>
          </w:rPr>
          <w:tab/>
        </w:r>
        <w:r w:rsidR="00DA2B90">
          <w:rPr>
            <w:noProof/>
            <w:webHidden/>
          </w:rPr>
          <w:fldChar w:fldCharType="begin"/>
        </w:r>
        <w:r w:rsidR="00DA2B90">
          <w:rPr>
            <w:noProof/>
            <w:webHidden/>
          </w:rPr>
          <w:instrText xml:space="preserve"> PAGEREF _Toc19101991 \h </w:instrText>
        </w:r>
        <w:r w:rsidR="00DA2B90">
          <w:rPr>
            <w:noProof/>
            <w:webHidden/>
          </w:rPr>
        </w:r>
        <w:r w:rsidR="00DA2B90">
          <w:rPr>
            <w:noProof/>
            <w:webHidden/>
          </w:rPr>
          <w:fldChar w:fldCharType="separate"/>
        </w:r>
        <w:r>
          <w:rPr>
            <w:noProof/>
            <w:webHidden/>
          </w:rPr>
          <w:t>276</w:t>
        </w:r>
        <w:r w:rsidR="00DA2B90">
          <w:rPr>
            <w:noProof/>
            <w:webHidden/>
          </w:rPr>
          <w:fldChar w:fldCharType="end"/>
        </w:r>
      </w:hyperlink>
    </w:p>
    <w:p w14:paraId="52A5C168" w14:textId="46C98BB9" w:rsidR="00DA2B90" w:rsidRDefault="00D2215B">
      <w:pPr>
        <w:pStyle w:val="TOC3"/>
        <w:rPr>
          <w:rFonts w:asciiTheme="minorHAnsi" w:eastAsiaTheme="minorEastAsia" w:hAnsiTheme="minorHAnsi" w:cstheme="minorBidi"/>
          <w:noProof/>
          <w:sz w:val="22"/>
          <w:szCs w:val="22"/>
          <w:lang w:eastAsia="en-NZ"/>
        </w:rPr>
      </w:pPr>
      <w:hyperlink w:anchor="_Toc19101992" w:history="1">
        <w:r w:rsidR="00DA2B90" w:rsidRPr="00AC13B1">
          <w:rPr>
            <w:rStyle w:val="Hyperlink"/>
            <w:noProof/>
          </w:rPr>
          <w:t>Figure 141: Total cancer registration rates, 25+ years, Māori and non</w:t>
        </w:r>
        <w:r w:rsidR="00DA2B90" w:rsidRPr="00AC13B1">
          <w:rPr>
            <w:rStyle w:val="Hyperlink"/>
            <w:noProof/>
          </w:rPr>
          <w:noBreakHyphen/>
          <w:t>Māori non</w:t>
        </w:r>
        <w:r w:rsidR="00DA2B90" w:rsidRPr="00AC13B1">
          <w:rPr>
            <w:rStyle w:val="Hyperlink"/>
            <w:noProof/>
          </w:rPr>
          <w:noBreakHyphen/>
          <w:t>Pacific females, 2001–03 to 2011–13</w:t>
        </w:r>
        <w:r w:rsidR="00DA2B90">
          <w:rPr>
            <w:noProof/>
            <w:webHidden/>
          </w:rPr>
          <w:tab/>
        </w:r>
        <w:r w:rsidR="00DA2B90">
          <w:rPr>
            <w:noProof/>
            <w:webHidden/>
          </w:rPr>
          <w:fldChar w:fldCharType="begin"/>
        </w:r>
        <w:r w:rsidR="00DA2B90">
          <w:rPr>
            <w:noProof/>
            <w:webHidden/>
          </w:rPr>
          <w:instrText xml:space="preserve"> PAGEREF _Toc19101992 \h </w:instrText>
        </w:r>
        <w:r w:rsidR="00DA2B90">
          <w:rPr>
            <w:noProof/>
            <w:webHidden/>
          </w:rPr>
        </w:r>
        <w:r w:rsidR="00DA2B90">
          <w:rPr>
            <w:noProof/>
            <w:webHidden/>
          </w:rPr>
          <w:fldChar w:fldCharType="separate"/>
        </w:r>
        <w:r>
          <w:rPr>
            <w:noProof/>
            <w:webHidden/>
          </w:rPr>
          <w:t>277</w:t>
        </w:r>
        <w:r w:rsidR="00DA2B90">
          <w:rPr>
            <w:noProof/>
            <w:webHidden/>
          </w:rPr>
          <w:fldChar w:fldCharType="end"/>
        </w:r>
      </w:hyperlink>
    </w:p>
    <w:p w14:paraId="3BF98CEC" w14:textId="1421E089" w:rsidR="00DA2B90" w:rsidRDefault="00D2215B">
      <w:pPr>
        <w:pStyle w:val="TOC3"/>
        <w:rPr>
          <w:rFonts w:asciiTheme="minorHAnsi" w:eastAsiaTheme="minorEastAsia" w:hAnsiTheme="minorHAnsi" w:cstheme="minorBidi"/>
          <w:noProof/>
          <w:sz w:val="22"/>
          <w:szCs w:val="22"/>
          <w:lang w:eastAsia="en-NZ"/>
        </w:rPr>
      </w:pPr>
      <w:hyperlink w:anchor="_Toc19101993" w:history="1">
        <w:r w:rsidR="00DA2B90" w:rsidRPr="00AC13B1">
          <w:rPr>
            <w:rStyle w:val="Hyperlink"/>
            <w:noProof/>
          </w:rPr>
          <w:t>Figure 142: Total cancer mortality rates, 25+ years, Māori and non</w:t>
        </w:r>
        <w:r w:rsidR="00DA2B90" w:rsidRPr="00AC13B1">
          <w:rPr>
            <w:rStyle w:val="Hyperlink"/>
            <w:noProof/>
          </w:rPr>
          <w:noBreakHyphen/>
          <w:t>Māori non</w:t>
        </w:r>
        <w:r w:rsidR="00DA2B90" w:rsidRPr="00AC13B1">
          <w:rPr>
            <w:rStyle w:val="Hyperlink"/>
            <w:noProof/>
          </w:rPr>
          <w:noBreakHyphen/>
          <w:t>Pacific males, 2001–03 to 2011–13</w:t>
        </w:r>
        <w:r w:rsidR="00DA2B90">
          <w:rPr>
            <w:noProof/>
            <w:webHidden/>
          </w:rPr>
          <w:tab/>
        </w:r>
        <w:r w:rsidR="00DA2B90">
          <w:rPr>
            <w:noProof/>
            <w:webHidden/>
          </w:rPr>
          <w:fldChar w:fldCharType="begin"/>
        </w:r>
        <w:r w:rsidR="00DA2B90">
          <w:rPr>
            <w:noProof/>
            <w:webHidden/>
          </w:rPr>
          <w:instrText xml:space="preserve"> PAGEREF _Toc19101993 \h </w:instrText>
        </w:r>
        <w:r w:rsidR="00DA2B90">
          <w:rPr>
            <w:noProof/>
            <w:webHidden/>
          </w:rPr>
        </w:r>
        <w:r w:rsidR="00DA2B90">
          <w:rPr>
            <w:noProof/>
            <w:webHidden/>
          </w:rPr>
          <w:fldChar w:fldCharType="separate"/>
        </w:r>
        <w:r>
          <w:rPr>
            <w:noProof/>
            <w:webHidden/>
          </w:rPr>
          <w:t>279</w:t>
        </w:r>
        <w:r w:rsidR="00DA2B90">
          <w:rPr>
            <w:noProof/>
            <w:webHidden/>
          </w:rPr>
          <w:fldChar w:fldCharType="end"/>
        </w:r>
      </w:hyperlink>
    </w:p>
    <w:p w14:paraId="6FA000EA" w14:textId="547F2198" w:rsidR="00DA2B90" w:rsidRDefault="00D2215B">
      <w:pPr>
        <w:pStyle w:val="TOC3"/>
        <w:rPr>
          <w:rFonts w:asciiTheme="minorHAnsi" w:eastAsiaTheme="minorEastAsia" w:hAnsiTheme="minorHAnsi" w:cstheme="minorBidi"/>
          <w:noProof/>
          <w:sz w:val="22"/>
          <w:szCs w:val="22"/>
          <w:lang w:eastAsia="en-NZ"/>
        </w:rPr>
      </w:pPr>
      <w:hyperlink w:anchor="_Toc19101994" w:history="1">
        <w:r w:rsidR="00DA2B90" w:rsidRPr="00AC13B1">
          <w:rPr>
            <w:rStyle w:val="Hyperlink"/>
            <w:noProof/>
          </w:rPr>
          <w:t>Figure 143: Total cancer mortality rates, 25+ years, Māori and non</w:t>
        </w:r>
        <w:r w:rsidR="00DA2B90" w:rsidRPr="00AC13B1">
          <w:rPr>
            <w:rStyle w:val="Hyperlink"/>
            <w:noProof/>
          </w:rPr>
          <w:noBreakHyphen/>
          <w:t>Māori non</w:t>
        </w:r>
        <w:r w:rsidR="00DA2B90" w:rsidRPr="00AC13B1">
          <w:rPr>
            <w:rStyle w:val="Hyperlink"/>
            <w:noProof/>
          </w:rPr>
          <w:noBreakHyphen/>
          <w:t>Pacific females, 2001–03 to 2011–13</w:t>
        </w:r>
        <w:r w:rsidR="00DA2B90">
          <w:rPr>
            <w:noProof/>
            <w:webHidden/>
          </w:rPr>
          <w:tab/>
        </w:r>
        <w:r w:rsidR="00DA2B90">
          <w:rPr>
            <w:noProof/>
            <w:webHidden/>
          </w:rPr>
          <w:fldChar w:fldCharType="begin"/>
        </w:r>
        <w:r w:rsidR="00DA2B90">
          <w:rPr>
            <w:noProof/>
            <w:webHidden/>
          </w:rPr>
          <w:instrText xml:space="preserve"> PAGEREF _Toc19101994 \h </w:instrText>
        </w:r>
        <w:r w:rsidR="00DA2B90">
          <w:rPr>
            <w:noProof/>
            <w:webHidden/>
          </w:rPr>
        </w:r>
        <w:r w:rsidR="00DA2B90">
          <w:rPr>
            <w:noProof/>
            <w:webHidden/>
          </w:rPr>
          <w:fldChar w:fldCharType="separate"/>
        </w:r>
        <w:r>
          <w:rPr>
            <w:noProof/>
            <w:webHidden/>
          </w:rPr>
          <w:t>280</w:t>
        </w:r>
        <w:r w:rsidR="00DA2B90">
          <w:rPr>
            <w:noProof/>
            <w:webHidden/>
          </w:rPr>
          <w:fldChar w:fldCharType="end"/>
        </w:r>
      </w:hyperlink>
    </w:p>
    <w:p w14:paraId="68500046" w14:textId="14E0626F" w:rsidR="00DA2B90" w:rsidRDefault="00D2215B">
      <w:pPr>
        <w:pStyle w:val="TOC3"/>
        <w:rPr>
          <w:rFonts w:asciiTheme="minorHAnsi" w:eastAsiaTheme="minorEastAsia" w:hAnsiTheme="minorHAnsi" w:cstheme="minorBidi"/>
          <w:noProof/>
          <w:sz w:val="22"/>
          <w:szCs w:val="22"/>
          <w:lang w:eastAsia="en-NZ"/>
        </w:rPr>
      </w:pPr>
      <w:hyperlink w:anchor="_Toc19101995" w:history="1">
        <w:r w:rsidR="00DA2B90" w:rsidRPr="00AC13B1">
          <w:rPr>
            <w:rStyle w:val="Hyperlink"/>
            <w:noProof/>
          </w:rPr>
          <w:t>Figure 144: Lung cancer registration rates, 25+ years, Māori and non</w:t>
        </w:r>
        <w:r w:rsidR="00DA2B90" w:rsidRPr="00AC13B1">
          <w:rPr>
            <w:rStyle w:val="Hyperlink"/>
            <w:noProof/>
          </w:rPr>
          <w:noBreakHyphen/>
          <w:t>Māori non</w:t>
        </w:r>
        <w:r w:rsidR="00DA2B90" w:rsidRPr="00AC13B1">
          <w:rPr>
            <w:rStyle w:val="Hyperlink"/>
            <w:noProof/>
          </w:rPr>
          <w:noBreakHyphen/>
          <w:t>Pacific males, 2001–03 to 2011–13</w:t>
        </w:r>
        <w:r w:rsidR="00DA2B90">
          <w:rPr>
            <w:noProof/>
            <w:webHidden/>
          </w:rPr>
          <w:tab/>
        </w:r>
        <w:r w:rsidR="00DA2B90">
          <w:rPr>
            <w:noProof/>
            <w:webHidden/>
          </w:rPr>
          <w:fldChar w:fldCharType="begin"/>
        </w:r>
        <w:r w:rsidR="00DA2B90">
          <w:rPr>
            <w:noProof/>
            <w:webHidden/>
          </w:rPr>
          <w:instrText xml:space="preserve"> PAGEREF _Toc19101995 \h </w:instrText>
        </w:r>
        <w:r w:rsidR="00DA2B90">
          <w:rPr>
            <w:noProof/>
            <w:webHidden/>
          </w:rPr>
        </w:r>
        <w:r w:rsidR="00DA2B90">
          <w:rPr>
            <w:noProof/>
            <w:webHidden/>
          </w:rPr>
          <w:fldChar w:fldCharType="separate"/>
        </w:r>
        <w:r>
          <w:rPr>
            <w:noProof/>
            <w:webHidden/>
          </w:rPr>
          <w:t>282</w:t>
        </w:r>
        <w:r w:rsidR="00DA2B90">
          <w:rPr>
            <w:noProof/>
            <w:webHidden/>
          </w:rPr>
          <w:fldChar w:fldCharType="end"/>
        </w:r>
      </w:hyperlink>
    </w:p>
    <w:p w14:paraId="60277397" w14:textId="78D32A55" w:rsidR="00DA2B90" w:rsidRDefault="00D2215B">
      <w:pPr>
        <w:pStyle w:val="TOC3"/>
        <w:rPr>
          <w:rFonts w:asciiTheme="minorHAnsi" w:eastAsiaTheme="minorEastAsia" w:hAnsiTheme="minorHAnsi" w:cstheme="minorBidi"/>
          <w:noProof/>
          <w:sz w:val="22"/>
          <w:szCs w:val="22"/>
          <w:lang w:eastAsia="en-NZ"/>
        </w:rPr>
      </w:pPr>
      <w:hyperlink w:anchor="_Toc19101996" w:history="1">
        <w:r w:rsidR="00DA2B90" w:rsidRPr="00AC13B1">
          <w:rPr>
            <w:rStyle w:val="Hyperlink"/>
            <w:noProof/>
          </w:rPr>
          <w:t>Figure 145: Lung cancer registration rates, 25+ years, Māori and non</w:t>
        </w:r>
        <w:r w:rsidR="00DA2B90" w:rsidRPr="00AC13B1">
          <w:rPr>
            <w:rStyle w:val="Hyperlink"/>
            <w:noProof/>
          </w:rPr>
          <w:noBreakHyphen/>
          <w:t>Māori non</w:t>
        </w:r>
        <w:r w:rsidR="00DA2B90" w:rsidRPr="00AC13B1">
          <w:rPr>
            <w:rStyle w:val="Hyperlink"/>
            <w:noProof/>
          </w:rPr>
          <w:noBreakHyphen/>
          <w:t>Pacific females, 2001–03 to 2011–13</w:t>
        </w:r>
        <w:r w:rsidR="00DA2B90">
          <w:rPr>
            <w:noProof/>
            <w:webHidden/>
          </w:rPr>
          <w:tab/>
        </w:r>
        <w:r w:rsidR="00DA2B90">
          <w:rPr>
            <w:noProof/>
            <w:webHidden/>
          </w:rPr>
          <w:fldChar w:fldCharType="begin"/>
        </w:r>
        <w:r w:rsidR="00DA2B90">
          <w:rPr>
            <w:noProof/>
            <w:webHidden/>
          </w:rPr>
          <w:instrText xml:space="preserve"> PAGEREF _Toc19101996 \h </w:instrText>
        </w:r>
        <w:r w:rsidR="00DA2B90">
          <w:rPr>
            <w:noProof/>
            <w:webHidden/>
          </w:rPr>
        </w:r>
        <w:r w:rsidR="00DA2B90">
          <w:rPr>
            <w:noProof/>
            <w:webHidden/>
          </w:rPr>
          <w:fldChar w:fldCharType="separate"/>
        </w:r>
        <w:r>
          <w:rPr>
            <w:noProof/>
            <w:webHidden/>
          </w:rPr>
          <w:t>283</w:t>
        </w:r>
        <w:r w:rsidR="00DA2B90">
          <w:rPr>
            <w:noProof/>
            <w:webHidden/>
          </w:rPr>
          <w:fldChar w:fldCharType="end"/>
        </w:r>
      </w:hyperlink>
    </w:p>
    <w:p w14:paraId="648A52DA" w14:textId="5EF51DFF" w:rsidR="00DA2B90" w:rsidRDefault="00D2215B">
      <w:pPr>
        <w:pStyle w:val="TOC3"/>
        <w:rPr>
          <w:rFonts w:asciiTheme="minorHAnsi" w:eastAsiaTheme="minorEastAsia" w:hAnsiTheme="minorHAnsi" w:cstheme="minorBidi"/>
          <w:noProof/>
          <w:sz w:val="22"/>
          <w:szCs w:val="22"/>
          <w:lang w:eastAsia="en-NZ"/>
        </w:rPr>
      </w:pPr>
      <w:hyperlink w:anchor="_Toc19101997" w:history="1">
        <w:r w:rsidR="00DA2B90" w:rsidRPr="00AC13B1">
          <w:rPr>
            <w:rStyle w:val="Hyperlink"/>
            <w:noProof/>
          </w:rPr>
          <w:t>Figure 146: Lung cancer mortality rates, 25+ years, Māori and non</w:t>
        </w:r>
        <w:r w:rsidR="00DA2B90" w:rsidRPr="00AC13B1">
          <w:rPr>
            <w:rStyle w:val="Hyperlink"/>
            <w:noProof/>
          </w:rPr>
          <w:noBreakHyphen/>
          <w:t>Māori non</w:t>
        </w:r>
        <w:r w:rsidR="00DA2B90" w:rsidRPr="00AC13B1">
          <w:rPr>
            <w:rStyle w:val="Hyperlink"/>
            <w:noProof/>
          </w:rPr>
          <w:noBreakHyphen/>
          <w:t>Pacific males, 2001–03 to 2011–13</w:t>
        </w:r>
        <w:r w:rsidR="00DA2B90">
          <w:rPr>
            <w:noProof/>
            <w:webHidden/>
          </w:rPr>
          <w:tab/>
        </w:r>
        <w:r w:rsidR="00DA2B90">
          <w:rPr>
            <w:noProof/>
            <w:webHidden/>
          </w:rPr>
          <w:fldChar w:fldCharType="begin"/>
        </w:r>
        <w:r w:rsidR="00DA2B90">
          <w:rPr>
            <w:noProof/>
            <w:webHidden/>
          </w:rPr>
          <w:instrText xml:space="preserve"> PAGEREF _Toc19101997 \h </w:instrText>
        </w:r>
        <w:r w:rsidR="00DA2B90">
          <w:rPr>
            <w:noProof/>
            <w:webHidden/>
          </w:rPr>
        </w:r>
        <w:r w:rsidR="00DA2B90">
          <w:rPr>
            <w:noProof/>
            <w:webHidden/>
          </w:rPr>
          <w:fldChar w:fldCharType="separate"/>
        </w:r>
        <w:r>
          <w:rPr>
            <w:noProof/>
            <w:webHidden/>
          </w:rPr>
          <w:t>284</w:t>
        </w:r>
        <w:r w:rsidR="00DA2B90">
          <w:rPr>
            <w:noProof/>
            <w:webHidden/>
          </w:rPr>
          <w:fldChar w:fldCharType="end"/>
        </w:r>
      </w:hyperlink>
    </w:p>
    <w:p w14:paraId="29995DB9" w14:textId="39EE4339" w:rsidR="00DA2B90" w:rsidRDefault="00D2215B">
      <w:pPr>
        <w:pStyle w:val="TOC3"/>
        <w:rPr>
          <w:rFonts w:asciiTheme="minorHAnsi" w:eastAsiaTheme="minorEastAsia" w:hAnsiTheme="minorHAnsi" w:cstheme="minorBidi"/>
          <w:noProof/>
          <w:sz w:val="22"/>
          <w:szCs w:val="22"/>
          <w:lang w:eastAsia="en-NZ"/>
        </w:rPr>
      </w:pPr>
      <w:hyperlink w:anchor="_Toc19101998" w:history="1">
        <w:r w:rsidR="00DA2B90" w:rsidRPr="00AC13B1">
          <w:rPr>
            <w:rStyle w:val="Hyperlink"/>
            <w:noProof/>
          </w:rPr>
          <w:t>Figure 147: Lung cancer mortality rates, 25+ years, Māori and non</w:t>
        </w:r>
        <w:r w:rsidR="00DA2B90" w:rsidRPr="00AC13B1">
          <w:rPr>
            <w:rStyle w:val="Hyperlink"/>
            <w:noProof/>
          </w:rPr>
          <w:noBreakHyphen/>
          <w:t>Māori non</w:t>
        </w:r>
        <w:r w:rsidR="00DA2B90" w:rsidRPr="00AC13B1">
          <w:rPr>
            <w:rStyle w:val="Hyperlink"/>
            <w:noProof/>
          </w:rPr>
          <w:noBreakHyphen/>
          <w:t>Pacific females, 2001–03 to 2011–13</w:t>
        </w:r>
        <w:r w:rsidR="00DA2B90">
          <w:rPr>
            <w:noProof/>
            <w:webHidden/>
          </w:rPr>
          <w:tab/>
        </w:r>
        <w:r w:rsidR="00DA2B90">
          <w:rPr>
            <w:noProof/>
            <w:webHidden/>
          </w:rPr>
          <w:fldChar w:fldCharType="begin"/>
        </w:r>
        <w:r w:rsidR="00DA2B90">
          <w:rPr>
            <w:noProof/>
            <w:webHidden/>
          </w:rPr>
          <w:instrText xml:space="preserve"> PAGEREF _Toc19101998 \h </w:instrText>
        </w:r>
        <w:r w:rsidR="00DA2B90">
          <w:rPr>
            <w:noProof/>
            <w:webHidden/>
          </w:rPr>
        </w:r>
        <w:r w:rsidR="00DA2B90">
          <w:rPr>
            <w:noProof/>
            <w:webHidden/>
          </w:rPr>
          <w:fldChar w:fldCharType="separate"/>
        </w:r>
        <w:r>
          <w:rPr>
            <w:noProof/>
            <w:webHidden/>
          </w:rPr>
          <w:t>285</w:t>
        </w:r>
        <w:r w:rsidR="00DA2B90">
          <w:rPr>
            <w:noProof/>
            <w:webHidden/>
          </w:rPr>
          <w:fldChar w:fldCharType="end"/>
        </w:r>
      </w:hyperlink>
    </w:p>
    <w:p w14:paraId="7BAD4497" w14:textId="0084ED4F" w:rsidR="00DA2B90" w:rsidRDefault="00D2215B">
      <w:pPr>
        <w:pStyle w:val="TOC3"/>
        <w:rPr>
          <w:rFonts w:asciiTheme="minorHAnsi" w:eastAsiaTheme="minorEastAsia" w:hAnsiTheme="minorHAnsi" w:cstheme="minorBidi"/>
          <w:noProof/>
          <w:sz w:val="22"/>
          <w:szCs w:val="22"/>
          <w:lang w:eastAsia="en-NZ"/>
        </w:rPr>
      </w:pPr>
      <w:hyperlink w:anchor="_Toc19101999" w:history="1">
        <w:r w:rsidR="00DA2B90" w:rsidRPr="00AC13B1">
          <w:rPr>
            <w:rStyle w:val="Hyperlink"/>
            <w:noProof/>
          </w:rPr>
          <w:t>Figure 148: Colorectal cancer registration rates, 25+ years, Māori and non</w:t>
        </w:r>
        <w:r w:rsidR="00DA2B90" w:rsidRPr="00AC13B1">
          <w:rPr>
            <w:rStyle w:val="Hyperlink"/>
            <w:noProof/>
          </w:rPr>
          <w:noBreakHyphen/>
          <w:t>Māori non</w:t>
        </w:r>
        <w:r w:rsidR="00DA2B90" w:rsidRPr="00AC13B1">
          <w:rPr>
            <w:rStyle w:val="Hyperlink"/>
            <w:noProof/>
          </w:rPr>
          <w:noBreakHyphen/>
          <w:t>Pacific males, 2001–03 to 2011–13</w:t>
        </w:r>
        <w:r w:rsidR="00DA2B90">
          <w:rPr>
            <w:noProof/>
            <w:webHidden/>
          </w:rPr>
          <w:tab/>
        </w:r>
        <w:r w:rsidR="00DA2B90">
          <w:rPr>
            <w:noProof/>
            <w:webHidden/>
          </w:rPr>
          <w:fldChar w:fldCharType="begin"/>
        </w:r>
        <w:r w:rsidR="00DA2B90">
          <w:rPr>
            <w:noProof/>
            <w:webHidden/>
          </w:rPr>
          <w:instrText xml:space="preserve"> PAGEREF _Toc19101999 \h </w:instrText>
        </w:r>
        <w:r w:rsidR="00DA2B90">
          <w:rPr>
            <w:noProof/>
            <w:webHidden/>
          </w:rPr>
        </w:r>
        <w:r w:rsidR="00DA2B90">
          <w:rPr>
            <w:noProof/>
            <w:webHidden/>
          </w:rPr>
          <w:fldChar w:fldCharType="separate"/>
        </w:r>
        <w:r>
          <w:rPr>
            <w:noProof/>
            <w:webHidden/>
          </w:rPr>
          <w:t>287</w:t>
        </w:r>
        <w:r w:rsidR="00DA2B90">
          <w:rPr>
            <w:noProof/>
            <w:webHidden/>
          </w:rPr>
          <w:fldChar w:fldCharType="end"/>
        </w:r>
      </w:hyperlink>
    </w:p>
    <w:p w14:paraId="412D5283" w14:textId="76CDBBA3" w:rsidR="00DA2B90" w:rsidRDefault="00D2215B">
      <w:pPr>
        <w:pStyle w:val="TOC3"/>
        <w:rPr>
          <w:rFonts w:asciiTheme="minorHAnsi" w:eastAsiaTheme="minorEastAsia" w:hAnsiTheme="minorHAnsi" w:cstheme="minorBidi"/>
          <w:noProof/>
          <w:sz w:val="22"/>
          <w:szCs w:val="22"/>
          <w:lang w:eastAsia="en-NZ"/>
        </w:rPr>
      </w:pPr>
      <w:hyperlink w:anchor="_Toc19102000" w:history="1">
        <w:r w:rsidR="00DA2B90" w:rsidRPr="00AC13B1">
          <w:rPr>
            <w:rStyle w:val="Hyperlink"/>
            <w:noProof/>
          </w:rPr>
          <w:t>Figure 149: Colorectal cancer registration rates, 25+ years, Māori and non</w:t>
        </w:r>
        <w:r w:rsidR="00DA2B90" w:rsidRPr="00AC13B1">
          <w:rPr>
            <w:rStyle w:val="Hyperlink"/>
            <w:noProof/>
          </w:rPr>
          <w:noBreakHyphen/>
          <w:t>Māori non</w:t>
        </w:r>
        <w:r w:rsidR="00DA2B90" w:rsidRPr="00AC13B1">
          <w:rPr>
            <w:rStyle w:val="Hyperlink"/>
            <w:noProof/>
          </w:rPr>
          <w:noBreakHyphen/>
          <w:t>Pacific females, 2001–03 to 2011–13</w:t>
        </w:r>
        <w:r w:rsidR="00DA2B90">
          <w:rPr>
            <w:noProof/>
            <w:webHidden/>
          </w:rPr>
          <w:tab/>
        </w:r>
        <w:r w:rsidR="00DA2B90">
          <w:rPr>
            <w:noProof/>
            <w:webHidden/>
          </w:rPr>
          <w:fldChar w:fldCharType="begin"/>
        </w:r>
        <w:r w:rsidR="00DA2B90">
          <w:rPr>
            <w:noProof/>
            <w:webHidden/>
          </w:rPr>
          <w:instrText xml:space="preserve"> PAGEREF _Toc19102000 \h </w:instrText>
        </w:r>
        <w:r w:rsidR="00DA2B90">
          <w:rPr>
            <w:noProof/>
            <w:webHidden/>
          </w:rPr>
        </w:r>
        <w:r w:rsidR="00DA2B90">
          <w:rPr>
            <w:noProof/>
            <w:webHidden/>
          </w:rPr>
          <w:fldChar w:fldCharType="separate"/>
        </w:r>
        <w:r>
          <w:rPr>
            <w:noProof/>
            <w:webHidden/>
          </w:rPr>
          <w:t>288</w:t>
        </w:r>
        <w:r w:rsidR="00DA2B90">
          <w:rPr>
            <w:noProof/>
            <w:webHidden/>
          </w:rPr>
          <w:fldChar w:fldCharType="end"/>
        </w:r>
      </w:hyperlink>
    </w:p>
    <w:p w14:paraId="02C33699" w14:textId="34873394" w:rsidR="00DA2B90" w:rsidRDefault="00D2215B">
      <w:pPr>
        <w:pStyle w:val="TOC3"/>
        <w:rPr>
          <w:rFonts w:asciiTheme="minorHAnsi" w:eastAsiaTheme="minorEastAsia" w:hAnsiTheme="minorHAnsi" w:cstheme="minorBidi"/>
          <w:noProof/>
          <w:sz w:val="22"/>
          <w:szCs w:val="22"/>
          <w:lang w:eastAsia="en-NZ"/>
        </w:rPr>
      </w:pPr>
      <w:hyperlink w:anchor="_Toc19102001" w:history="1">
        <w:r w:rsidR="00DA2B90" w:rsidRPr="00AC13B1">
          <w:rPr>
            <w:rStyle w:val="Hyperlink"/>
            <w:noProof/>
          </w:rPr>
          <w:t>Figure 150: Colorectal cancer mortality rates, 25+ years, Māori and non</w:t>
        </w:r>
        <w:r w:rsidR="00DA2B90" w:rsidRPr="00AC13B1">
          <w:rPr>
            <w:rStyle w:val="Hyperlink"/>
            <w:noProof/>
          </w:rPr>
          <w:noBreakHyphen/>
          <w:t>Māori non</w:t>
        </w:r>
        <w:r w:rsidR="00DA2B90" w:rsidRPr="00AC13B1">
          <w:rPr>
            <w:rStyle w:val="Hyperlink"/>
            <w:noProof/>
          </w:rPr>
          <w:noBreakHyphen/>
          <w:t>Pacific males, 2001–03 to 2011–13</w:t>
        </w:r>
        <w:r w:rsidR="00DA2B90">
          <w:rPr>
            <w:noProof/>
            <w:webHidden/>
          </w:rPr>
          <w:tab/>
        </w:r>
        <w:r w:rsidR="00DA2B90">
          <w:rPr>
            <w:noProof/>
            <w:webHidden/>
          </w:rPr>
          <w:fldChar w:fldCharType="begin"/>
        </w:r>
        <w:r w:rsidR="00DA2B90">
          <w:rPr>
            <w:noProof/>
            <w:webHidden/>
          </w:rPr>
          <w:instrText xml:space="preserve"> PAGEREF _Toc19102001 \h </w:instrText>
        </w:r>
        <w:r w:rsidR="00DA2B90">
          <w:rPr>
            <w:noProof/>
            <w:webHidden/>
          </w:rPr>
        </w:r>
        <w:r w:rsidR="00DA2B90">
          <w:rPr>
            <w:noProof/>
            <w:webHidden/>
          </w:rPr>
          <w:fldChar w:fldCharType="separate"/>
        </w:r>
        <w:r>
          <w:rPr>
            <w:noProof/>
            <w:webHidden/>
          </w:rPr>
          <w:t>289</w:t>
        </w:r>
        <w:r w:rsidR="00DA2B90">
          <w:rPr>
            <w:noProof/>
            <w:webHidden/>
          </w:rPr>
          <w:fldChar w:fldCharType="end"/>
        </w:r>
      </w:hyperlink>
    </w:p>
    <w:p w14:paraId="1612383E" w14:textId="449ECE86" w:rsidR="00DA2B90" w:rsidRDefault="00D2215B">
      <w:pPr>
        <w:pStyle w:val="TOC3"/>
        <w:rPr>
          <w:rFonts w:asciiTheme="minorHAnsi" w:eastAsiaTheme="minorEastAsia" w:hAnsiTheme="minorHAnsi" w:cstheme="minorBidi"/>
          <w:noProof/>
          <w:sz w:val="22"/>
          <w:szCs w:val="22"/>
          <w:lang w:eastAsia="en-NZ"/>
        </w:rPr>
      </w:pPr>
      <w:hyperlink w:anchor="_Toc19102002" w:history="1">
        <w:r w:rsidR="00DA2B90" w:rsidRPr="00AC13B1">
          <w:rPr>
            <w:rStyle w:val="Hyperlink"/>
            <w:noProof/>
          </w:rPr>
          <w:t>Figure 151: Colorectal cancer mortality rates, 25+ years, Māori and non</w:t>
        </w:r>
        <w:r w:rsidR="00DA2B90" w:rsidRPr="00AC13B1">
          <w:rPr>
            <w:rStyle w:val="Hyperlink"/>
            <w:noProof/>
          </w:rPr>
          <w:noBreakHyphen/>
          <w:t>Māori non</w:t>
        </w:r>
        <w:r w:rsidR="00DA2B90" w:rsidRPr="00AC13B1">
          <w:rPr>
            <w:rStyle w:val="Hyperlink"/>
            <w:noProof/>
          </w:rPr>
          <w:noBreakHyphen/>
          <w:t>Pacific females, 2001–03 to 2011–13</w:t>
        </w:r>
        <w:r w:rsidR="00DA2B90">
          <w:rPr>
            <w:noProof/>
            <w:webHidden/>
          </w:rPr>
          <w:tab/>
        </w:r>
        <w:r w:rsidR="00DA2B90">
          <w:rPr>
            <w:noProof/>
            <w:webHidden/>
          </w:rPr>
          <w:fldChar w:fldCharType="begin"/>
        </w:r>
        <w:r w:rsidR="00DA2B90">
          <w:rPr>
            <w:noProof/>
            <w:webHidden/>
          </w:rPr>
          <w:instrText xml:space="preserve"> PAGEREF _Toc19102002 \h </w:instrText>
        </w:r>
        <w:r w:rsidR="00DA2B90">
          <w:rPr>
            <w:noProof/>
            <w:webHidden/>
          </w:rPr>
        </w:r>
        <w:r w:rsidR="00DA2B90">
          <w:rPr>
            <w:noProof/>
            <w:webHidden/>
          </w:rPr>
          <w:fldChar w:fldCharType="separate"/>
        </w:r>
        <w:r>
          <w:rPr>
            <w:noProof/>
            <w:webHidden/>
          </w:rPr>
          <w:t>290</w:t>
        </w:r>
        <w:r w:rsidR="00DA2B90">
          <w:rPr>
            <w:noProof/>
            <w:webHidden/>
          </w:rPr>
          <w:fldChar w:fldCharType="end"/>
        </w:r>
      </w:hyperlink>
    </w:p>
    <w:p w14:paraId="54045FE4" w14:textId="2C89B8F6" w:rsidR="00DA2B90" w:rsidRDefault="00D2215B">
      <w:pPr>
        <w:pStyle w:val="TOC3"/>
        <w:rPr>
          <w:rFonts w:asciiTheme="minorHAnsi" w:eastAsiaTheme="minorEastAsia" w:hAnsiTheme="minorHAnsi" w:cstheme="minorBidi"/>
          <w:noProof/>
          <w:sz w:val="22"/>
          <w:szCs w:val="22"/>
          <w:lang w:eastAsia="en-NZ"/>
        </w:rPr>
      </w:pPr>
      <w:hyperlink w:anchor="_Toc19102003" w:history="1">
        <w:r w:rsidR="00DA2B90" w:rsidRPr="00AC13B1">
          <w:rPr>
            <w:rStyle w:val="Hyperlink"/>
            <w:noProof/>
          </w:rPr>
          <w:t>Figure 152: Cervical cancer registration rates, 25+ years, Māori and non</w:t>
        </w:r>
        <w:r w:rsidR="00DA2B90" w:rsidRPr="00AC13B1">
          <w:rPr>
            <w:rStyle w:val="Hyperlink"/>
            <w:noProof/>
          </w:rPr>
          <w:noBreakHyphen/>
          <w:t>Māori non</w:t>
        </w:r>
        <w:r w:rsidR="00DA2B90" w:rsidRPr="00AC13B1">
          <w:rPr>
            <w:rStyle w:val="Hyperlink"/>
            <w:noProof/>
          </w:rPr>
          <w:noBreakHyphen/>
          <w:t>Pacific females, 2001–03 to 2011–13</w:t>
        </w:r>
        <w:r w:rsidR="00DA2B90">
          <w:rPr>
            <w:noProof/>
            <w:webHidden/>
          </w:rPr>
          <w:tab/>
        </w:r>
        <w:r w:rsidR="00DA2B90">
          <w:rPr>
            <w:noProof/>
            <w:webHidden/>
          </w:rPr>
          <w:fldChar w:fldCharType="begin"/>
        </w:r>
        <w:r w:rsidR="00DA2B90">
          <w:rPr>
            <w:noProof/>
            <w:webHidden/>
          </w:rPr>
          <w:instrText xml:space="preserve"> PAGEREF _Toc19102003 \h </w:instrText>
        </w:r>
        <w:r w:rsidR="00DA2B90">
          <w:rPr>
            <w:noProof/>
            <w:webHidden/>
          </w:rPr>
        </w:r>
        <w:r w:rsidR="00DA2B90">
          <w:rPr>
            <w:noProof/>
            <w:webHidden/>
          </w:rPr>
          <w:fldChar w:fldCharType="separate"/>
        </w:r>
        <w:r>
          <w:rPr>
            <w:noProof/>
            <w:webHidden/>
          </w:rPr>
          <w:t>292</w:t>
        </w:r>
        <w:r w:rsidR="00DA2B90">
          <w:rPr>
            <w:noProof/>
            <w:webHidden/>
          </w:rPr>
          <w:fldChar w:fldCharType="end"/>
        </w:r>
      </w:hyperlink>
    </w:p>
    <w:p w14:paraId="46DF959B" w14:textId="479E7493" w:rsidR="00DA2B90" w:rsidRDefault="00D2215B">
      <w:pPr>
        <w:pStyle w:val="TOC3"/>
        <w:rPr>
          <w:rFonts w:asciiTheme="minorHAnsi" w:eastAsiaTheme="minorEastAsia" w:hAnsiTheme="minorHAnsi" w:cstheme="minorBidi"/>
          <w:noProof/>
          <w:sz w:val="22"/>
          <w:szCs w:val="22"/>
          <w:lang w:eastAsia="en-NZ"/>
        </w:rPr>
      </w:pPr>
      <w:hyperlink w:anchor="_Toc19102004" w:history="1">
        <w:r w:rsidR="00DA2B90" w:rsidRPr="00AC13B1">
          <w:rPr>
            <w:rStyle w:val="Hyperlink"/>
            <w:noProof/>
          </w:rPr>
          <w:t>Figure 153: Cervical cancer mortality rates, 25+ years, Māori and non</w:t>
        </w:r>
        <w:r w:rsidR="00DA2B90" w:rsidRPr="00AC13B1">
          <w:rPr>
            <w:rStyle w:val="Hyperlink"/>
            <w:noProof/>
          </w:rPr>
          <w:noBreakHyphen/>
          <w:t>Māori non</w:t>
        </w:r>
        <w:r w:rsidR="00DA2B90" w:rsidRPr="00AC13B1">
          <w:rPr>
            <w:rStyle w:val="Hyperlink"/>
            <w:noProof/>
          </w:rPr>
          <w:noBreakHyphen/>
          <w:t>Pacific females, 2001–03 to 2011–13</w:t>
        </w:r>
        <w:r w:rsidR="00DA2B90">
          <w:rPr>
            <w:noProof/>
            <w:webHidden/>
          </w:rPr>
          <w:tab/>
        </w:r>
        <w:r w:rsidR="00DA2B90">
          <w:rPr>
            <w:noProof/>
            <w:webHidden/>
          </w:rPr>
          <w:fldChar w:fldCharType="begin"/>
        </w:r>
        <w:r w:rsidR="00DA2B90">
          <w:rPr>
            <w:noProof/>
            <w:webHidden/>
          </w:rPr>
          <w:instrText xml:space="preserve"> PAGEREF _Toc19102004 \h </w:instrText>
        </w:r>
        <w:r w:rsidR="00DA2B90">
          <w:rPr>
            <w:noProof/>
            <w:webHidden/>
          </w:rPr>
        </w:r>
        <w:r w:rsidR="00DA2B90">
          <w:rPr>
            <w:noProof/>
            <w:webHidden/>
          </w:rPr>
          <w:fldChar w:fldCharType="separate"/>
        </w:r>
        <w:r>
          <w:rPr>
            <w:noProof/>
            <w:webHidden/>
          </w:rPr>
          <w:t>293</w:t>
        </w:r>
        <w:r w:rsidR="00DA2B90">
          <w:rPr>
            <w:noProof/>
            <w:webHidden/>
          </w:rPr>
          <w:fldChar w:fldCharType="end"/>
        </w:r>
      </w:hyperlink>
    </w:p>
    <w:p w14:paraId="0A7B24BE" w14:textId="69C72F94" w:rsidR="00DA2B90" w:rsidRDefault="00D2215B">
      <w:pPr>
        <w:pStyle w:val="TOC3"/>
        <w:rPr>
          <w:rFonts w:asciiTheme="minorHAnsi" w:eastAsiaTheme="minorEastAsia" w:hAnsiTheme="minorHAnsi" w:cstheme="minorBidi"/>
          <w:noProof/>
          <w:sz w:val="22"/>
          <w:szCs w:val="22"/>
          <w:lang w:eastAsia="en-NZ"/>
        </w:rPr>
      </w:pPr>
      <w:hyperlink w:anchor="_Toc19102005" w:history="1">
        <w:r w:rsidR="00DA2B90" w:rsidRPr="00AC13B1">
          <w:rPr>
            <w:rStyle w:val="Hyperlink"/>
            <w:noProof/>
          </w:rPr>
          <w:t>Figure 154: Breast cancer registration rates, 25+ years, Māori and non</w:t>
        </w:r>
        <w:r w:rsidR="00DA2B90" w:rsidRPr="00AC13B1">
          <w:rPr>
            <w:rStyle w:val="Hyperlink"/>
            <w:noProof/>
          </w:rPr>
          <w:noBreakHyphen/>
          <w:t>Māori non</w:t>
        </w:r>
        <w:r w:rsidR="00DA2B90" w:rsidRPr="00AC13B1">
          <w:rPr>
            <w:rStyle w:val="Hyperlink"/>
            <w:noProof/>
          </w:rPr>
          <w:noBreakHyphen/>
          <w:t>Pacific females, 2001–03 to 2011–13</w:t>
        </w:r>
        <w:r w:rsidR="00DA2B90">
          <w:rPr>
            <w:noProof/>
            <w:webHidden/>
          </w:rPr>
          <w:tab/>
        </w:r>
        <w:r w:rsidR="00DA2B90">
          <w:rPr>
            <w:noProof/>
            <w:webHidden/>
          </w:rPr>
          <w:fldChar w:fldCharType="begin"/>
        </w:r>
        <w:r w:rsidR="00DA2B90">
          <w:rPr>
            <w:noProof/>
            <w:webHidden/>
          </w:rPr>
          <w:instrText xml:space="preserve"> PAGEREF _Toc19102005 \h </w:instrText>
        </w:r>
        <w:r w:rsidR="00DA2B90">
          <w:rPr>
            <w:noProof/>
            <w:webHidden/>
          </w:rPr>
        </w:r>
        <w:r w:rsidR="00DA2B90">
          <w:rPr>
            <w:noProof/>
            <w:webHidden/>
          </w:rPr>
          <w:fldChar w:fldCharType="separate"/>
        </w:r>
        <w:r>
          <w:rPr>
            <w:noProof/>
            <w:webHidden/>
          </w:rPr>
          <w:t>295</w:t>
        </w:r>
        <w:r w:rsidR="00DA2B90">
          <w:rPr>
            <w:noProof/>
            <w:webHidden/>
          </w:rPr>
          <w:fldChar w:fldCharType="end"/>
        </w:r>
      </w:hyperlink>
    </w:p>
    <w:p w14:paraId="313D40CD" w14:textId="583A843E" w:rsidR="00DA2B90" w:rsidRDefault="00D2215B">
      <w:pPr>
        <w:pStyle w:val="TOC3"/>
        <w:rPr>
          <w:rFonts w:asciiTheme="minorHAnsi" w:eastAsiaTheme="minorEastAsia" w:hAnsiTheme="minorHAnsi" w:cstheme="minorBidi"/>
          <w:noProof/>
          <w:sz w:val="22"/>
          <w:szCs w:val="22"/>
          <w:lang w:eastAsia="en-NZ"/>
        </w:rPr>
      </w:pPr>
      <w:hyperlink w:anchor="_Toc19102006" w:history="1">
        <w:r w:rsidR="00DA2B90" w:rsidRPr="00AC13B1">
          <w:rPr>
            <w:rStyle w:val="Hyperlink"/>
            <w:noProof/>
          </w:rPr>
          <w:t>Figure 155: Breast cancer mortality rate, Māori and non</w:t>
        </w:r>
        <w:r w:rsidR="00DA2B90" w:rsidRPr="00AC13B1">
          <w:rPr>
            <w:rStyle w:val="Hyperlink"/>
            <w:noProof/>
          </w:rPr>
          <w:noBreakHyphen/>
          <w:t>Māori non</w:t>
        </w:r>
        <w:r w:rsidR="00DA2B90" w:rsidRPr="00AC13B1">
          <w:rPr>
            <w:rStyle w:val="Hyperlink"/>
            <w:noProof/>
          </w:rPr>
          <w:noBreakHyphen/>
          <w:t>Pacific females aged 25 years and over, from 2001–03 to 2011–13</w:t>
        </w:r>
        <w:r w:rsidR="00DA2B90">
          <w:rPr>
            <w:noProof/>
            <w:webHidden/>
          </w:rPr>
          <w:tab/>
        </w:r>
        <w:r w:rsidR="00DA2B90">
          <w:rPr>
            <w:noProof/>
            <w:webHidden/>
          </w:rPr>
          <w:fldChar w:fldCharType="begin"/>
        </w:r>
        <w:r w:rsidR="00DA2B90">
          <w:rPr>
            <w:noProof/>
            <w:webHidden/>
          </w:rPr>
          <w:instrText xml:space="preserve"> PAGEREF _Toc19102006 \h </w:instrText>
        </w:r>
        <w:r w:rsidR="00DA2B90">
          <w:rPr>
            <w:noProof/>
            <w:webHidden/>
          </w:rPr>
        </w:r>
        <w:r w:rsidR="00DA2B90">
          <w:rPr>
            <w:noProof/>
            <w:webHidden/>
          </w:rPr>
          <w:fldChar w:fldCharType="separate"/>
        </w:r>
        <w:r>
          <w:rPr>
            <w:noProof/>
            <w:webHidden/>
          </w:rPr>
          <w:t>296</w:t>
        </w:r>
        <w:r w:rsidR="00DA2B90">
          <w:rPr>
            <w:noProof/>
            <w:webHidden/>
          </w:rPr>
          <w:fldChar w:fldCharType="end"/>
        </w:r>
      </w:hyperlink>
    </w:p>
    <w:p w14:paraId="15EBBFA8" w14:textId="346730FB" w:rsidR="00DA2B90" w:rsidRDefault="00D2215B">
      <w:pPr>
        <w:pStyle w:val="TOC3"/>
        <w:rPr>
          <w:rFonts w:asciiTheme="minorHAnsi" w:eastAsiaTheme="minorEastAsia" w:hAnsiTheme="minorHAnsi" w:cstheme="minorBidi"/>
          <w:noProof/>
          <w:sz w:val="22"/>
          <w:szCs w:val="22"/>
          <w:lang w:eastAsia="en-NZ"/>
        </w:rPr>
      </w:pPr>
      <w:hyperlink w:anchor="_Toc19102007" w:history="1">
        <w:r w:rsidR="00DA2B90" w:rsidRPr="00AC13B1">
          <w:rPr>
            <w:rStyle w:val="Hyperlink"/>
            <w:noProof/>
          </w:rPr>
          <w:t>Figure 156: Asthma hospitalisation rates, 5–34 years, by gender, Māori and non</w:t>
        </w:r>
        <w:r w:rsidR="00DA2B90" w:rsidRPr="00AC13B1">
          <w:rPr>
            <w:rStyle w:val="Hyperlink"/>
            <w:noProof/>
          </w:rPr>
          <w:noBreakHyphen/>
          <w:t>Māori non</w:t>
        </w:r>
        <w:r w:rsidR="00DA2B90" w:rsidRPr="00AC13B1">
          <w:rPr>
            <w:rStyle w:val="Hyperlink"/>
            <w:noProof/>
          </w:rPr>
          <w:noBreakHyphen/>
          <w:t>Pacific, 2001–03 to 2011–13</w:t>
        </w:r>
        <w:r w:rsidR="00DA2B90">
          <w:rPr>
            <w:noProof/>
            <w:webHidden/>
          </w:rPr>
          <w:tab/>
        </w:r>
        <w:r w:rsidR="00DA2B90">
          <w:rPr>
            <w:noProof/>
            <w:webHidden/>
          </w:rPr>
          <w:fldChar w:fldCharType="begin"/>
        </w:r>
        <w:r w:rsidR="00DA2B90">
          <w:rPr>
            <w:noProof/>
            <w:webHidden/>
          </w:rPr>
          <w:instrText xml:space="preserve"> PAGEREF _Toc19102007 \h </w:instrText>
        </w:r>
        <w:r w:rsidR="00DA2B90">
          <w:rPr>
            <w:noProof/>
            <w:webHidden/>
          </w:rPr>
        </w:r>
        <w:r w:rsidR="00DA2B90">
          <w:rPr>
            <w:noProof/>
            <w:webHidden/>
          </w:rPr>
          <w:fldChar w:fldCharType="separate"/>
        </w:r>
        <w:r>
          <w:rPr>
            <w:noProof/>
            <w:webHidden/>
          </w:rPr>
          <w:t>299</w:t>
        </w:r>
        <w:r w:rsidR="00DA2B90">
          <w:rPr>
            <w:noProof/>
            <w:webHidden/>
          </w:rPr>
          <w:fldChar w:fldCharType="end"/>
        </w:r>
      </w:hyperlink>
    </w:p>
    <w:p w14:paraId="102458F1" w14:textId="19DB6CE3" w:rsidR="00DA2B90" w:rsidRDefault="00D2215B">
      <w:pPr>
        <w:pStyle w:val="TOC3"/>
        <w:rPr>
          <w:rFonts w:asciiTheme="minorHAnsi" w:eastAsiaTheme="minorEastAsia" w:hAnsiTheme="minorHAnsi" w:cstheme="minorBidi"/>
          <w:noProof/>
          <w:sz w:val="22"/>
          <w:szCs w:val="22"/>
          <w:lang w:eastAsia="en-NZ"/>
        </w:rPr>
      </w:pPr>
      <w:hyperlink w:anchor="_Toc19102008" w:history="1">
        <w:r w:rsidR="00DA2B90" w:rsidRPr="00AC13B1">
          <w:rPr>
            <w:rStyle w:val="Hyperlink"/>
            <w:noProof/>
          </w:rPr>
          <w:t>Figure 157: Bronchiectasis (excludes congenital) hospitalisation rates, all age, by gender, Māori and non</w:t>
        </w:r>
        <w:r w:rsidR="00DA2B90" w:rsidRPr="00AC13B1">
          <w:rPr>
            <w:rStyle w:val="Hyperlink"/>
            <w:noProof/>
          </w:rPr>
          <w:noBreakHyphen/>
          <w:t>Māori non</w:t>
        </w:r>
        <w:r w:rsidR="00DA2B90" w:rsidRPr="00AC13B1">
          <w:rPr>
            <w:rStyle w:val="Hyperlink"/>
            <w:noProof/>
          </w:rPr>
          <w:noBreakHyphen/>
          <w:t>Pacific, 2001–03 to 2011–13</w:t>
        </w:r>
        <w:r w:rsidR="00DA2B90">
          <w:rPr>
            <w:noProof/>
            <w:webHidden/>
          </w:rPr>
          <w:tab/>
        </w:r>
        <w:r w:rsidR="00DA2B90">
          <w:rPr>
            <w:noProof/>
            <w:webHidden/>
          </w:rPr>
          <w:fldChar w:fldCharType="begin"/>
        </w:r>
        <w:r w:rsidR="00DA2B90">
          <w:rPr>
            <w:noProof/>
            <w:webHidden/>
          </w:rPr>
          <w:instrText xml:space="preserve"> PAGEREF _Toc19102008 \h </w:instrText>
        </w:r>
        <w:r w:rsidR="00DA2B90">
          <w:rPr>
            <w:noProof/>
            <w:webHidden/>
          </w:rPr>
        </w:r>
        <w:r w:rsidR="00DA2B90">
          <w:rPr>
            <w:noProof/>
            <w:webHidden/>
          </w:rPr>
          <w:fldChar w:fldCharType="separate"/>
        </w:r>
        <w:r>
          <w:rPr>
            <w:noProof/>
            <w:webHidden/>
          </w:rPr>
          <w:t>301</w:t>
        </w:r>
        <w:r w:rsidR="00DA2B90">
          <w:rPr>
            <w:noProof/>
            <w:webHidden/>
          </w:rPr>
          <w:fldChar w:fldCharType="end"/>
        </w:r>
      </w:hyperlink>
    </w:p>
    <w:p w14:paraId="5D74BEE9" w14:textId="49C77CB0" w:rsidR="00DA2B90" w:rsidRDefault="00D2215B">
      <w:pPr>
        <w:pStyle w:val="TOC3"/>
        <w:rPr>
          <w:rFonts w:asciiTheme="minorHAnsi" w:eastAsiaTheme="minorEastAsia" w:hAnsiTheme="minorHAnsi" w:cstheme="minorBidi"/>
          <w:noProof/>
          <w:sz w:val="22"/>
          <w:szCs w:val="22"/>
          <w:lang w:eastAsia="en-NZ"/>
        </w:rPr>
      </w:pPr>
      <w:hyperlink w:anchor="_Toc19102009" w:history="1">
        <w:r w:rsidR="00DA2B90" w:rsidRPr="00AC13B1">
          <w:rPr>
            <w:rStyle w:val="Hyperlink"/>
            <w:noProof/>
          </w:rPr>
          <w:t>Figure 158: Bronchiectasis (excludes congenital) hospitalisation rates, 0–14 years, by gender, Māori and non</w:t>
        </w:r>
        <w:r w:rsidR="00DA2B90" w:rsidRPr="00AC13B1">
          <w:rPr>
            <w:rStyle w:val="Hyperlink"/>
            <w:noProof/>
          </w:rPr>
          <w:noBreakHyphen/>
          <w:t>Māori non</w:t>
        </w:r>
        <w:r w:rsidR="00DA2B90" w:rsidRPr="00AC13B1">
          <w:rPr>
            <w:rStyle w:val="Hyperlink"/>
            <w:noProof/>
          </w:rPr>
          <w:noBreakHyphen/>
          <w:t>Pacific, 2001–03 to 2011–13</w:t>
        </w:r>
        <w:r w:rsidR="00DA2B90">
          <w:rPr>
            <w:noProof/>
            <w:webHidden/>
          </w:rPr>
          <w:tab/>
        </w:r>
        <w:r w:rsidR="00DA2B90">
          <w:rPr>
            <w:noProof/>
            <w:webHidden/>
          </w:rPr>
          <w:fldChar w:fldCharType="begin"/>
        </w:r>
        <w:r w:rsidR="00DA2B90">
          <w:rPr>
            <w:noProof/>
            <w:webHidden/>
          </w:rPr>
          <w:instrText xml:space="preserve"> PAGEREF _Toc19102009 \h </w:instrText>
        </w:r>
        <w:r w:rsidR="00DA2B90">
          <w:rPr>
            <w:noProof/>
            <w:webHidden/>
          </w:rPr>
        </w:r>
        <w:r w:rsidR="00DA2B90">
          <w:rPr>
            <w:noProof/>
            <w:webHidden/>
          </w:rPr>
          <w:fldChar w:fldCharType="separate"/>
        </w:r>
        <w:r>
          <w:rPr>
            <w:noProof/>
            <w:webHidden/>
          </w:rPr>
          <w:t>302</w:t>
        </w:r>
        <w:r w:rsidR="00DA2B90">
          <w:rPr>
            <w:noProof/>
            <w:webHidden/>
          </w:rPr>
          <w:fldChar w:fldCharType="end"/>
        </w:r>
      </w:hyperlink>
    </w:p>
    <w:p w14:paraId="62CCD4AC" w14:textId="051D9D2C" w:rsidR="00DA2B90" w:rsidRDefault="00D2215B">
      <w:pPr>
        <w:pStyle w:val="TOC3"/>
        <w:rPr>
          <w:rFonts w:asciiTheme="minorHAnsi" w:eastAsiaTheme="minorEastAsia" w:hAnsiTheme="minorHAnsi" w:cstheme="minorBidi"/>
          <w:noProof/>
          <w:sz w:val="22"/>
          <w:szCs w:val="22"/>
          <w:lang w:eastAsia="en-NZ"/>
        </w:rPr>
      </w:pPr>
      <w:hyperlink w:anchor="_Toc19102010" w:history="1">
        <w:r w:rsidR="00DA2B90" w:rsidRPr="00AC13B1">
          <w:rPr>
            <w:rStyle w:val="Hyperlink"/>
            <w:noProof/>
          </w:rPr>
          <w:t>Figure 159: Bronchiolitis (acute, excludes chronic) hospitalisation rates, 0–4 years, by gender, Māori and non</w:t>
        </w:r>
        <w:r w:rsidR="00DA2B90" w:rsidRPr="00AC13B1">
          <w:rPr>
            <w:rStyle w:val="Hyperlink"/>
            <w:noProof/>
          </w:rPr>
          <w:noBreakHyphen/>
          <w:t>Māori non</w:t>
        </w:r>
        <w:r w:rsidR="00DA2B90" w:rsidRPr="00AC13B1">
          <w:rPr>
            <w:rStyle w:val="Hyperlink"/>
            <w:noProof/>
          </w:rPr>
          <w:noBreakHyphen/>
          <w:t>Pacific, 2001–03 to 2011–13</w:t>
        </w:r>
        <w:r w:rsidR="00DA2B90">
          <w:rPr>
            <w:noProof/>
            <w:webHidden/>
          </w:rPr>
          <w:tab/>
        </w:r>
        <w:r w:rsidR="00DA2B90">
          <w:rPr>
            <w:noProof/>
            <w:webHidden/>
          </w:rPr>
          <w:fldChar w:fldCharType="begin"/>
        </w:r>
        <w:r w:rsidR="00DA2B90">
          <w:rPr>
            <w:noProof/>
            <w:webHidden/>
          </w:rPr>
          <w:instrText xml:space="preserve"> PAGEREF _Toc19102010 \h </w:instrText>
        </w:r>
        <w:r w:rsidR="00DA2B90">
          <w:rPr>
            <w:noProof/>
            <w:webHidden/>
          </w:rPr>
        </w:r>
        <w:r w:rsidR="00DA2B90">
          <w:rPr>
            <w:noProof/>
            <w:webHidden/>
          </w:rPr>
          <w:fldChar w:fldCharType="separate"/>
        </w:r>
        <w:r>
          <w:rPr>
            <w:noProof/>
            <w:webHidden/>
          </w:rPr>
          <w:t>303</w:t>
        </w:r>
        <w:r w:rsidR="00DA2B90">
          <w:rPr>
            <w:noProof/>
            <w:webHidden/>
          </w:rPr>
          <w:fldChar w:fldCharType="end"/>
        </w:r>
      </w:hyperlink>
    </w:p>
    <w:p w14:paraId="6707B721" w14:textId="53B3B5CC" w:rsidR="00DA2B90" w:rsidRDefault="00D2215B">
      <w:pPr>
        <w:pStyle w:val="TOC3"/>
        <w:rPr>
          <w:rFonts w:asciiTheme="minorHAnsi" w:eastAsiaTheme="minorEastAsia" w:hAnsiTheme="minorHAnsi" w:cstheme="minorBidi"/>
          <w:noProof/>
          <w:sz w:val="22"/>
          <w:szCs w:val="22"/>
          <w:lang w:eastAsia="en-NZ"/>
        </w:rPr>
      </w:pPr>
      <w:hyperlink w:anchor="_Toc19102011" w:history="1">
        <w:r w:rsidR="00DA2B90" w:rsidRPr="00AC13B1">
          <w:rPr>
            <w:rStyle w:val="Hyperlink"/>
            <w:noProof/>
          </w:rPr>
          <w:t>Figure 160: Chronic obstructive pulmonary disease (COPD) hospitalisation rates, 45+ years, by gender, Māori and non</w:t>
        </w:r>
        <w:r w:rsidR="00DA2B90" w:rsidRPr="00AC13B1">
          <w:rPr>
            <w:rStyle w:val="Hyperlink"/>
            <w:noProof/>
          </w:rPr>
          <w:noBreakHyphen/>
          <w:t>Māori non</w:t>
        </w:r>
        <w:r w:rsidR="00DA2B90" w:rsidRPr="00AC13B1">
          <w:rPr>
            <w:rStyle w:val="Hyperlink"/>
            <w:noProof/>
          </w:rPr>
          <w:noBreakHyphen/>
          <w:t>Pacific, 2001–03 to 2011–13</w:t>
        </w:r>
        <w:r w:rsidR="00DA2B90">
          <w:rPr>
            <w:noProof/>
            <w:webHidden/>
          </w:rPr>
          <w:tab/>
        </w:r>
        <w:r w:rsidR="00DA2B90">
          <w:rPr>
            <w:noProof/>
            <w:webHidden/>
          </w:rPr>
          <w:fldChar w:fldCharType="begin"/>
        </w:r>
        <w:r w:rsidR="00DA2B90">
          <w:rPr>
            <w:noProof/>
            <w:webHidden/>
          </w:rPr>
          <w:instrText xml:space="preserve"> PAGEREF _Toc19102011 \h </w:instrText>
        </w:r>
        <w:r w:rsidR="00DA2B90">
          <w:rPr>
            <w:noProof/>
            <w:webHidden/>
          </w:rPr>
        </w:r>
        <w:r w:rsidR="00DA2B90">
          <w:rPr>
            <w:noProof/>
            <w:webHidden/>
          </w:rPr>
          <w:fldChar w:fldCharType="separate"/>
        </w:r>
        <w:r>
          <w:rPr>
            <w:noProof/>
            <w:webHidden/>
          </w:rPr>
          <w:t>304</w:t>
        </w:r>
        <w:r w:rsidR="00DA2B90">
          <w:rPr>
            <w:noProof/>
            <w:webHidden/>
          </w:rPr>
          <w:fldChar w:fldCharType="end"/>
        </w:r>
      </w:hyperlink>
    </w:p>
    <w:p w14:paraId="2E09555D" w14:textId="5A17C905" w:rsidR="00DA2B90" w:rsidRDefault="00D2215B">
      <w:pPr>
        <w:pStyle w:val="TOC3"/>
        <w:rPr>
          <w:rFonts w:asciiTheme="minorHAnsi" w:eastAsiaTheme="minorEastAsia" w:hAnsiTheme="minorHAnsi" w:cstheme="minorBidi"/>
          <w:noProof/>
          <w:sz w:val="22"/>
          <w:szCs w:val="22"/>
          <w:lang w:eastAsia="en-NZ"/>
        </w:rPr>
      </w:pPr>
      <w:hyperlink w:anchor="_Toc19102012" w:history="1">
        <w:r w:rsidR="00DA2B90" w:rsidRPr="00AC13B1">
          <w:rPr>
            <w:rStyle w:val="Hyperlink"/>
            <w:noProof/>
          </w:rPr>
          <w:t>Figure 161: Chronic obstructive pulmonary disease (COPD) mortality rates, 45+ years, by gender, Māori and non</w:t>
        </w:r>
        <w:r w:rsidR="00DA2B90" w:rsidRPr="00AC13B1">
          <w:rPr>
            <w:rStyle w:val="Hyperlink"/>
            <w:noProof/>
          </w:rPr>
          <w:noBreakHyphen/>
          <w:t>Māori non</w:t>
        </w:r>
        <w:r w:rsidR="00DA2B90" w:rsidRPr="00AC13B1">
          <w:rPr>
            <w:rStyle w:val="Hyperlink"/>
            <w:noProof/>
          </w:rPr>
          <w:noBreakHyphen/>
          <w:t>Pacific, 2001–03 to 2011–13</w:t>
        </w:r>
        <w:r w:rsidR="00DA2B90">
          <w:rPr>
            <w:noProof/>
            <w:webHidden/>
          </w:rPr>
          <w:tab/>
        </w:r>
        <w:r w:rsidR="00DA2B90">
          <w:rPr>
            <w:noProof/>
            <w:webHidden/>
          </w:rPr>
          <w:fldChar w:fldCharType="begin"/>
        </w:r>
        <w:r w:rsidR="00DA2B90">
          <w:rPr>
            <w:noProof/>
            <w:webHidden/>
          </w:rPr>
          <w:instrText xml:space="preserve"> PAGEREF _Toc19102012 \h </w:instrText>
        </w:r>
        <w:r w:rsidR="00DA2B90">
          <w:rPr>
            <w:noProof/>
            <w:webHidden/>
          </w:rPr>
        </w:r>
        <w:r w:rsidR="00DA2B90">
          <w:rPr>
            <w:noProof/>
            <w:webHidden/>
          </w:rPr>
          <w:fldChar w:fldCharType="separate"/>
        </w:r>
        <w:r>
          <w:rPr>
            <w:noProof/>
            <w:webHidden/>
          </w:rPr>
          <w:t>305</w:t>
        </w:r>
        <w:r w:rsidR="00DA2B90">
          <w:rPr>
            <w:noProof/>
            <w:webHidden/>
          </w:rPr>
          <w:fldChar w:fldCharType="end"/>
        </w:r>
      </w:hyperlink>
    </w:p>
    <w:p w14:paraId="371CAB99" w14:textId="37D59995" w:rsidR="00DA2B90" w:rsidRDefault="00D2215B">
      <w:pPr>
        <w:pStyle w:val="TOC3"/>
        <w:rPr>
          <w:rFonts w:asciiTheme="minorHAnsi" w:eastAsiaTheme="minorEastAsia" w:hAnsiTheme="minorHAnsi" w:cstheme="minorBidi"/>
          <w:noProof/>
          <w:sz w:val="22"/>
          <w:szCs w:val="22"/>
          <w:lang w:eastAsia="en-NZ"/>
        </w:rPr>
      </w:pPr>
      <w:hyperlink w:anchor="_Toc19102013" w:history="1">
        <w:r w:rsidR="00DA2B90" w:rsidRPr="00AC13B1">
          <w:rPr>
            <w:rStyle w:val="Hyperlink"/>
            <w:noProof/>
          </w:rPr>
          <w:t>Figure 162: Rates of renal failure with concurrent diabetes, 15+ years, by gender, Māori and non</w:t>
        </w:r>
        <w:r w:rsidR="00DA2B90" w:rsidRPr="00AC13B1">
          <w:rPr>
            <w:rStyle w:val="Hyperlink"/>
            <w:noProof/>
          </w:rPr>
          <w:noBreakHyphen/>
          <w:t>Māori non</w:t>
        </w:r>
        <w:r w:rsidR="00DA2B90" w:rsidRPr="00AC13B1">
          <w:rPr>
            <w:rStyle w:val="Hyperlink"/>
            <w:noProof/>
          </w:rPr>
          <w:noBreakHyphen/>
          <w:t>Pacific, 2001–03 to 2011–13</w:t>
        </w:r>
        <w:r w:rsidR="00DA2B90">
          <w:rPr>
            <w:noProof/>
            <w:webHidden/>
          </w:rPr>
          <w:tab/>
        </w:r>
        <w:r w:rsidR="00DA2B90">
          <w:rPr>
            <w:noProof/>
            <w:webHidden/>
          </w:rPr>
          <w:fldChar w:fldCharType="begin"/>
        </w:r>
        <w:r w:rsidR="00DA2B90">
          <w:rPr>
            <w:noProof/>
            <w:webHidden/>
          </w:rPr>
          <w:instrText xml:space="preserve"> PAGEREF _Toc19102013 \h </w:instrText>
        </w:r>
        <w:r w:rsidR="00DA2B90">
          <w:rPr>
            <w:noProof/>
            <w:webHidden/>
          </w:rPr>
        </w:r>
        <w:r w:rsidR="00DA2B90">
          <w:rPr>
            <w:noProof/>
            <w:webHidden/>
          </w:rPr>
          <w:fldChar w:fldCharType="separate"/>
        </w:r>
        <w:r>
          <w:rPr>
            <w:noProof/>
            <w:webHidden/>
          </w:rPr>
          <w:t>307</w:t>
        </w:r>
        <w:r w:rsidR="00DA2B90">
          <w:rPr>
            <w:noProof/>
            <w:webHidden/>
          </w:rPr>
          <w:fldChar w:fldCharType="end"/>
        </w:r>
      </w:hyperlink>
    </w:p>
    <w:p w14:paraId="61EFEC1D" w14:textId="5DE18651" w:rsidR="00DA2B90" w:rsidRDefault="00D2215B">
      <w:pPr>
        <w:pStyle w:val="TOC3"/>
        <w:rPr>
          <w:rFonts w:asciiTheme="minorHAnsi" w:eastAsiaTheme="minorEastAsia" w:hAnsiTheme="minorHAnsi" w:cstheme="minorBidi"/>
          <w:noProof/>
          <w:sz w:val="22"/>
          <w:szCs w:val="22"/>
          <w:lang w:eastAsia="en-NZ"/>
        </w:rPr>
      </w:pPr>
      <w:hyperlink w:anchor="_Toc19102014" w:history="1">
        <w:r w:rsidR="00DA2B90" w:rsidRPr="00AC13B1">
          <w:rPr>
            <w:rStyle w:val="Hyperlink"/>
            <w:noProof/>
            <w:lang w:eastAsia="en-NZ"/>
          </w:rPr>
          <w:t>Figure 163: Rate ratios of renal failure with concurrent diabetes, 15+ years,</w:t>
        </w:r>
        <w:r w:rsidR="00DA2B90" w:rsidRPr="00AC13B1">
          <w:rPr>
            <w:rStyle w:val="Hyperlink"/>
            <w:noProof/>
          </w:rPr>
          <w:t xml:space="preserve"> by gender, Māori and non</w:t>
        </w:r>
        <w:r w:rsidR="00DA2B90" w:rsidRPr="00AC13B1">
          <w:rPr>
            <w:rStyle w:val="Hyperlink"/>
            <w:noProof/>
          </w:rPr>
          <w:noBreakHyphen/>
          <w:t>Māori non</w:t>
        </w:r>
        <w:r w:rsidR="00DA2B90" w:rsidRPr="00AC13B1">
          <w:rPr>
            <w:rStyle w:val="Hyperlink"/>
            <w:noProof/>
          </w:rPr>
          <w:noBreakHyphen/>
          <w:t>Pacific, 2001–03 to 2011–13</w:t>
        </w:r>
        <w:r w:rsidR="00DA2B90">
          <w:rPr>
            <w:noProof/>
            <w:webHidden/>
          </w:rPr>
          <w:tab/>
        </w:r>
        <w:r w:rsidR="00DA2B90">
          <w:rPr>
            <w:noProof/>
            <w:webHidden/>
          </w:rPr>
          <w:fldChar w:fldCharType="begin"/>
        </w:r>
        <w:r w:rsidR="00DA2B90">
          <w:rPr>
            <w:noProof/>
            <w:webHidden/>
          </w:rPr>
          <w:instrText xml:space="preserve"> PAGEREF _Toc19102014 \h </w:instrText>
        </w:r>
        <w:r w:rsidR="00DA2B90">
          <w:rPr>
            <w:noProof/>
            <w:webHidden/>
          </w:rPr>
        </w:r>
        <w:r w:rsidR="00DA2B90">
          <w:rPr>
            <w:noProof/>
            <w:webHidden/>
          </w:rPr>
          <w:fldChar w:fldCharType="separate"/>
        </w:r>
        <w:r>
          <w:rPr>
            <w:noProof/>
            <w:webHidden/>
          </w:rPr>
          <w:t>308</w:t>
        </w:r>
        <w:r w:rsidR="00DA2B90">
          <w:rPr>
            <w:noProof/>
            <w:webHidden/>
          </w:rPr>
          <w:fldChar w:fldCharType="end"/>
        </w:r>
      </w:hyperlink>
    </w:p>
    <w:p w14:paraId="4C420514" w14:textId="5CF7B07D" w:rsidR="00DA2B90" w:rsidRDefault="00D2215B">
      <w:pPr>
        <w:pStyle w:val="TOC3"/>
        <w:rPr>
          <w:rFonts w:asciiTheme="minorHAnsi" w:eastAsiaTheme="minorEastAsia" w:hAnsiTheme="minorHAnsi" w:cstheme="minorBidi"/>
          <w:noProof/>
          <w:sz w:val="22"/>
          <w:szCs w:val="22"/>
          <w:lang w:eastAsia="en-NZ"/>
        </w:rPr>
      </w:pPr>
      <w:hyperlink w:anchor="_Toc19102015" w:history="1">
        <w:r w:rsidR="00DA2B90" w:rsidRPr="00AC13B1">
          <w:rPr>
            <w:rStyle w:val="Hyperlink"/>
            <w:noProof/>
            <w:lang w:eastAsia="en-NZ"/>
          </w:rPr>
          <w:t>Figure 164: Rates of lower limb amputation with concurrent diabetes, 15+ years</w:t>
        </w:r>
        <w:r w:rsidR="00DA2B90" w:rsidRPr="00AC13B1">
          <w:rPr>
            <w:rStyle w:val="Hyperlink"/>
            <w:noProof/>
          </w:rPr>
          <w:t>, by gender, Māori and non</w:t>
        </w:r>
        <w:r w:rsidR="00DA2B90" w:rsidRPr="00AC13B1">
          <w:rPr>
            <w:rStyle w:val="Hyperlink"/>
            <w:noProof/>
          </w:rPr>
          <w:noBreakHyphen/>
          <w:t>Māori non</w:t>
        </w:r>
        <w:r w:rsidR="00DA2B90" w:rsidRPr="00AC13B1">
          <w:rPr>
            <w:rStyle w:val="Hyperlink"/>
            <w:noProof/>
          </w:rPr>
          <w:noBreakHyphen/>
          <w:t>Pacific, 2001–03 to 2011–13</w:t>
        </w:r>
        <w:r w:rsidR="00DA2B90">
          <w:rPr>
            <w:noProof/>
            <w:webHidden/>
          </w:rPr>
          <w:tab/>
        </w:r>
        <w:r w:rsidR="00DA2B90">
          <w:rPr>
            <w:noProof/>
            <w:webHidden/>
          </w:rPr>
          <w:fldChar w:fldCharType="begin"/>
        </w:r>
        <w:r w:rsidR="00DA2B90">
          <w:rPr>
            <w:noProof/>
            <w:webHidden/>
          </w:rPr>
          <w:instrText xml:space="preserve"> PAGEREF _Toc19102015 \h </w:instrText>
        </w:r>
        <w:r w:rsidR="00DA2B90">
          <w:rPr>
            <w:noProof/>
            <w:webHidden/>
          </w:rPr>
        </w:r>
        <w:r w:rsidR="00DA2B90">
          <w:rPr>
            <w:noProof/>
            <w:webHidden/>
          </w:rPr>
          <w:fldChar w:fldCharType="separate"/>
        </w:r>
        <w:r>
          <w:rPr>
            <w:noProof/>
            <w:webHidden/>
          </w:rPr>
          <w:t>309</w:t>
        </w:r>
        <w:r w:rsidR="00DA2B90">
          <w:rPr>
            <w:noProof/>
            <w:webHidden/>
          </w:rPr>
          <w:fldChar w:fldCharType="end"/>
        </w:r>
      </w:hyperlink>
    </w:p>
    <w:p w14:paraId="1BC9A35D" w14:textId="534A2093" w:rsidR="00DA2B90" w:rsidRDefault="00D2215B">
      <w:pPr>
        <w:pStyle w:val="TOC3"/>
        <w:rPr>
          <w:rFonts w:asciiTheme="minorHAnsi" w:eastAsiaTheme="minorEastAsia" w:hAnsiTheme="minorHAnsi" w:cstheme="minorBidi"/>
          <w:noProof/>
          <w:sz w:val="22"/>
          <w:szCs w:val="22"/>
          <w:lang w:eastAsia="en-NZ"/>
        </w:rPr>
      </w:pPr>
      <w:hyperlink w:anchor="_Toc19102016" w:history="1">
        <w:r w:rsidR="00DA2B90" w:rsidRPr="00AC13B1">
          <w:rPr>
            <w:rStyle w:val="Hyperlink"/>
            <w:noProof/>
            <w:lang w:eastAsia="en-NZ"/>
          </w:rPr>
          <w:t>Figure 165: Rate ratios of lower limb amputation with concurrent diabetes, 15+ years</w:t>
        </w:r>
        <w:r w:rsidR="00DA2B90" w:rsidRPr="00AC13B1">
          <w:rPr>
            <w:rStyle w:val="Hyperlink"/>
            <w:noProof/>
          </w:rPr>
          <w:t>, by gender, Māori and non</w:t>
        </w:r>
        <w:r w:rsidR="00DA2B90" w:rsidRPr="00AC13B1">
          <w:rPr>
            <w:rStyle w:val="Hyperlink"/>
            <w:noProof/>
          </w:rPr>
          <w:noBreakHyphen/>
          <w:t>Māori non</w:t>
        </w:r>
        <w:r w:rsidR="00DA2B90" w:rsidRPr="00AC13B1">
          <w:rPr>
            <w:rStyle w:val="Hyperlink"/>
            <w:noProof/>
          </w:rPr>
          <w:noBreakHyphen/>
          <w:t>Pacific, 2001–03 to 2011–13</w:t>
        </w:r>
        <w:r w:rsidR="00DA2B90">
          <w:rPr>
            <w:noProof/>
            <w:webHidden/>
          </w:rPr>
          <w:tab/>
        </w:r>
        <w:r w:rsidR="00DA2B90">
          <w:rPr>
            <w:noProof/>
            <w:webHidden/>
          </w:rPr>
          <w:fldChar w:fldCharType="begin"/>
        </w:r>
        <w:r w:rsidR="00DA2B90">
          <w:rPr>
            <w:noProof/>
            <w:webHidden/>
          </w:rPr>
          <w:instrText xml:space="preserve"> PAGEREF _Toc19102016 \h </w:instrText>
        </w:r>
        <w:r w:rsidR="00DA2B90">
          <w:rPr>
            <w:noProof/>
            <w:webHidden/>
          </w:rPr>
        </w:r>
        <w:r w:rsidR="00DA2B90">
          <w:rPr>
            <w:noProof/>
            <w:webHidden/>
          </w:rPr>
          <w:fldChar w:fldCharType="separate"/>
        </w:r>
        <w:r>
          <w:rPr>
            <w:noProof/>
            <w:webHidden/>
          </w:rPr>
          <w:t>310</w:t>
        </w:r>
        <w:r w:rsidR="00DA2B90">
          <w:rPr>
            <w:noProof/>
            <w:webHidden/>
          </w:rPr>
          <w:fldChar w:fldCharType="end"/>
        </w:r>
      </w:hyperlink>
    </w:p>
    <w:p w14:paraId="218CEB1F" w14:textId="22993D98" w:rsidR="00DA2B90" w:rsidRDefault="00D2215B">
      <w:pPr>
        <w:pStyle w:val="TOC3"/>
        <w:rPr>
          <w:rFonts w:asciiTheme="minorHAnsi" w:eastAsiaTheme="minorEastAsia" w:hAnsiTheme="minorHAnsi" w:cstheme="minorBidi"/>
          <w:noProof/>
          <w:sz w:val="22"/>
          <w:szCs w:val="22"/>
          <w:lang w:eastAsia="en-NZ"/>
        </w:rPr>
      </w:pPr>
      <w:hyperlink w:anchor="_Toc19102017" w:history="1">
        <w:r w:rsidR="00DA2B90" w:rsidRPr="00AC13B1">
          <w:rPr>
            <w:rStyle w:val="Hyperlink"/>
            <w:noProof/>
          </w:rPr>
          <w:t>Figure 166: Tuberculosis (TB) notification rates, Māori and non</w:t>
        </w:r>
        <w:r w:rsidR="00DA2B90" w:rsidRPr="00AC13B1">
          <w:rPr>
            <w:rStyle w:val="Hyperlink"/>
            <w:noProof/>
          </w:rPr>
          <w:noBreakHyphen/>
          <w:t>Māori non</w:t>
        </w:r>
        <w:r w:rsidR="00DA2B90" w:rsidRPr="00AC13B1">
          <w:rPr>
            <w:rStyle w:val="Hyperlink"/>
            <w:noProof/>
          </w:rPr>
          <w:noBreakHyphen/>
          <w:t>Pacific, 2001–03 to 2011–13</w:t>
        </w:r>
        <w:r w:rsidR="00DA2B90">
          <w:rPr>
            <w:noProof/>
            <w:webHidden/>
          </w:rPr>
          <w:tab/>
        </w:r>
        <w:r w:rsidR="00DA2B90">
          <w:rPr>
            <w:noProof/>
            <w:webHidden/>
          </w:rPr>
          <w:fldChar w:fldCharType="begin"/>
        </w:r>
        <w:r w:rsidR="00DA2B90">
          <w:rPr>
            <w:noProof/>
            <w:webHidden/>
          </w:rPr>
          <w:instrText xml:space="preserve"> PAGEREF _Toc19102017 \h </w:instrText>
        </w:r>
        <w:r w:rsidR="00DA2B90">
          <w:rPr>
            <w:noProof/>
            <w:webHidden/>
          </w:rPr>
        </w:r>
        <w:r w:rsidR="00DA2B90">
          <w:rPr>
            <w:noProof/>
            <w:webHidden/>
          </w:rPr>
          <w:fldChar w:fldCharType="separate"/>
        </w:r>
        <w:r>
          <w:rPr>
            <w:noProof/>
            <w:webHidden/>
          </w:rPr>
          <w:t>312</w:t>
        </w:r>
        <w:r w:rsidR="00DA2B90">
          <w:rPr>
            <w:noProof/>
            <w:webHidden/>
          </w:rPr>
          <w:fldChar w:fldCharType="end"/>
        </w:r>
      </w:hyperlink>
    </w:p>
    <w:p w14:paraId="3624D0EA" w14:textId="0E2F8AEC" w:rsidR="00DA2B90" w:rsidRDefault="00D2215B">
      <w:pPr>
        <w:pStyle w:val="TOC3"/>
        <w:rPr>
          <w:rFonts w:asciiTheme="minorHAnsi" w:eastAsiaTheme="minorEastAsia" w:hAnsiTheme="minorHAnsi" w:cstheme="minorBidi"/>
          <w:noProof/>
          <w:sz w:val="22"/>
          <w:szCs w:val="22"/>
          <w:lang w:eastAsia="en-NZ"/>
        </w:rPr>
      </w:pPr>
      <w:hyperlink w:anchor="_Toc19102018" w:history="1">
        <w:r w:rsidR="00DA2B90" w:rsidRPr="00AC13B1">
          <w:rPr>
            <w:rStyle w:val="Hyperlink"/>
            <w:noProof/>
          </w:rPr>
          <w:t>Figure 167: Meningococcal notification rates, Māori and non</w:t>
        </w:r>
        <w:r w:rsidR="00DA2B90" w:rsidRPr="00AC13B1">
          <w:rPr>
            <w:rStyle w:val="Hyperlink"/>
            <w:noProof/>
          </w:rPr>
          <w:noBreakHyphen/>
          <w:t>Māori non</w:t>
        </w:r>
        <w:r w:rsidR="00DA2B90" w:rsidRPr="00AC13B1">
          <w:rPr>
            <w:rStyle w:val="Hyperlink"/>
            <w:noProof/>
          </w:rPr>
          <w:noBreakHyphen/>
          <w:t>Pacific, 2001–03 and 2011–13</w:t>
        </w:r>
        <w:r w:rsidR="00DA2B90">
          <w:rPr>
            <w:noProof/>
            <w:webHidden/>
          </w:rPr>
          <w:tab/>
        </w:r>
        <w:r w:rsidR="00DA2B90">
          <w:rPr>
            <w:noProof/>
            <w:webHidden/>
          </w:rPr>
          <w:fldChar w:fldCharType="begin"/>
        </w:r>
        <w:r w:rsidR="00DA2B90">
          <w:rPr>
            <w:noProof/>
            <w:webHidden/>
          </w:rPr>
          <w:instrText xml:space="preserve"> PAGEREF _Toc19102018 \h </w:instrText>
        </w:r>
        <w:r w:rsidR="00DA2B90">
          <w:rPr>
            <w:noProof/>
            <w:webHidden/>
          </w:rPr>
        </w:r>
        <w:r w:rsidR="00DA2B90">
          <w:rPr>
            <w:noProof/>
            <w:webHidden/>
          </w:rPr>
          <w:fldChar w:fldCharType="separate"/>
        </w:r>
        <w:r>
          <w:rPr>
            <w:noProof/>
            <w:webHidden/>
          </w:rPr>
          <w:t>314</w:t>
        </w:r>
        <w:r w:rsidR="00DA2B90">
          <w:rPr>
            <w:noProof/>
            <w:webHidden/>
          </w:rPr>
          <w:fldChar w:fldCharType="end"/>
        </w:r>
      </w:hyperlink>
    </w:p>
    <w:p w14:paraId="3D6F73E1" w14:textId="4EE20053" w:rsidR="00DA2B90" w:rsidRDefault="00D2215B">
      <w:pPr>
        <w:pStyle w:val="TOC3"/>
        <w:rPr>
          <w:rFonts w:asciiTheme="minorHAnsi" w:eastAsiaTheme="minorEastAsia" w:hAnsiTheme="minorHAnsi" w:cstheme="minorBidi"/>
          <w:noProof/>
          <w:sz w:val="22"/>
          <w:szCs w:val="22"/>
          <w:lang w:eastAsia="en-NZ"/>
        </w:rPr>
      </w:pPr>
      <w:hyperlink w:anchor="_Toc19102019" w:history="1">
        <w:r w:rsidR="00DA2B90" w:rsidRPr="00AC13B1">
          <w:rPr>
            <w:rStyle w:val="Hyperlink"/>
            <w:noProof/>
          </w:rPr>
          <w:t>Figure 168: First episode rheumatic fever hospitalisation rates, Māori and non</w:t>
        </w:r>
        <w:r w:rsidR="00DA2B90" w:rsidRPr="00AC13B1">
          <w:rPr>
            <w:rStyle w:val="Hyperlink"/>
            <w:noProof/>
          </w:rPr>
          <w:noBreakHyphen/>
          <w:t>Māori non</w:t>
        </w:r>
        <w:r w:rsidR="00DA2B90" w:rsidRPr="00AC13B1">
          <w:rPr>
            <w:rStyle w:val="Hyperlink"/>
            <w:noProof/>
          </w:rPr>
          <w:noBreakHyphen/>
          <w:t>Pacific, 2001–03 and 2011–13</w:t>
        </w:r>
        <w:r w:rsidR="00DA2B90">
          <w:rPr>
            <w:noProof/>
            <w:webHidden/>
          </w:rPr>
          <w:tab/>
        </w:r>
        <w:r w:rsidR="00DA2B90">
          <w:rPr>
            <w:noProof/>
            <w:webHidden/>
          </w:rPr>
          <w:fldChar w:fldCharType="begin"/>
        </w:r>
        <w:r w:rsidR="00DA2B90">
          <w:rPr>
            <w:noProof/>
            <w:webHidden/>
          </w:rPr>
          <w:instrText xml:space="preserve"> PAGEREF _Toc19102019 \h </w:instrText>
        </w:r>
        <w:r w:rsidR="00DA2B90">
          <w:rPr>
            <w:noProof/>
            <w:webHidden/>
          </w:rPr>
        </w:r>
        <w:r w:rsidR="00DA2B90">
          <w:rPr>
            <w:noProof/>
            <w:webHidden/>
          </w:rPr>
          <w:fldChar w:fldCharType="separate"/>
        </w:r>
        <w:r>
          <w:rPr>
            <w:noProof/>
            <w:webHidden/>
          </w:rPr>
          <w:t>315</w:t>
        </w:r>
        <w:r w:rsidR="00DA2B90">
          <w:rPr>
            <w:noProof/>
            <w:webHidden/>
          </w:rPr>
          <w:fldChar w:fldCharType="end"/>
        </w:r>
      </w:hyperlink>
    </w:p>
    <w:p w14:paraId="77BD5487" w14:textId="7F709282" w:rsidR="00DA2B90" w:rsidRDefault="00D2215B">
      <w:pPr>
        <w:pStyle w:val="TOC3"/>
        <w:rPr>
          <w:rFonts w:asciiTheme="minorHAnsi" w:eastAsiaTheme="minorEastAsia" w:hAnsiTheme="minorHAnsi" w:cstheme="minorBidi"/>
          <w:noProof/>
          <w:sz w:val="22"/>
          <w:szCs w:val="22"/>
          <w:lang w:eastAsia="en-NZ"/>
        </w:rPr>
      </w:pPr>
      <w:hyperlink w:anchor="_Toc19102020" w:history="1">
        <w:r w:rsidR="00DA2B90" w:rsidRPr="00AC13B1">
          <w:rPr>
            <w:rStyle w:val="Hyperlink"/>
            <w:noProof/>
          </w:rPr>
          <w:t>Figure 169: Mean number of decayed, missing and filled teeth (dmft), 5 years, Māori and non</w:t>
        </w:r>
        <w:r w:rsidR="00DA2B90" w:rsidRPr="00AC13B1">
          <w:rPr>
            <w:rStyle w:val="Hyperlink"/>
            <w:noProof/>
          </w:rPr>
          <w:noBreakHyphen/>
          <w:t>Māori non</w:t>
        </w:r>
        <w:r w:rsidR="00DA2B90" w:rsidRPr="00AC13B1">
          <w:rPr>
            <w:rStyle w:val="Hyperlink"/>
            <w:noProof/>
          </w:rPr>
          <w:noBreakHyphen/>
          <w:t>Pacific, 2002–2016</w:t>
        </w:r>
        <w:r w:rsidR="00DA2B90">
          <w:rPr>
            <w:noProof/>
            <w:webHidden/>
          </w:rPr>
          <w:tab/>
        </w:r>
        <w:r w:rsidR="00DA2B90">
          <w:rPr>
            <w:noProof/>
            <w:webHidden/>
          </w:rPr>
          <w:fldChar w:fldCharType="begin"/>
        </w:r>
        <w:r w:rsidR="00DA2B90">
          <w:rPr>
            <w:noProof/>
            <w:webHidden/>
          </w:rPr>
          <w:instrText xml:space="preserve"> PAGEREF _Toc19102020 \h </w:instrText>
        </w:r>
        <w:r w:rsidR="00DA2B90">
          <w:rPr>
            <w:noProof/>
            <w:webHidden/>
          </w:rPr>
        </w:r>
        <w:r w:rsidR="00DA2B90">
          <w:rPr>
            <w:noProof/>
            <w:webHidden/>
          </w:rPr>
          <w:fldChar w:fldCharType="separate"/>
        </w:r>
        <w:r>
          <w:rPr>
            <w:noProof/>
            <w:webHidden/>
          </w:rPr>
          <w:t>317</w:t>
        </w:r>
        <w:r w:rsidR="00DA2B90">
          <w:rPr>
            <w:noProof/>
            <w:webHidden/>
          </w:rPr>
          <w:fldChar w:fldCharType="end"/>
        </w:r>
      </w:hyperlink>
    </w:p>
    <w:p w14:paraId="3560BE6C" w14:textId="616F9DAC" w:rsidR="00DA2B90" w:rsidRDefault="00D2215B">
      <w:pPr>
        <w:pStyle w:val="TOC3"/>
        <w:rPr>
          <w:rFonts w:asciiTheme="minorHAnsi" w:eastAsiaTheme="minorEastAsia" w:hAnsiTheme="minorHAnsi" w:cstheme="minorBidi"/>
          <w:noProof/>
          <w:sz w:val="22"/>
          <w:szCs w:val="22"/>
          <w:lang w:eastAsia="en-NZ"/>
        </w:rPr>
      </w:pPr>
      <w:hyperlink w:anchor="_Toc19102021" w:history="1">
        <w:r w:rsidR="00DA2B90" w:rsidRPr="00AC13B1">
          <w:rPr>
            <w:rStyle w:val="Hyperlink"/>
            <w:noProof/>
          </w:rPr>
          <w:t>Figure 170: Mean number of decayed, missing and filled teeth (DMFT), Year 8, Māori and non</w:t>
        </w:r>
        <w:r w:rsidR="00DA2B90" w:rsidRPr="00AC13B1">
          <w:rPr>
            <w:rStyle w:val="Hyperlink"/>
            <w:noProof/>
          </w:rPr>
          <w:noBreakHyphen/>
          <w:t>Māori non</w:t>
        </w:r>
        <w:r w:rsidR="00DA2B90" w:rsidRPr="00AC13B1">
          <w:rPr>
            <w:rStyle w:val="Hyperlink"/>
            <w:noProof/>
          </w:rPr>
          <w:noBreakHyphen/>
          <w:t>Pacific, 2002–2016</w:t>
        </w:r>
        <w:r w:rsidR="00DA2B90">
          <w:rPr>
            <w:noProof/>
            <w:webHidden/>
          </w:rPr>
          <w:tab/>
        </w:r>
        <w:r w:rsidR="00DA2B90">
          <w:rPr>
            <w:noProof/>
            <w:webHidden/>
          </w:rPr>
          <w:fldChar w:fldCharType="begin"/>
        </w:r>
        <w:r w:rsidR="00DA2B90">
          <w:rPr>
            <w:noProof/>
            <w:webHidden/>
          </w:rPr>
          <w:instrText xml:space="preserve"> PAGEREF _Toc19102021 \h </w:instrText>
        </w:r>
        <w:r w:rsidR="00DA2B90">
          <w:rPr>
            <w:noProof/>
            <w:webHidden/>
          </w:rPr>
        </w:r>
        <w:r w:rsidR="00DA2B90">
          <w:rPr>
            <w:noProof/>
            <w:webHidden/>
          </w:rPr>
          <w:fldChar w:fldCharType="separate"/>
        </w:r>
        <w:r>
          <w:rPr>
            <w:noProof/>
            <w:webHidden/>
          </w:rPr>
          <w:t>318</w:t>
        </w:r>
        <w:r w:rsidR="00DA2B90">
          <w:rPr>
            <w:noProof/>
            <w:webHidden/>
          </w:rPr>
          <w:fldChar w:fldCharType="end"/>
        </w:r>
      </w:hyperlink>
    </w:p>
    <w:p w14:paraId="5B7606FB" w14:textId="4035B243" w:rsidR="00DA2B90" w:rsidRDefault="00D2215B">
      <w:pPr>
        <w:pStyle w:val="TOC3"/>
        <w:rPr>
          <w:rFonts w:asciiTheme="minorHAnsi" w:eastAsiaTheme="minorEastAsia" w:hAnsiTheme="minorHAnsi" w:cstheme="minorBidi"/>
          <w:noProof/>
          <w:sz w:val="22"/>
          <w:szCs w:val="22"/>
          <w:lang w:eastAsia="en-NZ"/>
        </w:rPr>
      </w:pPr>
      <w:hyperlink w:anchor="_Toc19102022" w:history="1">
        <w:r w:rsidR="00DA2B90" w:rsidRPr="00AC13B1">
          <w:rPr>
            <w:rStyle w:val="Hyperlink"/>
            <w:noProof/>
          </w:rPr>
          <w:t>Figure 171: Percentage of caries-free children, 5 years, Māori and non</w:t>
        </w:r>
        <w:r w:rsidR="00DA2B90" w:rsidRPr="00AC13B1">
          <w:rPr>
            <w:rStyle w:val="Hyperlink"/>
            <w:noProof/>
          </w:rPr>
          <w:noBreakHyphen/>
          <w:t>Māori non</w:t>
        </w:r>
        <w:r w:rsidR="00DA2B90" w:rsidRPr="00AC13B1">
          <w:rPr>
            <w:rStyle w:val="Hyperlink"/>
            <w:noProof/>
          </w:rPr>
          <w:noBreakHyphen/>
          <w:t>Pacific, 2002–2016</w:t>
        </w:r>
        <w:r w:rsidR="00DA2B90">
          <w:rPr>
            <w:noProof/>
            <w:webHidden/>
          </w:rPr>
          <w:tab/>
        </w:r>
        <w:r w:rsidR="00DA2B90">
          <w:rPr>
            <w:noProof/>
            <w:webHidden/>
          </w:rPr>
          <w:fldChar w:fldCharType="begin"/>
        </w:r>
        <w:r w:rsidR="00DA2B90">
          <w:rPr>
            <w:noProof/>
            <w:webHidden/>
          </w:rPr>
          <w:instrText xml:space="preserve"> PAGEREF _Toc19102022 \h </w:instrText>
        </w:r>
        <w:r w:rsidR="00DA2B90">
          <w:rPr>
            <w:noProof/>
            <w:webHidden/>
          </w:rPr>
        </w:r>
        <w:r w:rsidR="00DA2B90">
          <w:rPr>
            <w:noProof/>
            <w:webHidden/>
          </w:rPr>
          <w:fldChar w:fldCharType="separate"/>
        </w:r>
        <w:r>
          <w:rPr>
            <w:noProof/>
            <w:webHidden/>
          </w:rPr>
          <w:t>320</w:t>
        </w:r>
        <w:r w:rsidR="00DA2B90">
          <w:rPr>
            <w:noProof/>
            <w:webHidden/>
          </w:rPr>
          <w:fldChar w:fldCharType="end"/>
        </w:r>
      </w:hyperlink>
    </w:p>
    <w:p w14:paraId="59F6AB8A" w14:textId="34483276" w:rsidR="00DA2B90" w:rsidRDefault="00D2215B">
      <w:pPr>
        <w:pStyle w:val="TOC3"/>
        <w:rPr>
          <w:rFonts w:asciiTheme="minorHAnsi" w:eastAsiaTheme="minorEastAsia" w:hAnsiTheme="minorHAnsi" w:cstheme="minorBidi"/>
          <w:noProof/>
          <w:sz w:val="22"/>
          <w:szCs w:val="22"/>
          <w:lang w:eastAsia="en-NZ"/>
        </w:rPr>
      </w:pPr>
      <w:hyperlink w:anchor="_Toc19102023" w:history="1">
        <w:r w:rsidR="00DA2B90" w:rsidRPr="00AC13B1">
          <w:rPr>
            <w:rStyle w:val="Hyperlink"/>
            <w:noProof/>
          </w:rPr>
          <w:t>Figure 172: Percentage of caries-free children, Year 8, Māori and non</w:t>
        </w:r>
        <w:r w:rsidR="00DA2B90" w:rsidRPr="00AC13B1">
          <w:rPr>
            <w:rStyle w:val="Hyperlink"/>
            <w:noProof/>
          </w:rPr>
          <w:noBreakHyphen/>
          <w:t>Māori non</w:t>
        </w:r>
        <w:r w:rsidR="00DA2B90" w:rsidRPr="00AC13B1">
          <w:rPr>
            <w:rStyle w:val="Hyperlink"/>
            <w:noProof/>
          </w:rPr>
          <w:noBreakHyphen/>
          <w:t>Pacific, 2002–2016</w:t>
        </w:r>
        <w:r w:rsidR="00DA2B90">
          <w:rPr>
            <w:noProof/>
            <w:webHidden/>
          </w:rPr>
          <w:tab/>
        </w:r>
        <w:r w:rsidR="00DA2B90">
          <w:rPr>
            <w:noProof/>
            <w:webHidden/>
          </w:rPr>
          <w:fldChar w:fldCharType="begin"/>
        </w:r>
        <w:r w:rsidR="00DA2B90">
          <w:rPr>
            <w:noProof/>
            <w:webHidden/>
          </w:rPr>
          <w:instrText xml:space="preserve"> PAGEREF _Toc19102023 \h </w:instrText>
        </w:r>
        <w:r w:rsidR="00DA2B90">
          <w:rPr>
            <w:noProof/>
            <w:webHidden/>
          </w:rPr>
        </w:r>
        <w:r w:rsidR="00DA2B90">
          <w:rPr>
            <w:noProof/>
            <w:webHidden/>
          </w:rPr>
          <w:fldChar w:fldCharType="separate"/>
        </w:r>
        <w:r>
          <w:rPr>
            <w:noProof/>
            <w:webHidden/>
          </w:rPr>
          <w:t>321</w:t>
        </w:r>
        <w:r w:rsidR="00DA2B90">
          <w:rPr>
            <w:noProof/>
            <w:webHidden/>
          </w:rPr>
          <w:fldChar w:fldCharType="end"/>
        </w:r>
      </w:hyperlink>
    </w:p>
    <w:p w14:paraId="671FBD99" w14:textId="253F38F8" w:rsidR="00DA2B90" w:rsidRDefault="00D2215B">
      <w:pPr>
        <w:pStyle w:val="TOC3"/>
        <w:rPr>
          <w:rFonts w:asciiTheme="minorHAnsi" w:eastAsiaTheme="minorEastAsia" w:hAnsiTheme="minorHAnsi" w:cstheme="minorBidi"/>
          <w:noProof/>
          <w:sz w:val="22"/>
          <w:szCs w:val="22"/>
          <w:lang w:eastAsia="en-NZ"/>
        </w:rPr>
      </w:pPr>
      <w:hyperlink w:anchor="_Toc19102024" w:history="1">
        <w:r w:rsidR="00DA2B90" w:rsidRPr="00AC13B1">
          <w:rPr>
            <w:rStyle w:val="Hyperlink"/>
            <w:noProof/>
          </w:rPr>
          <w:t>Figure 173: Psychological distress (high or very high probability of anxiety or depressive disorder), 15+ years, Māori and non</w:t>
        </w:r>
        <w:r w:rsidR="00DA2B90" w:rsidRPr="00AC13B1">
          <w:rPr>
            <w:rStyle w:val="Hyperlink"/>
            <w:noProof/>
          </w:rPr>
          <w:noBreakHyphen/>
          <w:t>Māori non</w:t>
        </w:r>
        <w:r w:rsidR="00DA2B90" w:rsidRPr="00AC13B1">
          <w:rPr>
            <w:rStyle w:val="Hyperlink"/>
            <w:noProof/>
          </w:rPr>
          <w:noBreakHyphen/>
          <w:t>Pacific, 2006/07–2016/17</w:t>
        </w:r>
        <w:r w:rsidR="00DA2B90">
          <w:rPr>
            <w:noProof/>
            <w:webHidden/>
          </w:rPr>
          <w:tab/>
        </w:r>
        <w:r w:rsidR="00DA2B90">
          <w:rPr>
            <w:noProof/>
            <w:webHidden/>
          </w:rPr>
          <w:fldChar w:fldCharType="begin"/>
        </w:r>
        <w:r w:rsidR="00DA2B90">
          <w:rPr>
            <w:noProof/>
            <w:webHidden/>
          </w:rPr>
          <w:instrText xml:space="preserve"> PAGEREF _Toc19102024 \h </w:instrText>
        </w:r>
        <w:r w:rsidR="00DA2B90">
          <w:rPr>
            <w:noProof/>
            <w:webHidden/>
          </w:rPr>
        </w:r>
        <w:r w:rsidR="00DA2B90">
          <w:rPr>
            <w:noProof/>
            <w:webHidden/>
          </w:rPr>
          <w:fldChar w:fldCharType="separate"/>
        </w:r>
        <w:r>
          <w:rPr>
            <w:noProof/>
            <w:webHidden/>
          </w:rPr>
          <w:t>324</w:t>
        </w:r>
        <w:r w:rsidR="00DA2B90">
          <w:rPr>
            <w:noProof/>
            <w:webHidden/>
          </w:rPr>
          <w:fldChar w:fldCharType="end"/>
        </w:r>
      </w:hyperlink>
    </w:p>
    <w:p w14:paraId="47B98913" w14:textId="1B7B14FE" w:rsidR="00DA2B90" w:rsidRDefault="00D2215B">
      <w:pPr>
        <w:pStyle w:val="TOC3"/>
        <w:rPr>
          <w:rFonts w:asciiTheme="minorHAnsi" w:eastAsiaTheme="minorEastAsia" w:hAnsiTheme="minorHAnsi" w:cstheme="minorBidi"/>
          <w:noProof/>
          <w:sz w:val="22"/>
          <w:szCs w:val="22"/>
          <w:lang w:eastAsia="en-NZ"/>
        </w:rPr>
      </w:pPr>
      <w:hyperlink w:anchor="_Toc19102025" w:history="1">
        <w:r w:rsidR="00DA2B90" w:rsidRPr="00AC13B1">
          <w:rPr>
            <w:rStyle w:val="Hyperlink"/>
            <w:noProof/>
          </w:rPr>
          <w:t>Figure 174: Diagnosed common mental disorder (depression, bipolar disorder and/or anxiety disorder), 15+ years, by gender, Māori and non</w:t>
        </w:r>
        <w:r w:rsidR="00DA2B90" w:rsidRPr="00AC13B1">
          <w:rPr>
            <w:rStyle w:val="Hyperlink"/>
            <w:noProof/>
          </w:rPr>
          <w:noBreakHyphen/>
          <w:t>Māori non</w:t>
        </w:r>
        <w:r w:rsidR="00DA2B90" w:rsidRPr="00AC13B1">
          <w:rPr>
            <w:rStyle w:val="Hyperlink"/>
            <w:noProof/>
          </w:rPr>
          <w:noBreakHyphen/>
          <w:t>Pacific, 2006/07–2016/17</w:t>
        </w:r>
        <w:r w:rsidR="00DA2B90">
          <w:rPr>
            <w:noProof/>
            <w:webHidden/>
          </w:rPr>
          <w:tab/>
        </w:r>
        <w:r w:rsidR="00DA2B90">
          <w:rPr>
            <w:noProof/>
            <w:webHidden/>
          </w:rPr>
          <w:fldChar w:fldCharType="begin"/>
        </w:r>
        <w:r w:rsidR="00DA2B90">
          <w:rPr>
            <w:noProof/>
            <w:webHidden/>
          </w:rPr>
          <w:instrText xml:space="preserve"> PAGEREF _Toc19102025 \h </w:instrText>
        </w:r>
        <w:r w:rsidR="00DA2B90">
          <w:rPr>
            <w:noProof/>
            <w:webHidden/>
          </w:rPr>
        </w:r>
        <w:r w:rsidR="00DA2B90">
          <w:rPr>
            <w:noProof/>
            <w:webHidden/>
          </w:rPr>
          <w:fldChar w:fldCharType="separate"/>
        </w:r>
        <w:r>
          <w:rPr>
            <w:noProof/>
            <w:webHidden/>
          </w:rPr>
          <w:t>325</w:t>
        </w:r>
        <w:r w:rsidR="00DA2B90">
          <w:rPr>
            <w:noProof/>
            <w:webHidden/>
          </w:rPr>
          <w:fldChar w:fldCharType="end"/>
        </w:r>
      </w:hyperlink>
    </w:p>
    <w:p w14:paraId="33CC665C" w14:textId="624F49CB" w:rsidR="00DA2B90" w:rsidRDefault="00D2215B">
      <w:pPr>
        <w:pStyle w:val="TOC3"/>
        <w:rPr>
          <w:rFonts w:asciiTheme="minorHAnsi" w:eastAsiaTheme="minorEastAsia" w:hAnsiTheme="minorHAnsi" w:cstheme="minorBidi"/>
          <w:noProof/>
          <w:sz w:val="22"/>
          <w:szCs w:val="22"/>
          <w:lang w:eastAsia="en-NZ"/>
        </w:rPr>
      </w:pPr>
      <w:hyperlink w:anchor="_Toc19102026" w:history="1">
        <w:r w:rsidR="00DA2B90" w:rsidRPr="00AC13B1">
          <w:rPr>
            <w:rStyle w:val="Hyperlink"/>
            <w:noProof/>
          </w:rPr>
          <w:t>Figure 175: Emergency department attendance rates, by gender, Māori and non</w:t>
        </w:r>
        <w:r w:rsidR="00DA2B90" w:rsidRPr="00AC13B1">
          <w:rPr>
            <w:rStyle w:val="Hyperlink"/>
            <w:noProof/>
          </w:rPr>
          <w:noBreakHyphen/>
          <w:t>Māori non</w:t>
        </w:r>
        <w:r w:rsidR="00DA2B90" w:rsidRPr="00AC13B1">
          <w:rPr>
            <w:rStyle w:val="Hyperlink"/>
            <w:noProof/>
          </w:rPr>
          <w:noBreakHyphen/>
          <w:t>Pacific, 2007–08 to 2016–17</w:t>
        </w:r>
        <w:r w:rsidR="00DA2B90">
          <w:rPr>
            <w:noProof/>
            <w:webHidden/>
          </w:rPr>
          <w:tab/>
        </w:r>
        <w:r w:rsidR="00DA2B90">
          <w:rPr>
            <w:noProof/>
            <w:webHidden/>
          </w:rPr>
          <w:fldChar w:fldCharType="begin"/>
        </w:r>
        <w:r w:rsidR="00DA2B90">
          <w:rPr>
            <w:noProof/>
            <w:webHidden/>
          </w:rPr>
          <w:instrText xml:space="preserve"> PAGEREF _Toc19102026 \h </w:instrText>
        </w:r>
        <w:r w:rsidR="00DA2B90">
          <w:rPr>
            <w:noProof/>
            <w:webHidden/>
          </w:rPr>
        </w:r>
        <w:r w:rsidR="00DA2B90">
          <w:rPr>
            <w:noProof/>
            <w:webHidden/>
          </w:rPr>
          <w:fldChar w:fldCharType="separate"/>
        </w:r>
        <w:r>
          <w:rPr>
            <w:noProof/>
            <w:webHidden/>
          </w:rPr>
          <w:t>326</w:t>
        </w:r>
        <w:r w:rsidR="00DA2B90">
          <w:rPr>
            <w:noProof/>
            <w:webHidden/>
          </w:rPr>
          <w:fldChar w:fldCharType="end"/>
        </w:r>
      </w:hyperlink>
    </w:p>
    <w:p w14:paraId="7E1F85A9" w14:textId="03213CAA" w:rsidR="000A0158" w:rsidRPr="000A0158" w:rsidRDefault="000D6D8A" w:rsidP="000A0158">
      <w:r>
        <w:fldChar w:fldCharType="end"/>
      </w:r>
    </w:p>
    <w:p w14:paraId="1A57A918" w14:textId="77777777" w:rsidR="002B76A7" w:rsidRDefault="002B76A7" w:rsidP="002B76A7">
      <w:pPr>
        <w:pStyle w:val="TOC1"/>
        <w:keepNext/>
      </w:pPr>
      <w:r>
        <w:t xml:space="preserve">List of </w:t>
      </w:r>
      <w:r w:rsidR="00515DFB">
        <w:t>t</w:t>
      </w:r>
      <w:r>
        <w:t>ables</w:t>
      </w:r>
    </w:p>
    <w:p w14:paraId="5E1824AB" w14:textId="16E286CC" w:rsidR="006E0D1C" w:rsidRDefault="000D6D8A">
      <w:pPr>
        <w:pStyle w:val="TOC3"/>
        <w:rPr>
          <w:rFonts w:asciiTheme="minorHAnsi" w:eastAsiaTheme="minorEastAsia" w:hAnsiTheme="minorHAnsi" w:cstheme="minorBidi"/>
          <w:noProof/>
          <w:sz w:val="22"/>
          <w:szCs w:val="22"/>
          <w:lang w:eastAsia="en-NZ"/>
        </w:rPr>
      </w:pPr>
      <w:r>
        <w:rPr>
          <w:sz w:val="20"/>
        </w:rPr>
        <w:fldChar w:fldCharType="begin"/>
      </w:r>
      <w:r>
        <w:rPr>
          <w:sz w:val="20"/>
        </w:rPr>
        <w:instrText xml:space="preserve"> TOC \h \z \t "Table,3" </w:instrText>
      </w:r>
      <w:r>
        <w:rPr>
          <w:sz w:val="20"/>
        </w:rPr>
        <w:fldChar w:fldCharType="separate"/>
      </w:r>
      <w:hyperlink w:anchor="_Toc18594741" w:history="1">
        <w:r w:rsidR="006E0D1C" w:rsidRPr="00464F39">
          <w:rPr>
            <w:rStyle w:val="Hyperlink"/>
            <w:noProof/>
          </w:rPr>
          <w:t>Table 1: Population by age group and gender, Māori and non</w:t>
        </w:r>
        <w:r w:rsidR="006E0D1C" w:rsidRPr="00464F39">
          <w:rPr>
            <w:rStyle w:val="Hyperlink"/>
            <w:noProof/>
          </w:rPr>
          <w:noBreakHyphen/>
          <w:t>Māori, 2001</w:t>
        </w:r>
        <w:r w:rsidR="006E0D1C">
          <w:rPr>
            <w:noProof/>
            <w:webHidden/>
          </w:rPr>
          <w:tab/>
        </w:r>
        <w:r w:rsidR="006E0D1C">
          <w:rPr>
            <w:noProof/>
            <w:webHidden/>
          </w:rPr>
          <w:fldChar w:fldCharType="begin"/>
        </w:r>
        <w:r w:rsidR="006E0D1C">
          <w:rPr>
            <w:noProof/>
            <w:webHidden/>
          </w:rPr>
          <w:instrText xml:space="preserve"> PAGEREF _Toc18594741 \h </w:instrText>
        </w:r>
        <w:r w:rsidR="006E0D1C">
          <w:rPr>
            <w:noProof/>
            <w:webHidden/>
          </w:rPr>
        </w:r>
        <w:r w:rsidR="006E0D1C">
          <w:rPr>
            <w:noProof/>
            <w:webHidden/>
          </w:rPr>
          <w:fldChar w:fldCharType="separate"/>
        </w:r>
        <w:r w:rsidR="00D2215B">
          <w:rPr>
            <w:noProof/>
            <w:webHidden/>
          </w:rPr>
          <w:t>5</w:t>
        </w:r>
        <w:r w:rsidR="006E0D1C">
          <w:rPr>
            <w:noProof/>
            <w:webHidden/>
          </w:rPr>
          <w:fldChar w:fldCharType="end"/>
        </w:r>
      </w:hyperlink>
    </w:p>
    <w:p w14:paraId="5F43942D" w14:textId="141C3C17" w:rsidR="006E0D1C" w:rsidRDefault="00D2215B">
      <w:pPr>
        <w:pStyle w:val="TOC3"/>
        <w:rPr>
          <w:rFonts w:asciiTheme="minorHAnsi" w:eastAsiaTheme="minorEastAsia" w:hAnsiTheme="minorHAnsi" w:cstheme="minorBidi"/>
          <w:noProof/>
          <w:sz w:val="22"/>
          <w:szCs w:val="22"/>
          <w:lang w:eastAsia="en-NZ"/>
        </w:rPr>
      </w:pPr>
      <w:hyperlink w:anchor="_Toc18594742" w:history="1">
        <w:r w:rsidR="006E0D1C" w:rsidRPr="00464F39">
          <w:rPr>
            <w:rStyle w:val="Hyperlink"/>
            <w:noProof/>
          </w:rPr>
          <w:t>Table 2: Population by age group and gender, Māori and non</w:t>
        </w:r>
        <w:r w:rsidR="006E0D1C" w:rsidRPr="00464F39">
          <w:rPr>
            <w:rStyle w:val="Hyperlink"/>
            <w:noProof/>
          </w:rPr>
          <w:noBreakHyphen/>
          <w:t>Māori, 2006</w:t>
        </w:r>
        <w:r w:rsidR="006E0D1C">
          <w:rPr>
            <w:noProof/>
            <w:webHidden/>
          </w:rPr>
          <w:tab/>
        </w:r>
        <w:r w:rsidR="006E0D1C">
          <w:rPr>
            <w:noProof/>
            <w:webHidden/>
          </w:rPr>
          <w:fldChar w:fldCharType="begin"/>
        </w:r>
        <w:r w:rsidR="006E0D1C">
          <w:rPr>
            <w:noProof/>
            <w:webHidden/>
          </w:rPr>
          <w:instrText xml:space="preserve"> PAGEREF _Toc18594742 \h </w:instrText>
        </w:r>
        <w:r w:rsidR="006E0D1C">
          <w:rPr>
            <w:noProof/>
            <w:webHidden/>
          </w:rPr>
        </w:r>
        <w:r w:rsidR="006E0D1C">
          <w:rPr>
            <w:noProof/>
            <w:webHidden/>
          </w:rPr>
          <w:fldChar w:fldCharType="separate"/>
        </w:r>
        <w:r>
          <w:rPr>
            <w:noProof/>
            <w:webHidden/>
          </w:rPr>
          <w:t>6</w:t>
        </w:r>
        <w:r w:rsidR="006E0D1C">
          <w:rPr>
            <w:noProof/>
            <w:webHidden/>
          </w:rPr>
          <w:fldChar w:fldCharType="end"/>
        </w:r>
      </w:hyperlink>
    </w:p>
    <w:p w14:paraId="3E987D4E" w14:textId="3E4C8F8A" w:rsidR="006E0D1C" w:rsidRDefault="00D2215B">
      <w:pPr>
        <w:pStyle w:val="TOC3"/>
        <w:rPr>
          <w:rFonts w:asciiTheme="minorHAnsi" w:eastAsiaTheme="minorEastAsia" w:hAnsiTheme="minorHAnsi" w:cstheme="minorBidi"/>
          <w:noProof/>
          <w:sz w:val="22"/>
          <w:szCs w:val="22"/>
          <w:lang w:eastAsia="en-NZ"/>
        </w:rPr>
      </w:pPr>
      <w:hyperlink w:anchor="_Toc18594743" w:history="1">
        <w:r w:rsidR="006E0D1C" w:rsidRPr="00464F39">
          <w:rPr>
            <w:rStyle w:val="Hyperlink"/>
            <w:noProof/>
          </w:rPr>
          <w:t>Table 3: Population by age group and gender, Māori and non</w:t>
        </w:r>
        <w:r w:rsidR="006E0D1C" w:rsidRPr="00464F39">
          <w:rPr>
            <w:rStyle w:val="Hyperlink"/>
            <w:noProof/>
          </w:rPr>
          <w:noBreakHyphen/>
          <w:t>Māori, 2013</w:t>
        </w:r>
        <w:r w:rsidR="006E0D1C">
          <w:rPr>
            <w:noProof/>
            <w:webHidden/>
          </w:rPr>
          <w:tab/>
        </w:r>
        <w:r w:rsidR="006E0D1C">
          <w:rPr>
            <w:noProof/>
            <w:webHidden/>
          </w:rPr>
          <w:fldChar w:fldCharType="begin"/>
        </w:r>
        <w:r w:rsidR="006E0D1C">
          <w:rPr>
            <w:noProof/>
            <w:webHidden/>
          </w:rPr>
          <w:instrText xml:space="preserve"> PAGEREF _Toc18594743 \h </w:instrText>
        </w:r>
        <w:r w:rsidR="006E0D1C">
          <w:rPr>
            <w:noProof/>
            <w:webHidden/>
          </w:rPr>
        </w:r>
        <w:r w:rsidR="006E0D1C">
          <w:rPr>
            <w:noProof/>
            <w:webHidden/>
          </w:rPr>
          <w:fldChar w:fldCharType="separate"/>
        </w:r>
        <w:r>
          <w:rPr>
            <w:noProof/>
            <w:webHidden/>
          </w:rPr>
          <w:t>6</w:t>
        </w:r>
        <w:r w:rsidR="006E0D1C">
          <w:rPr>
            <w:noProof/>
            <w:webHidden/>
          </w:rPr>
          <w:fldChar w:fldCharType="end"/>
        </w:r>
      </w:hyperlink>
    </w:p>
    <w:p w14:paraId="7B0BF5F2" w14:textId="10E89655" w:rsidR="006E0D1C" w:rsidRDefault="00D2215B">
      <w:pPr>
        <w:pStyle w:val="TOC3"/>
        <w:rPr>
          <w:rFonts w:asciiTheme="minorHAnsi" w:eastAsiaTheme="minorEastAsia" w:hAnsiTheme="minorHAnsi" w:cstheme="minorBidi"/>
          <w:noProof/>
          <w:sz w:val="22"/>
          <w:szCs w:val="22"/>
          <w:lang w:eastAsia="en-NZ"/>
        </w:rPr>
      </w:pPr>
      <w:hyperlink w:anchor="_Toc18594744" w:history="1">
        <w:r w:rsidR="006E0D1C" w:rsidRPr="00464F39">
          <w:rPr>
            <w:rStyle w:val="Hyperlink"/>
            <w:noProof/>
          </w:rPr>
          <w:t>Table 4: Projected populations by gender, Māori and non</w:t>
        </w:r>
        <w:r w:rsidR="006E0D1C" w:rsidRPr="00464F39">
          <w:rPr>
            <w:rStyle w:val="Hyperlink"/>
            <w:noProof/>
          </w:rPr>
          <w:noBreakHyphen/>
          <w:t>Māori, 2015–2030</w:t>
        </w:r>
        <w:r w:rsidR="006E0D1C">
          <w:rPr>
            <w:noProof/>
            <w:webHidden/>
          </w:rPr>
          <w:tab/>
        </w:r>
        <w:r w:rsidR="006E0D1C">
          <w:rPr>
            <w:noProof/>
            <w:webHidden/>
          </w:rPr>
          <w:fldChar w:fldCharType="begin"/>
        </w:r>
        <w:r w:rsidR="006E0D1C">
          <w:rPr>
            <w:noProof/>
            <w:webHidden/>
          </w:rPr>
          <w:instrText xml:space="preserve"> PAGEREF _Toc18594744 \h </w:instrText>
        </w:r>
        <w:r w:rsidR="006E0D1C">
          <w:rPr>
            <w:noProof/>
            <w:webHidden/>
          </w:rPr>
        </w:r>
        <w:r w:rsidR="006E0D1C">
          <w:rPr>
            <w:noProof/>
            <w:webHidden/>
          </w:rPr>
          <w:fldChar w:fldCharType="separate"/>
        </w:r>
        <w:r>
          <w:rPr>
            <w:noProof/>
            <w:webHidden/>
          </w:rPr>
          <w:t>7</w:t>
        </w:r>
        <w:r w:rsidR="006E0D1C">
          <w:rPr>
            <w:noProof/>
            <w:webHidden/>
          </w:rPr>
          <w:fldChar w:fldCharType="end"/>
        </w:r>
      </w:hyperlink>
    </w:p>
    <w:p w14:paraId="14E7323D" w14:textId="2042D705" w:rsidR="006E0D1C" w:rsidRDefault="00D2215B">
      <w:pPr>
        <w:pStyle w:val="TOC3"/>
        <w:rPr>
          <w:rFonts w:asciiTheme="minorHAnsi" w:eastAsiaTheme="minorEastAsia" w:hAnsiTheme="minorHAnsi" w:cstheme="minorBidi"/>
          <w:noProof/>
          <w:sz w:val="22"/>
          <w:szCs w:val="22"/>
          <w:lang w:eastAsia="en-NZ"/>
        </w:rPr>
      </w:pPr>
      <w:hyperlink w:anchor="_Toc18594745" w:history="1">
        <w:r w:rsidR="006E0D1C" w:rsidRPr="00464F39">
          <w:rPr>
            <w:rStyle w:val="Hyperlink"/>
            <w:noProof/>
          </w:rPr>
          <w:t>Table 5: District Health Board age distributions, Māori and non</w:t>
        </w:r>
        <w:r w:rsidR="006E0D1C" w:rsidRPr="00464F39">
          <w:rPr>
            <w:rStyle w:val="Hyperlink"/>
            <w:noProof/>
          </w:rPr>
          <w:noBreakHyphen/>
          <w:t>Māori, 2001</w:t>
        </w:r>
        <w:r w:rsidR="006E0D1C">
          <w:rPr>
            <w:noProof/>
            <w:webHidden/>
          </w:rPr>
          <w:tab/>
        </w:r>
        <w:r w:rsidR="006E0D1C">
          <w:rPr>
            <w:noProof/>
            <w:webHidden/>
          </w:rPr>
          <w:fldChar w:fldCharType="begin"/>
        </w:r>
        <w:r w:rsidR="006E0D1C">
          <w:rPr>
            <w:noProof/>
            <w:webHidden/>
          </w:rPr>
          <w:instrText xml:space="preserve"> PAGEREF _Toc18594745 \h </w:instrText>
        </w:r>
        <w:r w:rsidR="006E0D1C">
          <w:rPr>
            <w:noProof/>
            <w:webHidden/>
          </w:rPr>
        </w:r>
        <w:r w:rsidR="006E0D1C">
          <w:rPr>
            <w:noProof/>
            <w:webHidden/>
          </w:rPr>
          <w:fldChar w:fldCharType="separate"/>
        </w:r>
        <w:r>
          <w:rPr>
            <w:noProof/>
            <w:webHidden/>
          </w:rPr>
          <w:t>9</w:t>
        </w:r>
        <w:r w:rsidR="006E0D1C">
          <w:rPr>
            <w:noProof/>
            <w:webHidden/>
          </w:rPr>
          <w:fldChar w:fldCharType="end"/>
        </w:r>
      </w:hyperlink>
    </w:p>
    <w:p w14:paraId="047F023D" w14:textId="055F381E" w:rsidR="006E0D1C" w:rsidRDefault="00D2215B">
      <w:pPr>
        <w:pStyle w:val="TOC3"/>
        <w:rPr>
          <w:rFonts w:asciiTheme="minorHAnsi" w:eastAsiaTheme="minorEastAsia" w:hAnsiTheme="minorHAnsi" w:cstheme="minorBidi"/>
          <w:noProof/>
          <w:sz w:val="22"/>
          <w:szCs w:val="22"/>
          <w:lang w:eastAsia="en-NZ"/>
        </w:rPr>
      </w:pPr>
      <w:hyperlink w:anchor="_Toc18594746" w:history="1">
        <w:r w:rsidR="006E0D1C" w:rsidRPr="00464F39">
          <w:rPr>
            <w:rStyle w:val="Hyperlink"/>
            <w:noProof/>
          </w:rPr>
          <w:t>Table 6: District Health Board age distributions, Māori and non</w:t>
        </w:r>
        <w:r w:rsidR="006E0D1C" w:rsidRPr="00464F39">
          <w:rPr>
            <w:rStyle w:val="Hyperlink"/>
            <w:noProof/>
          </w:rPr>
          <w:noBreakHyphen/>
          <w:t>Māori, 2006</w:t>
        </w:r>
        <w:r w:rsidR="006E0D1C">
          <w:rPr>
            <w:noProof/>
            <w:webHidden/>
          </w:rPr>
          <w:tab/>
        </w:r>
        <w:r w:rsidR="006E0D1C">
          <w:rPr>
            <w:noProof/>
            <w:webHidden/>
          </w:rPr>
          <w:fldChar w:fldCharType="begin"/>
        </w:r>
        <w:r w:rsidR="006E0D1C">
          <w:rPr>
            <w:noProof/>
            <w:webHidden/>
          </w:rPr>
          <w:instrText xml:space="preserve"> PAGEREF _Toc18594746 \h </w:instrText>
        </w:r>
        <w:r w:rsidR="006E0D1C">
          <w:rPr>
            <w:noProof/>
            <w:webHidden/>
          </w:rPr>
        </w:r>
        <w:r w:rsidR="006E0D1C">
          <w:rPr>
            <w:noProof/>
            <w:webHidden/>
          </w:rPr>
          <w:fldChar w:fldCharType="separate"/>
        </w:r>
        <w:r>
          <w:rPr>
            <w:noProof/>
            <w:webHidden/>
          </w:rPr>
          <w:t>11</w:t>
        </w:r>
        <w:r w:rsidR="006E0D1C">
          <w:rPr>
            <w:noProof/>
            <w:webHidden/>
          </w:rPr>
          <w:fldChar w:fldCharType="end"/>
        </w:r>
      </w:hyperlink>
    </w:p>
    <w:p w14:paraId="17859ADB" w14:textId="4BE99F23" w:rsidR="006E0D1C" w:rsidRDefault="00D2215B">
      <w:pPr>
        <w:pStyle w:val="TOC3"/>
        <w:rPr>
          <w:rFonts w:asciiTheme="minorHAnsi" w:eastAsiaTheme="minorEastAsia" w:hAnsiTheme="minorHAnsi" w:cstheme="minorBidi"/>
          <w:noProof/>
          <w:sz w:val="22"/>
          <w:szCs w:val="22"/>
          <w:lang w:eastAsia="en-NZ"/>
        </w:rPr>
      </w:pPr>
      <w:hyperlink w:anchor="_Toc18594747" w:history="1">
        <w:r w:rsidR="006E0D1C" w:rsidRPr="00464F39">
          <w:rPr>
            <w:rStyle w:val="Hyperlink"/>
            <w:noProof/>
          </w:rPr>
          <w:t>Table 7: District Health Board age distributions, Māori and non</w:t>
        </w:r>
        <w:r w:rsidR="006E0D1C" w:rsidRPr="00464F39">
          <w:rPr>
            <w:rStyle w:val="Hyperlink"/>
            <w:noProof/>
          </w:rPr>
          <w:noBreakHyphen/>
          <w:t>Māori, 2013</w:t>
        </w:r>
        <w:r w:rsidR="006E0D1C">
          <w:rPr>
            <w:noProof/>
            <w:webHidden/>
          </w:rPr>
          <w:tab/>
        </w:r>
        <w:r w:rsidR="006E0D1C">
          <w:rPr>
            <w:noProof/>
            <w:webHidden/>
          </w:rPr>
          <w:fldChar w:fldCharType="begin"/>
        </w:r>
        <w:r w:rsidR="006E0D1C">
          <w:rPr>
            <w:noProof/>
            <w:webHidden/>
          </w:rPr>
          <w:instrText xml:space="preserve"> PAGEREF _Toc18594747 \h </w:instrText>
        </w:r>
        <w:r w:rsidR="006E0D1C">
          <w:rPr>
            <w:noProof/>
            <w:webHidden/>
          </w:rPr>
        </w:r>
        <w:r w:rsidR="006E0D1C">
          <w:rPr>
            <w:noProof/>
            <w:webHidden/>
          </w:rPr>
          <w:fldChar w:fldCharType="separate"/>
        </w:r>
        <w:r>
          <w:rPr>
            <w:noProof/>
            <w:webHidden/>
          </w:rPr>
          <w:t>13</w:t>
        </w:r>
        <w:r w:rsidR="006E0D1C">
          <w:rPr>
            <w:noProof/>
            <w:webHidden/>
          </w:rPr>
          <w:fldChar w:fldCharType="end"/>
        </w:r>
      </w:hyperlink>
    </w:p>
    <w:p w14:paraId="7B927BFA" w14:textId="5937A42D" w:rsidR="006E0D1C" w:rsidRDefault="00D2215B">
      <w:pPr>
        <w:pStyle w:val="TOC3"/>
        <w:rPr>
          <w:rFonts w:asciiTheme="minorHAnsi" w:eastAsiaTheme="minorEastAsia" w:hAnsiTheme="minorHAnsi" w:cstheme="minorBidi"/>
          <w:noProof/>
          <w:sz w:val="22"/>
          <w:szCs w:val="22"/>
          <w:lang w:eastAsia="en-NZ"/>
        </w:rPr>
      </w:pPr>
      <w:hyperlink w:anchor="_Toc18594748" w:history="1">
        <w:r w:rsidR="006E0D1C" w:rsidRPr="00464F39">
          <w:rPr>
            <w:rStyle w:val="Hyperlink"/>
            <w:noProof/>
          </w:rPr>
          <w:t>Table 8: Populations by neighbourhood deprivation decile (NZDep) and by gender, Māori and non</w:t>
        </w:r>
        <w:r w:rsidR="006E0D1C" w:rsidRPr="00464F39">
          <w:rPr>
            <w:rStyle w:val="Hyperlink"/>
            <w:noProof/>
          </w:rPr>
          <w:noBreakHyphen/>
          <w:t>Māori, 2001, 2006 and 2013</w:t>
        </w:r>
        <w:r w:rsidR="006E0D1C">
          <w:rPr>
            <w:noProof/>
            <w:webHidden/>
          </w:rPr>
          <w:tab/>
        </w:r>
        <w:r w:rsidR="006E0D1C">
          <w:rPr>
            <w:noProof/>
            <w:webHidden/>
          </w:rPr>
          <w:fldChar w:fldCharType="begin"/>
        </w:r>
        <w:r w:rsidR="006E0D1C">
          <w:rPr>
            <w:noProof/>
            <w:webHidden/>
          </w:rPr>
          <w:instrText xml:space="preserve"> PAGEREF _Toc18594748 \h </w:instrText>
        </w:r>
        <w:r w:rsidR="006E0D1C">
          <w:rPr>
            <w:noProof/>
            <w:webHidden/>
          </w:rPr>
        </w:r>
        <w:r w:rsidR="006E0D1C">
          <w:rPr>
            <w:noProof/>
            <w:webHidden/>
          </w:rPr>
          <w:fldChar w:fldCharType="separate"/>
        </w:r>
        <w:r>
          <w:rPr>
            <w:noProof/>
            <w:webHidden/>
          </w:rPr>
          <w:t>15</w:t>
        </w:r>
        <w:r w:rsidR="006E0D1C">
          <w:rPr>
            <w:noProof/>
            <w:webHidden/>
          </w:rPr>
          <w:fldChar w:fldCharType="end"/>
        </w:r>
      </w:hyperlink>
    </w:p>
    <w:p w14:paraId="3DAB1D68" w14:textId="569FDDF2" w:rsidR="006E0D1C" w:rsidRDefault="00D2215B">
      <w:pPr>
        <w:pStyle w:val="TOC3"/>
        <w:rPr>
          <w:rFonts w:asciiTheme="minorHAnsi" w:eastAsiaTheme="minorEastAsia" w:hAnsiTheme="minorHAnsi" w:cstheme="minorBidi"/>
          <w:noProof/>
          <w:sz w:val="22"/>
          <w:szCs w:val="22"/>
          <w:lang w:eastAsia="en-NZ"/>
        </w:rPr>
      </w:pPr>
      <w:hyperlink w:anchor="_Toc18594749" w:history="1">
        <w:r w:rsidR="006E0D1C" w:rsidRPr="00464F39">
          <w:rPr>
            <w:rStyle w:val="Hyperlink"/>
            <w:noProof/>
          </w:rPr>
          <w:t>Table 9: Socioeconomic indicators, by gender, Māori and non</w:t>
        </w:r>
        <w:r w:rsidR="006E0D1C" w:rsidRPr="00464F39">
          <w:rPr>
            <w:rStyle w:val="Hyperlink"/>
            <w:noProof/>
          </w:rPr>
          <w:noBreakHyphen/>
          <w:t>Māori, 2001</w:t>
        </w:r>
        <w:r w:rsidR="006E0D1C">
          <w:rPr>
            <w:noProof/>
            <w:webHidden/>
          </w:rPr>
          <w:tab/>
        </w:r>
        <w:r w:rsidR="006E0D1C">
          <w:rPr>
            <w:noProof/>
            <w:webHidden/>
          </w:rPr>
          <w:fldChar w:fldCharType="begin"/>
        </w:r>
        <w:r w:rsidR="006E0D1C">
          <w:rPr>
            <w:noProof/>
            <w:webHidden/>
          </w:rPr>
          <w:instrText xml:space="preserve"> PAGEREF _Toc18594749 \h </w:instrText>
        </w:r>
        <w:r w:rsidR="006E0D1C">
          <w:rPr>
            <w:noProof/>
            <w:webHidden/>
          </w:rPr>
        </w:r>
        <w:r w:rsidR="006E0D1C">
          <w:rPr>
            <w:noProof/>
            <w:webHidden/>
          </w:rPr>
          <w:fldChar w:fldCharType="separate"/>
        </w:r>
        <w:r>
          <w:rPr>
            <w:noProof/>
            <w:webHidden/>
          </w:rPr>
          <w:t>17</w:t>
        </w:r>
        <w:r w:rsidR="006E0D1C">
          <w:rPr>
            <w:noProof/>
            <w:webHidden/>
          </w:rPr>
          <w:fldChar w:fldCharType="end"/>
        </w:r>
      </w:hyperlink>
    </w:p>
    <w:p w14:paraId="6893F4B9" w14:textId="331C6A5D" w:rsidR="006E0D1C" w:rsidRDefault="00D2215B">
      <w:pPr>
        <w:pStyle w:val="TOC3"/>
        <w:rPr>
          <w:rFonts w:asciiTheme="minorHAnsi" w:eastAsiaTheme="minorEastAsia" w:hAnsiTheme="minorHAnsi" w:cstheme="minorBidi"/>
          <w:noProof/>
          <w:sz w:val="22"/>
          <w:szCs w:val="22"/>
          <w:lang w:eastAsia="en-NZ"/>
        </w:rPr>
      </w:pPr>
      <w:hyperlink w:anchor="_Toc18594750" w:history="1">
        <w:r w:rsidR="006E0D1C" w:rsidRPr="00464F39">
          <w:rPr>
            <w:rStyle w:val="Hyperlink"/>
            <w:noProof/>
          </w:rPr>
          <w:t>Table 10: Socioeconomic indicators, by gender, Māori and non</w:t>
        </w:r>
        <w:r w:rsidR="006E0D1C" w:rsidRPr="00464F39">
          <w:rPr>
            <w:rStyle w:val="Hyperlink"/>
            <w:noProof/>
          </w:rPr>
          <w:noBreakHyphen/>
          <w:t>Māori, 2006</w:t>
        </w:r>
        <w:r w:rsidR="006E0D1C">
          <w:rPr>
            <w:noProof/>
            <w:webHidden/>
          </w:rPr>
          <w:tab/>
        </w:r>
        <w:r w:rsidR="006E0D1C">
          <w:rPr>
            <w:noProof/>
            <w:webHidden/>
          </w:rPr>
          <w:fldChar w:fldCharType="begin"/>
        </w:r>
        <w:r w:rsidR="006E0D1C">
          <w:rPr>
            <w:noProof/>
            <w:webHidden/>
          </w:rPr>
          <w:instrText xml:space="preserve"> PAGEREF _Toc18594750 \h </w:instrText>
        </w:r>
        <w:r w:rsidR="006E0D1C">
          <w:rPr>
            <w:noProof/>
            <w:webHidden/>
          </w:rPr>
        </w:r>
        <w:r w:rsidR="006E0D1C">
          <w:rPr>
            <w:noProof/>
            <w:webHidden/>
          </w:rPr>
          <w:fldChar w:fldCharType="separate"/>
        </w:r>
        <w:r>
          <w:rPr>
            <w:noProof/>
            <w:webHidden/>
          </w:rPr>
          <w:t>18</w:t>
        </w:r>
        <w:r w:rsidR="006E0D1C">
          <w:rPr>
            <w:noProof/>
            <w:webHidden/>
          </w:rPr>
          <w:fldChar w:fldCharType="end"/>
        </w:r>
      </w:hyperlink>
    </w:p>
    <w:p w14:paraId="0F204429" w14:textId="1E2A779A" w:rsidR="006E0D1C" w:rsidRDefault="00D2215B">
      <w:pPr>
        <w:pStyle w:val="TOC3"/>
        <w:rPr>
          <w:rFonts w:asciiTheme="minorHAnsi" w:eastAsiaTheme="minorEastAsia" w:hAnsiTheme="minorHAnsi" w:cstheme="minorBidi"/>
          <w:noProof/>
          <w:sz w:val="22"/>
          <w:szCs w:val="22"/>
          <w:lang w:eastAsia="en-NZ"/>
        </w:rPr>
      </w:pPr>
      <w:hyperlink w:anchor="_Toc18594751" w:history="1">
        <w:r w:rsidR="006E0D1C" w:rsidRPr="00464F39">
          <w:rPr>
            <w:rStyle w:val="Hyperlink"/>
            <w:noProof/>
          </w:rPr>
          <w:t>Table 11: Socioeconomic indicators, by gender, Māori and non</w:t>
        </w:r>
        <w:r w:rsidR="006E0D1C" w:rsidRPr="00464F39">
          <w:rPr>
            <w:rStyle w:val="Hyperlink"/>
            <w:noProof/>
          </w:rPr>
          <w:noBreakHyphen/>
          <w:t>Māori, 2013</w:t>
        </w:r>
        <w:r w:rsidR="006E0D1C">
          <w:rPr>
            <w:noProof/>
            <w:webHidden/>
          </w:rPr>
          <w:tab/>
        </w:r>
        <w:r w:rsidR="006E0D1C">
          <w:rPr>
            <w:noProof/>
            <w:webHidden/>
          </w:rPr>
          <w:fldChar w:fldCharType="begin"/>
        </w:r>
        <w:r w:rsidR="006E0D1C">
          <w:rPr>
            <w:noProof/>
            <w:webHidden/>
          </w:rPr>
          <w:instrText xml:space="preserve"> PAGEREF _Toc18594751 \h </w:instrText>
        </w:r>
        <w:r w:rsidR="006E0D1C">
          <w:rPr>
            <w:noProof/>
            <w:webHidden/>
          </w:rPr>
        </w:r>
        <w:r w:rsidR="006E0D1C">
          <w:rPr>
            <w:noProof/>
            <w:webHidden/>
          </w:rPr>
          <w:fldChar w:fldCharType="separate"/>
        </w:r>
        <w:r>
          <w:rPr>
            <w:noProof/>
            <w:webHidden/>
          </w:rPr>
          <w:t>19</w:t>
        </w:r>
        <w:r w:rsidR="006E0D1C">
          <w:rPr>
            <w:noProof/>
            <w:webHidden/>
          </w:rPr>
          <w:fldChar w:fldCharType="end"/>
        </w:r>
      </w:hyperlink>
    </w:p>
    <w:p w14:paraId="63E3A266" w14:textId="1C6DB1A7" w:rsidR="006E0D1C" w:rsidRDefault="00D2215B">
      <w:pPr>
        <w:pStyle w:val="TOC3"/>
        <w:rPr>
          <w:rFonts w:asciiTheme="minorHAnsi" w:eastAsiaTheme="minorEastAsia" w:hAnsiTheme="minorHAnsi" w:cstheme="minorBidi"/>
          <w:noProof/>
          <w:sz w:val="22"/>
          <w:szCs w:val="22"/>
          <w:lang w:eastAsia="en-NZ"/>
        </w:rPr>
      </w:pPr>
      <w:hyperlink w:anchor="_Toc18594752" w:history="1">
        <w:r w:rsidR="006E0D1C" w:rsidRPr="00464F39">
          <w:rPr>
            <w:rStyle w:val="Hyperlink"/>
            <w:noProof/>
          </w:rPr>
          <w:t>Table12: Self-reported experience of any racial discrimination, by gender, Māori and non</w:t>
        </w:r>
        <w:r w:rsidR="006E0D1C" w:rsidRPr="00464F39">
          <w:rPr>
            <w:rStyle w:val="Hyperlink"/>
            <w:noProof/>
          </w:rPr>
          <w:noBreakHyphen/>
          <w:t>Māori, 2006/07 and 2011/12</w:t>
        </w:r>
        <w:r w:rsidR="006E0D1C">
          <w:rPr>
            <w:noProof/>
            <w:webHidden/>
          </w:rPr>
          <w:tab/>
        </w:r>
        <w:r w:rsidR="006E0D1C">
          <w:rPr>
            <w:noProof/>
            <w:webHidden/>
          </w:rPr>
          <w:fldChar w:fldCharType="begin"/>
        </w:r>
        <w:r w:rsidR="006E0D1C">
          <w:rPr>
            <w:noProof/>
            <w:webHidden/>
          </w:rPr>
          <w:instrText xml:space="preserve"> PAGEREF _Toc18594752 \h </w:instrText>
        </w:r>
        <w:r w:rsidR="006E0D1C">
          <w:rPr>
            <w:noProof/>
            <w:webHidden/>
          </w:rPr>
        </w:r>
        <w:r w:rsidR="006E0D1C">
          <w:rPr>
            <w:noProof/>
            <w:webHidden/>
          </w:rPr>
          <w:fldChar w:fldCharType="separate"/>
        </w:r>
        <w:r>
          <w:rPr>
            <w:noProof/>
            <w:webHidden/>
          </w:rPr>
          <w:t>20</w:t>
        </w:r>
        <w:r w:rsidR="006E0D1C">
          <w:rPr>
            <w:noProof/>
            <w:webHidden/>
          </w:rPr>
          <w:fldChar w:fldCharType="end"/>
        </w:r>
      </w:hyperlink>
    </w:p>
    <w:p w14:paraId="2EDA042A" w14:textId="72549864" w:rsidR="006E0D1C" w:rsidRDefault="00D2215B">
      <w:pPr>
        <w:pStyle w:val="TOC3"/>
        <w:rPr>
          <w:rFonts w:asciiTheme="minorHAnsi" w:eastAsiaTheme="minorEastAsia" w:hAnsiTheme="minorHAnsi" w:cstheme="minorBidi"/>
          <w:noProof/>
          <w:sz w:val="22"/>
          <w:szCs w:val="22"/>
          <w:lang w:eastAsia="en-NZ"/>
        </w:rPr>
      </w:pPr>
      <w:hyperlink w:anchor="_Toc18594753" w:history="1">
        <w:r w:rsidR="006E0D1C" w:rsidRPr="00464F39">
          <w:rPr>
            <w:rStyle w:val="Hyperlink"/>
            <w:noProof/>
          </w:rPr>
          <w:t>Table 13: Self-reported experience of ethnically motivated personal attack, by gender, Māori and non</w:t>
        </w:r>
        <w:r w:rsidR="006E0D1C" w:rsidRPr="00464F39">
          <w:rPr>
            <w:rStyle w:val="Hyperlink"/>
            <w:noProof/>
          </w:rPr>
          <w:noBreakHyphen/>
          <w:t>Māori, 2006/07 to 2016/17</w:t>
        </w:r>
        <w:r w:rsidR="006E0D1C">
          <w:rPr>
            <w:noProof/>
            <w:webHidden/>
          </w:rPr>
          <w:tab/>
        </w:r>
        <w:r w:rsidR="006E0D1C">
          <w:rPr>
            <w:noProof/>
            <w:webHidden/>
          </w:rPr>
          <w:fldChar w:fldCharType="begin"/>
        </w:r>
        <w:r w:rsidR="006E0D1C">
          <w:rPr>
            <w:noProof/>
            <w:webHidden/>
          </w:rPr>
          <w:instrText xml:space="preserve"> PAGEREF _Toc18594753 \h </w:instrText>
        </w:r>
        <w:r w:rsidR="006E0D1C">
          <w:rPr>
            <w:noProof/>
            <w:webHidden/>
          </w:rPr>
        </w:r>
        <w:r w:rsidR="006E0D1C">
          <w:rPr>
            <w:noProof/>
            <w:webHidden/>
          </w:rPr>
          <w:fldChar w:fldCharType="separate"/>
        </w:r>
        <w:r>
          <w:rPr>
            <w:noProof/>
            <w:webHidden/>
          </w:rPr>
          <w:t>21</w:t>
        </w:r>
        <w:r w:rsidR="006E0D1C">
          <w:rPr>
            <w:noProof/>
            <w:webHidden/>
          </w:rPr>
          <w:fldChar w:fldCharType="end"/>
        </w:r>
      </w:hyperlink>
    </w:p>
    <w:p w14:paraId="7CDE8251" w14:textId="3899E24B" w:rsidR="006E0D1C" w:rsidRDefault="00D2215B">
      <w:pPr>
        <w:pStyle w:val="TOC3"/>
        <w:rPr>
          <w:rFonts w:asciiTheme="minorHAnsi" w:eastAsiaTheme="minorEastAsia" w:hAnsiTheme="minorHAnsi" w:cstheme="minorBidi"/>
          <w:noProof/>
          <w:sz w:val="22"/>
          <w:szCs w:val="22"/>
          <w:lang w:eastAsia="en-NZ"/>
        </w:rPr>
      </w:pPr>
      <w:hyperlink w:anchor="_Toc18594754" w:history="1">
        <w:r w:rsidR="006E0D1C" w:rsidRPr="00464F39">
          <w:rPr>
            <w:rStyle w:val="Hyperlink"/>
            <w:noProof/>
          </w:rPr>
          <w:t>Table 14: Self-reported experience of unfair treatment on the basis of ethnicity, by gender, Māori and non</w:t>
        </w:r>
        <w:r w:rsidR="006E0D1C" w:rsidRPr="00464F39">
          <w:rPr>
            <w:rStyle w:val="Hyperlink"/>
            <w:noProof/>
          </w:rPr>
          <w:noBreakHyphen/>
          <w:t>Māori, 2006/07 and 2011/12</w:t>
        </w:r>
        <w:r w:rsidR="006E0D1C">
          <w:rPr>
            <w:noProof/>
            <w:webHidden/>
          </w:rPr>
          <w:tab/>
        </w:r>
        <w:r w:rsidR="006E0D1C">
          <w:rPr>
            <w:noProof/>
            <w:webHidden/>
          </w:rPr>
          <w:fldChar w:fldCharType="begin"/>
        </w:r>
        <w:r w:rsidR="006E0D1C">
          <w:rPr>
            <w:noProof/>
            <w:webHidden/>
          </w:rPr>
          <w:instrText xml:space="preserve"> PAGEREF _Toc18594754 \h </w:instrText>
        </w:r>
        <w:r w:rsidR="006E0D1C">
          <w:rPr>
            <w:noProof/>
            <w:webHidden/>
          </w:rPr>
        </w:r>
        <w:r w:rsidR="006E0D1C">
          <w:rPr>
            <w:noProof/>
            <w:webHidden/>
          </w:rPr>
          <w:fldChar w:fldCharType="separate"/>
        </w:r>
        <w:r>
          <w:rPr>
            <w:noProof/>
            <w:webHidden/>
          </w:rPr>
          <w:t>22</w:t>
        </w:r>
        <w:r w:rsidR="006E0D1C">
          <w:rPr>
            <w:noProof/>
            <w:webHidden/>
          </w:rPr>
          <w:fldChar w:fldCharType="end"/>
        </w:r>
      </w:hyperlink>
    </w:p>
    <w:p w14:paraId="7F3A4D11" w14:textId="319C0285" w:rsidR="006E0D1C" w:rsidRDefault="00D2215B">
      <w:pPr>
        <w:pStyle w:val="TOC3"/>
        <w:rPr>
          <w:rFonts w:asciiTheme="minorHAnsi" w:eastAsiaTheme="minorEastAsia" w:hAnsiTheme="minorHAnsi" w:cstheme="minorBidi"/>
          <w:noProof/>
          <w:sz w:val="22"/>
          <w:szCs w:val="22"/>
          <w:lang w:eastAsia="en-NZ"/>
        </w:rPr>
      </w:pPr>
      <w:hyperlink w:anchor="_Toc18594755" w:history="1">
        <w:r w:rsidR="006E0D1C" w:rsidRPr="00464F39">
          <w:rPr>
            <w:rStyle w:val="Hyperlink"/>
            <w:noProof/>
          </w:rPr>
          <w:t>Table 15: International BMI cut-off points for adults aged 18 years and over</w:t>
        </w:r>
        <w:r w:rsidR="006E0D1C">
          <w:rPr>
            <w:noProof/>
            <w:webHidden/>
          </w:rPr>
          <w:tab/>
        </w:r>
        <w:r w:rsidR="006E0D1C">
          <w:rPr>
            <w:noProof/>
            <w:webHidden/>
          </w:rPr>
          <w:fldChar w:fldCharType="begin"/>
        </w:r>
        <w:r w:rsidR="006E0D1C">
          <w:rPr>
            <w:noProof/>
            <w:webHidden/>
          </w:rPr>
          <w:instrText xml:space="preserve"> PAGEREF _Toc18594755 \h </w:instrText>
        </w:r>
        <w:r w:rsidR="006E0D1C">
          <w:rPr>
            <w:noProof/>
            <w:webHidden/>
          </w:rPr>
        </w:r>
        <w:r w:rsidR="006E0D1C">
          <w:rPr>
            <w:noProof/>
            <w:webHidden/>
          </w:rPr>
          <w:fldChar w:fldCharType="separate"/>
        </w:r>
        <w:r>
          <w:rPr>
            <w:noProof/>
            <w:webHidden/>
          </w:rPr>
          <w:t>37</w:t>
        </w:r>
        <w:r w:rsidR="006E0D1C">
          <w:rPr>
            <w:noProof/>
            <w:webHidden/>
          </w:rPr>
          <w:fldChar w:fldCharType="end"/>
        </w:r>
      </w:hyperlink>
    </w:p>
    <w:p w14:paraId="7AAB77E3" w14:textId="6E2834CE" w:rsidR="006E0D1C" w:rsidRDefault="00D2215B">
      <w:pPr>
        <w:pStyle w:val="TOC3"/>
        <w:rPr>
          <w:rFonts w:asciiTheme="minorHAnsi" w:eastAsiaTheme="minorEastAsia" w:hAnsiTheme="minorHAnsi" w:cstheme="minorBidi"/>
          <w:noProof/>
          <w:sz w:val="22"/>
          <w:szCs w:val="22"/>
          <w:lang w:eastAsia="en-NZ"/>
        </w:rPr>
      </w:pPr>
      <w:hyperlink w:anchor="_Toc18594756" w:history="1">
        <w:r w:rsidR="006E0D1C" w:rsidRPr="00464F39">
          <w:rPr>
            <w:rStyle w:val="Hyperlink"/>
            <w:noProof/>
          </w:rPr>
          <w:t>Table 16: PGSI scores and categorisation</w:t>
        </w:r>
        <w:r w:rsidR="006E0D1C">
          <w:rPr>
            <w:noProof/>
            <w:webHidden/>
          </w:rPr>
          <w:tab/>
        </w:r>
        <w:r w:rsidR="006E0D1C">
          <w:rPr>
            <w:noProof/>
            <w:webHidden/>
          </w:rPr>
          <w:fldChar w:fldCharType="begin"/>
        </w:r>
        <w:r w:rsidR="006E0D1C">
          <w:rPr>
            <w:noProof/>
            <w:webHidden/>
          </w:rPr>
          <w:instrText xml:space="preserve"> PAGEREF _Toc18594756 \h </w:instrText>
        </w:r>
        <w:r w:rsidR="006E0D1C">
          <w:rPr>
            <w:noProof/>
            <w:webHidden/>
          </w:rPr>
        </w:r>
        <w:r w:rsidR="006E0D1C">
          <w:rPr>
            <w:noProof/>
            <w:webHidden/>
          </w:rPr>
          <w:fldChar w:fldCharType="separate"/>
        </w:r>
        <w:r>
          <w:rPr>
            <w:noProof/>
            <w:webHidden/>
          </w:rPr>
          <w:t>43</w:t>
        </w:r>
        <w:r w:rsidR="006E0D1C">
          <w:rPr>
            <w:noProof/>
            <w:webHidden/>
          </w:rPr>
          <w:fldChar w:fldCharType="end"/>
        </w:r>
      </w:hyperlink>
    </w:p>
    <w:p w14:paraId="1F234344" w14:textId="72D401FC" w:rsidR="006E0D1C" w:rsidRDefault="00D2215B">
      <w:pPr>
        <w:pStyle w:val="TOC3"/>
        <w:rPr>
          <w:rFonts w:asciiTheme="minorHAnsi" w:eastAsiaTheme="minorEastAsia" w:hAnsiTheme="minorHAnsi" w:cstheme="minorBidi"/>
          <w:noProof/>
          <w:sz w:val="22"/>
          <w:szCs w:val="22"/>
          <w:lang w:eastAsia="en-NZ"/>
        </w:rPr>
      </w:pPr>
      <w:hyperlink w:anchor="_Toc18594757" w:history="1">
        <w:r w:rsidR="006E0D1C" w:rsidRPr="00464F39">
          <w:rPr>
            <w:rStyle w:val="Hyperlink"/>
            <w:noProof/>
          </w:rPr>
          <w:t>Table 17: Gambling indicators for Māori and non</w:t>
        </w:r>
        <w:r w:rsidR="006E0D1C" w:rsidRPr="00464F39">
          <w:rPr>
            <w:rStyle w:val="Hyperlink"/>
            <w:noProof/>
          </w:rPr>
          <w:noBreakHyphen/>
          <w:t>Māori in 2006/07 and 2011/12</w:t>
        </w:r>
        <w:r w:rsidR="006E0D1C">
          <w:rPr>
            <w:noProof/>
            <w:webHidden/>
          </w:rPr>
          <w:tab/>
        </w:r>
        <w:r w:rsidR="006E0D1C">
          <w:rPr>
            <w:noProof/>
            <w:webHidden/>
          </w:rPr>
          <w:fldChar w:fldCharType="begin"/>
        </w:r>
        <w:r w:rsidR="006E0D1C">
          <w:rPr>
            <w:noProof/>
            <w:webHidden/>
          </w:rPr>
          <w:instrText xml:space="preserve"> PAGEREF _Toc18594757 \h </w:instrText>
        </w:r>
        <w:r w:rsidR="006E0D1C">
          <w:rPr>
            <w:noProof/>
            <w:webHidden/>
          </w:rPr>
        </w:r>
        <w:r w:rsidR="006E0D1C">
          <w:rPr>
            <w:noProof/>
            <w:webHidden/>
          </w:rPr>
          <w:fldChar w:fldCharType="separate"/>
        </w:r>
        <w:r>
          <w:rPr>
            <w:noProof/>
            <w:webHidden/>
          </w:rPr>
          <w:t>43</w:t>
        </w:r>
        <w:r w:rsidR="006E0D1C">
          <w:rPr>
            <w:noProof/>
            <w:webHidden/>
          </w:rPr>
          <w:fldChar w:fldCharType="end"/>
        </w:r>
      </w:hyperlink>
    </w:p>
    <w:p w14:paraId="26D84EA9" w14:textId="6E853C89" w:rsidR="006E0D1C" w:rsidRDefault="00D2215B">
      <w:pPr>
        <w:pStyle w:val="TOC3"/>
        <w:rPr>
          <w:rFonts w:asciiTheme="minorHAnsi" w:eastAsiaTheme="minorEastAsia" w:hAnsiTheme="minorHAnsi" w:cstheme="minorBidi"/>
          <w:noProof/>
          <w:sz w:val="22"/>
          <w:szCs w:val="22"/>
          <w:lang w:eastAsia="en-NZ"/>
        </w:rPr>
      </w:pPr>
      <w:hyperlink w:anchor="_Toc18594758" w:history="1">
        <w:r w:rsidR="006E0D1C" w:rsidRPr="00464F39">
          <w:rPr>
            <w:rStyle w:val="Hyperlink"/>
            <w:noProof/>
          </w:rPr>
          <w:t>Table 18: Key for major causes of death</w:t>
        </w:r>
        <w:r w:rsidR="006E0D1C">
          <w:rPr>
            <w:noProof/>
            <w:webHidden/>
          </w:rPr>
          <w:tab/>
        </w:r>
        <w:r w:rsidR="006E0D1C">
          <w:rPr>
            <w:noProof/>
            <w:webHidden/>
          </w:rPr>
          <w:fldChar w:fldCharType="begin"/>
        </w:r>
        <w:r w:rsidR="006E0D1C">
          <w:rPr>
            <w:noProof/>
            <w:webHidden/>
          </w:rPr>
          <w:instrText xml:space="preserve"> PAGEREF _Toc18594758 \h </w:instrText>
        </w:r>
        <w:r w:rsidR="006E0D1C">
          <w:rPr>
            <w:noProof/>
            <w:webHidden/>
          </w:rPr>
        </w:r>
        <w:r w:rsidR="006E0D1C">
          <w:rPr>
            <w:noProof/>
            <w:webHidden/>
          </w:rPr>
          <w:fldChar w:fldCharType="separate"/>
        </w:r>
        <w:r>
          <w:rPr>
            <w:noProof/>
            <w:webHidden/>
          </w:rPr>
          <w:t>45</w:t>
        </w:r>
        <w:r w:rsidR="006E0D1C">
          <w:rPr>
            <w:noProof/>
            <w:webHidden/>
          </w:rPr>
          <w:fldChar w:fldCharType="end"/>
        </w:r>
      </w:hyperlink>
    </w:p>
    <w:p w14:paraId="534E83C2" w14:textId="5746F54E" w:rsidR="006E0D1C" w:rsidRDefault="00D2215B">
      <w:pPr>
        <w:pStyle w:val="TOC3"/>
        <w:rPr>
          <w:rFonts w:asciiTheme="minorHAnsi" w:eastAsiaTheme="minorEastAsia" w:hAnsiTheme="minorHAnsi" w:cstheme="minorBidi"/>
          <w:noProof/>
          <w:sz w:val="22"/>
          <w:szCs w:val="22"/>
          <w:lang w:eastAsia="en-NZ"/>
        </w:rPr>
      </w:pPr>
      <w:hyperlink w:anchor="_Toc18594759" w:history="1">
        <w:r w:rsidR="006E0D1C" w:rsidRPr="00464F39">
          <w:rPr>
            <w:rStyle w:val="Hyperlink"/>
            <w:noProof/>
          </w:rPr>
          <w:t>Table 19: Major causes of death, ranked by age-standardised mortality rates, Māori and non</w:t>
        </w:r>
        <w:r w:rsidR="006E0D1C" w:rsidRPr="00464F39">
          <w:rPr>
            <w:rStyle w:val="Hyperlink"/>
            <w:noProof/>
          </w:rPr>
          <w:noBreakHyphen/>
          <w:t>Māori males, 1996–2014</w:t>
        </w:r>
        <w:r w:rsidR="006E0D1C">
          <w:rPr>
            <w:noProof/>
            <w:webHidden/>
          </w:rPr>
          <w:tab/>
        </w:r>
        <w:r w:rsidR="006E0D1C">
          <w:rPr>
            <w:noProof/>
            <w:webHidden/>
          </w:rPr>
          <w:fldChar w:fldCharType="begin"/>
        </w:r>
        <w:r w:rsidR="006E0D1C">
          <w:rPr>
            <w:noProof/>
            <w:webHidden/>
          </w:rPr>
          <w:instrText xml:space="preserve"> PAGEREF _Toc18594759 \h </w:instrText>
        </w:r>
        <w:r w:rsidR="006E0D1C">
          <w:rPr>
            <w:noProof/>
            <w:webHidden/>
          </w:rPr>
        </w:r>
        <w:r w:rsidR="006E0D1C">
          <w:rPr>
            <w:noProof/>
            <w:webHidden/>
          </w:rPr>
          <w:fldChar w:fldCharType="separate"/>
        </w:r>
        <w:r>
          <w:rPr>
            <w:noProof/>
            <w:webHidden/>
          </w:rPr>
          <w:t>46</w:t>
        </w:r>
        <w:r w:rsidR="006E0D1C">
          <w:rPr>
            <w:noProof/>
            <w:webHidden/>
          </w:rPr>
          <w:fldChar w:fldCharType="end"/>
        </w:r>
      </w:hyperlink>
    </w:p>
    <w:p w14:paraId="06218591" w14:textId="4E081863" w:rsidR="006E0D1C" w:rsidRDefault="00D2215B">
      <w:pPr>
        <w:pStyle w:val="TOC3"/>
        <w:rPr>
          <w:rFonts w:asciiTheme="minorHAnsi" w:eastAsiaTheme="minorEastAsia" w:hAnsiTheme="minorHAnsi" w:cstheme="minorBidi"/>
          <w:noProof/>
          <w:sz w:val="22"/>
          <w:szCs w:val="22"/>
          <w:lang w:eastAsia="en-NZ"/>
        </w:rPr>
      </w:pPr>
      <w:hyperlink w:anchor="_Toc18594760" w:history="1">
        <w:r w:rsidR="006E0D1C" w:rsidRPr="00464F39">
          <w:rPr>
            <w:rStyle w:val="Hyperlink"/>
            <w:noProof/>
          </w:rPr>
          <w:t>Table 20: Major causes of death, ranked by years of life lost (YLL), Māori and non</w:t>
        </w:r>
        <w:r w:rsidR="006E0D1C" w:rsidRPr="00464F39">
          <w:rPr>
            <w:rStyle w:val="Hyperlink"/>
            <w:noProof/>
          </w:rPr>
          <w:noBreakHyphen/>
          <w:t>Māori males, 1996–2014</w:t>
        </w:r>
        <w:r w:rsidR="006E0D1C">
          <w:rPr>
            <w:noProof/>
            <w:webHidden/>
          </w:rPr>
          <w:tab/>
        </w:r>
        <w:r w:rsidR="006E0D1C">
          <w:rPr>
            <w:noProof/>
            <w:webHidden/>
          </w:rPr>
          <w:fldChar w:fldCharType="begin"/>
        </w:r>
        <w:r w:rsidR="006E0D1C">
          <w:rPr>
            <w:noProof/>
            <w:webHidden/>
          </w:rPr>
          <w:instrText xml:space="preserve"> PAGEREF _Toc18594760 \h </w:instrText>
        </w:r>
        <w:r w:rsidR="006E0D1C">
          <w:rPr>
            <w:noProof/>
            <w:webHidden/>
          </w:rPr>
        </w:r>
        <w:r w:rsidR="006E0D1C">
          <w:rPr>
            <w:noProof/>
            <w:webHidden/>
          </w:rPr>
          <w:fldChar w:fldCharType="separate"/>
        </w:r>
        <w:r>
          <w:rPr>
            <w:noProof/>
            <w:webHidden/>
          </w:rPr>
          <w:t>47</w:t>
        </w:r>
        <w:r w:rsidR="006E0D1C">
          <w:rPr>
            <w:noProof/>
            <w:webHidden/>
          </w:rPr>
          <w:fldChar w:fldCharType="end"/>
        </w:r>
      </w:hyperlink>
    </w:p>
    <w:p w14:paraId="4F0DC838" w14:textId="375DEEF7" w:rsidR="006E0D1C" w:rsidRDefault="00D2215B">
      <w:pPr>
        <w:pStyle w:val="TOC3"/>
        <w:rPr>
          <w:rFonts w:asciiTheme="minorHAnsi" w:eastAsiaTheme="minorEastAsia" w:hAnsiTheme="minorHAnsi" w:cstheme="minorBidi"/>
          <w:noProof/>
          <w:sz w:val="22"/>
          <w:szCs w:val="22"/>
          <w:lang w:eastAsia="en-NZ"/>
        </w:rPr>
      </w:pPr>
      <w:hyperlink w:anchor="_Toc18594761" w:history="1">
        <w:r w:rsidR="006E0D1C" w:rsidRPr="00464F39">
          <w:rPr>
            <w:rStyle w:val="Hyperlink"/>
            <w:noProof/>
          </w:rPr>
          <w:t>Table 21: Major causes of death, ranked by age-standardised mortality rates, Māori and non</w:t>
        </w:r>
        <w:r w:rsidR="006E0D1C" w:rsidRPr="00464F39">
          <w:rPr>
            <w:rStyle w:val="Hyperlink"/>
            <w:noProof/>
          </w:rPr>
          <w:noBreakHyphen/>
          <w:t>Māori females, 1996–2014</w:t>
        </w:r>
        <w:r w:rsidR="006E0D1C">
          <w:rPr>
            <w:noProof/>
            <w:webHidden/>
          </w:rPr>
          <w:tab/>
        </w:r>
        <w:r w:rsidR="006E0D1C">
          <w:rPr>
            <w:noProof/>
            <w:webHidden/>
          </w:rPr>
          <w:fldChar w:fldCharType="begin"/>
        </w:r>
        <w:r w:rsidR="006E0D1C">
          <w:rPr>
            <w:noProof/>
            <w:webHidden/>
          </w:rPr>
          <w:instrText xml:space="preserve"> PAGEREF _Toc18594761 \h </w:instrText>
        </w:r>
        <w:r w:rsidR="006E0D1C">
          <w:rPr>
            <w:noProof/>
            <w:webHidden/>
          </w:rPr>
        </w:r>
        <w:r w:rsidR="006E0D1C">
          <w:rPr>
            <w:noProof/>
            <w:webHidden/>
          </w:rPr>
          <w:fldChar w:fldCharType="separate"/>
        </w:r>
        <w:r>
          <w:rPr>
            <w:noProof/>
            <w:webHidden/>
          </w:rPr>
          <w:t>48</w:t>
        </w:r>
        <w:r w:rsidR="006E0D1C">
          <w:rPr>
            <w:noProof/>
            <w:webHidden/>
          </w:rPr>
          <w:fldChar w:fldCharType="end"/>
        </w:r>
      </w:hyperlink>
    </w:p>
    <w:p w14:paraId="5EC6DD31" w14:textId="4408964B" w:rsidR="006E0D1C" w:rsidRDefault="00D2215B">
      <w:pPr>
        <w:pStyle w:val="TOC3"/>
        <w:rPr>
          <w:rFonts w:asciiTheme="minorHAnsi" w:eastAsiaTheme="minorEastAsia" w:hAnsiTheme="minorHAnsi" w:cstheme="minorBidi"/>
          <w:noProof/>
          <w:sz w:val="22"/>
          <w:szCs w:val="22"/>
          <w:lang w:eastAsia="en-NZ"/>
        </w:rPr>
      </w:pPr>
      <w:hyperlink w:anchor="_Toc18594762" w:history="1">
        <w:r w:rsidR="006E0D1C" w:rsidRPr="00464F39">
          <w:rPr>
            <w:rStyle w:val="Hyperlink"/>
            <w:noProof/>
          </w:rPr>
          <w:t>Table 22: Major causes of death, ranked by years of life lost (YLL), Māori and non</w:t>
        </w:r>
        <w:r w:rsidR="006E0D1C" w:rsidRPr="00464F39">
          <w:rPr>
            <w:rStyle w:val="Hyperlink"/>
            <w:noProof/>
          </w:rPr>
          <w:noBreakHyphen/>
          <w:t>Māori females, 1996–2014</w:t>
        </w:r>
        <w:r w:rsidR="006E0D1C">
          <w:rPr>
            <w:noProof/>
            <w:webHidden/>
          </w:rPr>
          <w:tab/>
        </w:r>
        <w:r w:rsidR="006E0D1C">
          <w:rPr>
            <w:noProof/>
            <w:webHidden/>
          </w:rPr>
          <w:fldChar w:fldCharType="begin"/>
        </w:r>
        <w:r w:rsidR="006E0D1C">
          <w:rPr>
            <w:noProof/>
            <w:webHidden/>
          </w:rPr>
          <w:instrText xml:space="preserve"> PAGEREF _Toc18594762 \h </w:instrText>
        </w:r>
        <w:r w:rsidR="006E0D1C">
          <w:rPr>
            <w:noProof/>
            <w:webHidden/>
          </w:rPr>
        </w:r>
        <w:r w:rsidR="006E0D1C">
          <w:rPr>
            <w:noProof/>
            <w:webHidden/>
          </w:rPr>
          <w:fldChar w:fldCharType="separate"/>
        </w:r>
        <w:r>
          <w:rPr>
            <w:noProof/>
            <w:webHidden/>
          </w:rPr>
          <w:t>49</w:t>
        </w:r>
        <w:r w:rsidR="006E0D1C">
          <w:rPr>
            <w:noProof/>
            <w:webHidden/>
          </w:rPr>
          <w:fldChar w:fldCharType="end"/>
        </w:r>
      </w:hyperlink>
    </w:p>
    <w:p w14:paraId="0E207A45" w14:textId="3026B0A4" w:rsidR="006E0D1C" w:rsidRDefault="00D2215B">
      <w:pPr>
        <w:pStyle w:val="TOC3"/>
        <w:rPr>
          <w:rFonts w:asciiTheme="minorHAnsi" w:eastAsiaTheme="minorEastAsia" w:hAnsiTheme="minorHAnsi" w:cstheme="minorBidi"/>
          <w:noProof/>
          <w:sz w:val="22"/>
          <w:szCs w:val="22"/>
          <w:lang w:eastAsia="en-NZ"/>
        </w:rPr>
      </w:pPr>
      <w:hyperlink w:anchor="_Toc18594763" w:history="1">
        <w:r w:rsidR="006E0D1C" w:rsidRPr="00464F39">
          <w:rPr>
            <w:rStyle w:val="Hyperlink"/>
            <w:noProof/>
          </w:rPr>
          <w:t>Table 23: Count (percentage %) of HIV diagnoses, by gender, Māori and non</w:t>
        </w:r>
        <w:r w:rsidR="006E0D1C" w:rsidRPr="00464F39">
          <w:rPr>
            <w:rStyle w:val="Hyperlink"/>
            <w:noProof/>
          </w:rPr>
          <w:noBreakHyphen/>
          <w:t>Māori, 1996 to 2017</w:t>
        </w:r>
        <w:r w:rsidR="006E0D1C">
          <w:rPr>
            <w:noProof/>
            <w:webHidden/>
          </w:rPr>
          <w:tab/>
        </w:r>
        <w:r w:rsidR="006E0D1C">
          <w:rPr>
            <w:noProof/>
            <w:webHidden/>
          </w:rPr>
          <w:fldChar w:fldCharType="begin"/>
        </w:r>
        <w:r w:rsidR="006E0D1C">
          <w:rPr>
            <w:noProof/>
            <w:webHidden/>
          </w:rPr>
          <w:instrText xml:space="preserve"> PAGEREF _Toc18594763 \h </w:instrText>
        </w:r>
        <w:r w:rsidR="006E0D1C">
          <w:rPr>
            <w:noProof/>
            <w:webHidden/>
          </w:rPr>
        </w:r>
        <w:r w:rsidR="006E0D1C">
          <w:rPr>
            <w:noProof/>
            <w:webHidden/>
          </w:rPr>
          <w:fldChar w:fldCharType="separate"/>
        </w:r>
        <w:r>
          <w:rPr>
            <w:noProof/>
            <w:webHidden/>
          </w:rPr>
          <w:t>143</w:t>
        </w:r>
        <w:r w:rsidR="006E0D1C">
          <w:rPr>
            <w:noProof/>
            <w:webHidden/>
          </w:rPr>
          <w:fldChar w:fldCharType="end"/>
        </w:r>
      </w:hyperlink>
    </w:p>
    <w:p w14:paraId="0EFF57E6" w14:textId="33BDC8D9" w:rsidR="006E0D1C" w:rsidRDefault="00D2215B">
      <w:pPr>
        <w:pStyle w:val="TOC3"/>
        <w:rPr>
          <w:rFonts w:asciiTheme="minorHAnsi" w:eastAsiaTheme="minorEastAsia" w:hAnsiTheme="minorHAnsi" w:cstheme="minorBidi"/>
          <w:noProof/>
          <w:sz w:val="22"/>
          <w:szCs w:val="22"/>
          <w:lang w:eastAsia="en-NZ"/>
        </w:rPr>
      </w:pPr>
      <w:hyperlink w:anchor="_Toc18594764" w:history="1">
        <w:r w:rsidR="006E0D1C" w:rsidRPr="00464F39">
          <w:rPr>
            <w:rStyle w:val="Hyperlink"/>
            <w:noProof/>
          </w:rPr>
          <w:t>Table 24: Count (percentage %) of AIDS diagnoses, by gender, Māori and Non</w:t>
        </w:r>
        <w:r w:rsidR="006E0D1C" w:rsidRPr="00464F39">
          <w:rPr>
            <w:rStyle w:val="Hyperlink"/>
            <w:noProof/>
          </w:rPr>
          <w:noBreakHyphen/>
          <w:t>Māori, 1996 to 2017</w:t>
        </w:r>
        <w:r w:rsidR="006E0D1C">
          <w:rPr>
            <w:noProof/>
            <w:webHidden/>
          </w:rPr>
          <w:tab/>
        </w:r>
        <w:r w:rsidR="006E0D1C">
          <w:rPr>
            <w:noProof/>
            <w:webHidden/>
          </w:rPr>
          <w:fldChar w:fldCharType="begin"/>
        </w:r>
        <w:r w:rsidR="006E0D1C">
          <w:rPr>
            <w:noProof/>
            <w:webHidden/>
          </w:rPr>
          <w:instrText xml:space="preserve"> PAGEREF _Toc18594764 \h </w:instrText>
        </w:r>
        <w:r w:rsidR="006E0D1C">
          <w:rPr>
            <w:noProof/>
            <w:webHidden/>
          </w:rPr>
        </w:r>
        <w:r w:rsidR="006E0D1C">
          <w:rPr>
            <w:noProof/>
            <w:webHidden/>
          </w:rPr>
          <w:fldChar w:fldCharType="separate"/>
        </w:r>
        <w:r>
          <w:rPr>
            <w:noProof/>
            <w:webHidden/>
          </w:rPr>
          <w:t>145</w:t>
        </w:r>
        <w:r w:rsidR="006E0D1C">
          <w:rPr>
            <w:noProof/>
            <w:webHidden/>
          </w:rPr>
          <w:fldChar w:fldCharType="end"/>
        </w:r>
      </w:hyperlink>
    </w:p>
    <w:p w14:paraId="74DBDA2F" w14:textId="27C1CE61" w:rsidR="006E0D1C" w:rsidRDefault="00D2215B">
      <w:pPr>
        <w:pStyle w:val="TOC3"/>
        <w:rPr>
          <w:rFonts w:asciiTheme="minorHAnsi" w:eastAsiaTheme="minorEastAsia" w:hAnsiTheme="minorHAnsi" w:cstheme="minorBidi"/>
          <w:noProof/>
          <w:sz w:val="22"/>
          <w:szCs w:val="22"/>
          <w:lang w:eastAsia="en-NZ"/>
        </w:rPr>
      </w:pPr>
      <w:hyperlink w:anchor="_Toc18594765" w:history="1">
        <w:r w:rsidR="006E0D1C" w:rsidRPr="00464F39">
          <w:rPr>
            <w:rStyle w:val="Hyperlink"/>
            <w:noProof/>
          </w:rPr>
          <w:t>Table 25: Key for leading unintentional injury mortality categories</w:t>
        </w:r>
        <w:r w:rsidR="006E0D1C">
          <w:rPr>
            <w:noProof/>
            <w:webHidden/>
          </w:rPr>
          <w:tab/>
        </w:r>
        <w:r w:rsidR="006E0D1C">
          <w:rPr>
            <w:noProof/>
            <w:webHidden/>
          </w:rPr>
          <w:fldChar w:fldCharType="begin"/>
        </w:r>
        <w:r w:rsidR="006E0D1C">
          <w:rPr>
            <w:noProof/>
            <w:webHidden/>
          </w:rPr>
          <w:instrText xml:space="preserve"> PAGEREF _Toc18594765 \h </w:instrText>
        </w:r>
        <w:r w:rsidR="006E0D1C">
          <w:rPr>
            <w:noProof/>
            <w:webHidden/>
          </w:rPr>
        </w:r>
        <w:r w:rsidR="006E0D1C">
          <w:rPr>
            <w:noProof/>
            <w:webHidden/>
          </w:rPr>
          <w:fldChar w:fldCharType="separate"/>
        </w:r>
        <w:r>
          <w:rPr>
            <w:noProof/>
            <w:webHidden/>
          </w:rPr>
          <w:t>219</w:t>
        </w:r>
        <w:r w:rsidR="006E0D1C">
          <w:rPr>
            <w:noProof/>
            <w:webHidden/>
          </w:rPr>
          <w:fldChar w:fldCharType="end"/>
        </w:r>
      </w:hyperlink>
    </w:p>
    <w:p w14:paraId="314E2FCA" w14:textId="7F7D4DE5" w:rsidR="006E0D1C" w:rsidRDefault="00D2215B">
      <w:pPr>
        <w:pStyle w:val="TOC3"/>
        <w:rPr>
          <w:rFonts w:asciiTheme="minorHAnsi" w:eastAsiaTheme="minorEastAsia" w:hAnsiTheme="minorHAnsi" w:cstheme="minorBidi"/>
          <w:noProof/>
          <w:sz w:val="22"/>
          <w:szCs w:val="22"/>
          <w:lang w:eastAsia="en-NZ"/>
        </w:rPr>
      </w:pPr>
      <w:hyperlink w:anchor="_Toc18594766" w:history="1">
        <w:r w:rsidR="006E0D1C" w:rsidRPr="00464F39">
          <w:rPr>
            <w:rStyle w:val="Hyperlink"/>
            <w:noProof/>
          </w:rPr>
          <w:t>Table 26: Three leading injury mortalities, ranked by age-standardised rates, 0–14 years, Māori and non</w:t>
        </w:r>
        <w:r w:rsidR="006E0D1C" w:rsidRPr="00464F39">
          <w:rPr>
            <w:rStyle w:val="Hyperlink"/>
            <w:noProof/>
          </w:rPr>
          <w:noBreakHyphen/>
          <w:t>Māori males</w:t>
        </w:r>
        <w:r w:rsidR="006E0D1C">
          <w:rPr>
            <w:noProof/>
            <w:webHidden/>
          </w:rPr>
          <w:tab/>
        </w:r>
        <w:r w:rsidR="006E0D1C">
          <w:rPr>
            <w:noProof/>
            <w:webHidden/>
          </w:rPr>
          <w:fldChar w:fldCharType="begin"/>
        </w:r>
        <w:r w:rsidR="006E0D1C">
          <w:rPr>
            <w:noProof/>
            <w:webHidden/>
          </w:rPr>
          <w:instrText xml:space="preserve"> PAGEREF _Toc18594766 \h </w:instrText>
        </w:r>
        <w:r w:rsidR="006E0D1C">
          <w:rPr>
            <w:noProof/>
            <w:webHidden/>
          </w:rPr>
        </w:r>
        <w:r w:rsidR="006E0D1C">
          <w:rPr>
            <w:noProof/>
            <w:webHidden/>
          </w:rPr>
          <w:fldChar w:fldCharType="separate"/>
        </w:r>
        <w:r>
          <w:rPr>
            <w:noProof/>
            <w:webHidden/>
          </w:rPr>
          <w:t>220</w:t>
        </w:r>
        <w:r w:rsidR="006E0D1C">
          <w:rPr>
            <w:noProof/>
            <w:webHidden/>
          </w:rPr>
          <w:fldChar w:fldCharType="end"/>
        </w:r>
      </w:hyperlink>
    </w:p>
    <w:p w14:paraId="1F8C35D2" w14:textId="10982A57" w:rsidR="006E0D1C" w:rsidRDefault="00D2215B">
      <w:pPr>
        <w:pStyle w:val="TOC3"/>
        <w:rPr>
          <w:rFonts w:asciiTheme="minorHAnsi" w:eastAsiaTheme="minorEastAsia" w:hAnsiTheme="minorHAnsi" w:cstheme="minorBidi"/>
          <w:noProof/>
          <w:sz w:val="22"/>
          <w:szCs w:val="22"/>
          <w:lang w:eastAsia="en-NZ"/>
        </w:rPr>
      </w:pPr>
      <w:hyperlink w:anchor="_Toc18594767" w:history="1">
        <w:r w:rsidR="006E0D1C" w:rsidRPr="00464F39">
          <w:rPr>
            <w:rStyle w:val="Hyperlink"/>
            <w:noProof/>
          </w:rPr>
          <w:t>Table 27: Three leading injury mortalities, ranked by age-standardised rates, 15–64 years, Māori and non</w:t>
        </w:r>
        <w:r w:rsidR="006E0D1C" w:rsidRPr="00464F39">
          <w:rPr>
            <w:rStyle w:val="Hyperlink"/>
            <w:noProof/>
          </w:rPr>
          <w:noBreakHyphen/>
          <w:t>Māori males</w:t>
        </w:r>
        <w:r w:rsidR="006E0D1C">
          <w:rPr>
            <w:noProof/>
            <w:webHidden/>
          </w:rPr>
          <w:tab/>
        </w:r>
        <w:r w:rsidR="006E0D1C">
          <w:rPr>
            <w:noProof/>
            <w:webHidden/>
          </w:rPr>
          <w:fldChar w:fldCharType="begin"/>
        </w:r>
        <w:r w:rsidR="006E0D1C">
          <w:rPr>
            <w:noProof/>
            <w:webHidden/>
          </w:rPr>
          <w:instrText xml:space="preserve"> PAGEREF _Toc18594767 \h </w:instrText>
        </w:r>
        <w:r w:rsidR="006E0D1C">
          <w:rPr>
            <w:noProof/>
            <w:webHidden/>
          </w:rPr>
        </w:r>
        <w:r w:rsidR="006E0D1C">
          <w:rPr>
            <w:noProof/>
            <w:webHidden/>
          </w:rPr>
          <w:fldChar w:fldCharType="separate"/>
        </w:r>
        <w:r>
          <w:rPr>
            <w:noProof/>
            <w:webHidden/>
          </w:rPr>
          <w:t>221</w:t>
        </w:r>
        <w:r w:rsidR="006E0D1C">
          <w:rPr>
            <w:noProof/>
            <w:webHidden/>
          </w:rPr>
          <w:fldChar w:fldCharType="end"/>
        </w:r>
      </w:hyperlink>
    </w:p>
    <w:p w14:paraId="60F9802B" w14:textId="79EFBA6D" w:rsidR="006E0D1C" w:rsidRDefault="00D2215B">
      <w:pPr>
        <w:pStyle w:val="TOC3"/>
        <w:rPr>
          <w:rFonts w:asciiTheme="minorHAnsi" w:eastAsiaTheme="minorEastAsia" w:hAnsiTheme="minorHAnsi" w:cstheme="minorBidi"/>
          <w:noProof/>
          <w:sz w:val="22"/>
          <w:szCs w:val="22"/>
          <w:lang w:eastAsia="en-NZ"/>
        </w:rPr>
      </w:pPr>
      <w:hyperlink w:anchor="_Toc18594768" w:history="1">
        <w:r w:rsidR="006E0D1C" w:rsidRPr="00464F39">
          <w:rPr>
            <w:rStyle w:val="Hyperlink"/>
            <w:noProof/>
          </w:rPr>
          <w:t>Table 28: Three leading injury mortalities, ranked by age-standardised rates, 65+ years, Māori and non</w:t>
        </w:r>
        <w:r w:rsidR="006E0D1C" w:rsidRPr="00464F39">
          <w:rPr>
            <w:rStyle w:val="Hyperlink"/>
            <w:noProof/>
          </w:rPr>
          <w:noBreakHyphen/>
          <w:t>Māori males</w:t>
        </w:r>
        <w:r w:rsidR="006E0D1C">
          <w:rPr>
            <w:noProof/>
            <w:webHidden/>
          </w:rPr>
          <w:tab/>
        </w:r>
        <w:r w:rsidR="006E0D1C">
          <w:rPr>
            <w:noProof/>
            <w:webHidden/>
          </w:rPr>
          <w:fldChar w:fldCharType="begin"/>
        </w:r>
        <w:r w:rsidR="006E0D1C">
          <w:rPr>
            <w:noProof/>
            <w:webHidden/>
          </w:rPr>
          <w:instrText xml:space="preserve"> PAGEREF _Toc18594768 \h </w:instrText>
        </w:r>
        <w:r w:rsidR="006E0D1C">
          <w:rPr>
            <w:noProof/>
            <w:webHidden/>
          </w:rPr>
        </w:r>
        <w:r w:rsidR="006E0D1C">
          <w:rPr>
            <w:noProof/>
            <w:webHidden/>
          </w:rPr>
          <w:fldChar w:fldCharType="separate"/>
        </w:r>
        <w:r>
          <w:rPr>
            <w:noProof/>
            <w:webHidden/>
          </w:rPr>
          <w:t>222</w:t>
        </w:r>
        <w:r w:rsidR="006E0D1C">
          <w:rPr>
            <w:noProof/>
            <w:webHidden/>
          </w:rPr>
          <w:fldChar w:fldCharType="end"/>
        </w:r>
      </w:hyperlink>
    </w:p>
    <w:p w14:paraId="5EB6EB61" w14:textId="4F894ECF" w:rsidR="006E0D1C" w:rsidRDefault="00D2215B">
      <w:pPr>
        <w:pStyle w:val="TOC3"/>
        <w:rPr>
          <w:rFonts w:asciiTheme="minorHAnsi" w:eastAsiaTheme="minorEastAsia" w:hAnsiTheme="minorHAnsi" w:cstheme="minorBidi"/>
          <w:noProof/>
          <w:sz w:val="22"/>
          <w:szCs w:val="22"/>
          <w:lang w:eastAsia="en-NZ"/>
        </w:rPr>
      </w:pPr>
      <w:hyperlink w:anchor="_Toc18594769" w:history="1">
        <w:r w:rsidR="006E0D1C" w:rsidRPr="00464F39">
          <w:rPr>
            <w:rStyle w:val="Hyperlink"/>
            <w:noProof/>
          </w:rPr>
          <w:t>Table 29: Three leading injury mortalities, ranked by age-standardised rates, 0–14 years, Māori and non</w:t>
        </w:r>
        <w:r w:rsidR="006E0D1C" w:rsidRPr="00464F39">
          <w:rPr>
            <w:rStyle w:val="Hyperlink"/>
            <w:noProof/>
          </w:rPr>
          <w:noBreakHyphen/>
          <w:t>Māori females</w:t>
        </w:r>
        <w:r w:rsidR="006E0D1C">
          <w:rPr>
            <w:noProof/>
            <w:webHidden/>
          </w:rPr>
          <w:tab/>
        </w:r>
        <w:r w:rsidR="006E0D1C">
          <w:rPr>
            <w:noProof/>
            <w:webHidden/>
          </w:rPr>
          <w:fldChar w:fldCharType="begin"/>
        </w:r>
        <w:r w:rsidR="006E0D1C">
          <w:rPr>
            <w:noProof/>
            <w:webHidden/>
          </w:rPr>
          <w:instrText xml:space="preserve"> PAGEREF _Toc18594769 \h </w:instrText>
        </w:r>
        <w:r w:rsidR="006E0D1C">
          <w:rPr>
            <w:noProof/>
            <w:webHidden/>
          </w:rPr>
        </w:r>
        <w:r w:rsidR="006E0D1C">
          <w:rPr>
            <w:noProof/>
            <w:webHidden/>
          </w:rPr>
          <w:fldChar w:fldCharType="separate"/>
        </w:r>
        <w:r>
          <w:rPr>
            <w:noProof/>
            <w:webHidden/>
          </w:rPr>
          <w:t>223</w:t>
        </w:r>
        <w:r w:rsidR="006E0D1C">
          <w:rPr>
            <w:noProof/>
            <w:webHidden/>
          </w:rPr>
          <w:fldChar w:fldCharType="end"/>
        </w:r>
      </w:hyperlink>
    </w:p>
    <w:p w14:paraId="2A70C873" w14:textId="7EEA2468" w:rsidR="006E0D1C" w:rsidRDefault="00D2215B">
      <w:pPr>
        <w:pStyle w:val="TOC3"/>
        <w:rPr>
          <w:rFonts w:asciiTheme="minorHAnsi" w:eastAsiaTheme="minorEastAsia" w:hAnsiTheme="minorHAnsi" w:cstheme="minorBidi"/>
          <w:noProof/>
          <w:sz w:val="22"/>
          <w:szCs w:val="22"/>
          <w:lang w:eastAsia="en-NZ"/>
        </w:rPr>
      </w:pPr>
      <w:hyperlink w:anchor="_Toc18594770" w:history="1">
        <w:r w:rsidR="006E0D1C" w:rsidRPr="00464F39">
          <w:rPr>
            <w:rStyle w:val="Hyperlink"/>
            <w:noProof/>
          </w:rPr>
          <w:t>Table 30: Three leading injury mortalities, ranked by age-standardised rates, 15–64 years, Māori and non</w:t>
        </w:r>
        <w:r w:rsidR="006E0D1C" w:rsidRPr="00464F39">
          <w:rPr>
            <w:rStyle w:val="Hyperlink"/>
            <w:noProof/>
          </w:rPr>
          <w:noBreakHyphen/>
          <w:t>Māori females</w:t>
        </w:r>
        <w:r w:rsidR="006E0D1C">
          <w:rPr>
            <w:noProof/>
            <w:webHidden/>
          </w:rPr>
          <w:tab/>
        </w:r>
        <w:r w:rsidR="006E0D1C">
          <w:rPr>
            <w:noProof/>
            <w:webHidden/>
          </w:rPr>
          <w:fldChar w:fldCharType="begin"/>
        </w:r>
        <w:r w:rsidR="006E0D1C">
          <w:rPr>
            <w:noProof/>
            <w:webHidden/>
          </w:rPr>
          <w:instrText xml:space="preserve"> PAGEREF _Toc18594770 \h </w:instrText>
        </w:r>
        <w:r w:rsidR="006E0D1C">
          <w:rPr>
            <w:noProof/>
            <w:webHidden/>
          </w:rPr>
        </w:r>
        <w:r w:rsidR="006E0D1C">
          <w:rPr>
            <w:noProof/>
            <w:webHidden/>
          </w:rPr>
          <w:fldChar w:fldCharType="separate"/>
        </w:r>
        <w:r>
          <w:rPr>
            <w:noProof/>
            <w:webHidden/>
          </w:rPr>
          <w:t>224</w:t>
        </w:r>
        <w:r w:rsidR="006E0D1C">
          <w:rPr>
            <w:noProof/>
            <w:webHidden/>
          </w:rPr>
          <w:fldChar w:fldCharType="end"/>
        </w:r>
      </w:hyperlink>
    </w:p>
    <w:p w14:paraId="43C69FF2" w14:textId="1145387C" w:rsidR="006E0D1C" w:rsidRDefault="00D2215B">
      <w:pPr>
        <w:pStyle w:val="TOC3"/>
        <w:rPr>
          <w:rFonts w:asciiTheme="minorHAnsi" w:eastAsiaTheme="minorEastAsia" w:hAnsiTheme="minorHAnsi" w:cstheme="minorBidi"/>
          <w:noProof/>
          <w:sz w:val="22"/>
          <w:szCs w:val="22"/>
          <w:lang w:eastAsia="en-NZ"/>
        </w:rPr>
      </w:pPr>
      <w:hyperlink w:anchor="_Toc18594771" w:history="1">
        <w:r w:rsidR="006E0D1C" w:rsidRPr="00464F39">
          <w:rPr>
            <w:rStyle w:val="Hyperlink"/>
            <w:noProof/>
          </w:rPr>
          <w:t>Table 31: Three leading injury mortalities, ranked by age-standardised rates, 65+ years, Māori and non</w:t>
        </w:r>
        <w:r w:rsidR="006E0D1C" w:rsidRPr="00464F39">
          <w:rPr>
            <w:rStyle w:val="Hyperlink"/>
            <w:noProof/>
          </w:rPr>
          <w:noBreakHyphen/>
          <w:t>Māori females</w:t>
        </w:r>
        <w:r w:rsidR="006E0D1C">
          <w:rPr>
            <w:noProof/>
            <w:webHidden/>
          </w:rPr>
          <w:tab/>
        </w:r>
        <w:r w:rsidR="006E0D1C">
          <w:rPr>
            <w:noProof/>
            <w:webHidden/>
          </w:rPr>
          <w:fldChar w:fldCharType="begin"/>
        </w:r>
        <w:r w:rsidR="006E0D1C">
          <w:rPr>
            <w:noProof/>
            <w:webHidden/>
          </w:rPr>
          <w:instrText xml:space="preserve"> PAGEREF _Toc18594771 \h </w:instrText>
        </w:r>
        <w:r w:rsidR="006E0D1C">
          <w:rPr>
            <w:noProof/>
            <w:webHidden/>
          </w:rPr>
        </w:r>
        <w:r w:rsidR="006E0D1C">
          <w:rPr>
            <w:noProof/>
            <w:webHidden/>
          </w:rPr>
          <w:fldChar w:fldCharType="separate"/>
        </w:r>
        <w:r>
          <w:rPr>
            <w:noProof/>
            <w:webHidden/>
          </w:rPr>
          <w:t>225</w:t>
        </w:r>
        <w:r w:rsidR="006E0D1C">
          <w:rPr>
            <w:noProof/>
            <w:webHidden/>
          </w:rPr>
          <w:fldChar w:fldCharType="end"/>
        </w:r>
      </w:hyperlink>
    </w:p>
    <w:p w14:paraId="35F2DB49" w14:textId="0FB61A20" w:rsidR="006E0D1C" w:rsidRDefault="00D2215B">
      <w:pPr>
        <w:pStyle w:val="TOC3"/>
        <w:rPr>
          <w:rFonts w:asciiTheme="minorHAnsi" w:eastAsiaTheme="minorEastAsia" w:hAnsiTheme="minorHAnsi" w:cstheme="minorBidi"/>
          <w:noProof/>
          <w:sz w:val="22"/>
          <w:szCs w:val="22"/>
          <w:lang w:eastAsia="en-NZ"/>
        </w:rPr>
      </w:pPr>
      <w:hyperlink w:anchor="_Toc18594772" w:history="1">
        <w:r w:rsidR="006E0D1C" w:rsidRPr="00464F39">
          <w:rPr>
            <w:rStyle w:val="Hyperlink"/>
            <w:noProof/>
          </w:rPr>
          <w:t>Table 32: Any unmet need in the past 12 months, 15+ years, by gender, Māori and non</w:t>
        </w:r>
        <w:r w:rsidR="006E0D1C" w:rsidRPr="00464F39">
          <w:rPr>
            <w:rStyle w:val="Hyperlink"/>
            <w:noProof/>
          </w:rPr>
          <w:noBreakHyphen/>
          <w:t>Māori, 2011/12–2016/17</w:t>
        </w:r>
        <w:r w:rsidR="006E0D1C">
          <w:rPr>
            <w:noProof/>
            <w:webHidden/>
          </w:rPr>
          <w:tab/>
        </w:r>
        <w:r w:rsidR="006E0D1C">
          <w:rPr>
            <w:noProof/>
            <w:webHidden/>
          </w:rPr>
          <w:fldChar w:fldCharType="begin"/>
        </w:r>
        <w:r w:rsidR="006E0D1C">
          <w:rPr>
            <w:noProof/>
            <w:webHidden/>
          </w:rPr>
          <w:instrText xml:space="preserve"> PAGEREF _Toc18594772 \h </w:instrText>
        </w:r>
        <w:r w:rsidR="006E0D1C">
          <w:rPr>
            <w:noProof/>
            <w:webHidden/>
          </w:rPr>
        </w:r>
        <w:r w:rsidR="006E0D1C">
          <w:rPr>
            <w:noProof/>
            <w:webHidden/>
          </w:rPr>
          <w:fldChar w:fldCharType="separate"/>
        </w:r>
        <w:r>
          <w:rPr>
            <w:noProof/>
            <w:webHidden/>
          </w:rPr>
          <w:t>229</w:t>
        </w:r>
        <w:r w:rsidR="006E0D1C">
          <w:rPr>
            <w:noProof/>
            <w:webHidden/>
          </w:rPr>
          <w:fldChar w:fldCharType="end"/>
        </w:r>
      </w:hyperlink>
    </w:p>
    <w:p w14:paraId="40D3473A" w14:textId="37E23390" w:rsidR="006E0D1C" w:rsidRDefault="00D2215B">
      <w:pPr>
        <w:pStyle w:val="TOC3"/>
        <w:rPr>
          <w:rFonts w:asciiTheme="minorHAnsi" w:eastAsiaTheme="minorEastAsia" w:hAnsiTheme="minorHAnsi" w:cstheme="minorBidi"/>
          <w:noProof/>
          <w:sz w:val="22"/>
          <w:szCs w:val="22"/>
          <w:lang w:eastAsia="en-NZ"/>
        </w:rPr>
      </w:pPr>
      <w:hyperlink w:anchor="_Toc18594773" w:history="1">
        <w:r w:rsidR="006E0D1C" w:rsidRPr="00464F39">
          <w:rPr>
            <w:rStyle w:val="Hyperlink"/>
            <w:noProof/>
          </w:rPr>
          <w:t>Table 33: Any unmet need in the past 12 months, 0–14 years, Māori and non</w:t>
        </w:r>
        <w:r w:rsidR="006E0D1C" w:rsidRPr="00464F39">
          <w:rPr>
            <w:rStyle w:val="Hyperlink"/>
            <w:noProof/>
          </w:rPr>
          <w:noBreakHyphen/>
          <w:t>Māori, 2011/12–2016/17</w:t>
        </w:r>
        <w:r w:rsidR="006E0D1C">
          <w:rPr>
            <w:noProof/>
            <w:webHidden/>
          </w:rPr>
          <w:tab/>
        </w:r>
        <w:r w:rsidR="006E0D1C">
          <w:rPr>
            <w:noProof/>
            <w:webHidden/>
          </w:rPr>
          <w:fldChar w:fldCharType="begin"/>
        </w:r>
        <w:r w:rsidR="006E0D1C">
          <w:rPr>
            <w:noProof/>
            <w:webHidden/>
          </w:rPr>
          <w:instrText xml:space="preserve"> PAGEREF _Toc18594773 \h </w:instrText>
        </w:r>
        <w:r w:rsidR="006E0D1C">
          <w:rPr>
            <w:noProof/>
            <w:webHidden/>
          </w:rPr>
        </w:r>
        <w:r w:rsidR="006E0D1C">
          <w:rPr>
            <w:noProof/>
            <w:webHidden/>
          </w:rPr>
          <w:fldChar w:fldCharType="separate"/>
        </w:r>
        <w:r>
          <w:rPr>
            <w:noProof/>
            <w:webHidden/>
          </w:rPr>
          <w:t>230</w:t>
        </w:r>
        <w:r w:rsidR="006E0D1C">
          <w:rPr>
            <w:noProof/>
            <w:webHidden/>
          </w:rPr>
          <w:fldChar w:fldCharType="end"/>
        </w:r>
      </w:hyperlink>
    </w:p>
    <w:p w14:paraId="04604F65" w14:textId="01885B11" w:rsidR="006E0D1C" w:rsidRDefault="00D2215B">
      <w:pPr>
        <w:pStyle w:val="TOC3"/>
        <w:rPr>
          <w:rFonts w:asciiTheme="minorHAnsi" w:eastAsiaTheme="minorEastAsia" w:hAnsiTheme="minorHAnsi" w:cstheme="minorBidi"/>
          <w:noProof/>
          <w:sz w:val="22"/>
          <w:szCs w:val="22"/>
          <w:lang w:eastAsia="en-NZ"/>
        </w:rPr>
      </w:pPr>
      <w:hyperlink w:anchor="_Toc18594774" w:history="1">
        <w:r w:rsidR="006E0D1C" w:rsidRPr="00464F39">
          <w:rPr>
            <w:rStyle w:val="Hyperlink"/>
            <w:noProof/>
          </w:rPr>
          <w:t>Table 34: Publicly-funded hospital discharge rates, by gender, Māori and non</w:t>
        </w:r>
        <w:r w:rsidR="006E0D1C" w:rsidRPr="00464F39">
          <w:rPr>
            <w:rStyle w:val="Hyperlink"/>
            <w:noProof/>
          </w:rPr>
          <w:noBreakHyphen/>
          <w:t>Māori, 1996–97 to 2016–17</w:t>
        </w:r>
        <w:r w:rsidR="006E0D1C">
          <w:rPr>
            <w:noProof/>
            <w:webHidden/>
          </w:rPr>
          <w:tab/>
        </w:r>
        <w:r w:rsidR="006E0D1C">
          <w:rPr>
            <w:noProof/>
            <w:webHidden/>
          </w:rPr>
          <w:fldChar w:fldCharType="begin"/>
        </w:r>
        <w:r w:rsidR="006E0D1C">
          <w:rPr>
            <w:noProof/>
            <w:webHidden/>
          </w:rPr>
          <w:instrText xml:space="preserve"> PAGEREF _Toc18594774 \h </w:instrText>
        </w:r>
        <w:r w:rsidR="006E0D1C">
          <w:rPr>
            <w:noProof/>
            <w:webHidden/>
          </w:rPr>
        </w:r>
        <w:r w:rsidR="006E0D1C">
          <w:rPr>
            <w:noProof/>
            <w:webHidden/>
          </w:rPr>
          <w:fldChar w:fldCharType="separate"/>
        </w:r>
        <w:r>
          <w:rPr>
            <w:noProof/>
            <w:webHidden/>
          </w:rPr>
          <w:t>240</w:t>
        </w:r>
        <w:r w:rsidR="006E0D1C">
          <w:rPr>
            <w:noProof/>
            <w:webHidden/>
          </w:rPr>
          <w:fldChar w:fldCharType="end"/>
        </w:r>
      </w:hyperlink>
    </w:p>
    <w:p w14:paraId="7DD28890" w14:textId="769BB619" w:rsidR="006E0D1C" w:rsidRDefault="00D2215B">
      <w:pPr>
        <w:pStyle w:val="TOC3"/>
        <w:rPr>
          <w:rFonts w:asciiTheme="minorHAnsi" w:eastAsiaTheme="minorEastAsia" w:hAnsiTheme="minorHAnsi" w:cstheme="minorBidi"/>
          <w:noProof/>
          <w:sz w:val="22"/>
          <w:szCs w:val="22"/>
          <w:lang w:eastAsia="en-NZ"/>
        </w:rPr>
      </w:pPr>
      <w:hyperlink w:anchor="_Toc18594775" w:history="1">
        <w:r w:rsidR="006E0D1C" w:rsidRPr="00464F39">
          <w:rPr>
            <w:rStyle w:val="Hyperlink"/>
            <w:noProof/>
          </w:rPr>
          <w:t>Table 35: Emergency department attendance rates, by gender, Māori and non</w:t>
        </w:r>
        <w:r w:rsidR="006E0D1C" w:rsidRPr="00464F39">
          <w:rPr>
            <w:rStyle w:val="Hyperlink"/>
            <w:noProof/>
          </w:rPr>
          <w:noBreakHyphen/>
          <w:t>Māori, 2007–08 to 2016–17</w:t>
        </w:r>
        <w:r w:rsidR="006E0D1C">
          <w:rPr>
            <w:noProof/>
            <w:webHidden/>
          </w:rPr>
          <w:tab/>
        </w:r>
        <w:r w:rsidR="006E0D1C">
          <w:rPr>
            <w:noProof/>
            <w:webHidden/>
          </w:rPr>
          <w:fldChar w:fldCharType="begin"/>
        </w:r>
        <w:r w:rsidR="006E0D1C">
          <w:rPr>
            <w:noProof/>
            <w:webHidden/>
          </w:rPr>
          <w:instrText xml:space="preserve"> PAGEREF _Toc18594775 \h </w:instrText>
        </w:r>
        <w:r w:rsidR="006E0D1C">
          <w:rPr>
            <w:noProof/>
            <w:webHidden/>
          </w:rPr>
        </w:r>
        <w:r w:rsidR="006E0D1C">
          <w:rPr>
            <w:noProof/>
            <w:webHidden/>
          </w:rPr>
          <w:fldChar w:fldCharType="separate"/>
        </w:r>
        <w:r>
          <w:rPr>
            <w:noProof/>
            <w:webHidden/>
          </w:rPr>
          <w:t>243</w:t>
        </w:r>
        <w:r w:rsidR="006E0D1C">
          <w:rPr>
            <w:noProof/>
            <w:webHidden/>
          </w:rPr>
          <w:fldChar w:fldCharType="end"/>
        </w:r>
      </w:hyperlink>
    </w:p>
    <w:p w14:paraId="10CE0955" w14:textId="4A9D3D0F" w:rsidR="006E0D1C" w:rsidRDefault="00D2215B">
      <w:pPr>
        <w:pStyle w:val="TOC3"/>
        <w:rPr>
          <w:rFonts w:asciiTheme="minorHAnsi" w:eastAsiaTheme="minorEastAsia" w:hAnsiTheme="minorHAnsi" w:cstheme="minorBidi"/>
          <w:noProof/>
          <w:sz w:val="22"/>
          <w:szCs w:val="22"/>
          <w:lang w:eastAsia="en-NZ"/>
        </w:rPr>
      </w:pPr>
      <w:hyperlink w:anchor="_Toc18594776" w:history="1">
        <w:r w:rsidR="006E0D1C" w:rsidRPr="00464F39">
          <w:rPr>
            <w:rStyle w:val="Hyperlink"/>
            <w:noProof/>
          </w:rPr>
          <w:t>Table 36: Estimated number (percentage in workforce) of Māori and non</w:t>
        </w:r>
        <w:r w:rsidR="006E0D1C" w:rsidRPr="00464F39">
          <w:rPr>
            <w:rStyle w:val="Hyperlink"/>
            <w:noProof/>
          </w:rPr>
          <w:noBreakHyphen/>
          <w:t>Māori in nursing, 2005–2018</w:t>
        </w:r>
        <w:r w:rsidR="006E0D1C">
          <w:rPr>
            <w:noProof/>
            <w:webHidden/>
          </w:rPr>
          <w:tab/>
        </w:r>
        <w:r w:rsidR="006E0D1C">
          <w:rPr>
            <w:noProof/>
            <w:webHidden/>
          </w:rPr>
          <w:fldChar w:fldCharType="begin"/>
        </w:r>
        <w:r w:rsidR="006E0D1C">
          <w:rPr>
            <w:noProof/>
            <w:webHidden/>
          </w:rPr>
          <w:instrText xml:space="preserve"> PAGEREF _Toc18594776 \h </w:instrText>
        </w:r>
        <w:r w:rsidR="006E0D1C">
          <w:rPr>
            <w:noProof/>
            <w:webHidden/>
          </w:rPr>
        </w:r>
        <w:r w:rsidR="006E0D1C">
          <w:rPr>
            <w:noProof/>
            <w:webHidden/>
          </w:rPr>
          <w:fldChar w:fldCharType="separate"/>
        </w:r>
        <w:r>
          <w:rPr>
            <w:noProof/>
            <w:webHidden/>
          </w:rPr>
          <w:t>245</w:t>
        </w:r>
        <w:r w:rsidR="006E0D1C">
          <w:rPr>
            <w:noProof/>
            <w:webHidden/>
          </w:rPr>
          <w:fldChar w:fldCharType="end"/>
        </w:r>
      </w:hyperlink>
    </w:p>
    <w:p w14:paraId="4B48AFA9" w14:textId="5C2C7E07" w:rsidR="006E0D1C" w:rsidRDefault="00D2215B">
      <w:pPr>
        <w:pStyle w:val="TOC3"/>
        <w:rPr>
          <w:rFonts w:asciiTheme="minorHAnsi" w:eastAsiaTheme="minorEastAsia" w:hAnsiTheme="minorHAnsi" w:cstheme="minorBidi"/>
          <w:noProof/>
          <w:sz w:val="22"/>
          <w:szCs w:val="22"/>
          <w:lang w:eastAsia="en-NZ"/>
        </w:rPr>
      </w:pPr>
      <w:hyperlink w:anchor="_Toc18594777" w:history="1">
        <w:r w:rsidR="006E0D1C" w:rsidRPr="00464F39">
          <w:rPr>
            <w:rStyle w:val="Hyperlink"/>
            <w:noProof/>
          </w:rPr>
          <w:t>Table 37: Estimated number (percentage in workforce) of Māori and non</w:t>
        </w:r>
        <w:r w:rsidR="006E0D1C" w:rsidRPr="00464F39">
          <w:rPr>
            <w:rStyle w:val="Hyperlink"/>
            <w:noProof/>
          </w:rPr>
          <w:noBreakHyphen/>
          <w:t>Māori in midwifery, 2005–2016</w:t>
        </w:r>
        <w:r w:rsidR="006E0D1C">
          <w:rPr>
            <w:noProof/>
            <w:webHidden/>
          </w:rPr>
          <w:tab/>
        </w:r>
        <w:r w:rsidR="006E0D1C">
          <w:rPr>
            <w:noProof/>
            <w:webHidden/>
          </w:rPr>
          <w:fldChar w:fldCharType="begin"/>
        </w:r>
        <w:r w:rsidR="006E0D1C">
          <w:rPr>
            <w:noProof/>
            <w:webHidden/>
          </w:rPr>
          <w:instrText xml:space="preserve"> PAGEREF _Toc18594777 \h </w:instrText>
        </w:r>
        <w:r w:rsidR="006E0D1C">
          <w:rPr>
            <w:noProof/>
            <w:webHidden/>
          </w:rPr>
        </w:r>
        <w:r w:rsidR="006E0D1C">
          <w:rPr>
            <w:noProof/>
            <w:webHidden/>
          </w:rPr>
          <w:fldChar w:fldCharType="separate"/>
        </w:r>
        <w:r>
          <w:rPr>
            <w:noProof/>
            <w:webHidden/>
          </w:rPr>
          <w:t>246</w:t>
        </w:r>
        <w:r w:rsidR="006E0D1C">
          <w:rPr>
            <w:noProof/>
            <w:webHidden/>
          </w:rPr>
          <w:fldChar w:fldCharType="end"/>
        </w:r>
      </w:hyperlink>
    </w:p>
    <w:p w14:paraId="3E87BF8F" w14:textId="3A914E25" w:rsidR="006E0D1C" w:rsidRDefault="00D2215B">
      <w:pPr>
        <w:pStyle w:val="TOC3"/>
        <w:rPr>
          <w:rFonts w:asciiTheme="minorHAnsi" w:eastAsiaTheme="minorEastAsia" w:hAnsiTheme="minorHAnsi" w:cstheme="minorBidi"/>
          <w:noProof/>
          <w:sz w:val="22"/>
          <w:szCs w:val="22"/>
          <w:lang w:eastAsia="en-NZ"/>
        </w:rPr>
      </w:pPr>
      <w:hyperlink w:anchor="_Toc18594778" w:history="1">
        <w:r w:rsidR="006E0D1C" w:rsidRPr="00464F39">
          <w:rPr>
            <w:rStyle w:val="Hyperlink"/>
            <w:noProof/>
          </w:rPr>
          <w:t>Table 38: Estimated number (percentage in workforce) of Māori and non</w:t>
        </w:r>
        <w:r w:rsidR="006E0D1C" w:rsidRPr="00464F39">
          <w:rPr>
            <w:rStyle w:val="Hyperlink"/>
            <w:noProof/>
          </w:rPr>
          <w:noBreakHyphen/>
          <w:t>Māori in the medical employed FTE, 2004–2016</w:t>
        </w:r>
        <w:r w:rsidR="006E0D1C">
          <w:rPr>
            <w:noProof/>
            <w:webHidden/>
          </w:rPr>
          <w:tab/>
        </w:r>
        <w:r w:rsidR="006E0D1C">
          <w:rPr>
            <w:noProof/>
            <w:webHidden/>
          </w:rPr>
          <w:fldChar w:fldCharType="begin"/>
        </w:r>
        <w:r w:rsidR="006E0D1C">
          <w:rPr>
            <w:noProof/>
            <w:webHidden/>
          </w:rPr>
          <w:instrText xml:space="preserve"> PAGEREF _Toc18594778 \h </w:instrText>
        </w:r>
        <w:r w:rsidR="006E0D1C">
          <w:rPr>
            <w:noProof/>
            <w:webHidden/>
          </w:rPr>
        </w:r>
        <w:r w:rsidR="006E0D1C">
          <w:rPr>
            <w:noProof/>
            <w:webHidden/>
          </w:rPr>
          <w:fldChar w:fldCharType="separate"/>
        </w:r>
        <w:r>
          <w:rPr>
            <w:noProof/>
            <w:webHidden/>
          </w:rPr>
          <w:t>247</w:t>
        </w:r>
        <w:r w:rsidR="006E0D1C">
          <w:rPr>
            <w:noProof/>
            <w:webHidden/>
          </w:rPr>
          <w:fldChar w:fldCharType="end"/>
        </w:r>
      </w:hyperlink>
    </w:p>
    <w:p w14:paraId="78CCB0A1" w14:textId="1D1AD13E" w:rsidR="006E0D1C" w:rsidRDefault="00D2215B">
      <w:pPr>
        <w:pStyle w:val="TOC3"/>
        <w:rPr>
          <w:rFonts w:asciiTheme="minorHAnsi" w:eastAsiaTheme="minorEastAsia" w:hAnsiTheme="minorHAnsi" w:cstheme="minorBidi"/>
          <w:noProof/>
          <w:sz w:val="22"/>
          <w:szCs w:val="22"/>
          <w:lang w:eastAsia="en-NZ"/>
        </w:rPr>
      </w:pPr>
      <w:hyperlink w:anchor="_Toc18594779" w:history="1">
        <w:r w:rsidR="006E0D1C" w:rsidRPr="00464F39">
          <w:rPr>
            <w:rStyle w:val="Hyperlink"/>
            <w:noProof/>
          </w:rPr>
          <w:t>Table 39: Estimated number (percentage in workforce) of Māori and non</w:t>
        </w:r>
        <w:r w:rsidR="006E0D1C" w:rsidRPr="00464F39">
          <w:rPr>
            <w:rStyle w:val="Hyperlink"/>
            <w:noProof/>
          </w:rPr>
          <w:noBreakHyphen/>
          <w:t>Māori in the oral health workforce, 2006–2008 and 2015–2017</w:t>
        </w:r>
        <w:r w:rsidR="006E0D1C">
          <w:rPr>
            <w:noProof/>
            <w:webHidden/>
          </w:rPr>
          <w:tab/>
        </w:r>
        <w:r w:rsidR="006E0D1C">
          <w:rPr>
            <w:noProof/>
            <w:webHidden/>
          </w:rPr>
          <w:fldChar w:fldCharType="begin"/>
        </w:r>
        <w:r w:rsidR="006E0D1C">
          <w:rPr>
            <w:noProof/>
            <w:webHidden/>
          </w:rPr>
          <w:instrText xml:space="preserve"> PAGEREF _Toc18594779 \h </w:instrText>
        </w:r>
        <w:r w:rsidR="006E0D1C">
          <w:rPr>
            <w:noProof/>
            <w:webHidden/>
          </w:rPr>
        </w:r>
        <w:r w:rsidR="006E0D1C">
          <w:rPr>
            <w:noProof/>
            <w:webHidden/>
          </w:rPr>
          <w:fldChar w:fldCharType="separate"/>
        </w:r>
        <w:r>
          <w:rPr>
            <w:noProof/>
            <w:webHidden/>
          </w:rPr>
          <w:t>248</w:t>
        </w:r>
        <w:r w:rsidR="006E0D1C">
          <w:rPr>
            <w:noProof/>
            <w:webHidden/>
          </w:rPr>
          <w:fldChar w:fldCharType="end"/>
        </w:r>
      </w:hyperlink>
    </w:p>
    <w:p w14:paraId="5FA10EF7" w14:textId="4A7DF7A8" w:rsidR="006E0D1C" w:rsidRDefault="00D2215B">
      <w:pPr>
        <w:pStyle w:val="TOC3"/>
        <w:rPr>
          <w:rFonts w:asciiTheme="minorHAnsi" w:eastAsiaTheme="minorEastAsia" w:hAnsiTheme="minorHAnsi" w:cstheme="minorBidi"/>
          <w:noProof/>
          <w:sz w:val="22"/>
          <w:szCs w:val="22"/>
          <w:lang w:eastAsia="en-NZ"/>
        </w:rPr>
      </w:pPr>
      <w:hyperlink w:anchor="_Toc18594780" w:history="1">
        <w:r w:rsidR="006E0D1C" w:rsidRPr="00464F39">
          <w:rPr>
            <w:rStyle w:val="Hyperlink"/>
            <w:noProof/>
          </w:rPr>
          <w:t>Table 40: Estimated number (percentage in workforce) of Māori and non</w:t>
        </w:r>
        <w:r w:rsidR="006E0D1C" w:rsidRPr="00464F39">
          <w:rPr>
            <w:rStyle w:val="Hyperlink"/>
            <w:noProof/>
          </w:rPr>
          <w:noBreakHyphen/>
          <w:t>Māori in the physiotherapy workforce, 2005, 2007–2010 and 2014–2018</w:t>
        </w:r>
        <w:r w:rsidR="006E0D1C">
          <w:rPr>
            <w:noProof/>
            <w:webHidden/>
          </w:rPr>
          <w:tab/>
        </w:r>
        <w:r w:rsidR="006E0D1C">
          <w:rPr>
            <w:noProof/>
            <w:webHidden/>
          </w:rPr>
          <w:fldChar w:fldCharType="begin"/>
        </w:r>
        <w:r w:rsidR="006E0D1C">
          <w:rPr>
            <w:noProof/>
            <w:webHidden/>
          </w:rPr>
          <w:instrText xml:space="preserve"> PAGEREF _Toc18594780 \h </w:instrText>
        </w:r>
        <w:r w:rsidR="006E0D1C">
          <w:rPr>
            <w:noProof/>
            <w:webHidden/>
          </w:rPr>
        </w:r>
        <w:r w:rsidR="006E0D1C">
          <w:rPr>
            <w:noProof/>
            <w:webHidden/>
          </w:rPr>
          <w:fldChar w:fldCharType="separate"/>
        </w:r>
        <w:r>
          <w:rPr>
            <w:noProof/>
            <w:webHidden/>
          </w:rPr>
          <w:t>249</w:t>
        </w:r>
        <w:r w:rsidR="006E0D1C">
          <w:rPr>
            <w:noProof/>
            <w:webHidden/>
          </w:rPr>
          <w:fldChar w:fldCharType="end"/>
        </w:r>
      </w:hyperlink>
    </w:p>
    <w:p w14:paraId="40C80AF3" w14:textId="60EDE7A6" w:rsidR="006E0D1C" w:rsidRDefault="00D2215B">
      <w:pPr>
        <w:pStyle w:val="TOC3"/>
        <w:rPr>
          <w:rFonts w:asciiTheme="minorHAnsi" w:eastAsiaTheme="minorEastAsia" w:hAnsiTheme="minorHAnsi" w:cstheme="minorBidi"/>
          <w:noProof/>
          <w:sz w:val="22"/>
          <w:szCs w:val="22"/>
          <w:lang w:eastAsia="en-NZ"/>
        </w:rPr>
      </w:pPr>
      <w:hyperlink w:anchor="_Toc18594781" w:history="1">
        <w:r w:rsidR="006E0D1C" w:rsidRPr="00464F39">
          <w:rPr>
            <w:rStyle w:val="Hyperlink"/>
            <w:noProof/>
          </w:rPr>
          <w:t>Table 41: Estimated number (percentage in workforce) of Māori and non</w:t>
        </w:r>
        <w:r w:rsidR="006E0D1C" w:rsidRPr="00464F39">
          <w:rPr>
            <w:rStyle w:val="Hyperlink"/>
            <w:noProof/>
          </w:rPr>
          <w:noBreakHyphen/>
          <w:t>Māori in the psychology workforce, 2005–2010 and 2018</w:t>
        </w:r>
        <w:r w:rsidR="006E0D1C">
          <w:rPr>
            <w:noProof/>
            <w:webHidden/>
          </w:rPr>
          <w:tab/>
        </w:r>
        <w:r w:rsidR="006E0D1C">
          <w:rPr>
            <w:noProof/>
            <w:webHidden/>
          </w:rPr>
          <w:fldChar w:fldCharType="begin"/>
        </w:r>
        <w:r w:rsidR="006E0D1C">
          <w:rPr>
            <w:noProof/>
            <w:webHidden/>
          </w:rPr>
          <w:instrText xml:space="preserve"> PAGEREF _Toc18594781 \h </w:instrText>
        </w:r>
        <w:r w:rsidR="006E0D1C">
          <w:rPr>
            <w:noProof/>
            <w:webHidden/>
          </w:rPr>
        </w:r>
        <w:r w:rsidR="006E0D1C">
          <w:rPr>
            <w:noProof/>
            <w:webHidden/>
          </w:rPr>
          <w:fldChar w:fldCharType="separate"/>
        </w:r>
        <w:r>
          <w:rPr>
            <w:noProof/>
            <w:webHidden/>
          </w:rPr>
          <w:t>250</w:t>
        </w:r>
        <w:r w:rsidR="006E0D1C">
          <w:rPr>
            <w:noProof/>
            <w:webHidden/>
          </w:rPr>
          <w:fldChar w:fldCharType="end"/>
        </w:r>
      </w:hyperlink>
    </w:p>
    <w:p w14:paraId="5558D15C" w14:textId="2C1C670F" w:rsidR="006E0D1C" w:rsidRDefault="00D2215B">
      <w:pPr>
        <w:pStyle w:val="TOC3"/>
        <w:rPr>
          <w:rFonts w:asciiTheme="minorHAnsi" w:eastAsiaTheme="minorEastAsia" w:hAnsiTheme="minorHAnsi" w:cstheme="minorBidi"/>
          <w:noProof/>
          <w:sz w:val="22"/>
          <w:szCs w:val="22"/>
          <w:lang w:eastAsia="en-NZ"/>
        </w:rPr>
      </w:pPr>
      <w:hyperlink w:anchor="_Toc18594782" w:history="1">
        <w:r w:rsidR="006E0D1C" w:rsidRPr="00464F39">
          <w:rPr>
            <w:rStyle w:val="Hyperlink"/>
            <w:noProof/>
          </w:rPr>
          <w:t>Table 42: Estimated number (percentage in workforce) of Māori and non</w:t>
        </w:r>
        <w:r w:rsidR="006E0D1C" w:rsidRPr="00464F39">
          <w:rPr>
            <w:rStyle w:val="Hyperlink"/>
            <w:noProof/>
          </w:rPr>
          <w:noBreakHyphen/>
          <w:t>Māori in the medical radiology workforce, 2005–2010</w:t>
        </w:r>
        <w:r w:rsidR="006E0D1C">
          <w:rPr>
            <w:noProof/>
            <w:webHidden/>
          </w:rPr>
          <w:tab/>
        </w:r>
        <w:r w:rsidR="006E0D1C">
          <w:rPr>
            <w:noProof/>
            <w:webHidden/>
          </w:rPr>
          <w:fldChar w:fldCharType="begin"/>
        </w:r>
        <w:r w:rsidR="006E0D1C">
          <w:rPr>
            <w:noProof/>
            <w:webHidden/>
          </w:rPr>
          <w:instrText xml:space="preserve"> PAGEREF _Toc18594782 \h </w:instrText>
        </w:r>
        <w:r w:rsidR="006E0D1C">
          <w:rPr>
            <w:noProof/>
            <w:webHidden/>
          </w:rPr>
        </w:r>
        <w:r w:rsidR="006E0D1C">
          <w:rPr>
            <w:noProof/>
            <w:webHidden/>
          </w:rPr>
          <w:fldChar w:fldCharType="separate"/>
        </w:r>
        <w:r>
          <w:rPr>
            <w:noProof/>
            <w:webHidden/>
          </w:rPr>
          <w:t>251</w:t>
        </w:r>
        <w:r w:rsidR="006E0D1C">
          <w:rPr>
            <w:noProof/>
            <w:webHidden/>
          </w:rPr>
          <w:fldChar w:fldCharType="end"/>
        </w:r>
      </w:hyperlink>
    </w:p>
    <w:p w14:paraId="4B64A265" w14:textId="1E06FA90" w:rsidR="006E0D1C" w:rsidRDefault="00D2215B">
      <w:pPr>
        <w:pStyle w:val="TOC3"/>
        <w:rPr>
          <w:rFonts w:asciiTheme="minorHAnsi" w:eastAsiaTheme="minorEastAsia" w:hAnsiTheme="minorHAnsi" w:cstheme="minorBidi"/>
          <w:noProof/>
          <w:sz w:val="22"/>
          <w:szCs w:val="22"/>
          <w:lang w:eastAsia="en-NZ"/>
        </w:rPr>
      </w:pPr>
      <w:hyperlink w:anchor="_Toc18594783" w:history="1">
        <w:r w:rsidR="006E0D1C" w:rsidRPr="00464F39">
          <w:rPr>
            <w:rStyle w:val="Hyperlink"/>
            <w:noProof/>
          </w:rPr>
          <w:t>Table 43: Estimated number (percentage in workforce) of Māori and non</w:t>
        </w:r>
        <w:r w:rsidR="006E0D1C" w:rsidRPr="00464F39">
          <w:rPr>
            <w:rStyle w:val="Hyperlink"/>
            <w:noProof/>
          </w:rPr>
          <w:noBreakHyphen/>
          <w:t>Māori in the dietitian workforce, 2005–2010</w:t>
        </w:r>
        <w:r w:rsidR="006E0D1C">
          <w:rPr>
            <w:noProof/>
            <w:webHidden/>
          </w:rPr>
          <w:tab/>
        </w:r>
        <w:r w:rsidR="006E0D1C">
          <w:rPr>
            <w:noProof/>
            <w:webHidden/>
          </w:rPr>
          <w:fldChar w:fldCharType="begin"/>
        </w:r>
        <w:r w:rsidR="006E0D1C">
          <w:rPr>
            <w:noProof/>
            <w:webHidden/>
          </w:rPr>
          <w:instrText xml:space="preserve"> PAGEREF _Toc18594783 \h </w:instrText>
        </w:r>
        <w:r w:rsidR="006E0D1C">
          <w:rPr>
            <w:noProof/>
            <w:webHidden/>
          </w:rPr>
        </w:r>
        <w:r w:rsidR="006E0D1C">
          <w:rPr>
            <w:noProof/>
            <w:webHidden/>
          </w:rPr>
          <w:fldChar w:fldCharType="separate"/>
        </w:r>
        <w:r>
          <w:rPr>
            <w:noProof/>
            <w:webHidden/>
          </w:rPr>
          <w:t>252</w:t>
        </w:r>
        <w:r w:rsidR="006E0D1C">
          <w:rPr>
            <w:noProof/>
            <w:webHidden/>
          </w:rPr>
          <w:fldChar w:fldCharType="end"/>
        </w:r>
      </w:hyperlink>
    </w:p>
    <w:p w14:paraId="6EB6CCB6" w14:textId="4CB0F201" w:rsidR="006E0D1C" w:rsidRDefault="00D2215B">
      <w:pPr>
        <w:pStyle w:val="TOC3"/>
        <w:rPr>
          <w:rFonts w:asciiTheme="minorHAnsi" w:eastAsiaTheme="minorEastAsia" w:hAnsiTheme="minorHAnsi" w:cstheme="minorBidi"/>
          <w:noProof/>
          <w:sz w:val="22"/>
          <w:szCs w:val="22"/>
          <w:lang w:eastAsia="en-NZ"/>
        </w:rPr>
      </w:pPr>
      <w:hyperlink w:anchor="_Toc18594784" w:history="1">
        <w:r w:rsidR="006E0D1C" w:rsidRPr="00464F39">
          <w:rPr>
            <w:rStyle w:val="Hyperlink"/>
            <w:noProof/>
          </w:rPr>
          <w:t>Table 44: Estimated number (percentage in workforce) of Māori and non</w:t>
        </w:r>
        <w:r w:rsidR="006E0D1C" w:rsidRPr="00464F39">
          <w:rPr>
            <w:rStyle w:val="Hyperlink"/>
            <w:noProof/>
          </w:rPr>
          <w:noBreakHyphen/>
          <w:t>Māori in the medical laboratory scientist workforce, 2005–2010</w:t>
        </w:r>
        <w:r w:rsidR="006E0D1C">
          <w:rPr>
            <w:noProof/>
            <w:webHidden/>
          </w:rPr>
          <w:tab/>
        </w:r>
        <w:r w:rsidR="006E0D1C">
          <w:rPr>
            <w:noProof/>
            <w:webHidden/>
          </w:rPr>
          <w:fldChar w:fldCharType="begin"/>
        </w:r>
        <w:r w:rsidR="006E0D1C">
          <w:rPr>
            <w:noProof/>
            <w:webHidden/>
          </w:rPr>
          <w:instrText xml:space="preserve"> PAGEREF _Toc18594784 \h </w:instrText>
        </w:r>
        <w:r w:rsidR="006E0D1C">
          <w:rPr>
            <w:noProof/>
            <w:webHidden/>
          </w:rPr>
        </w:r>
        <w:r w:rsidR="006E0D1C">
          <w:rPr>
            <w:noProof/>
            <w:webHidden/>
          </w:rPr>
          <w:fldChar w:fldCharType="separate"/>
        </w:r>
        <w:r>
          <w:rPr>
            <w:noProof/>
            <w:webHidden/>
          </w:rPr>
          <w:t>253</w:t>
        </w:r>
        <w:r w:rsidR="006E0D1C">
          <w:rPr>
            <w:noProof/>
            <w:webHidden/>
          </w:rPr>
          <w:fldChar w:fldCharType="end"/>
        </w:r>
      </w:hyperlink>
    </w:p>
    <w:p w14:paraId="75D86204" w14:textId="43FE2338" w:rsidR="006E0D1C" w:rsidRDefault="00D2215B">
      <w:pPr>
        <w:pStyle w:val="TOC3"/>
        <w:rPr>
          <w:rFonts w:asciiTheme="minorHAnsi" w:eastAsiaTheme="minorEastAsia" w:hAnsiTheme="minorHAnsi" w:cstheme="minorBidi"/>
          <w:noProof/>
          <w:sz w:val="22"/>
          <w:szCs w:val="22"/>
          <w:lang w:eastAsia="en-NZ"/>
        </w:rPr>
      </w:pPr>
      <w:hyperlink w:anchor="_Toc18594785" w:history="1">
        <w:r w:rsidR="006E0D1C" w:rsidRPr="00464F39">
          <w:rPr>
            <w:rStyle w:val="Hyperlink"/>
            <w:noProof/>
          </w:rPr>
          <w:t>Table 45: Estimated number (percentage in workforce) of Māori and non</w:t>
        </w:r>
        <w:r w:rsidR="006E0D1C" w:rsidRPr="00464F39">
          <w:rPr>
            <w:rStyle w:val="Hyperlink"/>
            <w:noProof/>
          </w:rPr>
          <w:noBreakHyphen/>
          <w:t>Māori in the medical laboratory technician workforce, 2005 to 2010</w:t>
        </w:r>
        <w:r w:rsidR="006E0D1C">
          <w:rPr>
            <w:noProof/>
            <w:webHidden/>
          </w:rPr>
          <w:tab/>
        </w:r>
        <w:r w:rsidR="006E0D1C">
          <w:rPr>
            <w:noProof/>
            <w:webHidden/>
          </w:rPr>
          <w:fldChar w:fldCharType="begin"/>
        </w:r>
        <w:r w:rsidR="006E0D1C">
          <w:rPr>
            <w:noProof/>
            <w:webHidden/>
          </w:rPr>
          <w:instrText xml:space="preserve"> PAGEREF _Toc18594785 \h </w:instrText>
        </w:r>
        <w:r w:rsidR="006E0D1C">
          <w:rPr>
            <w:noProof/>
            <w:webHidden/>
          </w:rPr>
        </w:r>
        <w:r w:rsidR="006E0D1C">
          <w:rPr>
            <w:noProof/>
            <w:webHidden/>
          </w:rPr>
          <w:fldChar w:fldCharType="separate"/>
        </w:r>
        <w:r>
          <w:rPr>
            <w:noProof/>
            <w:webHidden/>
          </w:rPr>
          <w:t>254</w:t>
        </w:r>
        <w:r w:rsidR="006E0D1C">
          <w:rPr>
            <w:noProof/>
            <w:webHidden/>
          </w:rPr>
          <w:fldChar w:fldCharType="end"/>
        </w:r>
      </w:hyperlink>
    </w:p>
    <w:p w14:paraId="0935360F" w14:textId="378B2751" w:rsidR="006E0D1C" w:rsidRDefault="00D2215B">
      <w:pPr>
        <w:pStyle w:val="TOC3"/>
        <w:rPr>
          <w:rFonts w:asciiTheme="minorHAnsi" w:eastAsiaTheme="minorEastAsia" w:hAnsiTheme="minorHAnsi" w:cstheme="minorBidi"/>
          <w:noProof/>
          <w:sz w:val="22"/>
          <w:szCs w:val="22"/>
          <w:lang w:eastAsia="en-NZ"/>
        </w:rPr>
      </w:pPr>
      <w:hyperlink w:anchor="_Toc18594786" w:history="1">
        <w:r w:rsidR="006E0D1C" w:rsidRPr="00464F39">
          <w:rPr>
            <w:rStyle w:val="Hyperlink"/>
            <w:noProof/>
          </w:rPr>
          <w:t>Table 46: Estimated number (percentage in workforce) of Māori and non</w:t>
        </w:r>
        <w:r w:rsidR="006E0D1C" w:rsidRPr="00464F39">
          <w:rPr>
            <w:rStyle w:val="Hyperlink"/>
            <w:noProof/>
          </w:rPr>
          <w:noBreakHyphen/>
          <w:t>Māori in the pharmacy workforce, 2005–2018</w:t>
        </w:r>
        <w:r w:rsidR="006E0D1C">
          <w:rPr>
            <w:noProof/>
            <w:webHidden/>
          </w:rPr>
          <w:tab/>
        </w:r>
        <w:r w:rsidR="006E0D1C">
          <w:rPr>
            <w:noProof/>
            <w:webHidden/>
          </w:rPr>
          <w:fldChar w:fldCharType="begin"/>
        </w:r>
        <w:r w:rsidR="006E0D1C">
          <w:rPr>
            <w:noProof/>
            <w:webHidden/>
          </w:rPr>
          <w:instrText xml:space="preserve"> PAGEREF _Toc18594786 \h </w:instrText>
        </w:r>
        <w:r w:rsidR="006E0D1C">
          <w:rPr>
            <w:noProof/>
            <w:webHidden/>
          </w:rPr>
        </w:r>
        <w:r w:rsidR="006E0D1C">
          <w:rPr>
            <w:noProof/>
            <w:webHidden/>
          </w:rPr>
          <w:fldChar w:fldCharType="separate"/>
        </w:r>
        <w:r>
          <w:rPr>
            <w:noProof/>
            <w:webHidden/>
          </w:rPr>
          <w:t>255</w:t>
        </w:r>
        <w:r w:rsidR="006E0D1C">
          <w:rPr>
            <w:noProof/>
            <w:webHidden/>
          </w:rPr>
          <w:fldChar w:fldCharType="end"/>
        </w:r>
      </w:hyperlink>
    </w:p>
    <w:p w14:paraId="596781A3" w14:textId="19698E84" w:rsidR="006E0D1C" w:rsidRDefault="00D2215B">
      <w:pPr>
        <w:pStyle w:val="TOC3"/>
        <w:rPr>
          <w:rFonts w:asciiTheme="minorHAnsi" w:eastAsiaTheme="minorEastAsia" w:hAnsiTheme="minorHAnsi" w:cstheme="minorBidi"/>
          <w:noProof/>
          <w:sz w:val="22"/>
          <w:szCs w:val="22"/>
          <w:lang w:eastAsia="en-NZ"/>
        </w:rPr>
      </w:pPr>
      <w:hyperlink w:anchor="_Toc18594787" w:history="1">
        <w:r w:rsidR="006E0D1C" w:rsidRPr="00464F39">
          <w:rPr>
            <w:rStyle w:val="Hyperlink"/>
            <w:noProof/>
          </w:rPr>
          <w:t>Table 47: Estimated number (percentage in workforce) of Māori and non</w:t>
        </w:r>
        <w:r w:rsidR="006E0D1C" w:rsidRPr="00464F39">
          <w:rPr>
            <w:rStyle w:val="Hyperlink"/>
            <w:noProof/>
          </w:rPr>
          <w:noBreakHyphen/>
          <w:t>Māori in the optometry workforce, 2005–2010</w:t>
        </w:r>
        <w:r w:rsidR="006E0D1C">
          <w:rPr>
            <w:noProof/>
            <w:webHidden/>
          </w:rPr>
          <w:tab/>
        </w:r>
        <w:r w:rsidR="006E0D1C">
          <w:rPr>
            <w:noProof/>
            <w:webHidden/>
          </w:rPr>
          <w:fldChar w:fldCharType="begin"/>
        </w:r>
        <w:r w:rsidR="006E0D1C">
          <w:rPr>
            <w:noProof/>
            <w:webHidden/>
          </w:rPr>
          <w:instrText xml:space="preserve"> PAGEREF _Toc18594787 \h </w:instrText>
        </w:r>
        <w:r w:rsidR="006E0D1C">
          <w:rPr>
            <w:noProof/>
            <w:webHidden/>
          </w:rPr>
        </w:r>
        <w:r w:rsidR="006E0D1C">
          <w:rPr>
            <w:noProof/>
            <w:webHidden/>
          </w:rPr>
          <w:fldChar w:fldCharType="separate"/>
        </w:r>
        <w:r>
          <w:rPr>
            <w:noProof/>
            <w:webHidden/>
          </w:rPr>
          <w:t>256</w:t>
        </w:r>
        <w:r w:rsidR="006E0D1C">
          <w:rPr>
            <w:noProof/>
            <w:webHidden/>
          </w:rPr>
          <w:fldChar w:fldCharType="end"/>
        </w:r>
      </w:hyperlink>
    </w:p>
    <w:p w14:paraId="72E54026" w14:textId="1E5ADE2F" w:rsidR="006E0D1C" w:rsidRDefault="00D2215B">
      <w:pPr>
        <w:pStyle w:val="TOC3"/>
        <w:rPr>
          <w:rFonts w:asciiTheme="minorHAnsi" w:eastAsiaTheme="minorEastAsia" w:hAnsiTheme="minorHAnsi" w:cstheme="minorBidi"/>
          <w:noProof/>
          <w:sz w:val="22"/>
          <w:szCs w:val="22"/>
          <w:lang w:eastAsia="en-NZ"/>
        </w:rPr>
      </w:pPr>
      <w:hyperlink w:anchor="_Toc18594788" w:history="1">
        <w:r w:rsidR="006E0D1C" w:rsidRPr="00464F39">
          <w:rPr>
            <w:rStyle w:val="Hyperlink"/>
            <w:noProof/>
          </w:rPr>
          <w:t>Table 48: Estimated number (percentage in workforce) of Māori and non</w:t>
        </w:r>
        <w:r w:rsidR="006E0D1C" w:rsidRPr="00464F39">
          <w:rPr>
            <w:rStyle w:val="Hyperlink"/>
            <w:noProof/>
          </w:rPr>
          <w:noBreakHyphen/>
          <w:t>Māori in the dispensing optician workforce, 2005–2010</w:t>
        </w:r>
        <w:r w:rsidR="006E0D1C">
          <w:rPr>
            <w:noProof/>
            <w:webHidden/>
          </w:rPr>
          <w:tab/>
        </w:r>
        <w:r w:rsidR="006E0D1C">
          <w:rPr>
            <w:noProof/>
            <w:webHidden/>
          </w:rPr>
          <w:fldChar w:fldCharType="begin"/>
        </w:r>
        <w:r w:rsidR="006E0D1C">
          <w:rPr>
            <w:noProof/>
            <w:webHidden/>
          </w:rPr>
          <w:instrText xml:space="preserve"> PAGEREF _Toc18594788 \h </w:instrText>
        </w:r>
        <w:r w:rsidR="006E0D1C">
          <w:rPr>
            <w:noProof/>
            <w:webHidden/>
          </w:rPr>
        </w:r>
        <w:r w:rsidR="006E0D1C">
          <w:rPr>
            <w:noProof/>
            <w:webHidden/>
          </w:rPr>
          <w:fldChar w:fldCharType="separate"/>
        </w:r>
        <w:r>
          <w:rPr>
            <w:noProof/>
            <w:webHidden/>
          </w:rPr>
          <w:t>257</w:t>
        </w:r>
        <w:r w:rsidR="006E0D1C">
          <w:rPr>
            <w:noProof/>
            <w:webHidden/>
          </w:rPr>
          <w:fldChar w:fldCharType="end"/>
        </w:r>
      </w:hyperlink>
    </w:p>
    <w:p w14:paraId="5FDAEE42" w14:textId="6ECB7ADB" w:rsidR="006E0D1C" w:rsidRDefault="00D2215B">
      <w:pPr>
        <w:pStyle w:val="TOC3"/>
        <w:rPr>
          <w:rFonts w:asciiTheme="minorHAnsi" w:eastAsiaTheme="minorEastAsia" w:hAnsiTheme="minorHAnsi" w:cstheme="minorBidi"/>
          <w:noProof/>
          <w:sz w:val="22"/>
          <w:szCs w:val="22"/>
          <w:lang w:eastAsia="en-NZ"/>
        </w:rPr>
      </w:pPr>
      <w:hyperlink w:anchor="_Toc18594789" w:history="1">
        <w:r w:rsidR="006E0D1C" w:rsidRPr="00464F39">
          <w:rPr>
            <w:rStyle w:val="Hyperlink"/>
            <w:noProof/>
          </w:rPr>
          <w:t>Table 49: Estimated number (percentage in workforce) of Māori and non</w:t>
        </w:r>
        <w:r w:rsidR="006E0D1C" w:rsidRPr="00464F39">
          <w:rPr>
            <w:rStyle w:val="Hyperlink"/>
            <w:noProof/>
          </w:rPr>
          <w:noBreakHyphen/>
          <w:t>Māori in the podiatry workforce, 2005–2010</w:t>
        </w:r>
        <w:r w:rsidR="006E0D1C">
          <w:rPr>
            <w:noProof/>
            <w:webHidden/>
          </w:rPr>
          <w:tab/>
        </w:r>
        <w:r w:rsidR="006E0D1C">
          <w:rPr>
            <w:noProof/>
            <w:webHidden/>
          </w:rPr>
          <w:fldChar w:fldCharType="begin"/>
        </w:r>
        <w:r w:rsidR="006E0D1C">
          <w:rPr>
            <w:noProof/>
            <w:webHidden/>
          </w:rPr>
          <w:instrText xml:space="preserve"> PAGEREF _Toc18594789 \h </w:instrText>
        </w:r>
        <w:r w:rsidR="006E0D1C">
          <w:rPr>
            <w:noProof/>
            <w:webHidden/>
          </w:rPr>
        </w:r>
        <w:r w:rsidR="006E0D1C">
          <w:rPr>
            <w:noProof/>
            <w:webHidden/>
          </w:rPr>
          <w:fldChar w:fldCharType="separate"/>
        </w:r>
        <w:r>
          <w:rPr>
            <w:noProof/>
            <w:webHidden/>
          </w:rPr>
          <w:t>258</w:t>
        </w:r>
        <w:r w:rsidR="006E0D1C">
          <w:rPr>
            <w:noProof/>
            <w:webHidden/>
          </w:rPr>
          <w:fldChar w:fldCharType="end"/>
        </w:r>
      </w:hyperlink>
    </w:p>
    <w:p w14:paraId="6CF34EF0" w14:textId="039FDD97" w:rsidR="006E0D1C" w:rsidRDefault="00D2215B">
      <w:pPr>
        <w:pStyle w:val="TOC3"/>
        <w:rPr>
          <w:rFonts w:asciiTheme="minorHAnsi" w:eastAsiaTheme="minorEastAsia" w:hAnsiTheme="minorHAnsi" w:cstheme="minorBidi"/>
          <w:noProof/>
          <w:sz w:val="22"/>
          <w:szCs w:val="22"/>
          <w:lang w:eastAsia="en-NZ"/>
        </w:rPr>
      </w:pPr>
      <w:hyperlink w:anchor="_Toc18594790" w:history="1">
        <w:r w:rsidR="006E0D1C" w:rsidRPr="00464F39">
          <w:rPr>
            <w:rStyle w:val="Hyperlink"/>
            <w:noProof/>
          </w:rPr>
          <w:t>Table 50: Estimated number (percentage in workforce) of Māori and non</w:t>
        </w:r>
        <w:r w:rsidR="006E0D1C" w:rsidRPr="00464F39">
          <w:rPr>
            <w:rStyle w:val="Hyperlink"/>
            <w:noProof/>
          </w:rPr>
          <w:noBreakHyphen/>
          <w:t>Māori in the osteopath workforce, 2005–2010</w:t>
        </w:r>
        <w:r w:rsidR="006E0D1C">
          <w:rPr>
            <w:noProof/>
            <w:webHidden/>
          </w:rPr>
          <w:tab/>
        </w:r>
        <w:r w:rsidR="006E0D1C">
          <w:rPr>
            <w:noProof/>
            <w:webHidden/>
          </w:rPr>
          <w:fldChar w:fldCharType="begin"/>
        </w:r>
        <w:r w:rsidR="006E0D1C">
          <w:rPr>
            <w:noProof/>
            <w:webHidden/>
          </w:rPr>
          <w:instrText xml:space="preserve"> PAGEREF _Toc18594790 \h </w:instrText>
        </w:r>
        <w:r w:rsidR="006E0D1C">
          <w:rPr>
            <w:noProof/>
            <w:webHidden/>
          </w:rPr>
        </w:r>
        <w:r w:rsidR="006E0D1C">
          <w:rPr>
            <w:noProof/>
            <w:webHidden/>
          </w:rPr>
          <w:fldChar w:fldCharType="separate"/>
        </w:r>
        <w:r>
          <w:rPr>
            <w:noProof/>
            <w:webHidden/>
          </w:rPr>
          <w:t>259</w:t>
        </w:r>
        <w:r w:rsidR="006E0D1C">
          <w:rPr>
            <w:noProof/>
            <w:webHidden/>
          </w:rPr>
          <w:fldChar w:fldCharType="end"/>
        </w:r>
      </w:hyperlink>
    </w:p>
    <w:p w14:paraId="4D283BC8" w14:textId="7836EA7C" w:rsidR="006E0D1C" w:rsidRDefault="00D2215B">
      <w:pPr>
        <w:pStyle w:val="TOC3"/>
        <w:rPr>
          <w:rFonts w:asciiTheme="minorHAnsi" w:eastAsiaTheme="minorEastAsia" w:hAnsiTheme="minorHAnsi" w:cstheme="minorBidi"/>
          <w:noProof/>
          <w:sz w:val="22"/>
          <w:szCs w:val="22"/>
          <w:lang w:eastAsia="en-NZ"/>
        </w:rPr>
      </w:pPr>
      <w:hyperlink w:anchor="_Toc18594791" w:history="1">
        <w:r w:rsidR="006E0D1C" w:rsidRPr="00464F39">
          <w:rPr>
            <w:rStyle w:val="Hyperlink"/>
            <w:noProof/>
          </w:rPr>
          <w:t>Table 51: Estimated number (percentage in workforce) of Māori and non</w:t>
        </w:r>
        <w:r w:rsidR="006E0D1C" w:rsidRPr="00464F39">
          <w:rPr>
            <w:rStyle w:val="Hyperlink"/>
            <w:noProof/>
          </w:rPr>
          <w:noBreakHyphen/>
          <w:t>Māori in the chiropractor workforce, 2005–2010</w:t>
        </w:r>
        <w:r w:rsidR="006E0D1C">
          <w:rPr>
            <w:noProof/>
            <w:webHidden/>
          </w:rPr>
          <w:tab/>
        </w:r>
        <w:r w:rsidR="006E0D1C">
          <w:rPr>
            <w:noProof/>
            <w:webHidden/>
          </w:rPr>
          <w:fldChar w:fldCharType="begin"/>
        </w:r>
        <w:r w:rsidR="006E0D1C">
          <w:rPr>
            <w:noProof/>
            <w:webHidden/>
          </w:rPr>
          <w:instrText xml:space="preserve"> PAGEREF _Toc18594791 \h </w:instrText>
        </w:r>
        <w:r w:rsidR="006E0D1C">
          <w:rPr>
            <w:noProof/>
            <w:webHidden/>
          </w:rPr>
        </w:r>
        <w:r w:rsidR="006E0D1C">
          <w:rPr>
            <w:noProof/>
            <w:webHidden/>
          </w:rPr>
          <w:fldChar w:fldCharType="separate"/>
        </w:r>
        <w:r>
          <w:rPr>
            <w:noProof/>
            <w:webHidden/>
          </w:rPr>
          <w:t>260</w:t>
        </w:r>
        <w:r w:rsidR="006E0D1C">
          <w:rPr>
            <w:noProof/>
            <w:webHidden/>
          </w:rPr>
          <w:fldChar w:fldCharType="end"/>
        </w:r>
      </w:hyperlink>
    </w:p>
    <w:p w14:paraId="1B8A4565" w14:textId="2A595AE4" w:rsidR="006E0D1C" w:rsidRDefault="00D2215B">
      <w:pPr>
        <w:pStyle w:val="TOC3"/>
        <w:rPr>
          <w:rFonts w:asciiTheme="minorHAnsi" w:eastAsiaTheme="minorEastAsia" w:hAnsiTheme="minorHAnsi" w:cstheme="minorBidi"/>
          <w:noProof/>
          <w:sz w:val="22"/>
          <w:szCs w:val="22"/>
          <w:lang w:eastAsia="en-NZ"/>
        </w:rPr>
      </w:pPr>
      <w:hyperlink w:anchor="_Toc18594792" w:history="1">
        <w:r w:rsidR="006E0D1C" w:rsidRPr="00464F39">
          <w:rPr>
            <w:rStyle w:val="Hyperlink"/>
            <w:noProof/>
          </w:rPr>
          <w:t>Table 52: Emergency department attendance rates, by gender, Māori and non</w:t>
        </w:r>
        <w:r w:rsidR="006E0D1C" w:rsidRPr="00464F39">
          <w:rPr>
            <w:rStyle w:val="Hyperlink"/>
            <w:noProof/>
          </w:rPr>
          <w:noBreakHyphen/>
          <w:t>Māori non</w:t>
        </w:r>
        <w:r w:rsidR="006E0D1C" w:rsidRPr="00464F39">
          <w:rPr>
            <w:rStyle w:val="Hyperlink"/>
            <w:noProof/>
          </w:rPr>
          <w:noBreakHyphen/>
          <w:t>Pacific, 2007–08 to 2016–17</w:t>
        </w:r>
        <w:r w:rsidR="006E0D1C">
          <w:rPr>
            <w:noProof/>
            <w:webHidden/>
          </w:rPr>
          <w:tab/>
        </w:r>
        <w:r w:rsidR="006E0D1C">
          <w:rPr>
            <w:noProof/>
            <w:webHidden/>
          </w:rPr>
          <w:fldChar w:fldCharType="begin"/>
        </w:r>
        <w:r w:rsidR="006E0D1C">
          <w:rPr>
            <w:noProof/>
            <w:webHidden/>
          </w:rPr>
          <w:instrText xml:space="preserve"> PAGEREF _Toc18594792 \h </w:instrText>
        </w:r>
        <w:r w:rsidR="006E0D1C">
          <w:rPr>
            <w:noProof/>
            <w:webHidden/>
          </w:rPr>
        </w:r>
        <w:r w:rsidR="006E0D1C">
          <w:rPr>
            <w:noProof/>
            <w:webHidden/>
          </w:rPr>
          <w:fldChar w:fldCharType="separate"/>
        </w:r>
        <w:r>
          <w:rPr>
            <w:noProof/>
            <w:webHidden/>
          </w:rPr>
          <w:t>327</w:t>
        </w:r>
        <w:r w:rsidR="006E0D1C">
          <w:rPr>
            <w:noProof/>
            <w:webHidden/>
          </w:rPr>
          <w:fldChar w:fldCharType="end"/>
        </w:r>
      </w:hyperlink>
    </w:p>
    <w:p w14:paraId="2294F016" w14:textId="51DA21E6" w:rsidR="006E0D1C" w:rsidRDefault="00D2215B">
      <w:pPr>
        <w:pStyle w:val="TOC3"/>
        <w:rPr>
          <w:rFonts w:asciiTheme="minorHAnsi" w:eastAsiaTheme="minorEastAsia" w:hAnsiTheme="minorHAnsi" w:cstheme="minorBidi"/>
          <w:noProof/>
          <w:sz w:val="22"/>
          <w:szCs w:val="22"/>
          <w:lang w:eastAsia="en-NZ"/>
        </w:rPr>
      </w:pPr>
      <w:hyperlink w:anchor="_Toc18594793" w:history="1">
        <w:r w:rsidR="006E0D1C" w:rsidRPr="00464F39">
          <w:rPr>
            <w:rStyle w:val="Hyperlink"/>
            <w:noProof/>
          </w:rPr>
          <w:t>Table A1.1: Estimates of the Māori population using National Māori Population Estimates and DHB Māori Population Estimates</w:t>
        </w:r>
        <w:r w:rsidR="006E0D1C">
          <w:rPr>
            <w:noProof/>
            <w:webHidden/>
          </w:rPr>
          <w:tab/>
        </w:r>
        <w:r w:rsidR="006E0D1C">
          <w:rPr>
            <w:noProof/>
            <w:webHidden/>
          </w:rPr>
          <w:fldChar w:fldCharType="begin"/>
        </w:r>
        <w:r w:rsidR="006E0D1C">
          <w:rPr>
            <w:noProof/>
            <w:webHidden/>
          </w:rPr>
          <w:instrText xml:space="preserve"> PAGEREF _Toc18594793 \h </w:instrText>
        </w:r>
        <w:r w:rsidR="006E0D1C">
          <w:rPr>
            <w:noProof/>
            <w:webHidden/>
          </w:rPr>
        </w:r>
        <w:r w:rsidR="006E0D1C">
          <w:rPr>
            <w:noProof/>
            <w:webHidden/>
          </w:rPr>
          <w:fldChar w:fldCharType="separate"/>
        </w:r>
        <w:r>
          <w:rPr>
            <w:noProof/>
            <w:webHidden/>
          </w:rPr>
          <w:t>334</w:t>
        </w:r>
        <w:r w:rsidR="006E0D1C">
          <w:rPr>
            <w:noProof/>
            <w:webHidden/>
          </w:rPr>
          <w:fldChar w:fldCharType="end"/>
        </w:r>
      </w:hyperlink>
    </w:p>
    <w:p w14:paraId="46CB3EE7" w14:textId="6F1B888D" w:rsidR="006E0D1C" w:rsidRDefault="00D2215B">
      <w:pPr>
        <w:pStyle w:val="TOC3"/>
        <w:rPr>
          <w:rFonts w:asciiTheme="minorHAnsi" w:eastAsiaTheme="minorEastAsia" w:hAnsiTheme="minorHAnsi" w:cstheme="minorBidi"/>
          <w:noProof/>
          <w:sz w:val="22"/>
          <w:szCs w:val="22"/>
          <w:lang w:eastAsia="en-NZ"/>
        </w:rPr>
      </w:pPr>
      <w:hyperlink w:anchor="_Toc18594794" w:history="1">
        <w:r w:rsidR="006E0D1C" w:rsidRPr="00464F39">
          <w:rPr>
            <w:rStyle w:val="Hyperlink"/>
            <w:noProof/>
          </w:rPr>
          <w:t xml:space="preserve">Table A2.1: Amenable mortality codes – 2012 version, codes as defined in </w:t>
        </w:r>
        <w:r w:rsidR="006E0D1C" w:rsidRPr="00464F39">
          <w:rPr>
            <w:rStyle w:val="Hyperlink"/>
            <w:i/>
            <w:noProof/>
          </w:rPr>
          <w:t>Saving Lives: Amenable mortality in New Zealand, 1996–2006</w:t>
        </w:r>
        <w:r w:rsidR="006E0D1C">
          <w:rPr>
            <w:noProof/>
            <w:webHidden/>
          </w:rPr>
          <w:tab/>
        </w:r>
        <w:r w:rsidR="006E0D1C">
          <w:rPr>
            <w:noProof/>
            <w:webHidden/>
          </w:rPr>
          <w:fldChar w:fldCharType="begin"/>
        </w:r>
        <w:r w:rsidR="006E0D1C">
          <w:rPr>
            <w:noProof/>
            <w:webHidden/>
          </w:rPr>
          <w:instrText xml:space="preserve"> PAGEREF _Toc18594794 \h </w:instrText>
        </w:r>
        <w:r w:rsidR="006E0D1C">
          <w:rPr>
            <w:noProof/>
            <w:webHidden/>
          </w:rPr>
        </w:r>
        <w:r w:rsidR="006E0D1C">
          <w:rPr>
            <w:noProof/>
            <w:webHidden/>
          </w:rPr>
          <w:fldChar w:fldCharType="separate"/>
        </w:r>
        <w:r>
          <w:rPr>
            <w:noProof/>
            <w:webHidden/>
          </w:rPr>
          <w:t>336</w:t>
        </w:r>
        <w:r w:rsidR="006E0D1C">
          <w:rPr>
            <w:noProof/>
            <w:webHidden/>
          </w:rPr>
          <w:fldChar w:fldCharType="end"/>
        </w:r>
      </w:hyperlink>
    </w:p>
    <w:p w14:paraId="7E39059F" w14:textId="0C780E7D" w:rsidR="006E0D1C" w:rsidRDefault="00D2215B">
      <w:pPr>
        <w:pStyle w:val="TOC3"/>
        <w:rPr>
          <w:rFonts w:asciiTheme="minorHAnsi" w:eastAsiaTheme="minorEastAsia" w:hAnsiTheme="minorHAnsi" w:cstheme="minorBidi"/>
          <w:noProof/>
          <w:sz w:val="22"/>
          <w:szCs w:val="22"/>
          <w:lang w:eastAsia="en-NZ"/>
        </w:rPr>
      </w:pPr>
      <w:hyperlink w:anchor="_Toc18594795" w:history="1">
        <w:r w:rsidR="006E0D1C" w:rsidRPr="00464F39">
          <w:rPr>
            <w:rStyle w:val="Hyperlink"/>
            <w:noProof/>
          </w:rPr>
          <w:t>Table A2.2: Amenable mortality codes – 2016 revised version, to be used with data from 2010</w:t>
        </w:r>
        <w:r w:rsidR="006E0D1C">
          <w:rPr>
            <w:noProof/>
            <w:webHidden/>
          </w:rPr>
          <w:tab/>
        </w:r>
        <w:r w:rsidR="006E0D1C">
          <w:rPr>
            <w:noProof/>
            <w:webHidden/>
          </w:rPr>
          <w:fldChar w:fldCharType="begin"/>
        </w:r>
        <w:r w:rsidR="006E0D1C">
          <w:rPr>
            <w:noProof/>
            <w:webHidden/>
          </w:rPr>
          <w:instrText xml:space="preserve"> PAGEREF _Toc18594795 \h </w:instrText>
        </w:r>
        <w:r w:rsidR="006E0D1C">
          <w:rPr>
            <w:noProof/>
            <w:webHidden/>
          </w:rPr>
        </w:r>
        <w:r w:rsidR="006E0D1C">
          <w:rPr>
            <w:noProof/>
            <w:webHidden/>
          </w:rPr>
          <w:fldChar w:fldCharType="separate"/>
        </w:r>
        <w:r>
          <w:rPr>
            <w:noProof/>
            <w:webHidden/>
          </w:rPr>
          <w:t>338</w:t>
        </w:r>
        <w:r w:rsidR="006E0D1C">
          <w:rPr>
            <w:noProof/>
            <w:webHidden/>
          </w:rPr>
          <w:fldChar w:fldCharType="end"/>
        </w:r>
      </w:hyperlink>
    </w:p>
    <w:p w14:paraId="6C999F91" w14:textId="0191C718" w:rsidR="006E0D1C" w:rsidRDefault="00D2215B">
      <w:pPr>
        <w:pStyle w:val="TOC3"/>
        <w:rPr>
          <w:rFonts w:asciiTheme="minorHAnsi" w:eastAsiaTheme="minorEastAsia" w:hAnsiTheme="minorHAnsi" w:cstheme="minorBidi"/>
          <w:noProof/>
          <w:sz w:val="22"/>
          <w:szCs w:val="22"/>
          <w:lang w:eastAsia="en-NZ"/>
        </w:rPr>
      </w:pPr>
      <w:hyperlink w:anchor="_Toc18594796" w:history="1">
        <w:r w:rsidR="006E0D1C" w:rsidRPr="00464F39">
          <w:rPr>
            <w:rStyle w:val="Hyperlink"/>
            <w:noProof/>
          </w:rPr>
          <w:t>Table A2.3: Ambulatory-sensitive hospitalisation (ASH) codes</w:t>
        </w:r>
        <w:r w:rsidR="006E0D1C">
          <w:rPr>
            <w:noProof/>
            <w:webHidden/>
          </w:rPr>
          <w:tab/>
        </w:r>
        <w:r w:rsidR="006E0D1C">
          <w:rPr>
            <w:noProof/>
            <w:webHidden/>
          </w:rPr>
          <w:fldChar w:fldCharType="begin"/>
        </w:r>
        <w:r w:rsidR="006E0D1C">
          <w:rPr>
            <w:noProof/>
            <w:webHidden/>
          </w:rPr>
          <w:instrText xml:space="preserve"> PAGEREF _Toc18594796 \h </w:instrText>
        </w:r>
        <w:r w:rsidR="006E0D1C">
          <w:rPr>
            <w:noProof/>
            <w:webHidden/>
          </w:rPr>
        </w:r>
        <w:r w:rsidR="006E0D1C">
          <w:rPr>
            <w:noProof/>
            <w:webHidden/>
          </w:rPr>
          <w:fldChar w:fldCharType="separate"/>
        </w:r>
        <w:r>
          <w:rPr>
            <w:noProof/>
            <w:webHidden/>
          </w:rPr>
          <w:t>340</w:t>
        </w:r>
        <w:r w:rsidR="006E0D1C">
          <w:rPr>
            <w:noProof/>
            <w:webHidden/>
          </w:rPr>
          <w:fldChar w:fldCharType="end"/>
        </w:r>
      </w:hyperlink>
    </w:p>
    <w:p w14:paraId="5C8B72CA" w14:textId="2EF5F2DB" w:rsidR="006E0D1C" w:rsidRDefault="00D2215B">
      <w:pPr>
        <w:pStyle w:val="TOC3"/>
        <w:rPr>
          <w:rFonts w:asciiTheme="minorHAnsi" w:eastAsiaTheme="minorEastAsia" w:hAnsiTheme="minorHAnsi" w:cstheme="minorBidi"/>
          <w:noProof/>
          <w:sz w:val="22"/>
          <w:szCs w:val="22"/>
          <w:lang w:eastAsia="en-NZ"/>
        </w:rPr>
      </w:pPr>
      <w:hyperlink w:anchor="_Toc18594797" w:history="1">
        <w:r w:rsidR="006E0D1C" w:rsidRPr="00464F39">
          <w:rPr>
            <w:rStyle w:val="Hyperlink"/>
            <w:noProof/>
          </w:rPr>
          <w:t>Table A2.4: ICD codes used in this report</w:t>
        </w:r>
        <w:r w:rsidR="006E0D1C">
          <w:rPr>
            <w:noProof/>
            <w:webHidden/>
          </w:rPr>
          <w:tab/>
        </w:r>
        <w:r w:rsidR="006E0D1C">
          <w:rPr>
            <w:noProof/>
            <w:webHidden/>
          </w:rPr>
          <w:fldChar w:fldCharType="begin"/>
        </w:r>
        <w:r w:rsidR="006E0D1C">
          <w:rPr>
            <w:noProof/>
            <w:webHidden/>
          </w:rPr>
          <w:instrText xml:space="preserve"> PAGEREF _Toc18594797 \h </w:instrText>
        </w:r>
        <w:r w:rsidR="006E0D1C">
          <w:rPr>
            <w:noProof/>
            <w:webHidden/>
          </w:rPr>
        </w:r>
        <w:r w:rsidR="006E0D1C">
          <w:rPr>
            <w:noProof/>
            <w:webHidden/>
          </w:rPr>
          <w:fldChar w:fldCharType="separate"/>
        </w:r>
        <w:r>
          <w:rPr>
            <w:noProof/>
            <w:webHidden/>
          </w:rPr>
          <w:t>347</w:t>
        </w:r>
        <w:r w:rsidR="006E0D1C">
          <w:rPr>
            <w:noProof/>
            <w:webHidden/>
          </w:rPr>
          <w:fldChar w:fldCharType="end"/>
        </w:r>
      </w:hyperlink>
    </w:p>
    <w:p w14:paraId="6CBF859F" w14:textId="428C9F38" w:rsidR="006E0D1C" w:rsidRDefault="00D2215B">
      <w:pPr>
        <w:pStyle w:val="TOC3"/>
        <w:rPr>
          <w:rFonts w:asciiTheme="minorHAnsi" w:eastAsiaTheme="minorEastAsia" w:hAnsiTheme="minorHAnsi" w:cstheme="minorBidi"/>
          <w:noProof/>
          <w:sz w:val="22"/>
          <w:szCs w:val="22"/>
          <w:lang w:eastAsia="en-NZ"/>
        </w:rPr>
      </w:pPr>
      <w:hyperlink w:anchor="_Toc18594798" w:history="1">
        <w:r w:rsidR="006E0D1C" w:rsidRPr="00464F39">
          <w:rPr>
            <w:rStyle w:val="Hyperlink"/>
            <w:noProof/>
          </w:rPr>
          <w:t>Table A3.1: 2001 Census total Māori population</w:t>
        </w:r>
        <w:r w:rsidR="006E0D1C">
          <w:rPr>
            <w:noProof/>
            <w:webHidden/>
          </w:rPr>
          <w:tab/>
        </w:r>
        <w:r w:rsidR="006E0D1C">
          <w:rPr>
            <w:noProof/>
            <w:webHidden/>
          </w:rPr>
          <w:fldChar w:fldCharType="begin"/>
        </w:r>
        <w:r w:rsidR="006E0D1C">
          <w:rPr>
            <w:noProof/>
            <w:webHidden/>
          </w:rPr>
          <w:instrText xml:space="preserve"> PAGEREF _Toc18594798 \h </w:instrText>
        </w:r>
        <w:r w:rsidR="006E0D1C">
          <w:rPr>
            <w:noProof/>
            <w:webHidden/>
          </w:rPr>
        </w:r>
        <w:r w:rsidR="006E0D1C">
          <w:rPr>
            <w:noProof/>
            <w:webHidden/>
          </w:rPr>
          <w:fldChar w:fldCharType="separate"/>
        </w:r>
        <w:r>
          <w:rPr>
            <w:noProof/>
            <w:webHidden/>
          </w:rPr>
          <w:t>349</w:t>
        </w:r>
        <w:r w:rsidR="006E0D1C">
          <w:rPr>
            <w:noProof/>
            <w:webHidden/>
          </w:rPr>
          <w:fldChar w:fldCharType="end"/>
        </w:r>
      </w:hyperlink>
    </w:p>
    <w:p w14:paraId="0A762797" w14:textId="4B27611E" w:rsidR="006E0D1C" w:rsidRDefault="00D2215B">
      <w:pPr>
        <w:pStyle w:val="TOC3"/>
        <w:rPr>
          <w:rFonts w:asciiTheme="minorHAnsi" w:eastAsiaTheme="minorEastAsia" w:hAnsiTheme="minorHAnsi" w:cstheme="minorBidi"/>
          <w:noProof/>
          <w:sz w:val="22"/>
          <w:szCs w:val="22"/>
          <w:lang w:eastAsia="en-NZ"/>
        </w:rPr>
      </w:pPr>
      <w:hyperlink w:anchor="_Toc18594799" w:history="1">
        <w:r w:rsidR="006E0D1C" w:rsidRPr="00464F39">
          <w:rPr>
            <w:rStyle w:val="Hyperlink"/>
            <w:noProof/>
          </w:rPr>
          <w:t>Table A5.1: Number of discharges that contain any diagnosis of E10–E14, 1 July 2004 to 30 June 2014</w:t>
        </w:r>
        <w:r w:rsidR="006E0D1C">
          <w:rPr>
            <w:noProof/>
            <w:webHidden/>
          </w:rPr>
          <w:tab/>
        </w:r>
        <w:r w:rsidR="006E0D1C">
          <w:rPr>
            <w:noProof/>
            <w:webHidden/>
          </w:rPr>
          <w:fldChar w:fldCharType="begin"/>
        </w:r>
        <w:r w:rsidR="006E0D1C">
          <w:rPr>
            <w:noProof/>
            <w:webHidden/>
          </w:rPr>
          <w:instrText xml:space="preserve"> PAGEREF _Toc18594799 \h </w:instrText>
        </w:r>
        <w:r w:rsidR="006E0D1C">
          <w:rPr>
            <w:noProof/>
            <w:webHidden/>
          </w:rPr>
        </w:r>
        <w:r w:rsidR="006E0D1C">
          <w:rPr>
            <w:noProof/>
            <w:webHidden/>
          </w:rPr>
          <w:fldChar w:fldCharType="separate"/>
        </w:r>
        <w:r>
          <w:rPr>
            <w:noProof/>
            <w:webHidden/>
          </w:rPr>
          <w:t>361</w:t>
        </w:r>
        <w:r w:rsidR="006E0D1C">
          <w:rPr>
            <w:noProof/>
            <w:webHidden/>
          </w:rPr>
          <w:fldChar w:fldCharType="end"/>
        </w:r>
      </w:hyperlink>
    </w:p>
    <w:p w14:paraId="71D98506" w14:textId="77B21DF5" w:rsidR="006E0D1C" w:rsidRDefault="00D2215B">
      <w:pPr>
        <w:pStyle w:val="TOC3"/>
        <w:rPr>
          <w:rFonts w:asciiTheme="minorHAnsi" w:eastAsiaTheme="minorEastAsia" w:hAnsiTheme="minorHAnsi" w:cstheme="minorBidi"/>
          <w:noProof/>
          <w:sz w:val="22"/>
          <w:szCs w:val="22"/>
          <w:lang w:eastAsia="en-NZ"/>
        </w:rPr>
      </w:pPr>
      <w:hyperlink w:anchor="_Toc18594800" w:history="1">
        <w:r w:rsidR="006E0D1C" w:rsidRPr="00464F39">
          <w:rPr>
            <w:rStyle w:val="Hyperlink"/>
            <w:noProof/>
          </w:rPr>
          <w:t>Table A6.1: Estimated number (percentage in workforce) of Māori and non</w:t>
        </w:r>
        <w:r w:rsidR="006E0D1C" w:rsidRPr="00464F39">
          <w:rPr>
            <w:rStyle w:val="Hyperlink"/>
            <w:noProof/>
          </w:rPr>
          <w:noBreakHyphen/>
          <w:t>Māori, enrolled nurses, 2011–2018</w:t>
        </w:r>
        <w:r w:rsidR="006E0D1C">
          <w:rPr>
            <w:noProof/>
            <w:webHidden/>
          </w:rPr>
          <w:tab/>
        </w:r>
        <w:r w:rsidR="006E0D1C">
          <w:rPr>
            <w:noProof/>
            <w:webHidden/>
          </w:rPr>
          <w:fldChar w:fldCharType="begin"/>
        </w:r>
        <w:r w:rsidR="006E0D1C">
          <w:rPr>
            <w:noProof/>
            <w:webHidden/>
          </w:rPr>
          <w:instrText xml:space="preserve"> PAGEREF _Toc18594800 \h </w:instrText>
        </w:r>
        <w:r w:rsidR="006E0D1C">
          <w:rPr>
            <w:noProof/>
            <w:webHidden/>
          </w:rPr>
        </w:r>
        <w:r w:rsidR="006E0D1C">
          <w:rPr>
            <w:noProof/>
            <w:webHidden/>
          </w:rPr>
          <w:fldChar w:fldCharType="separate"/>
        </w:r>
        <w:r>
          <w:rPr>
            <w:noProof/>
            <w:webHidden/>
          </w:rPr>
          <w:t>364</w:t>
        </w:r>
        <w:r w:rsidR="006E0D1C">
          <w:rPr>
            <w:noProof/>
            <w:webHidden/>
          </w:rPr>
          <w:fldChar w:fldCharType="end"/>
        </w:r>
      </w:hyperlink>
    </w:p>
    <w:p w14:paraId="40D127B9" w14:textId="79C9ABFF" w:rsidR="006E0D1C" w:rsidRDefault="00D2215B">
      <w:pPr>
        <w:pStyle w:val="TOC3"/>
        <w:rPr>
          <w:rFonts w:asciiTheme="minorHAnsi" w:eastAsiaTheme="minorEastAsia" w:hAnsiTheme="minorHAnsi" w:cstheme="minorBidi"/>
          <w:noProof/>
          <w:sz w:val="22"/>
          <w:szCs w:val="22"/>
          <w:lang w:eastAsia="en-NZ"/>
        </w:rPr>
      </w:pPr>
      <w:hyperlink w:anchor="_Toc18594801" w:history="1">
        <w:r w:rsidR="006E0D1C" w:rsidRPr="00464F39">
          <w:rPr>
            <w:rStyle w:val="Hyperlink"/>
            <w:noProof/>
          </w:rPr>
          <w:t>Table A6.2: Estimated number (percentage in workforce) of Māori and non</w:t>
        </w:r>
        <w:r w:rsidR="006E0D1C" w:rsidRPr="00464F39">
          <w:rPr>
            <w:rStyle w:val="Hyperlink"/>
            <w:noProof/>
          </w:rPr>
          <w:noBreakHyphen/>
          <w:t>Māori, nurse practitioners, 2011–2018</w:t>
        </w:r>
        <w:r w:rsidR="006E0D1C">
          <w:rPr>
            <w:noProof/>
            <w:webHidden/>
          </w:rPr>
          <w:tab/>
        </w:r>
        <w:r w:rsidR="006E0D1C">
          <w:rPr>
            <w:noProof/>
            <w:webHidden/>
          </w:rPr>
          <w:fldChar w:fldCharType="begin"/>
        </w:r>
        <w:r w:rsidR="006E0D1C">
          <w:rPr>
            <w:noProof/>
            <w:webHidden/>
          </w:rPr>
          <w:instrText xml:space="preserve"> PAGEREF _Toc18594801 \h </w:instrText>
        </w:r>
        <w:r w:rsidR="006E0D1C">
          <w:rPr>
            <w:noProof/>
            <w:webHidden/>
          </w:rPr>
        </w:r>
        <w:r w:rsidR="006E0D1C">
          <w:rPr>
            <w:noProof/>
            <w:webHidden/>
          </w:rPr>
          <w:fldChar w:fldCharType="separate"/>
        </w:r>
        <w:r>
          <w:rPr>
            <w:noProof/>
            <w:webHidden/>
          </w:rPr>
          <w:t>364</w:t>
        </w:r>
        <w:r w:rsidR="006E0D1C">
          <w:rPr>
            <w:noProof/>
            <w:webHidden/>
          </w:rPr>
          <w:fldChar w:fldCharType="end"/>
        </w:r>
      </w:hyperlink>
    </w:p>
    <w:p w14:paraId="32EDB774" w14:textId="2D061A94" w:rsidR="006E0D1C" w:rsidRDefault="00D2215B">
      <w:pPr>
        <w:pStyle w:val="TOC3"/>
        <w:rPr>
          <w:rFonts w:asciiTheme="minorHAnsi" w:eastAsiaTheme="minorEastAsia" w:hAnsiTheme="minorHAnsi" w:cstheme="minorBidi"/>
          <w:noProof/>
          <w:sz w:val="22"/>
          <w:szCs w:val="22"/>
          <w:lang w:eastAsia="en-NZ"/>
        </w:rPr>
      </w:pPr>
      <w:hyperlink w:anchor="_Toc18594802" w:history="1">
        <w:r w:rsidR="006E0D1C" w:rsidRPr="00464F39">
          <w:rPr>
            <w:rStyle w:val="Hyperlink"/>
            <w:noProof/>
          </w:rPr>
          <w:t>Table A6.3: Estimated number (percentage in workforce) of Māori and non</w:t>
        </w:r>
        <w:r w:rsidR="006E0D1C" w:rsidRPr="00464F39">
          <w:rPr>
            <w:rStyle w:val="Hyperlink"/>
            <w:noProof/>
          </w:rPr>
          <w:noBreakHyphen/>
          <w:t>Māori, registered nurses, 2011–2018</w:t>
        </w:r>
        <w:r w:rsidR="006E0D1C">
          <w:rPr>
            <w:noProof/>
            <w:webHidden/>
          </w:rPr>
          <w:tab/>
        </w:r>
        <w:r w:rsidR="006E0D1C">
          <w:rPr>
            <w:noProof/>
            <w:webHidden/>
          </w:rPr>
          <w:fldChar w:fldCharType="begin"/>
        </w:r>
        <w:r w:rsidR="006E0D1C">
          <w:rPr>
            <w:noProof/>
            <w:webHidden/>
          </w:rPr>
          <w:instrText xml:space="preserve"> PAGEREF _Toc18594802 \h </w:instrText>
        </w:r>
        <w:r w:rsidR="006E0D1C">
          <w:rPr>
            <w:noProof/>
            <w:webHidden/>
          </w:rPr>
        </w:r>
        <w:r w:rsidR="006E0D1C">
          <w:rPr>
            <w:noProof/>
            <w:webHidden/>
          </w:rPr>
          <w:fldChar w:fldCharType="separate"/>
        </w:r>
        <w:r>
          <w:rPr>
            <w:noProof/>
            <w:webHidden/>
          </w:rPr>
          <w:t>365</w:t>
        </w:r>
        <w:r w:rsidR="006E0D1C">
          <w:rPr>
            <w:noProof/>
            <w:webHidden/>
          </w:rPr>
          <w:fldChar w:fldCharType="end"/>
        </w:r>
      </w:hyperlink>
    </w:p>
    <w:p w14:paraId="64A3AF69" w14:textId="6726CC0B" w:rsidR="006E0D1C" w:rsidRDefault="00D2215B">
      <w:pPr>
        <w:pStyle w:val="TOC3"/>
        <w:rPr>
          <w:rFonts w:asciiTheme="minorHAnsi" w:eastAsiaTheme="minorEastAsia" w:hAnsiTheme="minorHAnsi" w:cstheme="minorBidi"/>
          <w:noProof/>
          <w:sz w:val="22"/>
          <w:szCs w:val="22"/>
          <w:lang w:eastAsia="en-NZ"/>
        </w:rPr>
      </w:pPr>
      <w:hyperlink w:anchor="_Toc18594803" w:history="1">
        <w:r w:rsidR="006E0D1C" w:rsidRPr="00464F39">
          <w:rPr>
            <w:rStyle w:val="Hyperlink"/>
            <w:noProof/>
          </w:rPr>
          <w:t>Table A6.4: Estimated number (percentage in workforce) of Māori and non</w:t>
        </w:r>
        <w:r w:rsidR="006E0D1C" w:rsidRPr="00464F39">
          <w:rPr>
            <w:rStyle w:val="Hyperlink"/>
            <w:noProof/>
          </w:rPr>
          <w:noBreakHyphen/>
          <w:t>Māori, senior medical officers, 2009–2016</w:t>
        </w:r>
        <w:r w:rsidR="006E0D1C">
          <w:rPr>
            <w:noProof/>
            <w:webHidden/>
          </w:rPr>
          <w:tab/>
        </w:r>
        <w:r w:rsidR="006E0D1C">
          <w:rPr>
            <w:noProof/>
            <w:webHidden/>
          </w:rPr>
          <w:fldChar w:fldCharType="begin"/>
        </w:r>
        <w:r w:rsidR="006E0D1C">
          <w:rPr>
            <w:noProof/>
            <w:webHidden/>
          </w:rPr>
          <w:instrText xml:space="preserve"> PAGEREF _Toc18594803 \h </w:instrText>
        </w:r>
        <w:r w:rsidR="006E0D1C">
          <w:rPr>
            <w:noProof/>
            <w:webHidden/>
          </w:rPr>
        </w:r>
        <w:r w:rsidR="006E0D1C">
          <w:rPr>
            <w:noProof/>
            <w:webHidden/>
          </w:rPr>
          <w:fldChar w:fldCharType="separate"/>
        </w:r>
        <w:r>
          <w:rPr>
            <w:noProof/>
            <w:webHidden/>
          </w:rPr>
          <w:t>365</w:t>
        </w:r>
        <w:r w:rsidR="006E0D1C">
          <w:rPr>
            <w:noProof/>
            <w:webHidden/>
          </w:rPr>
          <w:fldChar w:fldCharType="end"/>
        </w:r>
      </w:hyperlink>
    </w:p>
    <w:p w14:paraId="768D39EA" w14:textId="70BB601B" w:rsidR="006E0D1C" w:rsidRDefault="00D2215B">
      <w:pPr>
        <w:pStyle w:val="TOC3"/>
        <w:rPr>
          <w:rFonts w:asciiTheme="minorHAnsi" w:eastAsiaTheme="minorEastAsia" w:hAnsiTheme="minorHAnsi" w:cstheme="minorBidi"/>
          <w:noProof/>
          <w:sz w:val="22"/>
          <w:szCs w:val="22"/>
          <w:lang w:eastAsia="en-NZ"/>
        </w:rPr>
      </w:pPr>
      <w:hyperlink w:anchor="_Toc18594804" w:history="1">
        <w:r w:rsidR="006E0D1C" w:rsidRPr="00464F39">
          <w:rPr>
            <w:rStyle w:val="Hyperlink"/>
            <w:noProof/>
          </w:rPr>
          <w:t>Table A6.5: Estimated number (percentage in workforce) of Māori and non</w:t>
        </w:r>
        <w:r w:rsidR="006E0D1C" w:rsidRPr="00464F39">
          <w:rPr>
            <w:rStyle w:val="Hyperlink"/>
            <w:noProof/>
          </w:rPr>
          <w:noBreakHyphen/>
          <w:t>Māori, medical officers, 2009–2016</w:t>
        </w:r>
        <w:r w:rsidR="006E0D1C">
          <w:rPr>
            <w:noProof/>
            <w:webHidden/>
          </w:rPr>
          <w:tab/>
        </w:r>
        <w:r w:rsidR="006E0D1C">
          <w:rPr>
            <w:noProof/>
            <w:webHidden/>
          </w:rPr>
          <w:fldChar w:fldCharType="begin"/>
        </w:r>
        <w:r w:rsidR="006E0D1C">
          <w:rPr>
            <w:noProof/>
            <w:webHidden/>
          </w:rPr>
          <w:instrText xml:space="preserve"> PAGEREF _Toc18594804 \h </w:instrText>
        </w:r>
        <w:r w:rsidR="006E0D1C">
          <w:rPr>
            <w:noProof/>
            <w:webHidden/>
          </w:rPr>
        </w:r>
        <w:r w:rsidR="006E0D1C">
          <w:rPr>
            <w:noProof/>
            <w:webHidden/>
          </w:rPr>
          <w:fldChar w:fldCharType="separate"/>
        </w:r>
        <w:r>
          <w:rPr>
            <w:noProof/>
            <w:webHidden/>
          </w:rPr>
          <w:t>366</w:t>
        </w:r>
        <w:r w:rsidR="006E0D1C">
          <w:rPr>
            <w:noProof/>
            <w:webHidden/>
          </w:rPr>
          <w:fldChar w:fldCharType="end"/>
        </w:r>
      </w:hyperlink>
    </w:p>
    <w:p w14:paraId="22F3BFFE" w14:textId="6C6D55CE" w:rsidR="006E0D1C" w:rsidRDefault="00D2215B">
      <w:pPr>
        <w:pStyle w:val="TOC3"/>
        <w:rPr>
          <w:rFonts w:asciiTheme="minorHAnsi" w:eastAsiaTheme="minorEastAsia" w:hAnsiTheme="minorHAnsi" w:cstheme="minorBidi"/>
          <w:noProof/>
          <w:sz w:val="22"/>
          <w:szCs w:val="22"/>
          <w:lang w:eastAsia="en-NZ"/>
        </w:rPr>
      </w:pPr>
      <w:hyperlink w:anchor="_Toc18594805" w:history="1">
        <w:r w:rsidR="006E0D1C" w:rsidRPr="00464F39">
          <w:rPr>
            <w:rStyle w:val="Hyperlink"/>
            <w:noProof/>
          </w:rPr>
          <w:t>Table A6.6: Estimated number (percentage in workforce) of Māori and non</w:t>
        </w:r>
        <w:r w:rsidR="006E0D1C" w:rsidRPr="00464F39">
          <w:rPr>
            <w:rStyle w:val="Hyperlink"/>
            <w:noProof/>
          </w:rPr>
          <w:noBreakHyphen/>
          <w:t>Māori general practitioners, 2009–2016</w:t>
        </w:r>
        <w:r w:rsidR="006E0D1C">
          <w:rPr>
            <w:noProof/>
            <w:webHidden/>
          </w:rPr>
          <w:tab/>
        </w:r>
        <w:r w:rsidR="006E0D1C">
          <w:rPr>
            <w:noProof/>
            <w:webHidden/>
          </w:rPr>
          <w:fldChar w:fldCharType="begin"/>
        </w:r>
        <w:r w:rsidR="006E0D1C">
          <w:rPr>
            <w:noProof/>
            <w:webHidden/>
          </w:rPr>
          <w:instrText xml:space="preserve"> PAGEREF _Toc18594805 \h </w:instrText>
        </w:r>
        <w:r w:rsidR="006E0D1C">
          <w:rPr>
            <w:noProof/>
            <w:webHidden/>
          </w:rPr>
        </w:r>
        <w:r w:rsidR="006E0D1C">
          <w:rPr>
            <w:noProof/>
            <w:webHidden/>
          </w:rPr>
          <w:fldChar w:fldCharType="separate"/>
        </w:r>
        <w:r>
          <w:rPr>
            <w:noProof/>
            <w:webHidden/>
          </w:rPr>
          <w:t>366</w:t>
        </w:r>
        <w:r w:rsidR="006E0D1C">
          <w:rPr>
            <w:noProof/>
            <w:webHidden/>
          </w:rPr>
          <w:fldChar w:fldCharType="end"/>
        </w:r>
      </w:hyperlink>
    </w:p>
    <w:p w14:paraId="7C194205" w14:textId="3D97E0A9" w:rsidR="006E0D1C" w:rsidRDefault="00D2215B">
      <w:pPr>
        <w:pStyle w:val="TOC3"/>
        <w:rPr>
          <w:rFonts w:asciiTheme="minorHAnsi" w:eastAsiaTheme="minorEastAsia" w:hAnsiTheme="minorHAnsi" w:cstheme="minorBidi"/>
          <w:noProof/>
          <w:sz w:val="22"/>
          <w:szCs w:val="22"/>
          <w:lang w:eastAsia="en-NZ"/>
        </w:rPr>
      </w:pPr>
      <w:hyperlink w:anchor="_Toc18594806" w:history="1">
        <w:r w:rsidR="006E0D1C" w:rsidRPr="00464F39">
          <w:rPr>
            <w:rStyle w:val="Hyperlink"/>
            <w:noProof/>
          </w:rPr>
          <w:t>Table A6.7: Estimated number (percentage in workforce) of Māori and non</w:t>
        </w:r>
        <w:r w:rsidR="006E0D1C" w:rsidRPr="00464F39">
          <w:rPr>
            <w:rStyle w:val="Hyperlink"/>
            <w:noProof/>
          </w:rPr>
          <w:noBreakHyphen/>
          <w:t>Māori, registrars, 2009–2016</w:t>
        </w:r>
        <w:r w:rsidR="006E0D1C">
          <w:rPr>
            <w:noProof/>
            <w:webHidden/>
          </w:rPr>
          <w:tab/>
        </w:r>
        <w:r w:rsidR="006E0D1C">
          <w:rPr>
            <w:noProof/>
            <w:webHidden/>
          </w:rPr>
          <w:fldChar w:fldCharType="begin"/>
        </w:r>
        <w:r w:rsidR="006E0D1C">
          <w:rPr>
            <w:noProof/>
            <w:webHidden/>
          </w:rPr>
          <w:instrText xml:space="preserve"> PAGEREF _Toc18594806 \h </w:instrText>
        </w:r>
        <w:r w:rsidR="006E0D1C">
          <w:rPr>
            <w:noProof/>
            <w:webHidden/>
          </w:rPr>
        </w:r>
        <w:r w:rsidR="006E0D1C">
          <w:rPr>
            <w:noProof/>
            <w:webHidden/>
          </w:rPr>
          <w:fldChar w:fldCharType="separate"/>
        </w:r>
        <w:r>
          <w:rPr>
            <w:noProof/>
            <w:webHidden/>
          </w:rPr>
          <w:t>366</w:t>
        </w:r>
        <w:r w:rsidR="006E0D1C">
          <w:rPr>
            <w:noProof/>
            <w:webHidden/>
          </w:rPr>
          <w:fldChar w:fldCharType="end"/>
        </w:r>
      </w:hyperlink>
    </w:p>
    <w:p w14:paraId="7006B658" w14:textId="3CBA4591" w:rsidR="006E0D1C" w:rsidRDefault="00D2215B">
      <w:pPr>
        <w:pStyle w:val="TOC3"/>
        <w:rPr>
          <w:rFonts w:asciiTheme="minorHAnsi" w:eastAsiaTheme="minorEastAsia" w:hAnsiTheme="minorHAnsi" w:cstheme="minorBidi"/>
          <w:noProof/>
          <w:sz w:val="22"/>
          <w:szCs w:val="22"/>
          <w:lang w:eastAsia="en-NZ"/>
        </w:rPr>
      </w:pPr>
      <w:hyperlink w:anchor="_Toc18594807" w:history="1">
        <w:r w:rsidR="006E0D1C" w:rsidRPr="00464F39">
          <w:rPr>
            <w:rStyle w:val="Hyperlink"/>
            <w:noProof/>
          </w:rPr>
          <w:t>Table A6.8: Estimated number (percentage in workforce) of Māori and non</w:t>
        </w:r>
        <w:r w:rsidR="006E0D1C" w:rsidRPr="00464F39">
          <w:rPr>
            <w:rStyle w:val="Hyperlink"/>
            <w:noProof/>
          </w:rPr>
          <w:noBreakHyphen/>
          <w:t>Māori, house officers, 2009–2016</w:t>
        </w:r>
        <w:r w:rsidR="006E0D1C">
          <w:rPr>
            <w:noProof/>
            <w:webHidden/>
          </w:rPr>
          <w:tab/>
        </w:r>
        <w:r w:rsidR="006E0D1C">
          <w:rPr>
            <w:noProof/>
            <w:webHidden/>
          </w:rPr>
          <w:fldChar w:fldCharType="begin"/>
        </w:r>
        <w:r w:rsidR="006E0D1C">
          <w:rPr>
            <w:noProof/>
            <w:webHidden/>
          </w:rPr>
          <w:instrText xml:space="preserve"> PAGEREF _Toc18594807 \h </w:instrText>
        </w:r>
        <w:r w:rsidR="006E0D1C">
          <w:rPr>
            <w:noProof/>
            <w:webHidden/>
          </w:rPr>
        </w:r>
        <w:r w:rsidR="006E0D1C">
          <w:rPr>
            <w:noProof/>
            <w:webHidden/>
          </w:rPr>
          <w:fldChar w:fldCharType="separate"/>
        </w:r>
        <w:r>
          <w:rPr>
            <w:noProof/>
            <w:webHidden/>
          </w:rPr>
          <w:t>367</w:t>
        </w:r>
        <w:r w:rsidR="006E0D1C">
          <w:rPr>
            <w:noProof/>
            <w:webHidden/>
          </w:rPr>
          <w:fldChar w:fldCharType="end"/>
        </w:r>
      </w:hyperlink>
    </w:p>
    <w:p w14:paraId="4C8E49FA" w14:textId="47C26026" w:rsidR="006E0D1C" w:rsidRDefault="00D2215B">
      <w:pPr>
        <w:pStyle w:val="TOC3"/>
        <w:rPr>
          <w:rFonts w:asciiTheme="minorHAnsi" w:eastAsiaTheme="minorEastAsia" w:hAnsiTheme="minorHAnsi" w:cstheme="minorBidi"/>
          <w:noProof/>
          <w:sz w:val="22"/>
          <w:szCs w:val="22"/>
          <w:lang w:eastAsia="en-NZ"/>
        </w:rPr>
      </w:pPr>
      <w:hyperlink w:anchor="_Toc18594808" w:history="1">
        <w:r w:rsidR="006E0D1C" w:rsidRPr="00464F39">
          <w:rPr>
            <w:rStyle w:val="Hyperlink"/>
            <w:noProof/>
          </w:rPr>
          <w:t>Table A6.9: Estimated number (percentage in workforce) of Māori and non</w:t>
        </w:r>
        <w:r w:rsidR="006E0D1C" w:rsidRPr="00464F39">
          <w:rPr>
            <w:rStyle w:val="Hyperlink"/>
            <w:noProof/>
          </w:rPr>
          <w:noBreakHyphen/>
          <w:t>Māori, probationers and interns, 2009–2016</w:t>
        </w:r>
        <w:r w:rsidR="006E0D1C">
          <w:rPr>
            <w:noProof/>
            <w:webHidden/>
          </w:rPr>
          <w:tab/>
        </w:r>
        <w:r w:rsidR="006E0D1C">
          <w:rPr>
            <w:noProof/>
            <w:webHidden/>
          </w:rPr>
          <w:fldChar w:fldCharType="begin"/>
        </w:r>
        <w:r w:rsidR="006E0D1C">
          <w:rPr>
            <w:noProof/>
            <w:webHidden/>
          </w:rPr>
          <w:instrText xml:space="preserve"> PAGEREF _Toc18594808 \h </w:instrText>
        </w:r>
        <w:r w:rsidR="006E0D1C">
          <w:rPr>
            <w:noProof/>
            <w:webHidden/>
          </w:rPr>
        </w:r>
        <w:r w:rsidR="006E0D1C">
          <w:rPr>
            <w:noProof/>
            <w:webHidden/>
          </w:rPr>
          <w:fldChar w:fldCharType="separate"/>
        </w:r>
        <w:r>
          <w:rPr>
            <w:noProof/>
            <w:webHidden/>
          </w:rPr>
          <w:t>367</w:t>
        </w:r>
        <w:r w:rsidR="006E0D1C">
          <w:rPr>
            <w:noProof/>
            <w:webHidden/>
          </w:rPr>
          <w:fldChar w:fldCharType="end"/>
        </w:r>
      </w:hyperlink>
    </w:p>
    <w:p w14:paraId="15CA0948" w14:textId="49305420" w:rsidR="002B76A7" w:rsidRDefault="000D6D8A" w:rsidP="00E54F9C">
      <w:pPr>
        <w:pStyle w:val="TOC3"/>
      </w:pPr>
      <w:r>
        <w:rPr>
          <w:sz w:val="20"/>
        </w:rPr>
        <w:fldChar w:fldCharType="end"/>
      </w:r>
    </w:p>
    <w:p w14:paraId="02D2BF1D" w14:textId="77777777" w:rsidR="001D3E4E" w:rsidRDefault="001D3E4E" w:rsidP="003A5FEA">
      <w:pPr>
        <w:sectPr w:rsidR="001D3E4E" w:rsidSect="00925892">
          <w:headerReference w:type="even" r:id="rId18"/>
          <w:headerReference w:type="default" r:id="rId19"/>
          <w:footerReference w:type="even" r:id="rId20"/>
          <w:footerReference w:type="default" r:id="rId21"/>
          <w:pgSz w:w="11907" w:h="16840" w:code="9"/>
          <w:pgMar w:top="1418" w:right="1701" w:bottom="1134" w:left="1843" w:header="284" w:footer="425" w:gutter="284"/>
          <w:pgNumType w:fmt="lowerRoman"/>
          <w:cols w:space="720"/>
        </w:sectPr>
      </w:pPr>
    </w:p>
    <w:p w14:paraId="69FA7899" w14:textId="77777777" w:rsidR="00E80900" w:rsidRDefault="00E80900" w:rsidP="002575E8">
      <w:pPr>
        <w:pStyle w:val="Heading1"/>
      </w:pPr>
      <w:bookmarkStart w:id="2" w:name="_Toc19102278"/>
      <w:r>
        <w:lastRenderedPageBreak/>
        <w:t>Acknowledgements</w:t>
      </w:r>
      <w:bookmarkEnd w:id="2"/>
    </w:p>
    <w:p w14:paraId="5BE309EC" w14:textId="77777777" w:rsidR="008A5642" w:rsidRDefault="00E80900" w:rsidP="00E80900">
      <w:r w:rsidRPr="00D2650B">
        <w:t xml:space="preserve">The </w:t>
      </w:r>
      <w:r>
        <w:t xml:space="preserve">authors of this report are from the Māori Health </w:t>
      </w:r>
      <w:r w:rsidR="005C0583">
        <w:t>Insights</w:t>
      </w:r>
      <w:r>
        <w:t xml:space="preserve"> team (</w:t>
      </w:r>
      <w:r w:rsidR="005C0583">
        <w:t xml:space="preserve">Li-Chia Yeh, </w:t>
      </w:r>
      <w:r>
        <w:t>Peter Himona, Natalie Talamaivao and Kirk Paterson) of the Māori Health Directorate</w:t>
      </w:r>
      <w:r w:rsidR="005C0583">
        <w:t xml:space="preserve"> and from the </w:t>
      </w:r>
      <w:r w:rsidR="000D08EA" w:rsidRPr="000D08EA">
        <w:t xml:space="preserve">Priority Projects team </w:t>
      </w:r>
      <w:r w:rsidR="005C0583">
        <w:t xml:space="preserve">(Gemma Wong) of the </w:t>
      </w:r>
      <w:r w:rsidR="000D08EA">
        <w:t xml:space="preserve">System </w:t>
      </w:r>
      <w:r w:rsidR="005C0583">
        <w:t>Strategy and Policy Directorate</w:t>
      </w:r>
      <w:r>
        <w:t xml:space="preserve"> within the Ministry of Health.</w:t>
      </w:r>
    </w:p>
    <w:p w14:paraId="74DCF63C" w14:textId="4EE5AB22" w:rsidR="00E80900" w:rsidRDefault="00E80900" w:rsidP="00E80900"/>
    <w:p w14:paraId="1EAF19F4" w14:textId="77777777" w:rsidR="008A5642" w:rsidRDefault="00E80900" w:rsidP="005C0583">
      <w:r>
        <w:t xml:space="preserve">The authors would like to </w:t>
      </w:r>
      <w:r w:rsidR="004418C1" w:rsidRPr="004418C1">
        <w:t xml:space="preserve">acknowledge the Wai 2575 </w:t>
      </w:r>
      <w:r w:rsidR="006C3353">
        <w:t>c</w:t>
      </w:r>
      <w:r w:rsidR="004418C1" w:rsidRPr="004418C1">
        <w:t>laimants for their input into the scope of the report</w:t>
      </w:r>
      <w:r w:rsidR="004418C1">
        <w:t>.</w:t>
      </w:r>
    </w:p>
    <w:p w14:paraId="212FD0E4" w14:textId="30008305" w:rsidR="004418C1" w:rsidRDefault="004418C1" w:rsidP="005C0583"/>
    <w:p w14:paraId="426D70ED" w14:textId="19362565" w:rsidR="00E80900" w:rsidRDefault="004418C1" w:rsidP="005C0583">
      <w:r>
        <w:t>The authors</w:t>
      </w:r>
      <w:r w:rsidRPr="004418C1">
        <w:t xml:space="preserve"> </w:t>
      </w:r>
      <w:r>
        <w:t xml:space="preserve">would also like to acknowledge the numerous people who provided data and advice throughout the </w:t>
      </w:r>
      <w:r w:rsidR="006C3353">
        <w:t xml:space="preserve">report’s </w:t>
      </w:r>
      <w:r>
        <w:t>development</w:t>
      </w:r>
      <w:r w:rsidR="006C3353">
        <w:t>. These include people</w:t>
      </w:r>
      <w:r>
        <w:t xml:space="preserve"> from the Ministry of Health and the </w:t>
      </w:r>
      <w:r w:rsidRPr="004418C1">
        <w:t>external peer reviewers</w:t>
      </w:r>
      <w:r>
        <w:t>:</w:t>
      </w:r>
      <w:r w:rsidRPr="004418C1">
        <w:t xml:space="preserve"> Bridget Robson, Director of Te Rōpū Rangahau Hauora a Eru Pōmare at the University of Otago, Wellington, and Andrew Sporle, Deputy Director of Healthier Lives National Science Challenge</w:t>
      </w:r>
      <w:r w:rsidR="005C0583">
        <w:t>.</w:t>
      </w:r>
    </w:p>
    <w:p w14:paraId="0DCDA4C9" w14:textId="77777777" w:rsidR="008A5642" w:rsidRDefault="008A5642" w:rsidP="005C0583"/>
    <w:p w14:paraId="41669948" w14:textId="77777777" w:rsidR="00BA6A80" w:rsidRDefault="00BA6A80" w:rsidP="005C0583">
      <w:pPr>
        <w:sectPr w:rsidR="00BA6A80" w:rsidSect="00925892">
          <w:footerReference w:type="default" r:id="rId22"/>
          <w:pgSz w:w="11907" w:h="16840" w:code="9"/>
          <w:pgMar w:top="1418" w:right="1701" w:bottom="1134" w:left="1843" w:header="284" w:footer="425" w:gutter="284"/>
          <w:pgNumType w:fmt="lowerRoman"/>
          <w:cols w:space="720"/>
        </w:sectPr>
      </w:pPr>
    </w:p>
    <w:p w14:paraId="2F6F2A11" w14:textId="25A4E15E" w:rsidR="00BA6A80" w:rsidRPr="00E80900" w:rsidRDefault="00BA6A80" w:rsidP="005C0583"/>
    <w:p w14:paraId="7F851478" w14:textId="77777777" w:rsidR="00BA6A80" w:rsidRDefault="00BA6A80" w:rsidP="002575E8">
      <w:pPr>
        <w:pStyle w:val="Heading1"/>
        <w:sectPr w:rsidR="00BA6A80" w:rsidSect="00925892">
          <w:footerReference w:type="even" r:id="rId23"/>
          <w:pgSz w:w="11907" w:h="16840" w:code="9"/>
          <w:pgMar w:top="1418" w:right="1701" w:bottom="1134" w:left="1843" w:header="284" w:footer="425" w:gutter="284"/>
          <w:pgNumType w:fmt="lowerRoman"/>
          <w:cols w:space="720"/>
        </w:sectPr>
      </w:pPr>
    </w:p>
    <w:p w14:paraId="7B92137A" w14:textId="23689E13" w:rsidR="001D3E4E" w:rsidRDefault="00DF0C7C" w:rsidP="002575E8">
      <w:pPr>
        <w:pStyle w:val="Heading1"/>
      </w:pPr>
      <w:bookmarkStart w:id="3" w:name="_Toc19102279"/>
      <w:r>
        <w:lastRenderedPageBreak/>
        <w:t>Executive s</w:t>
      </w:r>
      <w:r w:rsidR="003235C6">
        <w:t>ummary</w:t>
      </w:r>
      <w:bookmarkEnd w:id="3"/>
    </w:p>
    <w:p w14:paraId="2E02384A" w14:textId="29436069" w:rsidR="00E02F3D" w:rsidRDefault="00E02F3D" w:rsidP="00E02F3D">
      <w:r>
        <w:t xml:space="preserve">This report </w:t>
      </w:r>
      <w:r w:rsidR="00947C22">
        <w:t xml:space="preserve">presents </w:t>
      </w:r>
      <w:r>
        <w:t>statistical trends in Māori health over the years 1990–2015</w:t>
      </w:r>
      <w:r w:rsidR="00947C22">
        <w:t>,</w:t>
      </w:r>
      <w:r>
        <w:t xml:space="preserve"> specifically for the Wai 2575 Health Services and Outcomes Inquiry (Wai 2575</w:t>
      </w:r>
      <w:r w:rsidR="007633E7">
        <w:t>)</w:t>
      </w:r>
      <w:r w:rsidR="00562BF6">
        <w:t>,</w:t>
      </w:r>
      <w:r w:rsidR="007633E7">
        <w:t xml:space="preserve"> and</w:t>
      </w:r>
      <w:r>
        <w:t xml:space="preserve"> provides high</w:t>
      </w:r>
      <w:r w:rsidR="00947C22">
        <w:t>-</w:t>
      </w:r>
      <w:r>
        <w:t>quality evidence to be used as an agreed baseline for Wai 2575.</w:t>
      </w:r>
    </w:p>
    <w:p w14:paraId="26364A39" w14:textId="77777777" w:rsidR="00E02F3D" w:rsidRDefault="00E02F3D" w:rsidP="00E02F3D"/>
    <w:p w14:paraId="0BCA304C" w14:textId="79C01DBC" w:rsidR="003235C6" w:rsidRDefault="00E02F3D" w:rsidP="00E02F3D">
      <w:r>
        <w:t xml:space="preserve">All indicators presented in this report compare Māori with </w:t>
      </w:r>
      <w:r w:rsidR="00EC03A3">
        <w:t>non</w:t>
      </w:r>
      <w:r w:rsidR="00EC03A3">
        <w:noBreakHyphen/>
        <w:t>M</w:t>
      </w:r>
      <w:r>
        <w:t xml:space="preserve">āori. Some indicators compare Māori with </w:t>
      </w:r>
      <w:r w:rsidR="00EC03A3">
        <w:t>non</w:t>
      </w:r>
      <w:r w:rsidR="00EC03A3">
        <w:noBreakHyphen/>
        <w:t>M</w:t>
      </w:r>
      <w:r>
        <w:t xml:space="preserve">āori </w:t>
      </w:r>
      <w:r w:rsidR="00EC03A3">
        <w:t>non</w:t>
      </w:r>
      <w:r w:rsidR="00EC03A3">
        <w:noBreakHyphen/>
        <w:t>P</w:t>
      </w:r>
      <w:r>
        <w:t xml:space="preserve">acific as requested by the </w:t>
      </w:r>
      <w:r w:rsidR="00947C22">
        <w:t>c</w:t>
      </w:r>
      <w:r>
        <w:t>laimant</w:t>
      </w:r>
      <w:r w:rsidR="000C2FDD">
        <w:t>s</w:t>
      </w:r>
      <w:r w:rsidR="004A7F24" w:rsidRPr="00D2650B">
        <w:t>.</w:t>
      </w:r>
    </w:p>
    <w:p w14:paraId="66AB80F0" w14:textId="77777777" w:rsidR="00E02F3D" w:rsidRDefault="00E02F3D" w:rsidP="00E02F3D"/>
    <w:p w14:paraId="544E73E9" w14:textId="066DC0BD" w:rsidR="008A5642" w:rsidRDefault="00680B4D" w:rsidP="00680B4D">
      <w:r>
        <w:t xml:space="preserve">There have been improvements in Māori health over time, and the inequity between Māori and </w:t>
      </w:r>
      <w:r w:rsidR="00EC03A3">
        <w:t>non</w:t>
      </w:r>
      <w:r w:rsidR="00EC03A3">
        <w:noBreakHyphen/>
        <w:t>M</w:t>
      </w:r>
      <w:r>
        <w:t xml:space="preserve">āori in some areas has narrowed. These </w:t>
      </w:r>
      <w:r w:rsidR="00947C22">
        <w:t xml:space="preserve">areas </w:t>
      </w:r>
      <w:r>
        <w:t>include:</w:t>
      </w:r>
    </w:p>
    <w:p w14:paraId="7A8FB70C" w14:textId="77777777" w:rsidR="008A5642" w:rsidRDefault="00680B4D" w:rsidP="002E449B">
      <w:pPr>
        <w:pStyle w:val="Bullet"/>
      </w:pPr>
      <w:r>
        <w:t>lung cancer registration and mortality rates</w:t>
      </w:r>
    </w:p>
    <w:p w14:paraId="29C05E68" w14:textId="60C18171" w:rsidR="00680B4D" w:rsidRDefault="00680B4D" w:rsidP="002E449B">
      <w:pPr>
        <w:pStyle w:val="Bullet"/>
      </w:pPr>
      <w:r>
        <w:t>low birthweight rates</w:t>
      </w:r>
    </w:p>
    <w:p w14:paraId="53F2758D" w14:textId="77777777" w:rsidR="00680B4D" w:rsidRDefault="00680B4D" w:rsidP="002E449B">
      <w:pPr>
        <w:pStyle w:val="Bullet"/>
      </w:pPr>
      <w:r>
        <w:t xml:space="preserve">infant and child mortality rates, including both Sudden Unexpected Death in Infancy </w:t>
      </w:r>
      <w:r w:rsidR="00947C22">
        <w:t xml:space="preserve">(SUDI) </w:t>
      </w:r>
      <w:r>
        <w:t xml:space="preserve">and Sudden Infant Death Syndrome </w:t>
      </w:r>
      <w:r w:rsidR="00947C22">
        <w:t xml:space="preserve">(SIDS) </w:t>
      </w:r>
      <w:r>
        <w:t>mortality rates</w:t>
      </w:r>
    </w:p>
    <w:p w14:paraId="17947DCA" w14:textId="60D4D4E3" w:rsidR="00680B4D" w:rsidRDefault="00680B4D" w:rsidP="002E449B">
      <w:pPr>
        <w:pStyle w:val="Bullet"/>
      </w:pPr>
      <w:r>
        <w:t xml:space="preserve">tuberculosis disease </w:t>
      </w:r>
      <w:r w:rsidR="00947C22">
        <w:t xml:space="preserve">(TB) </w:t>
      </w:r>
      <w:r>
        <w:t xml:space="preserve">notification rates, with Māori having a lower rate of </w:t>
      </w:r>
      <w:r w:rsidR="003C3A59">
        <w:t xml:space="preserve">TB </w:t>
      </w:r>
      <w:r>
        <w:t xml:space="preserve">infection than </w:t>
      </w:r>
      <w:r w:rsidR="00EC03A3">
        <w:t>non</w:t>
      </w:r>
      <w:r w:rsidR="00EC03A3">
        <w:noBreakHyphen/>
        <w:t>M</w:t>
      </w:r>
      <w:r>
        <w:t>āori from 2013</w:t>
      </w:r>
      <w:r w:rsidR="00E24433">
        <w:t>.</w:t>
      </w:r>
    </w:p>
    <w:p w14:paraId="36AA6083" w14:textId="77777777" w:rsidR="00E24433" w:rsidRDefault="00E24433" w:rsidP="002E449B"/>
    <w:p w14:paraId="7C2FD9EC" w14:textId="08D89DB1" w:rsidR="008A5642" w:rsidRDefault="00680B4D" w:rsidP="002E449B">
      <w:r>
        <w:t xml:space="preserve">There have also been areas where improvements have been more marked for </w:t>
      </w:r>
      <w:r w:rsidR="00EC03A3">
        <w:t>non</w:t>
      </w:r>
      <w:r w:rsidR="00EC03A3">
        <w:noBreakHyphen/>
        <w:t>M</w:t>
      </w:r>
      <w:r>
        <w:t xml:space="preserve">āori than Māori. This means </w:t>
      </w:r>
      <w:r w:rsidR="000C2FDD">
        <w:t xml:space="preserve">that even though improvements for Māori may have occurred, </w:t>
      </w:r>
      <w:r>
        <w:t xml:space="preserve">there is now increased disparity between Māori and </w:t>
      </w:r>
      <w:r w:rsidR="00EC03A3">
        <w:t>non</w:t>
      </w:r>
      <w:r w:rsidR="00EC03A3">
        <w:noBreakHyphen/>
        <w:t>M</w:t>
      </w:r>
      <w:r>
        <w:t>āori outcomes. These areas include</w:t>
      </w:r>
      <w:r w:rsidR="003C3A59">
        <w:t xml:space="preserve"> rates for</w:t>
      </w:r>
      <w:r>
        <w:t>:</w:t>
      </w:r>
    </w:p>
    <w:p w14:paraId="66036B2C" w14:textId="77777777" w:rsidR="008A5642" w:rsidRDefault="00E24433" w:rsidP="002E449B">
      <w:pPr>
        <w:pStyle w:val="Bullet"/>
      </w:pPr>
      <w:r>
        <w:t>smoking</w:t>
      </w:r>
    </w:p>
    <w:p w14:paraId="4BDAF058" w14:textId="77777777" w:rsidR="008A5642" w:rsidRDefault="00680B4D" w:rsidP="002E449B">
      <w:pPr>
        <w:pStyle w:val="Bullet"/>
      </w:pPr>
      <w:r>
        <w:t>hospitalisation and mortality for adults aged 35 years and over in all types of cardiovascular disease</w:t>
      </w:r>
    </w:p>
    <w:p w14:paraId="13D3E2F3" w14:textId="77777777" w:rsidR="008A5642" w:rsidRDefault="00680B4D" w:rsidP="002E449B">
      <w:pPr>
        <w:pStyle w:val="Bullet"/>
      </w:pPr>
      <w:r>
        <w:t>assault and homicide mortality for females aged 15 years and over</w:t>
      </w:r>
    </w:p>
    <w:p w14:paraId="614D695C" w14:textId="29433EFB" w:rsidR="00804DAE" w:rsidRDefault="00680B4D" w:rsidP="002E449B">
      <w:pPr>
        <w:pStyle w:val="Bullet"/>
      </w:pPr>
      <w:r>
        <w:t xml:space="preserve">asthma hospitalisation </w:t>
      </w:r>
      <w:r w:rsidR="00804DAE">
        <w:t>for those aged 5–34 years</w:t>
      </w:r>
      <w:r w:rsidR="003C3A59">
        <w:t>.</w:t>
      </w:r>
    </w:p>
    <w:p w14:paraId="04B7C794" w14:textId="77777777" w:rsidR="002B7BEC" w:rsidRDefault="002B7BEC" w:rsidP="00FF16AE"/>
    <w:p w14:paraId="19701C49" w14:textId="77777777" w:rsidR="001D3E4E" w:rsidRDefault="001D3E4E" w:rsidP="003A5FEA">
      <w:pPr>
        <w:sectPr w:rsidR="001D3E4E" w:rsidSect="00925892">
          <w:pgSz w:w="11907" w:h="16840" w:code="9"/>
          <w:pgMar w:top="1418" w:right="1701" w:bottom="1134" w:left="1843" w:header="284" w:footer="425" w:gutter="284"/>
          <w:pgNumType w:fmt="lowerRoman"/>
          <w:cols w:space="720"/>
        </w:sectPr>
      </w:pPr>
    </w:p>
    <w:p w14:paraId="7CF9D3BD" w14:textId="77777777" w:rsidR="008C2973" w:rsidRDefault="002B7BEC" w:rsidP="002575E8">
      <w:pPr>
        <w:pStyle w:val="Heading1"/>
      </w:pPr>
      <w:bookmarkStart w:id="4" w:name="_Toc19102280"/>
      <w:r>
        <w:lastRenderedPageBreak/>
        <w:t>Introduction</w:t>
      </w:r>
      <w:bookmarkEnd w:id="4"/>
    </w:p>
    <w:p w14:paraId="173CF4D8" w14:textId="47EE790B" w:rsidR="004A7F24" w:rsidRDefault="00FB7BF3" w:rsidP="00FF16AE">
      <w:bookmarkStart w:id="5" w:name="_Toc311786194"/>
      <w:bookmarkStart w:id="6" w:name="_Toc354993949"/>
      <w:bookmarkStart w:id="7" w:name="_Toc397424489"/>
      <w:r w:rsidRPr="00FB7BF3">
        <w:t>Th</w:t>
      </w:r>
      <w:r>
        <w:t>e</w:t>
      </w:r>
      <w:r w:rsidRPr="00FB7BF3">
        <w:t xml:space="preserve"> </w:t>
      </w:r>
      <w:r w:rsidR="00E02F3D">
        <w:t>purpose of this report is</w:t>
      </w:r>
      <w:r w:rsidR="000D08EA">
        <w:t xml:space="preserve"> to</w:t>
      </w:r>
      <w:r w:rsidRPr="00FB7BF3">
        <w:t xml:space="preserve"> show statistical trends in Māori health over the years 1990–2015</w:t>
      </w:r>
      <w:r w:rsidR="00947C22">
        <w:t>,</w:t>
      </w:r>
      <w:r w:rsidRPr="00FB7BF3">
        <w:t xml:space="preserve"> </w:t>
      </w:r>
      <w:r w:rsidR="000D08EA">
        <w:t>specifically</w:t>
      </w:r>
      <w:r w:rsidRPr="00FB7BF3">
        <w:t xml:space="preserve"> for the Wai 2575 Health Services and Outcomes Inquiry (Wai 2575</w:t>
      </w:r>
      <w:r w:rsidR="004A7F24" w:rsidRPr="00B015F5">
        <w:t>).</w:t>
      </w:r>
      <w:r w:rsidR="000D08EA">
        <w:t xml:space="preserve"> More information about the </w:t>
      </w:r>
      <w:r w:rsidR="00E02F3D">
        <w:t>Wai 2575 Inquiry can be found on the Ministry of Health</w:t>
      </w:r>
      <w:r w:rsidR="00947C22">
        <w:t>’s</w:t>
      </w:r>
      <w:r w:rsidR="00E02F3D">
        <w:t xml:space="preserve"> website (</w:t>
      </w:r>
      <w:hyperlink r:id="rId24" w:history="1">
        <w:r w:rsidR="00947C22" w:rsidRPr="00740927">
          <w:rPr>
            <w:rStyle w:val="Hyperlink"/>
          </w:rPr>
          <w:t>www.health.govt.nz/our-work/populations/maori-health/wai-2575-health-services-and-outcomes-kaupapa-inquiry</w:t>
        </w:r>
      </w:hyperlink>
      <w:r w:rsidR="00E02F3D">
        <w:t xml:space="preserve">). </w:t>
      </w:r>
      <w:r w:rsidR="000C2FDD">
        <w:t>This report</w:t>
      </w:r>
      <w:r w:rsidR="00E02F3D">
        <w:t xml:space="preserve"> aims to provide high</w:t>
      </w:r>
      <w:r w:rsidR="00947C22">
        <w:t>-</w:t>
      </w:r>
      <w:r w:rsidR="00E02F3D">
        <w:t>quality evidence to be used as an agreed baseline for Wai 2575.</w:t>
      </w:r>
    </w:p>
    <w:p w14:paraId="1889CDA0" w14:textId="77777777" w:rsidR="00E02F3D" w:rsidRDefault="00E02F3D" w:rsidP="00FF16AE"/>
    <w:p w14:paraId="2F32D628" w14:textId="666AE10B" w:rsidR="008A5642" w:rsidRDefault="00E02F3D" w:rsidP="00E02F3D">
      <w:r>
        <w:t>The reporting time period (1990</w:t>
      </w:r>
      <w:r w:rsidR="00947C22">
        <w:t>–</w:t>
      </w:r>
      <w:r>
        <w:t>2015) was chosen because reliable data exists for this period. Reliable data is required to be able to report trends with confidence and to be able to analyse results and insights. Before this period, the ethnicity data quality was not reliable and Māori tended to be under</w:t>
      </w:r>
      <w:r w:rsidR="005214B3">
        <w:t xml:space="preserve"> </w:t>
      </w:r>
      <w:r>
        <w:t xml:space="preserve">counted due to different definitions of ethnicity on death registration, birth registration and census forms. Therefore, most of the data collection allowing analysis of trends for Māori and </w:t>
      </w:r>
      <w:r w:rsidR="00EC03A3">
        <w:t>non</w:t>
      </w:r>
      <w:r w:rsidR="00EC03A3">
        <w:noBreakHyphen/>
        <w:t>M</w:t>
      </w:r>
      <w:r>
        <w:t>āori starts from 1996.</w:t>
      </w:r>
    </w:p>
    <w:p w14:paraId="5DC0C754" w14:textId="66D5B2A2" w:rsidR="00E02F3D" w:rsidRDefault="00E02F3D" w:rsidP="00E02F3D"/>
    <w:p w14:paraId="47ABD97A" w14:textId="73E31810" w:rsidR="00E02F3D" w:rsidRDefault="00E02F3D" w:rsidP="00E02F3D">
      <w:r>
        <w:t xml:space="preserve">Other changes, such as International </w:t>
      </w:r>
      <w:r w:rsidR="007A028C">
        <w:t xml:space="preserve">Statistical </w:t>
      </w:r>
      <w:r>
        <w:t>Classification of Diseases</w:t>
      </w:r>
      <w:r w:rsidR="008C6ED9">
        <w:t xml:space="preserve"> and </w:t>
      </w:r>
      <w:r w:rsidR="007A028C">
        <w:t>Related Health Problems</w:t>
      </w:r>
      <w:r>
        <w:t xml:space="preserve"> </w:t>
      </w:r>
      <w:r w:rsidR="005214B3">
        <w:t xml:space="preserve">(ICD) </w:t>
      </w:r>
      <w:r>
        <w:t>version changes, changes in the definitions of conditions</w:t>
      </w:r>
      <w:r w:rsidR="003C3A59">
        <w:t>,</w:t>
      </w:r>
      <w:r>
        <w:t xml:space="preserve"> methodological changes and significant changes in socioeconomic circumstances of Māori from 1984 to 1989 </w:t>
      </w:r>
      <w:r w:rsidR="003C3A59">
        <w:t xml:space="preserve">as a result of </w:t>
      </w:r>
      <w:r>
        <w:t>the neo</w:t>
      </w:r>
      <w:r w:rsidR="005214B3">
        <w:t>-</w:t>
      </w:r>
      <w:r>
        <w:t xml:space="preserve">liberal </w:t>
      </w:r>
      <w:r w:rsidR="003C3A59">
        <w:t>reforms that took place in New Zealand over this time</w:t>
      </w:r>
      <w:r>
        <w:t xml:space="preserve"> also make comparisons and/or trends difficult</w:t>
      </w:r>
      <w:r w:rsidR="003C3A59">
        <w:t xml:space="preserve"> to assess</w:t>
      </w:r>
      <w:r>
        <w:t xml:space="preserve"> before the 1990s. Other research for the inquiry will analyse the historical experience of Māori with the health system.</w:t>
      </w:r>
    </w:p>
    <w:p w14:paraId="26C2EFBE" w14:textId="77777777" w:rsidR="00E02F3D" w:rsidRDefault="00E02F3D" w:rsidP="00E02F3D"/>
    <w:p w14:paraId="1F741E5F" w14:textId="37FE750C" w:rsidR="00E02F3D" w:rsidRPr="00B015F5" w:rsidRDefault="00E02F3D" w:rsidP="00E02F3D">
      <w:r>
        <w:t xml:space="preserve">All indicators presented in this report compare Māori with </w:t>
      </w:r>
      <w:r w:rsidR="00EC03A3">
        <w:t>non</w:t>
      </w:r>
      <w:r w:rsidR="00EC03A3">
        <w:noBreakHyphen/>
        <w:t>M</w:t>
      </w:r>
      <w:r>
        <w:t xml:space="preserve">āori. Some indicators compare Māori with </w:t>
      </w:r>
      <w:r w:rsidR="00EC03A3">
        <w:t>non</w:t>
      </w:r>
      <w:r w:rsidR="00EC03A3">
        <w:noBreakHyphen/>
        <w:t>M</w:t>
      </w:r>
      <w:r>
        <w:t xml:space="preserve">āori </w:t>
      </w:r>
      <w:r w:rsidR="00EC03A3">
        <w:t>non</w:t>
      </w:r>
      <w:r w:rsidR="00EC03A3">
        <w:noBreakHyphen/>
        <w:t>P</w:t>
      </w:r>
      <w:r>
        <w:t>acific (</w:t>
      </w:r>
      <w:r w:rsidRPr="001232CF">
        <w:t xml:space="preserve">see Appendix </w:t>
      </w:r>
      <w:r w:rsidR="001232CF">
        <w:t>1</w:t>
      </w:r>
      <w:r w:rsidRPr="001232CF">
        <w:t xml:space="preserve"> for more detail</w:t>
      </w:r>
      <w:r>
        <w:t xml:space="preserve">), </w:t>
      </w:r>
      <w:r w:rsidR="000C2FDD">
        <w:t>which were</w:t>
      </w:r>
      <w:r>
        <w:t xml:space="preserve"> requested by </w:t>
      </w:r>
      <w:r w:rsidR="005214B3">
        <w:t>c</w:t>
      </w:r>
      <w:r>
        <w:t>laimants.</w:t>
      </w:r>
    </w:p>
    <w:p w14:paraId="44BDEDE4" w14:textId="77777777" w:rsidR="004A7F24" w:rsidRPr="00D2650B" w:rsidRDefault="004A7F24" w:rsidP="00FF16AE">
      <w:pPr>
        <w:rPr>
          <w:highlight w:val="yellow"/>
        </w:rPr>
      </w:pPr>
    </w:p>
    <w:p w14:paraId="455C1354" w14:textId="77777777" w:rsidR="004A7F24" w:rsidRPr="00A03CB1" w:rsidRDefault="001232CF" w:rsidP="00F5295B">
      <w:pPr>
        <w:pStyle w:val="Heading1"/>
      </w:pPr>
      <w:bookmarkStart w:id="8" w:name="_Toc397424497"/>
      <w:bookmarkStart w:id="9" w:name="_Toc495071560"/>
      <w:bookmarkStart w:id="10" w:name="_Toc6498028"/>
      <w:bookmarkStart w:id="11" w:name="_Toc19102281"/>
      <w:bookmarkEnd w:id="5"/>
      <w:bookmarkEnd w:id="6"/>
      <w:bookmarkEnd w:id="7"/>
      <w:r>
        <w:lastRenderedPageBreak/>
        <w:t>D</w:t>
      </w:r>
      <w:r w:rsidR="004A7F24" w:rsidRPr="00A03CB1">
        <w:t>ata</w:t>
      </w:r>
      <w:bookmarkEnd w:id="8"/>
      <w:bookmarkEnd w:id="9"/>
      <w:bookmarkEnd w:id="10"/>
      <w:r>
        <w:t xml:space="preserve"> sources and methods</w:t>
      </w:r>
      <w:bookmarkEnd w:id="11"/>
    </w:p>
    <w:p w14:paraId="785E4CA3" w14:textId="77777777" w:rsidR="004A7F24" w:rsidRPr="00A03CB1" w:rsidRDefault="001232CF" w:rsidP="00F5295B">
      <w:pPr>
        <w:pStyle w:val="Heading2"/>
      </w:pPr>
      <w:bookmarkStart w:id="12" w:name="_Toc19102282"/>
      <w:r>
        <w:t>Numerator</w:t>
      </w:r>
      <w:bookmarkEnd w:id="12"/>
    </w:p>
    <w:p w14:paraId="54AF0239" w14:textId="453163D3" w:rsidR="001232CF" w:rsidRDefault="001232CF" w:rsidP="001232CF">
      <w:bookmarkStart w:id="13" w:name="_Hlk5863938"/>
      <w:r>
        <w:t>Data was sourced from the Ministry of Health (including the New Zealand Health Survey (NZHS)), Statistics New Zealand (S</w:t>
      </w:r>
      <w:r w:rsidR="006C580B">
        <w:t xml:space="preserve">tats </w:t>
      </w:r>
      <w:r>
        <w:t xml:space="preserve">NZ), the Institute of Environmental Science and Research Ltd (ESR), the Action </w:t>
      </w:r>
      <w:r w:rsidR="006C580B">
        <w:t>for Smokefree 2025</w:t>
      </w:r>
      <w:r>
        <w:t xml:space="preserve"> (ASH) Year 10 Snapshot Survey and the Community Oral Health Service.</w:t>
      </w:r>
    </w:p>
    <w:p w14:paraId="58F52C08" w14:textId="77777777" w:rsidR="001232CF" w:rsidRDefault="001232CF" w:rsidP="001232CF"/>
    <w:p w14:paraId="50A71B40" w14:textId="77777777" w:rsidR="001232CF" w:rsidRDefault="001232CF" w:rsidP="001232CF">
      <w:r>
        <w:t>Where administrative data (ie, national collections and notifications) was used, three years of data were aggregated to provide stable rate estimates.</w:t>
      </w:r>
    </w:p>
    <w:p w14:paraId="35CD591E" w14:textId="77777777" w:rsidR="001232CF" w:rsidRDefault="001232CF" w:rsidP="001232CF"/>
    <w:p w14:paraId="21E098D6" w14:textId="260E634D" w:rsidR="001232CF" w:rsidRDefault="001232CF" w:rsidP="001232CF">
      <w:r>
        <w:t xml:space="preserve">Only publicly-funded hospital data was used (private hospital data was not included). National Minimum Data Set (NMDS) data does not include emergency department (ED) events under three hours in duration and therefore will not include events that are treated and discharged within this time period. ED events from the </w:t>
      </w:r>
      <w:r w:rsidR="006C580B">
        <w:t>National N</w:t>
      </w:r>
      <w:r>
        <w:t>on-</w:t>
      </w:r>
      <w:r w:rsidR="006C580B">
        <w:t>A</w:t>
      </w:r>
      <w:r>
        <w:t xml:space="preserve">dmitted </w:t>
      </w:r>
      <w:r w:rsidR="006C580B">
        <w:t>P</w:t>
      </w:r>
      <w:r>
        <w:t xml:space="preserve">atient </w:t>
      </w:r>
      <w:r w:rsidR="006C580B">
        <w:t>C</w:t>
      </w:r>
      <w:r>
        <w:t>ollection (NNPAC) do not have diagnosis data and cannot be included.</w:t>
      </w:r>
    </w:p>
    <w:p w14:paraId="4054016A" w14:textId="77777777" w:rsidR="001232CF" w:rsidRDefault="001232CF" w:rsidP="001232CF"/>
    <w:p w14:paraId="7B7EA81D" w14:textId="77777777" w:rsidR="008A5642" w:rsidRDefault="001232CF" w:rsidP="001232CF">
      <w:r w:rsidRPr="00181EF3">
        <w:t xml:space="preserve">Where the NZHS was used, the numerator was the sum of the weights for the respondents in the relevant subgroup (eg, Māori who had diabetes). Further information about survey weights for the NZHS can be found in </w:t>
      </w:r>
      <w:r w:rsidRPr="00181EF3">
        <w:rPr>
          <w:i/>
        </w:rPr>
        <w:t>Methodology Report 2016/17: New Zealand Health Survey</w:t>
      </w:r>
      <w:r w:rsidRPr="00181EF3">
        <w:t xml:space="preserve"> </w:t>
      </w:r>
      <w:r w:rsidR="00D56E91">
        <w:t>(Ministry of Health 2017b)</w:t>
      </w:r>
      <w:r>
        <w:t>.</w:t>
      </w:r>
    </w:p>
    <w:p w14:paraId="7DE7DFB7" w14:textId="4C4E862F" w:rsidR="001232CF" w:rsidRDefault="001232CF" w:rsidP="001232CF"/>
    <w:p w14:paraId="437E7920" w14:textId="4956E705" w:rsidR="004A7F24" w:rsidRPr="00AA4AC7" w:rsidRDefault="001232CF" w:rsidP="001232CF">
      <w:r>
        <w:t>Appendix 2 gives full details of the ICD codes used for data from national collections</w:t>
      </w:r>
      <w:r w:rsidR="004A7F24">
        <w:rPr>
          <w:rFonts w:eastAsia="MS Mincho"/>
          <w:lang w:eastAsia="en-NZ"/>
        </w:rPr>
        <w:t>.</w:t>
      </w:r>
    </w:p>
    <w:bookmarkEnd w:id="13"/>
    <w:p w14:paraId="65F98E06" w14:textId="77777777" w:rsidR="004A7F24" w:rsidRPr="00D2650B" w:rsidRDefault="004A7F24" w:rsidP="00F5295B">
      <w:pPr>
        <w:rPr>
          <w:highlight w:val="yellow"/>
        </w:rPr>
      </w:pPr>
    </w:p>
    <w:p w14:paraId="31CA6E5F" w14:textId="77777777" w:rsidR="004A7F24" w:rsidRPr="001947B6" w:rsidRDefault="001232CF" w:rsidP="00F5295B">
      <w:pPr>
        <w:pStyle w:val="Heading2"/>
      </w:pPr>
      <w:bookmarkStart w:id="14" w:name="_Toc19102283"/>
      <w:r>
        <w:t>Denominator</w:t>
      </w:r>
      <w:bookmarkEnd w:id="14"/>
    </w:p>
    <w:p w14:paraId="3DF90575" w14:textId="534A9038" w:rsidR="001232CF" w:rsidRPr="00181EF3" w:rsidRDefault="001232CF" w:rsidP="001232CF">
      <w:r w:rsidRPr="00181EF3">
        <w:t>S</w:t>
      </w:r>
      <w:r w:rsidR="006C580B">
        <w:t xml:space="preserve">tats </w:t>
      </w:r>
      <w:r w:rsidRPr="00181EF3">
        <w:t xml:space="preserve">NZ’s mid-year (at 30 June) estimated resident population </w:t>
      </w:r>
      <w:r w:rsidR="007A028C">
        <w:t>was</w:t>
      </w:r>
      <w:r w:rsidR="007A028C" w:rsidRPr="00181EF3">
        <w:t xml:space="preserve"> </w:t>
      </w:r>
      <w:r w:rsidRPr="00181EF3">
        <w:t xml:space="preserve">used as </w:t>
      </w:r>
      <w:r w:rsidR="007A028C">
        <w:t xml:space="preserve">the </w:t>
      </w:r>
      <w:r w:rsidRPr="00181EF3">
        <w:t>denominator data in calculati</w:t>
      </w:r>
      <w:r w:rsidR="007A028C">
        <w:t>ng</w:t>
      </w:r>
      <w:r w:rsidRPr="00181EF3">
        <w:t xml:space="preserve"> population rates for deaths, hospitalisations and cancer registrations. Live births, </w:t>
      </w:r>
      <w:r w:rsidR="007A028C">
        <w:t xml:space="preserve">again </w:t>
      </w:r>
      <w:r w:rsidRPr="00181EF3">
        <w:t>sourced from S</w:t>
      </w:r>
      <w:r w:rsidR="006C580B">
        <w:t xml:space="preserve">tats </w:t>
      </w:r>
      <w:r w:rsidRPr="00181EF3">
        <w:t>NZ, were used as denominators for rates of infant death and low birthweight.</w:t>
      </w:r>
    </w:p>
    <w:p w14:paraId="15533645" w14:textId="77777777" w:rsidR="001232CF" w:rsidRPr="00181EF3" w:rsidRDefault="001232CF" w:rsidP="001232CF"/>
    <w:p w14:paraId="3455A399" w14:textId="77777777" w:rsidR="004A7F24" w:rsidRPr="001947B6" w:rsidRDefault="001232CF" w:rsidP="001232CF">
      <w:r w:rsidRPr="00181EF3">
        <w:t>For NZHS data, the denominator was the sum of the weights for the respondents in the relevant population group (eg, Māori</w:t>
      </w:r>
      <w:r>
        <w:t>)</w:t>
      </w:r>
      <w:r w:rsidR="004A7F24" w:rsidRPr="001947B6">
        <w:t>.</w:t>
      </w:r>
    </w:p>
    <w:p w14:paraId="5471F6B4" w14:textId="77777777" w:rsidR="004A7F24" w:rsidRPr="00D2650B" w:rsidRDefault="004A7F24" w:rsidP="00F5295B">
      <w:pPr>
        <w:rPr>
          <w:highlight w:val="yellow"/>
        </w:rPr>
      </w:pPr>
    </w:p>
    <w:p w14:paraId="3312343A" w14:textId="77777777" w:rsidR="004A7F24" w:rsidRPr="00835CED" w:rsidRDefault="001232CF" w:rsidP="000D0111">
      <w:pPr>
        <w:pStyle w:val="Heading2"/>
        <w:spacing w:before="360"/>
      </w:pPr>
      <w:bookmarkStart w:id="15" w:name="_Toc19102284"/>
      <w:r>
        <w:lastRenderedPageBreak/>
        <w:t>Ethnicity classification</w:t>
      </w:r>
      <w:bookmarkEnd w:id="15"/>
    </w:p>
    <w:p w14:paraId="5C6A70EE" w14:textId="14F13EB6" w:rsidR="001232CF" w:rsidRPr="00181EF3" w:rsidRDefault="001232CF" w:rsidP="001232CF">
      <w:r w:rsidRPr="00181EF3">
        <w:t xml:space="preserve">All indicators compare Māori with </w:t>
      </w:r>
      <w:r w:rsidR="00EC03A3">
        <w:t>non</w:t>
      </w:r>
      <w:r w:rsidR="00EC03A3">
        <w:noBreakHyphen/>
        <w:t>M</w:t>
      </w:r>
      <w:r w:rsidRPr="00181EF3">
        <w:t xml:space="preserve">āori. Prioritised ethnicity classification was used when people identified with more than one ethnic group. A person was classified as Māori if one of their recorded ethnicities was Māori (for example, a person recorded as both Māori and New Zealand European was counted as Māori). All other people were recorded as </w:t>
      </w:r>
      <w:r w:rsidR="00EC03A3">
        <w:t>non</w:t>
      </w:r>
      <w:r w:rsidR="00EC03A3">
        <w:noBreakHyphen/>
        <w:t>M</w:t>
      </w:r>
      <w:r w:rsidRPr="00181EF3">
        <w:t xml:space="preserve">āori and represent a comparative or reference group. Unknown or missing ethnicity was counted as </w:t>
      </w:r>
      <w:r w:rsidR="00EC03A3">
        <w:t>non</w:t>
      </w:r>
      <w:r w:rsidR="00EC03A3">
        <w:noBreakHyphen/>
        <w:t>M</w:t>
      </w:r>
      <w:r w:rsidRPr="00181EF3">
        <w:t>āori. Unless otherwise stated, all indicators used ethnicity as recorded on the relevant collection or survey.</w:t>
      </w:r>
    </w:p>
    <w:p w14:paraId="7A7B4ED2" w14:textId="77777777" w:rsidR="001232CF" w:rsidRPr="00181EF3" w:rsidRDefault="001232CF" w:rsidP="001232CF"/>
    <w:p w14:paraId="678BD1DC" w14:textId="20A4D386" w:rsidR="004A7F24" w:rsidRPr="00835CED" w:rsidRDefault="001232CF" w:rsidP="001232CF">
      <w:pPr>
        <w:pStyle w:val="Bullet"/>
        <w:numPr>
          <w:ilvl w:val="0"/>
          <w:numId w:val="0"/>
        </w:numPr>
        <w:spacing w:before="60"/>
      </w:pPr>
      <w:r w:rsidRPr="00181EF3">
        <w:t xml:space="preserve">Some indicators compare Māori with </w:t>
      </w:r>
      <w:r w:rsidR="00EC03A3">
        <w:t>non</w:t>
      </w:r>
      <w:r w:rsidR="00EC03A3">
        <w:noBreakHyphen/>
        <w:t>M</w:t>
      </w:r>
      <w:r w:rsidRPr="00181EF3">
        <w:t xml:space="preserve">āori </w:t>
      </w:r>
      <w:r w:rsidR="00EC03A3">
        <w:t>non</w:t>
      </w:r>
      <w:r w:rsidR="00EC03A3">
        <w:noBreakHyphen/>
        <w:t>P</w:t>
      </w:r>
      <w:r w:rsidRPr="00181EF3">
        <w:t xml:space="preserve">acific (see Appendix </w:t>
      </w:r>
      <w:r>
        <w:t>1</w:t>
      </w:r>
      <w:r w:rsidRPr="00181EF3">
        <w:t xml:space="preserve"> for more detail). All ethnicities other than Māori and Pacific were classified as </w:t>
      </w:r>
      <w:r w:rsidR="00EC03A3">
        <w:t>non</w:t>
      </w:r>
      <w:r w:rsidR="00EC03A3">
        <w:noBreakHyphen/>
        <w:t>M</w:t>
      </w:r>
      <w:r w:rsidRPr="00181EF3">
        <w:t xml:space="preserve">āori </w:t>
      </w:r>
      <w:r w:rsidR="00EC03A3">
        <w:t>non</w:t>
      </w:r>
      <w:r w:rsidR="00EC03A3">
        <w:noBreakHyphen/>
        <w:t>P</w:t>
      </w:r>
      <w:r w:rsidRPr="00181EF3">
        <w:t>acific and represent a comparative or reference group</w:t>
      </w:r>
      <w:r w:rsidR="004A7F24" w:rsidRPr="00835CED">
        <w:t>.</w:t>
      </w:r>
    </w:p>
    <w:p w14:paraId="79FEE39F" w14:textId="77777777" w:rsidR="004A7F24" w:rsidRPr="00D2650B" w:rsidRDefault="004A7F24" w:rsidP="00F5295B">
      <w:pPr>
        <w:rPr>
          <w:highlight w:val="yellow"/>
        </w:rPr>
      </w:pPr>
    </w:p>
    <w:p w14:paraId="426F50E2" w14:textId="77777777" w:rsidR="004A7F24" w:rsidRPr="000F1439" w:rsidRDefault="001232CF" w:rsidP="000D0111">
      <w:pPr>
        <w:pStyle w:val="Heading2"/>
        <w:spacing w:before="360"/>
      </w:pPr>
      <w:bookmarkStart w:id="16" w:name="_Toc19102285"/>
      <w:r>
        <w:t>Age-standardised and crude rates</w:t>
      </w:r>
      <w:bookmarkEnd w:id="16"/>
    </w:p>
    <w:p w14:paraId="437ECD56" w14:textId="7F81C058" w:rsidR="001232CF" w:rsidRPr="00181EF3" w:rsidRDefault="001232CF" w:rsidP="001232CF">
      <w:r w:rsidRPr="00181EF3">
        <w:t xml:space="preserve">Age-standardised rates account for differences in population structure and can be used to compare groups with different age structures, such as Māori and </w:t>
      </w:r>
      <w:r w:rsidR="00EC03A3">
        <w:t>non</w:t>
      </w:r>
      <w:r w:rsidR="00EC03A3">
        <w:noBreakHyphen/>
        <w:t>M</w:t>
      </w:r>
      <w:r w:rsidRPr="00181EF3">
        <w:t xml:space="preserve">āori. Direct age-standardisation was used, and rates </w:t>
      </w:r>
      <w:r w:rsidR="007A028C">
        <w:t>were</w:t>
      </w:r>
      <w:r w:rsidR="007A028C" w:rsidRPr="00181EF3">
        <w:t xml:space="preserve"> </w:t>
      </w:r>
      <w:r w:rsidRPr="00181EF3">
        <w:t xml:space="preserve">standardised to the 2001 Census </w:t>
      </w:r>
      <w:r w:rsidR="007A028C">
        <w:t xml:space="preserve">total </w:t>
      </w:r>
      <w:r w:rsidRPr="00181EF3">
        <w:t>Māori population (see Appendix 3). Most of the indicators are expressed as an age</w:t>
      </w:r>
      <w:r w:rsidRPr="00181EF3">
        <w:noBreakHyphen/>
        <w:t>standardised rate per 100 (ie, a percentage) or per 100,000.</w:t>
      </w:r>
    </w:p>
    <w:p w14:paraId="729830E9" w14:textId="77777777" w:rsidR="001232CF" w:rsidRPr="00181EF3" w:rsidRDefault="001232CF" w:rsidP="001232CF"/>
    <w:p w14:paraId="53993E39" w14:textId="288C6432" w:rsidR="001232CF" w:rsidRPr="00181EF3" w:rsidRDefault="001232CF" w:rsidP="001232CF">
      <w:r w:rsidRPr="00181EF3">
        <w:t xml:space="preserve">Standardising to the 2001 Census </w:t>
      </w:r>
      <w:r w:rsidR="007A028C">
        <w:t xml:space="preserve">total </w:t>
      </w:r>
      <w:r w:rsidRPr="00181EF3">
        <w:t xml:space="preserve">Māori population provides rates that more closely approximate the crude Māori rates (ie, the actual rates among the Māori population) than could be provided by other standard populations (eg, the World Health Organization (WHO) </w:t>
      </w:r>
      <w:r w:rsidR="007A028C">
        <w:t>w</w:t>
      </w:r>
      <w:r w:rsidRPr="00181EF3">
        <w:t xml:space="preserve">orld </w:t>
      </w:r>
      <w:r w:rsidR="007A028C">
        <w:t>s</w:t>
      </w:r>
      <w:r w:rsidRPr="00181EF3">
        <w:t xml:space="preserve">tandard </w:t>
      </w:r>
      <w:r w:rsidR="007A028C">
        <w:t>p</w:t>
      </w:r>
      <w:r w:rsidRPr="00181EF3">
        <w:t xml:space="preserve">opulation), while also allowing comparisons with the </w:t>
      </w:r>
      <w:r w:rsidR="00EC03A3">
        <w:t>non</w:t>
      </w:r>
      <w:r w:rsidR="00EC03A3">
        <w:noBreakHyphen/>
        <w:t>M</w:t>
      </w:r>
      <w:r w:rsidRPr="00181EF3">
        <w:t>āori population. Caution should be taken when comparing data in th</w:t>
      </w:r>
      <w:r w:rsidR="00A07FC0">
        <w:t>is</w:t>
      </w:r>
      <w:r w:rsidRPr="00181EF3">
        <w:t xml:space="preserve"> </w:t>
      </w:r>
      <w:r w:rsidR="00A07FC0">
        <w:t>report</w:t>
      </w:r>
      <w:r w:rsidRPr="00181EF3">
        <w:t xml:space="preserve"> with data in reports that use a different population standard. Further information about age-standardisation can be found in </w:t>
      </w:r>
      <w:r w:rsidRPr="00181EF3">
        <w:rPr>
          <w:i/>
        </w:rPr>
        <w:t>Position Paper on Māori Health Analytics – Age Standardisation</w:t>
      </w:r>
      <w:r w:rsidRPr="00181EF3">
        <w:t xml:space="preserve"> </w:t>
      </w:r>
      <w:r w:rsidRPr="0029182F">
        <w:t>(</w:t>
      </w:r>
      <w:r w:rsidR="00D56E91" w:rsidRPr="00EF17BE">
        <w:t>Ministry of Health 2018</w:t>
      </w:r>
      <w:r w:rsidR="00A23AFA">
        <w:t>g</w:t>
      </w:r>
      <w:r w:rsidRPr="00181EF3">
        <w:t>).</w:t>
      </w:r>
    </w:p>
    <w:p w14:paraId="38F4F9FB" w14:textId="77777777" w:rsidR="001232CF" w:rsidRPr="00181EF3" w:rsidRDefault="001232CF" w:rsidP="001232CF"/>
    <w:p w14:paraId="2926F3E4" w14:textId="1600D37C" w:rsidR="001232CF" w:rsidRPr="00181EF3" w:rsidRDefault="001232CF" w:rsidP="001232CF">
      <w:r w:rsidRPr="00181EF3">
        <w:t xml:space="preserve">Where </w:t>
      </w:r>
      <w:r w:rsidR="007A028C">
        <w:t>c</w:t>
      </w:r>
      <w:r w:rsidRPr="00181EF3">
        <w:t xml:space="preserve">ensus data or data for a specific age </w:t>
      </w:r>
      <w:r w:rsidR="007A028C">
        <w:t>was</w:t>
      </w:r>
      <w:r w:rsidR="007A028C" w:rsidRPr="00181EF3">
        <w:t xml:space="preserve"> </w:t>
      </w:r>
      <w:r w:rsidRPr="00181EF3">
        <w:t xml:space="preserve">presented, crude rates were calculated. Crude rates are the number of events (eg, infant deaths) divided by the population of that age. In this case, caution should be taken when comparing Māori with </w:t>
      </w:r>
      <w:r w:rsidR="00EC03A3">
        <w:t>non</w:t>
      </w:r>
      <w:r w:rsidR="00EC03A3">
        <w:noBreakHyphen/>
        <w:t>M</w:t>
      </w:r>
      <w:r w:rsidRPr="00181EF3">
        <w:t xml:space="preserve">āori </w:t>
      </w:r>
      <w:r w:rsidR="0007207B">
        <w:t xml:space="preserve">(or with </w:t>
      </w:r>
      <w:r w:rsidR="00EC03A3">
        <w:t>non</w:t>
      </w:r>
      <w:r w:rsidR="00EC03A3">
        <w:noBreakHyphen/>
        <w:t>M</w:t>
      </w:r>
      <w:r w:rsidR="0007207B">
        <w:t xml:space="preserve">āori </w:t>
      </w:r>
      <w:r w:rsidR="00EC03A3">
        <w:t>non</w:t>
      </w:r>
      <w:r w:rsidR="00EC03A3">
        <w:noBreakHyphen/>
        <w:t>P</w:t>
      </w:r>
      <w:r w:rsidR="0007207B">
        <w:t xml:space="preserve">acific) </w:t>
      </w:r>
      <w:r w:rsidRPr="00181EF3">
        <w:t xml:space="preserve">results. Crude rates accurately portray a situation in each population but make comparisons difficult because they do not take into account different age distributions in each of the populations (eg, the Māori population is much younger than the </w:t>
      </w:r>
      <w:r w:rsidR="00EC03A3">
        <w:t>non</w:t>
      </w:r>
      <w:r w:rsidR="00EC03A3">
        <w:noBreakHyphen/>
        <w:t>M</w:t>
      </w:r>
      <w:r w:rsidRPr="00181EF3">
        <w:t>āori population).</w:t>
      </w:r>
    </w:p>
    <w:p w14:paraId="56674645" w14:textId="77777777" w:rsidR="001232CF" w:rsidRPr="00181EF3" w:rsidRDefault="001232CF" w:rsidP="001232CF"/>
    <w:p w14:paraId="52FFBA1B" w14:textId="50D03614" w:rsidR="004A7F24" w:rsidRPr="000F1439" w:rsidRDefault="001232CF" w:rsidP="001232CF">
      <w:r w:rsidRPr="00181EF3">
        <w:t>Rates were not calculated for counts fewer than five in data from national collections or where the population group being analysed (denominator) comprised fewer than 30 in data from surveys</w:t>
      </w:r>
      <w:r w:rsidR="004A7F24" w:rsidRPr="000F1439">
        <w:t>.</w:t>
      </w:r>
    </w:p>
    <w:p w14:paraId="37936D02" w14:textId="77777777" w:rsidR="004A7F24" w:rsidRPr="00D2650B" w:rsidRDefault="004A7F24" w:rsidP="00F5295B">
      <w:pPr>
        <w:rPr>
          <w:highlight w:val="yellow"/>
        </w:rPr>
      </w:pPr>
    </w:p>
    <w:p w14:paraId="2DC9BF58" w14:textId="77777777" w:rsidR="004A7F24" w:rsidRPr="000F1439" w:rsidRDefault="0007207B" w:rsidP="000D0111">
      <w:pPr>
        <w:pStyle w:val="Heading2"/>
        <w:spacing w:before="360"/>
      </w:pPr>
      <w:bookmarkStart w:id="17" w:name="_Toc19102286"/>
      <w:r>
        <w:lastRenderedPageBreak/>
        <w:t>Confidence intervals</w:t>
      </w:r>
      <w:bookmarkEnd w:id="17"/>
    </w:p>
    <w:p w14:paraId="2FBE4FBD" w14:textId="77777777" w:rsidR="0007207B" w:rsidRPr="00181EF3" w:rsidRDefault="0007207B" w:rsidP="0007207B">
      <w:r w:rsidRPr="00181EF3">
        <w:t>A confidence interval (CI) gives an indication of uncertainty around a single value (such as an age-standardised rate). CIs are calculated with a stated probability, for example 95 percent, which refers to 95 percent probability of enclosing the true value.</w:t>
      </w:r>
    </w:p>
    <w:p w14:paraId="3305C50D" w14:textId="77777777" w:rsidR="0007207B" w:rsidRPr="00181EF3" w:rsidRDefault="0007207B" w:rsidP="0007207B"/>
    <w:p w14:paraId="7F6550D2" w14:textId="77777777" w:rsidR="004A7F24" w:rsidRDefault="0007207B" w:rsidP="0007207B">
      <w:r w:rsidRPr="00181EF3">
        <w:t>The CI is influenced by the sample size of the group. As the sample size becomes smaller, the CI becomes wider, and there is less certainty about the rate</w:t>
      </w:r>
      <w:r w:rsidR="004A7F24" w:rsidRPr="000F1439">
        <w:t>.</w:t>
      </w:r>
    </w:p>
    <w:p w14:paraId="6CDA84F8" w14:textId="77777777" w:rsidR="0007207B" w:rsidRDefault="0007207B" w:rsidP="0007207B"/>
    <w:p w14:paraId="162C0187" w14:textId="77777777" w:rsidR="0007207B" w:rsidRPr="000F1439" w:rsidRDefault="0007207B" w:rsidP="0007207B">
      <w:pPr>
        <w:pStyle w:val="Heading2"/>
        <w:spacing w:before="360"/>
      </w:pPr>
      <w:bookmarkStart w:id="18" w:name="_Toc19102287"/>
      <w:r>
        <w:t>Rate ratios</w:t>
      </w:r>
      <w:bookmarkEnd w:id="18"/>
    </w:p>
    <w:p w14:paraId="31434D05" w14:textId="0A5D70FC" w:rsidR="0007207B" w:rsidRPr="000F1439" w:rsidRDefault="0007207B" w:rsidP="0007207B">
      <w:r w:rsidRPr="00181EF3">
        <w:t xml:space="preserve">Age-standardised rate ratios are used to compare age-standardised rates between Māori and </w:t>
      </w:r>
      <w:r w:rsidR="00EC03A3">
        <w:t>non</w:t>
      </w:r>
      <w:r w:rsidR="00EC03A3">
        <w:noBreakHyphen/>
        <w:t>M</w:t>
      </w:r>
      <w:r w:rsidRPr="00181EF3">
        <w:t xml:space="preserve">āori or between Māori and </w:t>
      </w:r>
      <w:r w:rsidR="00EC03A3">
        <w:t>non</w:t>
      </w:r>
      <w:r w:rsidR="00EC03A3">
        <w:noBreakHyphen/>
        <w:t>M</w:t>
      </w:r>
      <w:r w:rsidRPr="00181EF3">
        <w:t xml:space="preserve">āori </w:t>
      </w:r>
      <w:r w:rsidR="00EC03A3">
        <w:t>non</w:t>
      </w:r>
      <w:r w:rsidR="00EC03A3">
        <w:noBreakHyphen/>
        <w:t>P</w:t>
      </w:r>
      <w:r w:rsidRPr="00181EF3">
        <w:t xml:space="preserve">acific. The rate ratio (RR) is equal to the age-standardised Māori rate divided by the age-standardised </w:t>
      </w:r>
      <w:r w:rsidR="00EC03A3">
        <w:t>non</w:t>
      </w:r>
      <w:r w:rsidR="00EC03A3">
        <w:noBreakHyphen/>
        <w:t>M</w:t>
      </w:r>
      <w:r w:rsidRPr="00181EF3">
        <w:t xml:space="preserve">āori (or </w:t>
      </w:r>
      <w:r w:rsidR="00EC03A3">
        <w:t>non</w:t>
      </w:r>
      <w:r w:rsidR="00EC03A3">
        <w:noBreakHyphen/>
        <w:t>M</w:t>
      </w:r>
      <w:r w:rsidRPr="00181EF3">
        <w:t xml:space="preserve">āori </w:t>
      </w:r>
      <w:r w:rsidR="00EC03A3">
        <w:t>non</w:t>
      </w:r>
      <w:r w:rsidR="00EC03A3">
        <w:noBreakHyphen/>
        <w:t>P</w:t>
      </w:r>
      <w:r w:rsidRPr="00181EF3">
        <w:t xml:space="preserve">acific) rate. Thus the </w:t>
      </w:r>
      <w:r w:rsidR="00EC03A3">
        <w:t>non</w:t>
      </w:r>
      <w:r w:rsidR="00EC03A3">
        <w:noBreakHyphen/>
        <w:t>M</w:t>
      </w:r>
      <w:r w:rsidRPr="00181EF3">
        <w:t xml:space="preserve">āori population (or </w:t>
      </w:r>
      <w:r w:rsidR="00EC03A3">
        <w:t>non</w:t>
      </w:r>
      <w:r w:rsidR="00EC03A3">
        <w:noBreakHyphen/>
        <w:t>M</w:t>
      </w:r>
      <w:r w:rsidRPr="00181EF3">
        <w:t xml:space="preserve">āori </w:t>
      </w:r>
      <w:r w:rsidR="00EC03A3">
        <w:t>non</w:t>
      </w:r>
      <w:r w:rsidR="00EC03A3">
        <w:noBreakHyphen/>
        <w:t>P</w:t>
      </w:r>
      <w:r w:rsidRPr="00181EF3">
        <w:t>acific population) is used as the reference population. For example, an age</w:t>
      </w:r>
      <w:r w:rsidRPr="00181EF3">
        <w:noBreakHyphen/>
        <w:t xml:space="preserve">standardised RR of 1.5 means that the rate is 50 percent higher (or 1.5 times as high) in Māori than in </w:t>
      </w:r>
      <w:r w:rsidR="00EC03A3">
        <w:t>non</w:t>
      </w:r>
      <w:r w:rsidR="00EC03A3">
        <w:noBreakHyphen/>
        <w:t>M</w:t>
      </w:r>
      <w:r w:rsidRPr="00181EF3">
        <w:t>āori, after taking into account the different age structures of these two populations</w:t>
      </w:r>
      <w:r>
        <w:t>.</w:t>
      </w:r>
    </w:p>
    <w:p w14:paraId="7DEE7C66" w14:textId="1F26D5C5" w:rsidR="009013E6" w:rsidRDefault="009013E6">
      <w:pPr>
        <w:rPr>
          <w:highlight w:val="yellow"/>
        </w:rPr>
      </w:pPr>
      <w:bookmarkStart w:id="19" w:name="_Ref383175211"/>
      <w:bookmarkStart w:id="20" w:name="_Toc386033836"/>
      <w:bookmarkStart w:id="21" w:name="_Toc397424587"/>
    </w:p>
    <w:p w14:paraId="14D6E25F" w14:textId="77777777" w:rsidR="009013E6" w:rsidRDefault="009013E6" w:rsidP="009013E6">
      <w:pPr>
        <w:pStyle w:val="Heading1"/>
      </w:pPr>
      <w:bookmarkStart w:id="22" w:name="_Toc19102288"/>
      <w:r>
        <w:lastRenderedPageBreak/>
        <w:t>Demographics</w:t>
      </w:r>
      <w:bookmarkEnd w:id="22"/>
    </w:p>
    <w:p w14:paraId="12B70545" w14:textId="7DE9CD3B" w:rsidR="009013E6" w:rsidRDefault="009013E6" w:rsidP="009013E6">
      <w:r w:rsidRPr="003A493A">
        <w:t xml:space="preserve">This </w:t>
      </w:r>
      <w:r>
        <w:t>section</w:t>
      </w:r>
      <w:r w:rsidRPr="003A493A">
        <w:t xml:space="preserve"> </w:t>
      </w:r>
      <w:r>
        <w:t>presents</w:t>
      </w:r>
      <w:r w:rsidRPr="003A493A">
        <w:t xml:space="preserve"> the trends of the demographics for Māori and </w:t>
      </w:r>
      <w:r w:rsidR="00EC03A3">
        <w:t>non</w:t>
      </w:r>
      <w:r w:rsidR="00EC03A3">
        <w:noBreakHyphen/>
        <w:t>M</w:t>
      </w:r>
      <w:r w:rsidRPr="003A493A">
        <w:t xml:space="preserve">āori in 2001, 2006 and 2013 as described in </w:t>
      </w:r>
      <w:r w:rsidRPr="003A493A">
        <w:rPr>
          <w:i/>
        </w:rPr>
        <w:t>Tatau Kahukura – Māori Health Chart Book</w:t>
      </w:r>
      <w:r>
        <w:rPr>
          <w:i/>
        </w:rPr>
        <w:t>s</w:t>
      </w:r>
      <w:r w:rsidRPr="003A493A">
        <w:t xml:space="preserve"> (Ministry of Health 2006, 2010</w:t>
      </w:r>
      <w:r>
        <w:t>c</w:t>
      </w:r>
      <w:r w:rsidRPr="003A493A">
        <w:t xml:space="preserve"> and 2015</w:t>
      </w:r>
      <w:r>
        <w:t>b</w:t>
      </w:r>
      <w:r w:rsidRPr="003A493A">
        <w:t>)</w:t>
      </w:r>
      <w:r>
        <w:t>.</w:t>
      </w:r>
    </w:p>
    <w:p w14:paraId="2FE3B1DF" w14:textId="77777777" w:rsidR="002E449B" w:rsidRPr="003A493A" w:rsidRDefault="002E449B" w:rsidP="009013E6"/>
    <w:p w14:paraId="1251E8BC" w14:textId="77777777" w:rsidR="009013E6" w:rsidRPr="00CF191B" w:rsidRDefault="009013E6" w:rsidP="009013E6">
      <w:pPr>
        <w:pStyle w:val="Heading2"/>
      </w:pPr>
      <w:bookmarkStart w:id="23" w:name="_Toc19102289"/>
      <w:r>
        <w:t>Population by age structure</w:t>
      </w:r>
      <w:bookmarkEnd w:id="23"/>
    </w:p>
    <w:p w14:paraId="6B5A1E67" w14:textId="2B963EA6" w:rsidR="009013E6" w:rsidRPr="00181EF3" w:rsidRDefault="009013E6" w:rsidP="009013E6">
      <w:pPr>
        <w:pStyle w:val="Table"/>
        <w:rPr>
          <w:i/>
        </w:rPr>
      </w:pPr>
      <w:bookmarkStart w:id="24" w:name="_Toc18594741"/>
      <w:r w:rsidRPr="00181EF3">
        <w:t xml:space="preserve">Table </w:t>
      </w:r>
      <w:r>
        <w:rPr>
          <w:noProof/>
        </w:rPr>
        <w:fldChar w:fldCharType="begin"/>
      </w:r>
      <w:r>
        <w:rPr>
          <w:noProof/>
        </w:rPr>
        <w:instrText xml:space="preserve"> SEQ Table \* ARABIC </w:instrText>
      </w:r>
      <w:r>
        <w:rPr>
          <w:noProof/>
        </w:rPr>
        <w:fldChar w:fldCharType="separate"/>
      </w:r>
      <w:r w:rsidR="00D2215B">
        <w:rPr>
          <w:noProof/>
        </w:rPr>
        <w:t>1</w:t>
      </w:r>
      <w:r>
        <w:rPr>
          <w:noProof/>
        </w:rPr>
        <w:fldChar w:fldCharType="end"/>
      </w:r>
      <w:r w:rsidRPr="00181EF3">
        <w:t xml:space="preserve">: Population by age group and gender, Māori and </w:t>
      </w:r>
      <w:r w:rsidR="00EC03A3">
        <w:t>non</w:t>
      </w:r>
      <w:r w:rsidR="00EC03A3">
        <w:noBreakHyphen/>
        <w:t>M</w:t>
      </w:r>
      <w:r w:rsidRPr="00181EF3">
        <w:t>āori, 2001</w:t>
      </w:r>
      <w:bookmarkEnd w:id="24"/>
    </w:p>
    <w:tbl>
      <w:tblPr>
        <w:tblW w:w="8080" w:type="dxa"/>
        <w:tblInd w:w="57" w:type="dxa"/>
        <w:tblLayout w:type="fixed"/>
        <w:tblCellMar>
          <w:left w:w="57" w:type="dxa"/>
          <w:right w:w="57" w:type="dxa"/>
        </w:tblCellMar>
        <w:tblLook w:val="04A0" w:firstRow="1" w:lastRow="0" w:firstColumn="1" w:lastColumn="0" w:noHBand="0" w:noVBand="1"/>
      </w:tblPr>
      <w:tblGrid>
        <w:gridCol w:w="1135"/>
        <w:gridCol w:w="1157"/>
        <w:gridCol w:w="1158"/>
        <w:gridCol w:w="1157"/>
        <w:gridCol w:w="1158"/>
        <w:gridCol w:w="1157"/>
        <w:gridCol w:w="1158"/>
      </w:tblGrid>
      <w:tr w:rsidR="009013E6" w:rsidRPr="00181EF3" w14:paraId="286F91FC" w14:textId="77777777" w:rsidTr="00353BFB">
        <w:tc>
          <w:tcPr>
            <w:tcW w:w="1135" w:type="dxa"/>
            <w:vMerge w:val="restart"/>
            <w:tcBorders>
              <w:right w:val="single" w:sz="4" w:space="0" w:color="A6A6A6" w:themeColor="background1" w:themeShade="A6"/>
            </w:tcBorders>
            <w:shd w:val="clear" w:color="auto" w:fill="D9D9D9" w:themeFill="background1" w:themeFillShade="D9"/>
          </w:tcPr>
          <w:p w14:paraId="7B4D58C4" w14:textId="77777777" w:rsidR="009013E6" w:rsidRPr="00181EF3" w:rsidRDefault="009013E6" w:rsidP="00353BFB">
            <w:pPr>
              <w:pStyle w:val="TableText"/>
              <w:rPr>
                <w:b/>
              </w:rPr>
            </w:pPr>
            <w:r w:rsidRPr="00181EF3">
              <w:rPr>
                <w:b/>
              </w:rPr>
              <w:t>Age group (years)</w:t>
            </w:r>
          </w:p>
        </w:tc>
        <w:tc>
          <w:tcPr>
            <w:tcW w:w="3472" w:type="dxa"/>
            <w:gridSpan w:val="3"/>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61534113" w14:textId="77777777" w:rsidR="009013E6" w:rsidRPr="00181EF3" w:rsidRDefault="009013E6" w:rsidP="00353BFB">
            <w:pPr>
              <w:pStyle w:val="TableText"/>
              <w:jc w:val="center"/>
              <w:rPr>
                <w:b/>
              </w:rPr>
            </w:pPr>
            <w:r w:rsidRPr="00181EF3">
              <w:rPr>
                <w:b/>
              </w:rPr>
              <w:t>Māori</w:t>
            </w:r>
          </w:p>
        </w:tc>
        <w:tc>
          <w:tcPr>
            <w:tcW w:w="3473" w:type="dxa"/>
            <w:gridSpan w:val="3"/>
            <w:tcBorders>
              <w:left w:val="single" w:sz="4" w:space="0" w:color="A6A6A6" w:themeColor="background1" w:themeShade="A6"/>
            </w:tcBorders>
            <w:shd w:val="clear" w:color="auto" w:fill="D9D9D9" w:themeFill="background1" w:themeFillShade="D9"/>
          </w:tcPr>
          <w:p w14:paraId="51F46911" w14:textId="1FE1B18A" w:rsidR="009013E6" w:rsidRPr="00181EF3" w:rsidRDefault="00EC03A3" w:rsidP="00353BFB">
            <w:pPr>
              <w:pStyle w:val="TableText"/>
              <w:jc w:val="center"/>
              <w:rPr>
                <w:b/>
              </w:rPr>
            </w:pPr>
            <w:r>
              <w:rPr>
                <w:b/>
              </w:rPr>
              <w:t>Non</w:t>
            </w:r>
            <w:r>
              <w:rPr>
                <w:b/>
              </w:rPr>
              <w:noBreakHyphen/>
              <w:t>M</w:t>
            </w:r>
            <w:r w:rsidR="009013E6" w:rsidRPr="00181EF3">
              <w:rPr>
                <w:b/>
              </w:rPr>
              <w:t>āori</w:t>
            </w:r>
          </w:p>
        </w:tc>
      </w:tr>
      <w:tr w:rsidR="009013E6" w:rsidRPr="00181EF3" w14:paraId="23A00D24" w14:textId="77777777" w:rsidTr="00353BFB">
        <w:tc>
          <w:tcPr>
            <w:tcW w:w="1135" w:type="dxa"/>
            <w:vMerge/>
            <w:tcBorders>
              <w:right w:val="single" w:sz="4" w:space="0" w:color="A6A6A6" w:themeColor="background1" w:themeShade="A6"/>
            </w:tcBorders>
            <w:shd w:val="clear" w:color="auto" w:fill="D9D9D9" w:themeFill="background1" w:themeFillShade="D9"/>
          </w:tcPr>
          <w:p w14:paraId="5B403E19" w14:textId="77777777" w:rsidR="009013E6" w:rsidRPr="00181EF3" w:rsidRDefault="009013E6" w:rsidP="00353BFB">
            <w:pPr>
              <w:pStyle w:val="TableText"/>
              <w:rPr>
                <w:b/>
              </w:rPr>
            </w:pPr>
          </w:p>
        </w:tc>
        <w:tc>
          <w:tcPr>
            <w:tcW w:w="1157" w:type="dxa"/>
            <w:tcBorders>
              <w:left w:val="single" w:sz="4" w:space="0" w:color="A6A6A6" w:themeColor="background1" w:themeShade="A6"/>
            </w:tcBorders>
            <w:shd w:val="clear" w:color="auto" w:fill="D9D9D9" w:themeFill="background1" w:themeFillShade="D9"/>
          </w:tcPr>
          <w:p w14:paraId="4A9B1ED9" w14:textId="77777777" w:rsidR="009013E6" w:rsidRPr="00181EF3" w:rsidRDefault="009013E6" w:rsidP="00353BFB">
            <w:pPr>
              <w:pStyle w:val="TableText"/>
              <w:spacing w:before="0"/>
              <w:jc w:val="center"/>
              <w:rPr>
                <w:b/>
              </w:rPr>
            </w:pPr>
            <w:r w:rsidRPr="00181EF3">
              <w:rPr>
                <w:b/>
              </w:rPr>
              <w:t>Males</w:t>
            </w:r>
          </w:p>
        </w:tc>
        <w:tc>
          <w:tcPr>
            <w:tcW w:w="1158" w:type="dxa"/>
            <w:shd w:val="clear" w:color="auto" w:fill="D9D9D9" w:themeFill="background1" w:themeFillShade="D9"/>
          </w:tcPr>
          <w:p w14:paraId="3BFB3589" w14:textId="77777777" w:rsidR="009013E6" w:rsidRPr="00181EF3" w:rsidRDefault="009013E6" w:rsidP="00353BFB">
            <w:pPr>
              <w:pStyle w:val="TableText"/>
              <w:spacing w:before="0"/>
              <w:jc w:val="center"/>
              <w:rPr>
                <w:b/>
              </w:rPr>
            </w:pPr>
            <w:r w:rsidRPr="00181EF3">
              <w:rPr>
                <w:b/>
              </w:rPr>
              <w:t>Females</w:t>
            </w:r>
          </w:p>
        </w:tc>
        <w:tc>
          <w:tcPr>
            <w:tcW w:w="1157" w:type="dxa"/>
            <w:tcBorders>
              <w:right w:val="single" w:sz="4" w:space="0" w:color="A6A6A6" w:themeColor="background1" w:themeShade="A6"/>
            </w:tcBorders>
            <w:shd w:val="clear" w:color="auto" w:fill="D9D9D9" w:themeFill="background1" w:themeFillShade="D9"/>
          </w:tcPr>
          <w:p w14:paraId="2F41A648" w14:textId="77777777" w:rsidR="009013E6" w:rsidRPr="00181EF3" w:rsidRDefault="009013E6" w:rsidP="00353BFB">
            <w:pPr>
              <w:pStyle w:val="TableText"/>
              <w:spacing w:before="0"/>
              <w:jc w:val="center"/>
              <w:rPr>
                <w:b/>
              </w:rPr>
            </w:pPr>
            <w:r w:rsidRPr="00181EF3">
              <w:rPr>
                <w:b/>
              </w:rPr>
              <w:t>Total</w:t>
            </w:r>
          </w:p>
        </w:tc>
        <w:tc>
          <w:tcPr>
            <w:tcW w:w="1158" w:type="dxa"/>
            <w:tcBorders>
              <w:left w:val="single" w:sz="4" w:space="0" w:color="A6A6A6" w:themeColor="background1" w:themeShade="A6"/>
            </w:tcBorders>
            <w:shd w:val="clear" w:color="auto" w:fill="D9D9D9" w:themeFill="background1" w:themeFillShade="D9"/>
          </w:tcPr>
          <w:p w14:paraId="0494E603" w14:textId="77777777" w:rsidR="009013E6" w:rsidRPr="00181EF3" w:rsidRDefault="009013E6" w:rsidP="00353BFB">
            <w:pPr>
              <w:pStyle w:val="TableText"/>
              <w:spacing w:before="0"/>
              <w:jc w:val="center"/>
              <w:rPr>
                <w:b/>
              </w:rPr>
            </w:pPr>
            <w:r w:rsidRPr="00181EF3">
              <w:rPr>
                <w:b/>
              </w:rPr>
              <w:t>Males</w:t>
            </w:r>
          </w:p>
        </w:tc>
        <w:tc>
          <w:tcPr>
            <w:tcW w:w="1157" w:type="dxa"/>
            <w:shd w:val="clear" w:color="auto" w:fill="D9D9D9" w:themeFill="background1" w:themeFillShade="D9"/>
          </w:tcPr>
          <w:p w14:paraId="5F48AA00" w14:textId="77777777" w:rsidR="009013E6" w:rsidRPr="00181EF3" w:rsidRDefault="009013E6" w:rsidP="00353BFB">
            <w:pPr>
              <w:pStyle w:val="TableText"/>
              <w:spacing w:before="0"/>
              <w:jc w:val="center"/>
              <w:rPr>
                <w:b/>
              </w:rPr>
            </w:pPr>
            <w:r w:rsidRPr="00181EF3">
              <w:rPr>
                <w:b/>
              </w:rPr>
              <w:t>Females</w:t>
            </w:r>
          </w:p>
        </w:tc>
        <w:tc>
          <w:tcPr>
            <w:tcW w:w="1158" w:type="dxa"/>
            <w:shd w:val="clear" w:color="auto" w:fill="D9D9D9" w:themeFill="background1" w:themeFillShade="D9"/>
          </w:tcPr>
          <w:p w14:paraId="01AEA296" w14:textId="77777777" w:rsidR="009013E6" w:rsidRPr="00181EF3" w:rsidRDefault="009013E6" w:rsidP="00353BFB">
            <w:pPr>
              <w:pStyle w:val="TableText"/>
              <w:spacing w:before="0"/>
              <w:jc w:val="center"/>
              <w:rPr>
                <w:b/>
              </w:rPr>
            </w:pPr>
            <w:r w:rsidRPr="00181EF3">
              <w:rPr>
                <w:b/>
              </w:rPr>
              <w:t>Total</w:t>
            </w:r>
          </w:p>
        </w:tc>
      </w:tr>
      <w:tr w:rsidR="009013E6" w:rsidRPr="00181EF3" w14:paraId="6E17470E" w14:textId="77777777" w:rsidTr="00353BFB">
        <w:trPr>
          <w:cantSplit/>
        </w:trPr>
        <w:tc>
          <w:tcPr>
            <w:tcW w:w="1135" w:type="dxa"/>
            <w:tcBorders>
              <w:bottom w:val="single" w:sz="4" w:space="0" w:color="A6A6A6" w:themeColor="background1" w:themeShade="A6"/>
              <w:right w:val="single" w:sz="4" w:space="0" w:color="A6A6A6" w:themeColor="background1" w:themeShade="A6"/>
            </w:tcBorders>
          </w:tcPr>
          <w:p w14:paraId="4E24DDD8" w14:textId="77777777" w:rsidR="009013E6" w:rsidRPr="00181EF3" w:rsidRDefault="009013E6" w:rsidP="00353BFB">
            <w:pPr>
              <w:pStyle w:val="TableText"/>
              <w:rPr>
                <w:szCs w:val="16"/>
                <w:lang w:eastAsia="en-NZ"/>
              </w:rPr>
            </w:pPr>
            <w:r w:rsidRPr="00181EF3">
              <w:rPr>
                <w:szCs w:val="16"/>
                <w:lang w:eastAsia="en-NZ"/>
              </w:rPr>
              <w:t>0–14</w:t>
            </w:r>
          </w:p>
        </w:tc>
        <w:tc>
          <w:tcPr>
            <w:tcW w:w="1157" w:type="dxa"/>
            <w:tcBorders>
              <w:left w:val="single" w:sz="4" w:space="0" w:color="A6A6A6" w:themeColor="background1" w:themeShade="A6"/>
              <w:bottom w:val="single" w:sz="4" w:space="0" w:color="A6A6A6" w:themeColor="background1" w:themeShade="A6"/>
            </w:tcBorders>
          </w:tcPr>
          <w:p w14:paraId="775F880C" w14:textId="77777777" w:rsidR="009013E6" w:rsidRPr="00181EF3" w:rsidRDefault="009013E6" w:rsidP="00353BFB">
            <w:pPr>
              <w:pStyle w:val="TableText"/>
              <w:tabs>
                <w:tab w:val="decimal" w:pos="794"/>
              </w:tabs>
              <w:spacing w:after="0"/>
              <w:rPr>
                <w:szCs w:val="16"/>
                <w:lang w:eastAsia="en-NZ"/>
              </w:rPr>
            </w:pPr>
            <w:r w:rsidRPr="00181EF3">
              <w:rPr>
                <w:szCs w:val="16"/>
                <w:lang w:eastAsia="en-NZ"/>
              </w:rPr>
              <w:t>100,656</w:t>
            </w:r>
          </w:p>
          <w:p w14:paraId="26F339BC" w14:textId="77777777" w:rsidR="009013E6" w:rsidRPr="00181EF3" w:rsidRDefault="009013E6" w:rsidP="00353BFB">
            <w:pPr>
              <w:pStyle w:val="TableText"/>
              <w:spacing w:before="0"/>
              <w:jc w:val="center"/>
              <w:rPr>
                <w:szCs w:val="16"/>
                <w:lang w:eastAsia="en-NZ"/>
              </w:rPr>
            </w:pPr>
            <w:r w:rsidRPr="00181EF3">
              <w:rPr>
                <w:szCs w:val="16"/>
                <w:lang w:eastAsia="en-NZ"/>
              </w:rPr>
              <w:t>(23%)</w:t>
            </w:r>
          </w:p>
        </w:tc>
        <w:tc>
          <w:tcPr>
            <w:tcW w:w="1158" w:type="dxa"/>
            <w:tcBorders>
              <w:bottom w:val="single" w:sz="4" w:space="0" w:color="A6A6A6" w:themeColor="background1" w:themeShade="A6"/>
            </w:tcBorders>
          </w:tcPr>
          <w:p w14:paraId="5BFAA10F" w14:textId="77777777" w:rsidR="009013E6" w:rsidRPr="00181EF3" w:rsidRDefault="009013E6" w:rsidP="00353BFB">
            <w:pPr>
              <w:pStyle w:val="TableText"/>
              <w:tabs>
                <w:tab w:val="decimal" w:pos="794"/>
              </w:tabs>
              <w:spacing w:after="0"/>
              <w:rPr>
                <w:szCs w:val="16"/>
                <w:lang w:eastAsia="en-NZ"/>
              </w:rPr>
            </w:pPr>
            <w:r w:rsidRPr="00181EF3">
              <w:rPr>
                <w:szCs w:val="16"/>
                <w:lang w:eastAsia="en-NZ"/>
              </w:rPr>
              <w:t>95,772</w:t>
            </w:r>
          </w:p>
          <w:p w14:paraId="3901AC65" w14:textId="77777777" w:rsidR="009013E6" w:rsidRPr="00181EF3" w:rsidRDefault="009013E6" w:rsidP="00353BFB">
            <w:pPr>
              <w:pStyle w:val="TableText"/>
              <w:spacing w:before="0"/>
              <w:jc w:val="center"/>
              <w:rPr>
                <w:szCs w:val="16"/>
                <w:lang w:eastAsia="en-NZ"/>
              </w:rPr>
            </w:pPr>
            <w:r w:rsidRPr="00181EF3">
              <w:rPr>
                <w:szCs w:val="16"/>
                <w:lang w:eastAsia="en-NZ"/>
              </w:rPr>
              <w:t>(23%)</w:t>
            </w:r>
          </w:p>
        </w:tc>
        <w:tc>
          <w:tcPr>
            <w:tcW w:w="1157" w:type="dxa"/>
            <w:tcBorders>
              <w:bottom w:val="single" w:sz="4" w:space="0" w:color="A6A6A6" w:themeColor="background1" w:themeShade="A6"/>
              <w:right w:val="single" w:sz="4" w:space="0" w:color="A6A6A6" w:themeColor="background1" w:themeShade="A6"/>
            </w:tcBorders>
          </w:tcPr>
          <w:p w14:paraId="103F6068" w14:textId="77777777" w:rsidR="009013E6" w:rsidRPr="00181EF3" w:rsidRDefault="009013E6" w:rsidP="00353BFB">
            <w:pPr>
              <w:pStyle w:val="TableText"/>
              <w:tabs>
                <w:tab w:val="decimal" w:pos="794"/>
              </w:tabs>
              <w:spacing w:after="0"/>
              <w:rPr>
                <w:szCs w:val="16"/>
                <w:lang w:eastAsia="en-NZ"/>
              </w:rPr>
            </w:pPr>
            <w:r w:rsidRPr="00181EF3">
              <w:rPr>
                <w:szCs w:val="16"/>
                <w:lang w:eastAsia="en-NZ"/>
              </w:rPr>
              <w:t>196,428</w:t>
            </w:r>
          </w:p>
          <w:p w14:paraId="6A6234B8" w14:textId="77777777" w:rsidR="009013E6" w:rsidRPr="00181EF3" w:rsidRDefault="009013E6" w:rsidP="00353BFB">
            <w:pPr>
              <w:pStyle w:val="TableText"/>
              <w:spacing w:before="0"/>
              <w:jc w:val="center"/>
              <w:rPr>
                <w:szCs w:val="16"/>
                <w:lang w:eastAsia="en-NZ"/>
              </w:rPr>
            </w:pPr>
            <w:r w:rsidRPr="00181EF3">
              <w:rPr>
                <w:szCs w:val="16"/>
                <w:lang w:eastAsia="en-NZ"/>
              </w:rPr>
              <w:t>(23%)</w:t>
            </w:r>
          </w:p>
        </w:tc>
        <w:tc>
          <w:tcPr>
            <w:tcW w:w="1158" w:type="dxa"/>
            <w:tcBorders>
              <w:left w:val="single" w:sz="4" w:space="0" w:color="A6A6A6" w:themeColor="background1" w:themeShade="A6"/>
              <w:bottom w:val="single" w:sz="4" w:space="0" w:color="A6A6A6" w:themeColor="background1" w:themeShade="A6"/>
            </w:tcBorders>
          </w:tcPr>
          <w:p w14:paraId="548D66DC" w14:textId="77777777" w:rsidR="009013E6" w:rsidRPr="00181EF3" w:rsidRDefault="009013E6" w:rsidP="00353BFB">
            <w:pPr>
              <w:pStyle w:val="TableText"/>
              <w:tabs>
                <w:tab w:val="decimal" w:pos="879"/>
              </w:tabs>
              <w:spacing w:after="0"/>
              <w:rPr>
                <w:szCs w:val="16"/>
                <w:lang w:eastAsia="en-NZ"/>
              </w:rPr>
            </w:pPr>
            <w:r w:rsidRPr="00181EF3">
              <w:rPr>
                <w:szCs w:val="16"/>
                <w:lang w:eastAsia="en-NZ"/>
              </w:rPr>
              <w:t>333,852</w:t>
            </w:r>
          </w:p>
          <w:p w14:paraId="4FAFF4F7" w14:textId="77777777" w:rsidR="009013E6" w:rsidRPr="00181EF3" w:rsidRDefault="009013E6" w:rsidP="00353BFB">
            <w:pPr>
              <w:pStyle w:val="TableText"/>
              <w:spacing w:before="0"/>
              <w:jc w:val="center"/>
              <w:rPr>
                <w:szCs w:val="16"/>
                <w:lang w:eastAsia="en-NZ"/>
              </w:rPr>
            </w:pPr>
            <w:r w:rsidRPr="00181EF3">
              <w:rPr>
                <w:szCs w:val="16"/>
                <w:lang w:eastAsia="en-NZ"/>
              </w:rPr>
              <w:t>(77%)</w:t>
            </w:r>
          </w:p>
        </w:tc>
        <w:tc>
          <w:tcPr>
            <w:tcW w:w="1157" w:type="dxa"/>
            <w:tcBorders>
              <w:bottom w:val="single" w:sz="4" w:space="0" w:color="A6A6A6" w:themeColor="background1" w:themeShade="A6"/>
            </w:tcBorders>
          </w:tcPr>
          <w:p w14:paraId="2C5588EA" w14:textId="77777777" w:rsidR="009013E6" w:rsidRPr="00181EF3" w:rsidRDefault="009013E6" w:rsidP="00353BFB">
            <w:pPr>
              <w:pStyle w:val="TableText"/>
              <w:tabs>
                <w:tab w:val="decimal" w:pos="879"/>
              </w:tabs>
              <w:spacing w:after="0"/>
              <w:rPr>
                <w:szCs w:val="16"/>
                <w:lang w:eastAsia="en-NZ"/>
              </w:rPr>
            </w:pPr>
            <w:r w:rsidRPr="00181EF3">
              <w:rPr>
                <w:szCs w:val="16"/>
                <w:lang w:eastAsia="en-NZ"/>
              </w:rPr>
              <w:t>317,097</w:t>
            </w:r>
          </w:p>
          <w:p w14:paraId="68724309" w14:textId="77777777" w:rsidR="009013E6" w:rsidRPr="00181EF3" w:rsidRDefault="009013E6" w:rsidP="00353BFB">
            <w:pPr>
              <w:pStyle w:val="TableText"/>
              <w:spacing w:before="0"/>
              <w:jc w:val="center"/>
              <w:rPr>
                <w:szCs w:val="16"/>
                <w:lang w:eastAsia="en-NZ"/>
              </w:rPr>
            </w:pPr>
            <w:r w:rsidRPr="00181EF3">
              <w:rPr>
                <w:szCs w:val="16"/>
                <w:lang w:eastAsia="en-NZ"/>
              </w:rPr>
              <w:t>(77%)</w:t>
            </w:r>
          </w:p>
        </w:tc>
        <w:tc>
          <w:tcPr>
            <w:tcW w:w="1158" w:type="dxa"/>
            <w:tcBorders>
              <w:bottom w:val="single" w:sz="4" w:space="0" w:color="A6A6A6" w:themeColor="background1" w:themeShade="A6"/>
            </w:tcBorders>
          </w:tcPr>
          <w:p w14:paraId="02829BCC" w14:textId="77777777" w:rsidR="009013E6" w:rsidRPr="00181EF3" w:rsidRDefault="009013E6" w:rsidP="00353BFB">
            <w:pPr>
              <w:pStyle w:val="TableText"/>
              <w:tabs>
                <w:tab w:val="decimal" w:pos="879"/>
              </w:tabs>
              <w:spacing w:after="0"/>
              <w:rPr>
                <w:szCs w:val="16"/>
                <w:lang w:eastAsia="en-NZ"/>
              </w:rPr>
            </w:pPr>
            <w:r w:rsidRPr="00181EF3">
              <w:rPr>
                <w:szCs w:val="16"/>
                <w:lang w:eastAsia="en-NZ"/>
              </w:rPr>
              <w:t>650,949</w:t>
            </w:r>
          </w:p>
          <w:p w14:paraId="679F8752" w14:textId="77777777" w:rsidR="009013E6" w:rsidRPr="00181EF3" w:rsidRDefault="009013E6" w:rsidP="00353BFB">
            <w:pPr>
              <w:pStyle w:val="TableText"/>
              <w:spacing w:before="0"/>
              <w:jc w:val="center"/>
              <w:rPr>
                <w:szCs w:val="16"/>
                <w:lang w:eastAsia="en-NZ"/>
              </w:rPr>
            </w:pPr>
            <w:r w:rsidRPr="00181EF3">
              <w:rPr>
                <w:szCs w:val="16"/>
                <w:lang w:eastAsia="en-NZ"/>
              </w:rPr>
              <w:t>(77%)</w:t>
            </w:r>
          </w:p>
        </w:tc>
      </w:tr>
      <w:tr w:rsidR="009013E6" w:rsidRPr="00181EF3" w14:paraId="23568B65" w14:textId="77777777" w:rsidTr="00353BFB">
        <w:tc>
          <w:tcPr>
            <w:tcW w:w="113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E0DD502" w14:textId="77777777" w:rsidR="009013E6" w:rsidRPr="00181EF3" w:rsidRDefault="009013E6" w:rsidP="00353BFB">
            <w:pPr>
              <w:pStyle w:val="TableText"/>
              <w:rPr>
                <w:szCs w:val="16"/>
                <w:lang w:eastAsia="en-NZ"/>
              </w:rPr>
            </w:pPr>
            <w:r w:rsidRPr="00181EF3">
              <w:rPr>
                <w:szCs w:val="16"/>
                <w:lang w:eastAsia="en-NZ"/>
              </w:rPr>
              <w:t>15–24</w:t>
            </w:r>
          </w:p>
        </w:tc>
        <w:tc>
          <w:tcPr>
            <w:tcW w:w="115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3B15703" w14:textId="77777777" w:rsidR="009013E6" w:rsidRPr="00181EF3" w:rsidRDefault="009013E6" w:rsidP="00353BFB">
            <w:pPr>
              <w:pStyle w:val="TableText"/>
              <w:tabs>
                <w:tab w:val="decimal" w:pos="794"/>
              </w:tabs>
              <w:spacing w:after="0"/>
              <w:rPr>
                <w:szCs w:val="16"/>
                <w:lang w:eastAsia="en-NZ"/>
              </w:rPr>
            </w:pPr>
            <w:r w:rsidRPr="00181EF3">
              <w:rPr>
                <w:szCs w:val="16"/>
                <w:lang w:eastAsia="en-NZ"/>
              </w:rPr>
              <w:t>44,901</w:t>
            </w:r>
          </w:p>
          <w:p w14:paraId="0563EB28" w14:textId="77777777" w:rsidR="009013E6" w:rsidRPr="00181EF3" w:rsidRDefault="009013E6" w:rsidP="00353BFB">
            <w:pPr>
              <w:pStyle w:val="TableText"/>
              <w:spacing w:before="0"/>
              <w:jc w:val="center"/>
              <w:rPr>
                <w:szCs w:val="16"/>
                <w:lang w:eastAsia="en-NZ"/>
              </w:rPr>
            </w:pPr>
            <w:r w:rsidRPr="00181EF3">
              <w:rPr>
                <w:szCs w:val="16"/>
                <w:lang w:eastAsia="en-NZ"/>
              </w:rPr>
              <w:t>(18%)</w:t>
            </w:r>
          </w:p>
        </w:tc>
        <w:tc>
          <w:tcPr>
            <w:tcW w:w="1158" w:type="dxa"/>
            <w:tcBorders>
              <w:top w:val="single" w:sz="4" w:space="0" w:color="A6A6A6" w:themeColor="background1" w:themeShade="A6"/>
              <w:bottom w:val="single" w:sz="4" w:space="0" w:color="A6A6A6" w:themeColor="background1" w:themeShade="A6"/>
            </w:tcBorders>
          </w:tcPr>
          <w:p w14:paraId="65410192" w14:textId="77777777" w:rsidR="009013E6" w:rsidRPr="00181EF3" w:rsidRDefault="009013E6" w:rsidP="00353BFB">
            <w:pPr>
              <w:pStyle w:val="TableText"/>
              <w:tabs>
                <w:tab w:val="decimal" w:pos="794"/>
              </w:tabs>
              <w:spacing w:after="0"/>
              <w:rPr>
                <w:szCs w:val="16"/>
                <w:lang w:eastAsia="en-NZ"/>
              </w:rPr>
            </w:pPr>
            <w:r w:rsidRPr="00181EF3">
              <w:rPr>
                <w:szCs w:val="16"/>
                <w:lang w:eastAsia="en-NZ"/>
              </w:rPr>
              <w:t>46,839</w:t>
            </w:r>
          </w:p>
          <w:p w14:paraId="09E6260B" w14:textId="77777777" w:rsidR="009013E6" w:rsidRPr="00181EF3" w:rsidRDefault="009013E6" w:rsidP="00353BFB">
            <w:pPr>
              <w:pStyle w:val="TableText"/>
              <w:spacing w:before="0"/>
              <w:jc w:val="center"/>
              <w:rPr>
                <w:szCs w:val="16"/>
                <w:lang w:eastAsia="en-NZ"/>
              </w:rPr>
            </w:pPr>
            <w:r w:rsidRPr="00181EF3">
              <w:rPr>
                <w:szCs w:val="16"/>
                <w:lang w:eastAsia="en-NZ"/>
              </w:rPr>
              <w:t>(19%)</w:t>
            </w:r>
          </w:p>
        </w:tc>
        <w:tc>
          <w:tcPr>
            <w:tcW w:w="115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D4E2BF7" w14:textId="77777777" w:rsidR="009013E6" w:rsidRPr="00181EF3" w:rsidRDefault="009013E6" w:rsidP="00353BFB">
            <w:pPr>
              <w:pStyle w:val="TableText"/>
              <w:tabs>
                <w:tab w:val="decimal" w:pos="794"/>
              </w:tabs>
              <w:spacing w:after="0"/>
              <w:rPr>
                <w:szCs w:val="16"/>
                <w:lang w:eastAsia="en-NZ"/>
              </w:rPr>
            </w:pPr>
            <w:r w:rsidRPr="00181EF3">
              <w:rPr>
                <w:szCs w:val="16"/>
                <w:lang w:eastAsia="en-NZ"/>
              </w:rPr>
              <w:t>91,740</w:t>
            </w:r>
          </w:p>
          <w:p w14:paraId="1AF996DF" w14:textId="77777777" w:rsidR="009013E6" w:rsidRPr="00181EF3" w:rsidRDefault="009013E6" w:rsidP="00353BFB">
            <w:pPr>
              <w:pStyle w:val="TableText"/>
              <w:spacing w:before="0"/>
              <w:jc w:val="center"/>
              <w:rPr>
                <w:szCs w:val="16"/>
                <w:lang w:eastAsia="en-NZ"/>
              </w:rPr>
            </w:pPr>
            <w:r w:rsidRPr="00181EF3">
              <w:rPr>
                <w:szCs w:val="16"/>
                <w:lang w:eastAsia="en-NZ"/>
              </w:rPr>
              <w:t>(18%)</w:t>
            </w:r>
          </w:p>
        </w:tc>
        <w:tc>
          <w:tcPr>
            <w:tcW w:w="1158"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41DB151" w14:textId="77777777" w:rsidR="009013E6" w:rsidRPr="00181EF3" w:rsidRDefault="009013E6" w:rsidP="00353BFB">
            <w:pPr>
              <w:pStyle w:val="TableText"/>
              <w:tabs>
                <w:tab w:val="decimal" w:pos="879"/>
              </w:tabs>
              <w:spacing w:after="0"/>
              <w:rPr>
                <w:szCs w:val="16"/>
                <w:lang w:eastAsia="en-NZ"/>
              </w:rPr>
            </w:pPr>
            <w:r w:rsidRPr="00181EF3">
              <w:rPr>
                <w:szCs w:val="16"/>
                <w:lang w:eastAsia="en-NZ"/>
              </w:rPr>
              <w:t>208,950</w:t>
            </w:r>
          </w:p>
          <w:p w14:paraId="32285521" w14:textId="77777777" w:rsidR="009013E6" w:rsidRPr="00181EF3" w:rsidRDefault="009013E6" w:rsidP="00353BFB">
            <w:pPr>
              <w:pStyle w:val="TableText"/>
              <w:spacing w:before="0"/>
              <w:jc w:val="center"/>
              <w:rPr>
                <w:szCs w:val="16"/>
                <w:lang w:eastAsia="en-NZ"/>
              </w:rPr>
            </w:pPr>
            <w:r w:rsidRPr="00181EF3">
              <w:rPr>
                <w:szCs w:val="16"/>
                <w:lang w:eastAsia="en-NZ"/>
              </w:rPr>
              <w:t>(82%)</w:t>
            </w:r>
          </w:p>
        </w:tc>
        <w:tc>
          <w:tcPr>
            <w:tcW w:w="1157" w:type="dxa"/>
            <w:tcBorders>
              <w:top w:val="single" w:sz="4" w:space="0" w:color="A6A6A6" w:themeColor="background1" w:themeShade="A6"/>
              <w:bottom w:val="single" w:sz="4" w:space="0" w:color="A6A6A6" w:themeColor="background1" w:themeShade="A6"/>
            </w:tcBorders>
          </w:tcPr>
          <w:p w14:paraId="5056B19F" w14:textId="77777777" w:rsidR="009013E6" w:rsidRPr="00181EF3" w:rsidRDefault="009013E6" w:rsidP="00353BFB">
            <w:pPr>
              <w:pStyle w:val="TableText"/>
              <w:tabs>
                <w:tab w:val="decimal" w:pos="879"/>
              </w:tabs>
              <w:spacing w:after="0"/>
              <w:rPr>
                <w:szCs w:val="16"/>
                <w:lang w:eastAsia="en-NZ"/>
              </w:rPr>
            </w:pPr>
            <w:r w:rsidRPr="00181EF3">
              <w:rPr>
                <w:szCs w:val="16"/>
                <w:lang w:eastAsia="en-NZ"/>
              </w:rPr>
              <w:t>204,486</w:t>
            </w:r>
          </w:p>
          <w:p w14:paraId="28E90A6A" w14:textId="77777777" w:rsidR="009013E6" w:rsidRPr="00181EF3" w:rsidRDefault="009013E6" w:rsidP="00353BFB">
            <w:pPr>
              <w:pStyle w:val="TableText"/>
              <w:spacing w:before="0"/>
              <w:jc w:val="center"/>
              <w:rPr>
                <w:szCs w:val="16"/>
                <w:lang w:eastAsia="en-NZ"/>
              </w:rPr>
            </w:pPr>
            <w:r w:rsidRPr="00181EF3">
              <w:rPr>
                <w:szCs w:val="16"/>
                <w:lang w:eastAsia="en-NZ"/>
              </w:rPr>
              <w:t>(81%)</w:t>
            </w:r>
          </w:p>
        </w:tc>
        <w:tc>
          <w:tcPr>
            <w:tcW w:w="1158" w:type="dxa"/>
            <w:tcBorders>
              <w:top w:val="single" w:sz="4" w:space="0" w:color="A6A6A6" w:themeColor="background1" w:themeShade="A6"/>
              <w:bottom w:val="single" w:sz="4" w:space="0" w:color="A6A6A6" w:themeColor="background1" w:themeShade="A6"/>
            </w:tcBorders>
          </w:tcPr>
          <w:p w14:paraId="0F413C55" w14:textId="77777777" w:rsidR="009013E6" w:rsidRPr="00181EF3" w:rsidRDefault="009013E6" w:rsidP="00353BFB">
            <w:pPr>
              <w:pStyle w:val="TableText"/>
              <w:tabs>
                <w:tab w:val="decimal" w:pos="879"/>
              </w:tabs>
              <w:spacing w:after="0"/>
              <w:rPr>
                <w:szCs w:val="16"/>
                <w:lang w:eastAsia="en-NZ"/>
              </w:rPr>
            </w:pPr>
            <w:r w:rsidRPr="00181EF3">
              <w:rPr>
                <w:szCs w:val="16"/>
                <w:lang w:eastAsia="en-NZ"/>
              </w:rPr>
              <w:t>413,436</w:t>
            </w:r>
          </w:p>
          <w:p w14:paraId="54B448B8" w14:textId="77777777" w:rsidR="009013E6" w:rsidRPr="00181EF3" w:rsidRDefault="009013E6" w:rsidP="00353BFB">
            <w:pPr>
              <w:pStyle w:val="TableText"/>
              <w:spacing w:before="0"/>
              <w:jc w:val="center"/>
              <w:rPr>
                <w:szCs w:val="16"/>
                <w:lang w:eastAsia="en-NZ"/>
              </w:rPr>
            </w:pPr>
            <w:r w:rsidRPr="00181EF3">
              <w:rPr>
                <w:szCs w:val="16"/>
                <w:lang w:eastAsia="en-NZ"/>
              </w:rPr>
              <w:t>(82%)</w:t>
            </w:r>
          </w:p>
        </w:tc>
      </w:tr>
      <w:tr w:rsidR="009013E6" w:rsidRPr="00181EF3" w14:paraId="2B3FDED7" w14:textId="77777777" w:rsidTr="00353BFB">
        <w:tc>
          <w:tcPr>
            <w:tcW w:w="113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A2E5F48" w14:textId="77777777" w:rsidR="009013E6" w:rsidRPr="00181EF3" w:rsidRDefault="009013E6" w:rsidP="00353BFB">
            <w:pPr>
              <w:pStyle w:val="TableText"/>
              <w:rPr>
                <w:szCs w:val="16"/>
                <w:lang w:eastAsia="en-NZ"/>
              </w:rPr>
            </w:pPr>
            <w:r w:rsidRPr="00181EF3">
              <w:rPr>
                <w:szCs w:val="16"/>
                <w:lang w:eastAsia="en-NZ"/>
              </w:rPr>
              <w:t>25–44</w:t>
            </w:r>
          </w:p>
        </w:tc>
        <w:tc>
          <w:tcPr>
            <w:tcW w:w="115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00A32D5" w14:textId="77777777" w:rsidR="009013E6" w:rsidRPr="00181EF3" w:rsidRDefault="009013E6" w:rsidP="00353BFB">
            <w:pPr>
              <w:pStyle w:val="TableText"/>
              <w:tabs>
                <w:tab w:val="decimal" w:pos="794"/>
              </w:tabs>
              <w:spacing w:after="0"/>
              <w:rPr>
                <w:szCs w:val="16"/>
                <w:lang w:eastAsia="en-NZ"/>
              </w:rPr>
            </w:pPr>
            <w:r w:rsidRPr="00181EF3">
              <w:rPr>
                <w:szCs w:val="16"/>
                <w:lang w:eastAsia="en-NZ"/>
              </w:rPr>
              <w:t>70,287</w:t>
            </w:r>
          </w:p>
          <w:p w14:paraId="524D01E0" w14:textId="77777777" w:rsidR="009013E6" w:rsidRPr="00181EF3" w:rsidRDefault="009013E6" w:rsidP="00353BFB">
            <w:pPr>
              <w:pStyle w:val="TableText"/>
              <w:spacing w:before="0"/>
              <w:jc w:val="center"/>
              <w:rPr>
                <w:szCs w:val="16"/>
                <w:lang w:eastAsia="en-NZ"/>
              </w:rPr>
            </w:pPr>
            <w:r w:rsidRPr="00181EF3">
              <w:rPr>
                <w:szCs w:val="16"/>
                <w:lang w:eastAsia="en-NZ"/>
              </w:rPr>
              <w:t>(13%)</w:t>
            </w:r>
          </w:p>
        </w:tc>
        <w:tc>
          <w:tcPr>
            <w:tcW w:w="1158" w:type="dxa"/>
            <w:tcBorders>
              <w:top w:val="single" w:sz="4" w:space="0" w:color="A6A6A6" w:themeColor="background1" w:themeShade="A6"/>
              <w:bottom w:val="single" w:sz="4" w:space="0" w:color="A6A6A6" w:themeColor="background1" w:themeShade="A6"/>
            </w:tcBorders>
          </w:tcPr>
          <w:p w14:paraId="6F4DC8D0" w14:textId="77777777" w:rsidR="009013E6" w:rsidRPr="00181EF3" w:rsidRDefault="009013E6" w:rsidP="00353BFB">
            <w:pPr>
              <w:pStyle w:val="TableText"/>
              <w:tabs>
                <w:tab w:val="decimal" w:pos="794"/>
              </w:tabs>
              <w:spacing w:after="0"/>
              <w:rPr>
                <w:szCs w:val="16"/>
                <w:lang w:eastAsia="en-NZ"/>
              </w:rPr>
            </w:pPr>
            <w:r w:rsidRPr="00181EF3">
              <w:rPr>
                <w:szCs w:val="16"/>
                <w:lang w:eastAsia="en-NZ"/>
              </w:rPr>
              <w:t>80,406</w:t>
            </w:r>
          </w:p>
          <w:p w14:paraId="161DB69F" w14:textId="77777777" w:rsidR="009013E6" w:rsidRPr="00181EF3" w:rsidRDefault="009013E6" w:rsidP="00353BFB">
            <w:pPr>
              <w:pStyle w:val="TableText"/>
              <w:spacing w:before="0"/>
              <w:jc w:val="center"/>
              <w:rPr>
                <w:szCs w:val="16"/>
                <w:lang w:eastAsia="en-NZ"/>
              </w:rPr>
            </w:pPr>
            <w:r w:rsidRPr="00181EF3">
              <w:rPr>
                <w:szCs w:val="16"/>
                <w:lang w:eastAsia="en-NZ"/>
              </w:rPr>
              <w:t>(14%)</w:t>
            </w:r>
          </w:p>
        </w:tc>
        <w:tc>
          <w:tcPr>
            <w:tcW w:w="115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CF3AA56" w14:textId="77777777" w:rsidR="009013E6" w:rsidRPr="00181EF3" w:rsidRDefault="009013E6" w:rsidP="00353BFB">
            <w:pPr>
              <w:pStyle w:val="TableText"/>
              <w:tabs>
                <w:tab w:val="decimal" w:pos="794"/>
              </w:tabs>
              <w:spacing w:after="0"/>
              <w:rPr>
                <w:szCs w:val="16"/>
                <w:lang w:eastAsia="en-NZ"/>
              </w:rPr>
            </w:pPr>
            <w:r w:rsidRPr="00181EF3">
              <w:rPr>
                <w:szCs w:val="16"/>
                <w:lang w:eastAsia="en-NZ"/>
              </w:rPr>
              <w:t>150,693</w:t>
            </w:r>
          </w:p>
          <w:p w14:paraId="7ADA5E09" w14:textId="77777777" w:rsidR="009013E6" w:rsidRPr="00181EF3" w:rsidRDefault="009013E6" w:rsidP="00353BFB">
            <w:pPr>
              <w:pStyle w:val="TableText"/>
              <w:spacing w:before="0"/>
              <w:jc w:val="center"/>
              <w:rPr>
                <w:szCs w:val="16"/>
                <w:lang w:eastAsia="en-NZ"/>
              </w:rPr>
            </w:pPr>
            <w:r w:rsidRPr="00181EF3">
              <w:rPr>
                <w:szCs w:val="16"/>
                <w:lang w:eastAsia="en-NZ"/>
              </w:rPr>
              <w:t>(14%)</w:t>
            </w:r>
          </w:p>
        </w:tc>
        <w:tc>
          <w:tcPr>
            <w:tcW w:w="1158"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6567356" w14:textId="77777777" w:rsidR="009013E6" w:rsidRPr="00181EF3" w:rsidRDefault="009013E6" w:rsidP="00353BFB">
            <w:pPr>
              <w:pStyle w:val="TableText"/>
              <w:tabs>
                <w:tab w:val="decimal" w:pos="879"/>
              </w:tabs>
              <w:spacing w:after="0"/>
              <w:rPr>
                <w:szCs w:val="16"/>
                <w:lang w:eastAsia="en-NZ"/>
              </w:rPr>
            </w:pPr>
            <w:r w:rsidRPr="00181EF3">
              <w:rPr>
                <w:szCs w:val="16"/>
                <w:lang w:eastAsia="en-NZ"/>
              </w:rPr>
              <w:t>460,659</w:t>
            </w:r>
          </w:p>
          <w:p w14:paraId="5D936BA7" w14:textId="77777777" w:rsidR="009013E6" w:rsidRPr="00181EF3" w:rsidRDefault="009013E6" w:rsidP="00353BFB">
            <w:pPr>
              <w:pStyle w:val="TableText"/>
              <w:spacing w:before="0"/>
              <w:jc w:val="center"/>
              <w:rPr>
                <w:szCs w:val="16"/>
                <w:lang w:eastAsia="en-NZ"/>
              </w:rPr>
            </w:pPr>
            <w:r w:rsidRPr="00181EF3">
              <w:rPr>
                <w:szCs w:val="16"/>
                <w:lang w:eastAsia="en-NZ"/>
              </w:rPr>
              <w:t>(87%)</w:t>
            </w:r>
          </w:p>
        </w:tc>
        <w:tc>
          <w:tcPr>
            <w:tcW w:w="1157" w:type="dxa"/>
            <w:tcBorders>
              <w:top w:val="single" w:sz="4" w:space="0" w:color="A6A6A6" w:themeColor="background1" w:themeShade="A6"/>
              <w:bottom w:val="single" w:sz="4" w:space="0" w:color="A6A6A6" w:themeColor="background1" w:themeShade="A6"/>
            </w:tcBorders>
          </w:tcPr>
          <w:p w14:paraId="7B95D575" w14:textId="77777777" w:rsidR="009013E6" w:rsidRPr="00181EF3" w:rsidRDefault="009013E6" w:rsidP="00353BFB">
            <w:pPr>
              <w:pStyle w:val="TableText"/>
              <w:tabs>
                <w:tab w:val="decimal" w:pos="879"/>
              </w:tabs>
              <w:spacing w:after="0"/>
              <w:rPr>
                <w:szCs w:val="16"/>
                <w:lang w:eastAsia="en-NZ"/>
              </w:rPr>
            </w:pPr>
            <w:r w:rsidRPr="00181EF3">
              <w:rPr>
                <w:szCs w:val="16"/>
                <w:lang w:eastAsia="en-NZ"/>
              </w:rPr>
              <w:t>497,511</w:t>
            </w:r>
          </w:p>
          <w:p w14:paraId="3E2AEA02" w14:textId="77777777" w:rsidR="009013E6" w:rsidRPr="00181EF3" w:rsidRDefault="009013E6" w:rsidP="00353BFB">
            <w:pPr>
              <w:pStyle w:val="TableText"/>
              <w:spacing w:before="0"/>
              <w:jc w:val="center"/>
              <w:rPr>
                <w:szCs w:val="16"/>
                <w:lang w:eastAsia="en-NZ"/>
              </w:rPr>
            </w:pPr>
            <w:r w:rsidRPr="00181EF3">
              <w:rPr>
                <w:szCs w:val="16"/>
                <w:lang w:eastAsia="en-NZ"/>
              </w:rPr>
              <w:t>(86%)</w:t>
            </w:r>
          </w:p>
        </w:tc>
        <w:tc>
          <w:tcPr>
            <w:tcW w:w="1158" w:type="dxa"/>
            <w:tcBorders>
              <w:top w:val="single" w:sz="4" w:space="0" w:color="A6A6A6" w:themeColor="background1" w:themeShade="A6"/>
              <w:bottom w:val="single" w:sz="4" w:space="0" w:color="A6A6A6" w:themeColor="background1" w:themeShade="A6"/>
            </w:tcBorders>
          </w:tcPr>
          <w:p w14:paraId="0F6015FD" w14:textId="77777777" w:rsidR="009013E6" w:rsidRPr="00181EF3" w:rsidRDefault="009013E6" w:rsidP="00353BFB">
            <w:pPr>
              <w:pStyle w:val="TableText"/>
              <w:tabs>
                <w:tab w:val="decimal" w:pos="879"/>
              </w:tabs>
              <w:spacing w:after="0"/>
              <w:rPr>
                <w:szCs w:val="16"/>
                <w:lang w:eastAsia="en-NZ"/>
              </w:rPr>
            </w:pPr>
            <w:r w:rsidRPr="00181EF3">
              <w:rPr>
                <w:szCs w:val="16"/>
                <w:lang w:eastAsia="en-NZ"/>
              </w:rPr>
              <w:t>958,170</w:t>
            </w:r>
          </w:p>
          <w:p w14:paraId="7438346B" w14:textId="77777777" w:rsidR="009013E6" w:rsidRPr="00181EF3" w:rsidRDefault="009013E6" w:rsidP="00353BFB">
            <w:pPr>
              <w:pStyle w:val="TableText"/>
              <w:spacing w:before="0"/>
              <w:jc w:val="center"/>
              <w:rPr>
                <w:szCs w:val="16"/>
                <w:lang w:eastAsia="en-NZ"/>
              </w:rPr>
            </w:pPr>
            <w:r w:rsidRPr="00181EF3">
              <w:rPr>
                <w:szCs w:val="16"/>
                <w:lang w:eastAsia="en-NZ"/>
              </w:rPr>
              <w:t>(86%)</w:t>
            </w:r>
          </w:p>
        </w:tc>
      </w:tr>
      <w:tr w:rsidR="009013E6" w:rsidRPr="00181EF3" w14:paraId="1AE76DC2" w14:textId="77777777" w:rsidTr="00353BFB">
        <w:tc>
          <w:tcPr>
            <w:tcW w:w="113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C549C38" w14:textId="77777777" w:rsidR="009013E6" w:rsidRPr="00181EF3" w:rsidRDefault="009013E6" w:rsidP="00353BFB">
            <w:pPr>
              <w:pStyle w:val="TableText"/>
              <w:rPr>
                <w:szCs w:val="16"/>
                <w:lang w:eastAsia="en-NZ"/>
              </w:rPr>
            </w:pPr>
            <w:r w:rsidRPr="00181EF3">
              <w:rPr>
                <w:szCs w:val="16"/>
                <w:lang w:eastAsia="en-NZ"/>
              </w:rPr>
              <w:t>45–64</w:t>
            </w:r>
          </w:p>
        </w:tc>
        <w:tc>
          <w:tcPr>
            <w:tcW w:w="115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4FA006F" w14:textId="77777777" w:rsidR="009013E6" w:rsidRPr="00181EF3" w:rsidRDefault="009013E6" w:rsidP="00353BFB">
            <w:pPr>
              <w:pStyle w:val="TableText"/>
              <w:tabs>
                <w:tab w:val="decimal" w:pos="794"/>
              </w:tabs>
              <w:spacing w:after="0"/>
              <w:rPr>
                <w:szCs w:val="16"/>
                <w:lang w:eastAsia="en-NZ"/>
              </w:rPr>
            </w:pPr>
            <w:r w:rsidRPr="00181EF3">
              <w:rPr>
                <w:szCs w:val="16"/>
                <w:lang w:eastAsia="en-NZ"/>
              </w:rPr>
              <w:t>33,633</w:t>
            </w:r>
          </w:p>
          <w:p w14:paraId="65EF9856" w14:textId="77777777" w:rsidR="009013E6" w:rsidRPr="00181EF3" w:rsidRDefault="009013E6" w:rsidP="00353BFB">
            <w:pPr>
              <w:pStyle w:val="TableText"/>
              <w:spacing w:before="0"/>
              <w:jc w:val="center"/>
              <w:rPr>
                <w:szCs w:val="16"/>
                <w:lang w:eastAsia="en-NZ"/>
              </w:rPr>
            </w:pPr>
            <w:r w:rsidRPr="00181EF3">
              <w:rPr>
                <w:szCs w:val="16"/>
                <w:lang w:eastAsia="en-NZ"/>
              </w:rPr>
              <w:t>(8%)</w:t>
            </w:r>
          </w:p>
        </w:tc>
        <w:tc>
          <w:tcPr>
            <w:tcW w:w="1158" w:type="dxa"/>
            <w:tcBorders>
              <w:top w:val="single" w:sz="4" w:space="0" w:color="A6A6A6" w:themeColor="background1" w:themeShade="A6"/>
              <w:bottom w:val="single" w:sz="4" w:space="0" w:color="A6A6A6" w:themeColor="background1" w:themeShade="A6"/>
            </w:tcBorders>
          </w:tcPr>
          <w:p w14:paraId="33B3F84E" w14:textId="77777777" w:rsidR="009013E6" w:rsidRPr="00181EF3" w:rsidRDefault="009013E6" w:rsidP="00353BFB">
            <w:pPr>
              <w:pStyle w:val="TableText"/>
              <w:tabs>
                <w:tab w:val="decimal" w:pos="794"/>
              </w:tabs>
              <w:spacing w:after="0"/>
              <w:rPr>
                <w:szCs w:val="16"/>
                <w:lang w:eastAsia="en-NZ"/>
              </w:rPr>
            </w:pPr>
            <w:r w:rsidRPr="00181EF3">
              <w:rPr>
                <w:szCs w:val="16"/>
                <w:lang w:eastAsia="en-NZ"/>
              </w:rPr>
              <w:t>35,967</w:t>
            </w:r>
          </w:p>
          <w:p w14:paraId="1A4992BE" w14:textId="77777777" w:rsidR="009013E6" w:rsidRPr="00181EF3" w:rsidRDefault="009013E6" w:rsidP="00353BFB">
            <w:pPr>
              <w:pStyle w:val="TableText"/>
              <w:spacing w:before="0"/>
              <w:jc w:val="center"/>
              <w:rPr>
                <w:szCs w:val="16"/>
                <w:lang w:eastAsia="en-NZ"/>
              </w:rPr>
            </w:pPr>
            <w:r w:rsidRPr="00181EF3">
              <w:rPr>
                <w:szCs w:val="16"/>
                <w:lang w:eastAsia="en-NZ"/>
              </w:rPr>
              <w:t>(9%)</w:t>
            </w:r>
          </w:p>
        </w:tc>
        <w:tc>
          <w:tcPr>
            <w:tcW w:w="115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38F44AA" w14:textId="77777777" w:rsidR="009013E6" w:rsidRPr="00181EF3" w:rsidRDefault="009013E6" w:rsidP="00353BFB">
            <w:pPr>
              <w:pStyle w:val="TableText"/>
              <w:tabs>
                <w:tab w:val="decimal" w:pos="794"/>
              </w:tabs>
              <w:spacing w:after="0"/>
              <w:rPr>
                <w:szCs w:val="16"/>
                <w:lang w:eastAsia="en-NZ"/>
              </w:rPr>
            </w:pPr>
            <w:r w:rsidRPr="00181EF3">
              <w:rPr>
                <w:szCs w:val="16"/>
                <w:lang w:eastAsia="en-NZ"/>
              </w:rPr>
              <w:t>69,600</w:t>
            </w:r>
          </w:p>
          <w:p w14:paraId="7A49E5BA" w14:textId="77777777" w:rsidR="009013E6" w:rsidRPr="00181EF3" w:rsidRDefault="009013E6" w:rsidP="00353BFB">
            <w:pPr>
              <w:pStyle w:val="TableText"/>
              <w:spacing w:before="0"/>
              <w:jc w:val="center"/>
              <w:rPr>
                <w:szCs w:val="16"/>
                <w:lang w:eastAsia="en-NZ"/>
              </w:rPr>
            </w:pPr>
            <w:r w:rsidRPr="00181EF3">
              <w:rPr>
                <w:szCs w:val="16"/>
                <w:lang w:eastAsia="en-NZ"/>
              </w:rPr>
              <w:t>(8%)</w:t>
            </w:r>
          </w:p>
        </w:tc>
        <w:tc>
          <w:tcPr>
            <w:tcW w:w="1158"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FFF04B5" w14:textId="77777777" w:rsidR="009013E6" w:rsidRPr="00181EF3" w:rsidRDefault="009013E6" w:rsidP="00353BFB">
            <w:pPr>
              <w:pStyle w:val="TableText"/>
              <w:tabs>
                <w:tab w:val="decimal" w:pos="879"/>
              </w:tabs>
              <w:spacing w:after="0"/>
              <w:rPr>
                <w:szCs w:val="16"/>
                <w:lang w:eastAsia="en-NZ"/>
              </w:rPr>
            </w:pPr>
            <w:r w:rsidRPr="00181EF3">
              <w:rPr>
                <w:szCs w:val="16"/>
                <w:lang w:eastAsia="en-NZ"/>
              </w:rPr>
              <w:t>372,501</w:t>
            </w:r>
          </w:p>
          <w:p w14:paraId="75648292" w14:textId="77777777" w:rsidR="009013E6" w:rsidRPr="00181EF3" w:rsidRDefault="009013E6" w:rsidP="00353BFB">
            <w:pPr>
              <w:pStyle w:val="TableText"/>
              <w:spacing w:before="0"/>
              <w:jc w:val="center"/>
              <w:rPr>
                <w:szCs w:val="16"/>
                <w:lang w:eastAsia="en-NZ"/>
              </w:rPr>
            </w:pPr>
            <w:r w:rsidRPr="00181EF3">
              <w:rPr>
                <w:szCs w:val="16"/>
                <w:lang w:eastAsia="en-NZ"/>
              </w:rPr>
              <w:t>(92%)</w:t>
            </w:r>
          </w:p>
        </w:tc>
        <w:tc>
          <w:tcPr>
            <w:tcW w:w="1157" w:type="dxa"/>
            <w:tcBorders>
              <w:top w:val="single" w:sz="4" w:space="0" w:color="A6A6A6" w:themeColor="background1" w:themeShade="A6"/>
              <w:bottom w:val="single" w:sz="4" w:space="0" w:color="A6A6A6" w:themeColor="background1" w:themeShade="A6"/>
            </w:tcBorders>
          </w:tcPr>
          <w:p w14:paraId="2BF20DC1" w14:textId="77777777" w:rsidR="009013E6" w:rsidRPr="00181EF3" w:rsidRDefault="009013E6" w:rsidP="00353BFB">
            <w:pPr>
              <w:pStyle w:val="TableText"/>
              <w:tabs>
                <w:tab w:val="decimal" w:pos="879"/>
              </w:tabs>
              <w:spacing w:after="0"/>
              <w:rPr>
                <w:szCs w:val="16"/>
                <w:lang w:eastAsia="en-NZ"/>
              </w:rPr>
            </w:pPr>
            <w:r w:rsidRPr="00181EF3">
              <w:rPr>
                <w:szCs w:val="16"/>
                <w:lang w:eastAsia="en-NZ"/>
              </w:rPr>
              <w:t>382,125</w:t>
            </w:r>
          </w:p>
          <w:p w14:paraId="0006828E" w14:textId="77777777" w:rsidR="009013E6" w:rsidRPr="00181EF3" w:rsidRDefault="009013E6" w:rsidP="00353BFB">
            <w:pPr>
              <w:pStyle w:val="TableText"/>
              <w:spacing w:before="0"/>
              <w:jc w:val="center"/>
              <w:rPr>
                <w:szCs w:val="16"/>
                <w:lang w:eastAsia="en-NZ"/>
              </w:rPr>
            </w:pPr>
            <w:r w:rsidRPr="00181EF3">
              <w:rPr>
                <w:szCs w:val="16"/>
                <w:lang w:eastAsia="en-NZ"/>
              </w:rPr>
              <w:t>(91%)</w:t>
            </w:r>
          </w:p>
        </w:tc>
        <w:tc>
          <w:tcPr>
            <w:tcW w:w="1158" w:type="dxa"/>
            <w:tcBorders>
              <w:top w:val="single" w:sz="4" w:space="0" w:color="A6A6A6" w:themeColor="background1" w:themeShade="A6"/>
              <w:bottom w:val="single" w:sz="4" w:space="0" w:color="A6A6A6" w:themeColor="background1" w:themeShade="A6"/>
            </w:tcBorders>
          </w:tcPr>
          <w:p w14:paraId="14CB221C" w14:textId="77777777" w:rsidR="009013E6" w:rsidRPr="00181EF3" w:rsidRDefault="009013E6" w:rsidP="00353BFB">
            <w:pPr>
              <w:pStyle w:val="TableText"/>
              <w:tabs>
                <w:tab w:val="decimal" w:pos="879"/>
              </w:tabs>
              <w:spacing w:after="0"/>
              <w:rPr>
                <w:szCs w:val="16"/>
                <w:lang w:eastAsia="en-NZ"/>
              </w:rPr>
            </w:pPr>
            <w:r w:rsidRPr="00181EF3">
              <w:rPr>
                <w:szCs w:val="16"/>
                <w:lang w:eastAsia="en-NZ"/>
              </w:rPr>
              <w:t>754,626</w:t>
            </w:r>
          </w:p>
          <w:p w14:paraId="4FE83934" w14:textId="77777777" w:rsidR="009013E6" w:rsidRPr="00181EF3" w:rsidRDefault="009013E6" w:rsidP="00353BFB">
            <w:pPr>
              <w:pStyle w:val="TableText"/>
              <w:spacing w:before="0"/>
              <w:jc w:val="center"/>
              <w:rPr>
                <w:szCs w:val="16"/>
                <w:lang w:eastAsia="en-NZ"/>
              </w:rPr>
            </w:pPr>
            <w:r w:rsidRPr="00181EF3">
              <w:rPr>
                <w:szCs w:val="16"/>
                <w:lang w:eastAsia="en-NZ"/>
              </w:rPr>
              <w:t>(92%)</w:t>
            </w:r>
          </w:p>
        </w:tc>
      </w:tr>
      <w:tr w:rsidR="009013E6" w:rsidRPr="00181EF3" w14:paraId="15773830" w14:textId="77777777" w:rsidTr="00353BFB">
        <w:tc>
          <w:tcPr>
            <w:tcW w:w="113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B6A6206" w14:textId="77777777" w:rsidR="009013E6" w:rsidRPr="00181EF3" w:rsidRDefault="009013E6" w:rsidP="00353BFB">
            <w:pPr>
              <w:pStyle w:val="TableText"/>
              <w:rPr>
                <w:szCs w:val="16"/>
                <w:lang w:eastAsia="en-NZ"/>
              </w:rPr>
            </w:pPr>
            <w:r w:rsidRPr="00181EF3">
              <w:rPr>
                <w:szCs w:val="16"/>
                <w:lang w:eastAsia="en-NZ"/>
              </w:rPr>
              <w:t>65+</w:t>
            </w:r>
          </w:p>
        </w:tc>
        <w:tc>
          <w:tcPr>
            <w:tcW w:w="115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B3F6302" w14:textId="77777777" w:rsidR="009013E6" w:rsidRPr="00181EF3" w:rsidRDefault="009013E6" w:rsidP="00353BFB">
            <w:pPr>
              <w:pStyle w:val="TableText"/>
              <w:tabs>
                <w:tab w:val="decimal" w:pos="794"/>
              </w:tabs>
              <w:spacing w:after="0"/>
              <w:rPr>
                <w:szCs w:val="16"/>
                <w:lang w:eastAsia="en-NZ"/>
              </w:rPr>
            </w:pPr>
            <w:r w:rsidRPr="00181EF3">
              <w:rPr>
                <w:szCs w:val="16"/>
                <w:lang w:eastAsia="en-NZ"/>
              </w:rPr>
              <w:t>8,058</w:t>
            </w:r>
          </w:p>
          <w:p w14:paraId="49C633F8" w14:textId="77777777" w:rsidR="009013E6" w:rsidRPr="00181EF3" w:rsidRDefault="009013E6" w:rsidP="00353BFB">
            <w:pPr>
              <w:pStyle w:val="TableText"/>
              <w:spacing w:before="0"/>
              <w:jc w:val="center"/>
              <w:rPr>
                <w:szCs w:val="16"/>
                <w:lang w:eastAsia="en-NZ"/>
              </w:rPr>
            </w:pPr>
            <w:r w:rsidRPr="00181EF3">
              <w:rPr>
                <w:szCs w:val="16"/>
                <w:lang w:eastAsia="en-NZ"/>
              </w:rPr>
              <w:t>(4%)</w:t>
            </w:r>
          </w:p>
        </w:tc>
        <w:tc>
          <w:tcPr>
            <w:tcW w:w="1158" w:type="dxa"/>
            <w:tcBorders>
              <w:top w:val="single" w:sz="4" w:space="0" w:color="A6A6A6" w:themeColor="background1" w:themeShade="A6"/>
              <w:bottom w:val="single" w:sz="4" w:space="0" w:color="A6A6A6" w:themeColor="background1" w:themeShade="A6"/>
            </w:tcBorders>
          </w:tcPr>
          <w:p w14:paraId="53C48ED4" w14:textId="77777777" w:rsidR="009013E6" w:rsidRPr="00181EF3" w:rsidRDefault="009013E6" w:rsidP="00353BFB">
            <w:pPr>
              <w:pStyle w:val="TableText"/>
              <w:tabs>
                <w:tab w:val="decimal" w:pos="794"/>
              </w:tabs>
              <w:spacing w:after="0"/>
              <w:rPr>
                <w:szCs w:val="16"/>
                <w:lang w:eastAsia="en-NZ"/>
              </w:rPr>
            </w:pPr>
            <w:r w:rsidRPr="00181EF3">
              <w:rPr>
                <w:szCs w:val="16"/>
                <w:lang w:eastAsia="en-NZ"/>
              </w:rPr>
              <w:t>9,717</w:t>
            </w:r>
          </w:p>
          <w:p w14:paraId="36A83DC6" w14:textId="77777777" w:rsidR="009013E6" w:rsidRPr="00181EF3" w:rsidRDefault="009013E6" w:rsidP="00353BFB">
            <w:pPr>
              <w:pStyle w:val="TableText"/>
              <w:spacing w:before="0"/>
              <w:jc w:val="center"/>
              <w:rPr>
                <w:szCs w:val="16"/>
                <w:lang w:eastAsia="en-NZ"/>
              </w:rPr>
            </w:pPr>
            <w:r w:rsidRPr="00181EF3">
              <w:rPr>
                <w:szCs w:val="16"/>
                <w:lang w:eastAsia="en-NZ"/>
              </w:rPr>
              <w:t>(4%)</w:t>
            </w:r>
          </w:p>
        </w:tc>
        <w:tc>
          <w:tcPr>
            <w:tcW w:w="115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F5697D7" w14:textId="77777777" w:rsidR="009013E6" w:rsidRPr="00181EF3" w:rsidRDefault="009013E6" w:rsidP="00353BFB">
            <w:pPr>
              <w:pStyle w:val="TableText"/>
              <w:tabs>
                <w:tab w:val="decimal" w:pos="794"/>
              </w:tabs>
              <w:spacing w:after="0"/>
              <w:rPr>
                <w:szCs w:val="16"/>
                <w:lang w:eastAsia="en-NZ"/>
              </w:rPr>
            </w:pPr>
            <w:r w:rsidRPr="00181EF3">
              <w:rPr>
                <w:szCs w:val="16"/>
                <w:lang w:eastAsia="en-NZ"/>
              </w:rPr>
              <w:t>17,775</w:t>
            </w:r>
          </w:p>
          <w:p w14:paraId="680BF4CF" w14:textId="77777777" w:rsidR="009013E6" w:rsidRPr="00181EF3" w:rsidRDefault="009013E6" w:rsidP="00353BFB">
            <w:pPr>
              <w:pStyle w:val="TableText"/>
              <w:spacing w:before="0"/>
              <w:jc w:val="center"/>
              <w:rPr>
                <w:szCs w:val="16"/>
                <w:lang w:eastAsia="en-NZ"/>
              </w:rPr>
            </w:pPr>
            <w:r w:rsidRPr="00181EF3">
              <w:rPr>
                <w:szCs w:val="16"/>
                <w:lang w:eastAsia="en-NZ"/>
              </w:rPr>
              <w:t>(4%)</w:t>
            </w:r>
          </w:p>
        </w:tc>
        <w:tc>
          <w:tcPr>
            <w:tcW w:w="1158"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DBBA402" w14:textId="77777777" w:rsidR="009013E6" w:rsidRPr="00181EF3" w:rsidRDefault="009013E6" w:rsidP="00353BFB">
            <w:pPr>
              <w:pStyle w:val="TableText"/>
              <w:tabs>
                <w:tab w:val="decimal" w:pos="879"/>
              </w:tabs>
              <w:spacing w:after="0"/>
              <w:rPr>
                <w:szCs w:val="16"/>
                <w:lang w:eastAsia="en-NZ"/>
              </w:rPr>
            </w:pPr>
            <w:r w:rsidRPr="00181EF3">
              <w:rPr>
                <w:szCs w:val="16"/>
                <w:lang w:eastAsia="en-NZ"/>
              </w:rPr>
              <w:t>188,694</w:t>
            </w:r>
          </w:p>
          <w:p w14:paraId="128FAF68" w14:textId="77777777" w:rsidR="009013E6" w:rsidRPr="00181EF3" w:rsidRDefault="009013E6" w:rsidP="00353BFB">
            <w:pPr>
              <w:pStyle w:val="TableText"/>
              <w:spacing w:before="0"/>
              <w:jc w:val="center"/>
              <w:rPr>
                <w:szCs w:val="16"/>
                <w:lang w:eastAsia="en-NZ"/>
              </w:rPr>
            </w:pPr>
            <w:r w:rsidRPr="00181EF3">
              <w:rPr>
                <w:szCs w:val="16"/>
                <w:lang w:eastAsia="en-NZ"/>
              </w:rPr>
              <w:t>(96%)</w:t>
            </w:r>
          </w:p>
        </w:tc>
        <w:tc>
          <w:tcPr>
            <w:tcW w:w="1157" w:type="dxa"/>
            <w:tcBorders>
              <w:top w:val="single" w:sz="4" w:space="0" w:color="A6A6A6" w:themeColor="background1" w:themeShade="A6"/>
              <w:bottom w:val="single" w:sz="4" w:space="0" w:color="A6A6A6" w:themeColor="background1" w:themeShade="A6"/>
            </w:tcBorders>
          </w:tcPr>
          <w:p w14:paraId="2D48D19E" w14:textId="77777777" w:rsidR="009013E6" w:rsidRPr="00181EF3" w:rsidRDefault="009013E6" w:rsidP="00353BFB">
            <w:pPr>
              <w:pStyle w:val="TableText"/>
              <w:tabs>
                <w:tab w:val="decimal" w:pos="879"/>
              </w:tabs>
              <w:spacing w:after="0"/>
              <w:rPr>
                <w:szCs w:val="16"/>
                <w:lang w:eastAsia="en-NZ"/>
              </w:rPr>
            </w:pPr>
            <w:r w:rsidRPr="00181EF3">
              <w:rPr>
                <w:szCs w:val="16"/>
                <w:lang w:eastAsia="en-NZ"/>
              </w:rPr>
              <w:t>244,158</w:t>
            </w:r>
          </w:p>
          <w:p w14:paraId="5D9E7403" w14:textId="77777777" w:rsidR="009013E6" w:rsidRPr="00181EF3" w:rsidRDefault="009013E6" w:rsidP="00353BFB">
            <w:pPr>
              <w:pStyle w:val="TableText"/>
              <w:spacing w:before="0"/>
              <w:jc w:val="center"/>
              <w:rPr>
                <w:szCs w:val="16"/>
                <w:lang w:eastAsia="en-NZ"/>
              </w:rPr>
            </w:pPr>
            <w:r w:rsidRPr="00181EF3">
              <w:rPr>
                <w:szCs w:val="16"/>
                <w:lang w:eastAsia="en-NZ"/>
              </w:rPr>
              <w:t>(96%)</w:t>
            </w:r>
          </w:p>
        </w:tc>
        <w:tc>
          <w:tcPr>
            <w:tcW w:w="1158" w:type="dxa"/>
            <w:tcBorders>
              <w:top w:val="single" w:sz="4" w:space="0" w:color="A6A6A6" w:themeColor="background1" w:themeShade="A6"/>
              <w:bottom w:val="single" w:sz="4" w:space="0" w:color="A6A6A6" w:themeColor="background1" w:themeShade="A6"/>
            </w:tcBorders>
          </w:tcPr>
          <w:p w14:paraId="22D57A39" w14:textId="77777777" w:rsidR="009013E6" w:rsidRPr="00181EF3" w:rsidRDefault="009013E6" w:rsidP="00353BFB">
            <w:pPr>
              <w:pStyle w:val="TableText"/>
              <w:tabs>
                <w:tab w:val="decimal" w:pos="879"/>
              </w:tabs>
              <w:spacing w:after="0"/>
              <w:rPr>
                <w:szCs w:val="16"/>
                <w:lang w:eastAsia="en-NZ"/>
              </w:rPr>
            </w:pPr>
            <w:r w:rsidRPr="00181EF3">
              <w:rPr>
                <w:szCs w:val="16"/>
                <w:lang w:eastAsia="en-NZ"/>
              </w:rPr>
              <w:t>432,852</w:t>
            </w:r>
          </w:p>
          <w:p w14:paraId="72BE9C18" w14:textId="77777777" w:rsidR="009013E6" w:rsidRPr="00181EF3" w:rsidRDefault="009013E6" w:rsidP="00353BFB">
            <w:pPr>
              <w:pStyle w:val="TableText"/>
              <w:spacing w:before="0"/>
              <w:jc w:val="center"/>
              <w:rPr>
                <w:szCs w:val="16"/>
                <w:lang w:eastAsia="en-NZ"/>
              </w:rPr>
            </w:pPr>
            <w:r w:rsidRPr="00181EF3">
              <w:rPr>
                <w:szCs w:val="16"/>
                <w:lang w:eastAsia="en-NZ"/>
              </w:rPr>
              <w:t>(96%)</w:t>
            </w:r>
          </w:p>
        </w:tc>
      </w:tr>
      <w:tr w:rsidR="009013E6" w:rsidRPr="00181EF3" w14:paraId="27F5F812" w14:textId="77777777" w:rsidTr="00353BFB">
        <w:tc>
          <w:tcPr>
            <w:tcW w:w="113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9B33978" w14:textId="77777777" w:rsidR="009013E6" w:rsidRPr="00181EF3" w:rsidRDefault="009013E6" w:rsidP="00353BFB">
            <w:pPr>
              <w:pStyle w:val="TableText"/>
              <w:rPr>
                <w:b/>
                <w:szCs w:val="16"/>
                <w:lang w:eastAsia="en-NZ"/>
              </w:rPr>
            </w:pPr>
            <w:r w:rsidRPr="00181EF3">
              <w:rPr>
                <w:b/>
                <w:szCs w:val="16"/>
                <w:lang w:eastAsia="en-NZ"/>
              </w:rPr>
              <w:t>Total</w:t>
            </w:r>
          </w:p>
        </w:tc>
        <w:tc>
          <w:tcPr>
            <w:tcW w:w="115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BB074A2" w14:textId="77777777" w:rsidR="009013E6" w:rsidRPr="00181EF3" w:rsidRDefault="009013E6" w:rsidP="00353BFB">
            <w:pPr>
              <w:pStyle w:val="TableText"/>
              <w:tabs>
                <w:tab w:val="decimal" w:pos="794"/>
              </w:tabs>
              <w:spacing w:after="0"/>
              <w:rPr>
                <w:b/>
                <w:szCs w:val="16"/>
                <w:lang w:eastAsia="en-NZ"/>
              </w:rPr>
            </w:pPr>
            <w:r w:rsidRPr="00181EF3">
              <w:rPr>
                <w:b/>
                <w:szCs w:val="16"/>
                <w:lang w:eastAsia="en-NZ"/>
              </w:rPr>
              <w:t>257,535</w:t>
            </w:r>
          </w:p>
          <w:p w14:paraId="0B771BA2" w14:textId="77777777" w:rsidR="009013E6" w:rsidRPr="00181EF3" w:rsidRDefault="009013E6" w:rsidP="00353BFB">
            <w:pPr>
              <w:pStyle w:val="TableText"/>
              <w:spacing w:before="0"/>
              <w:jc w:val="center"/>
              <w:rPr>
                <w:b/>
                <w:szCs w:val="16"/>
                <w:lang w:eastAsia="en-NZ"/>
              </w:rPr>
            </w:pPr>
            <w:r w:rsidRPr="00181EF3">
              <w:rPr>
                <w:b/>
                <w:szCs w:val="16"/>
                <w:lang w:eastAsia="en-NZ"/>
              </w:rPr>
              <w:t>(14%)</w:t>
            </w:r>
          </w:p>
        </w:tc>
        <w:tc>
          <w:tcPr>
            <w:tcW w:w="1158" w:type="dxa"/>
            <w:tcBorders>
              <w:top w:val="single" w:sz="4" w:space="0" w:color="A6A6A6" w:themeColor="background1" w:themeShade="A6"/>
              <w:bottom w:val="single" w:sz="4" w:space="0" w:color="A6A6A6" w:themeColor="background1" w:themeShade="A6"/>
            </w:tcBorders>
          </w:tcPr>
          <w:p w14:paraId="736BD2D7" w14:textId="77777777" w:rsidR="009013E6" w:rsidRPr="00181EF3" w:rsidRDefault="009013E6" w:rsidP="00353BFB">
            <w:pPr>
              <w:pStyle w:val="TableText"/>
              <w:tabs>
                <w:tab w:val="decimal" w:pos="794"/>
              </w:tabs>
              <w:spacing w:after="0"/>
              <w:rPr>
                <w:b/>
                <w:szCs w:val="16"/>
                <w:lang w:eastAsia="en-NZ"/>
              </w:rPr>
            </w:pPr>
            <w:r w:rsidRPr="00181EF3">
              <w:rPr>
                <w:b/>
                <w:szCs w:val="16"/>
                <w:lang w:eastAsia="en-NZ"/>
              </w:rPr>
              <w:t>268,701</w:t>
            </w:r>
          </w:p>
          <w:p w14:paraId="0A847CC4" w14:textId="77777777" w:rsidR="009013E6" w:rsidRPr="00181EF3" w:rsidRDefault="009013E6" w:rsidP="00353BFB">
            <w:pPr>
              <w:pStyle w:val="TableText"/>
              <w:spacing w:before="0"/>
              <w:jc w:val="center"/>
              <w:rPr>
                <w:b/>
                <w:szCs w:val="16"/>
                <w:lang w:eastAsia="en-NZ"/>
              </w:rPr>
            </w:pPr>
            <w:r w:rsidRPr="00181EF3">
              <w:rPr>
                <w:b/>
                <w:szCs w:val="16"/>
                <w:lang w:eastAsia="en-NZ"/>
              </w:rPr>
              <w:t>(14%)</w:t>
            </w:r>
          </w:p>
        </w:tc>
        <w:tc>
          <w:tcPr>
            <w:tcW w:w="115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7B32C05" w14:textId="77777777" w:rsidR="009013E6" w:rsidRPr="00181EF3" w:rsidRDefault="009013E6" w:rsidP="00353BFB">
            <w:pPr>
              <w:pStyle w:val="TableText"/>
              <w:tabs>
                <w:tab w:val="decimal" w:pos="794"/>
              </w:tabs>
              <w:spacing w:after="0"/>
              <w:rPr>
                <w:b/>
                <w:szCs w:val="16"/>
                <w:lang w:eastAsia="en-NZ"/>
              </w:rPr>
            </w:pPr>
            <w:r w:rsidRPr="00181EF3">
              <w:rPr>
                <w:b/>
                <w:szCs w:val="16"/>
                <w:lang w:eastAsia="en-NZ"/>
              </w:rPr>
              <w:t>526,236</w:t>
            </w:r>
          </w:p>
          <w:p w14:paraId="4FAC73DD" w14:textId="77777777" w:rsidR="009013E6" w:rsidRPr="00181EF3" w:rsidRDefault="009013E6" w:rsidP="00353BFB">
            <w:pPr>
              <w:pStyle w:val="TableText"/>
              <w:spacing w:before="0"/>
              <w:jc w:val="center"/>
              <w:rPr>
                <w:b/>
                <w:szCs w:val="16"/>
                <w:lang w:eastAsia="en-NZ"/>
              </w:rPr>
            </w:pPr>
            <w:r w:rsidRPr="00181EF3">
              <w:rPr>
                <w:b/>
                <w:szCs w:val="16"/>
                <w:lang w:eastAsia="en-NZ"/>
              </w:rPr>
              <w:t>(14%)</w:t>
            </w:r>
          </w:p>
        </w:tc>
        <w:tc>
          <w:tcPr>
            <w:tcW w:w="1158"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5E5BA08" w14:textId="77777777" w:rsidR="009013E6" w:rsidRPr="00181EF3" w:rsidRDefault="009013E6" w:rsidP="00353BFB">
            <w:pPr>
              <w:pStyle w:val="TableText"/>
              <w:tabs>
                <w:tab w:val="decimal" w:pos="879"/>
              </w:tabs>
              <w:spacing w:after="0"/>
              <w:rPr>
                <w:b/>
                <w:szCs w:val="16"/>
                <w:lang w:eastAsia="en-NZ"/>
              </w:rPr>
            </w:pPr>
            <w:r w:rsidRPr="00181EF3">
              <w:rPr>
                <w:b/>
                <w:szCs w:val="16"/>
                <w:lang w:eastAsia="en-NZ"/>
              </w:rPr>
              <w:t>1,564,656</w:t>
            </w:r>
          </w:p>
          <w:p w14:paraId="791E8916" w14:textId="77777777" w:rsidR="009013E6" w:rsidRPr="00181EF3" w:rsidRDefault="009013E6" w:rsidP="00353BFB">
            <w:pPr>
              <w:pStyle w:val="TableText"/>
              <w:spacing w:before="0"/>
              <w:jc w:val="center"/>
              <w:rPr>
                <w:b/>
                <w:szCs w:val="16"/>
                <w:lang w:eastAsia="en-NZ"/>
              </w:rPr>
            </w:pPr>
            <w:r w:rsidRPr="00181EF3">
              <w:rPr>
                <w:b/>
                <w:szCs w:val="16"/>
                <w:lang w:eastAsia="en-NZ"/>
              </w:rPr>
              <w:t>(86%)</w:t>
            </w:r>
          </w:p>
        </w:tc>
        <w:tc>
          <w:tcPr>
            <w:tcW w:w="1157" w:type="dxa"/>
            <w:tcBorders>
              <w:top w:val="single" w:sz="4" w:space="0" w:color="A6A6A6" w:themeColor="background1" w:themeShade="A6"/>
              <w:bottom w:val="single" w:sz="4" w:space="0" w:color="A6A6A6" w:themeColor="background1" w:themeShade="A6"/>
            </w:tcBorders>
          </w:tcPr>
          <w:p w14:paraId="237E1C70" w14:textId="77777777" w:rsidR="009013E6" w:rsidRPr="00181EF3" w:rsidRDefault="009013E6" w:rsidP="00353BFB">
            <w:pPr>
              <w:pStyle w:val="TableText"/>
              <w:tabs>
                <w:tab w:val="decimal" w:pos="879"/>
              </w:tabs>
              <w:spacing w:after="0"/>
              <w:rPr>
                <w:b/>
                <w:szCs w:val="16"/>
                <w:lang w:eastAsia="en-NZ"/>
              </w:rPr>
            </w:pPr>
            <w:r w:rsidRPr="00181EF3">
              <w:rPr>
                <w:b/>
                <w:szCs w:val="16"/>
                <w:lang w:eastAsia="en-NZ"/>
              </w:rPr>
              <w:t>1,645,377</w:t>
            </w:r>
          </w:p>
          <w:p w14:paraId="3815A983" w14:textId="77777777" w:rsidR="009013E6" w:rsidRPr="00181EF3" w:rsidRDefault="009013E6" w:rsidP="00353BFB">
            <w:pPr>
              <w:pStyle w:val="TableText"/>
              <w:spacing w:before="0"/>
              <w:jc w:val="center"/>
              <w:rPr>
                <w:b/>
                <w:szCs w:val="16"/>
                <w:lang w:eastAsia="en-NZ"/>
              </w:rPr>
            </w:pPr>
            <w:r w:rsidRPr="00181EF3">
              <w:rPr>
                <w:b/>
                <w:szCs w:val="16"/>
                <w:lang w:eastAsia="en-NZ"/>
              </w:rPr>
              <w:t>(86%)</w:t>
            </w:r>
          </w:p>
        </w:tc>
        <w:tc>
          <w:tcPr>
            <w:tcW w:w="1158" w:type="dxa"/>
            <w:tcBorders>
              <w:top w:val="single" w:sz="4" w:space="0" w:color="A6A6A6" w:themeColor="background1" w:themeShade="A6"/>
              <w:bottom w:val="single" w:sz="4" w:space="0" w:color="A6A6A6" w:themeColor="background1" w:themeShade="A6"/>
            </w:tcBorders>
          </w:tcPr>
          <w:p w14:paraId="3214E29A" w14:textId="77777777" w:rsidR="009013E6" w:rsidRPr="00181EF3" w:rsidRDefault="009013E6" w:rsidP="00353BFB">
            <w:pPr>
              <w:pStyle w:val="TableText"/>
              <w:tabs>
                <w:tab w:val="decimal" w:pos="879"/>
              </w:tabs>
              <w:spacing w:after="0"/>
              <w:rPr>
                <w:b/>
                <w:szCs w:val="16"/>
                <w:lang w:eastAsia="en-NZ"/>
              </w:rPr>
            </w:pPr>
            <w:r w:rsidRPr="00181EF3">
              <w:rPr>
                <w:b/>
                <w:szCs w:val="16"/>
                <w:lang w:eastAsia="en-NZ"/>
              </w:rPr>
              <w:t>3,210,033</w:t>
            </w:r>
          </w:p>
          <w:p w14:paraId="664609E1" w14:textId="77777777" w:rsidR="009013E6" w:rsidRPr="00181EF3" w:rsidRDefault="009013E6" w:rsidP="00353BFB">
            <w:pPr>
              <w:pStyle w:val="TableText"/>
              <w:spacing w:before="0"/>
              <w:jc w:val="center"/>
              <w:rPr>
                <w:b/>
                <w:szCs w:val="16"/>
                <w:lang w:eastAsia="en-NZ"/>
              </w:rPr>
            </w:pPr>
            <w:r w:rsidRPr="00181EF3">
              <w:rPr>
                <w:b/>
                <w:szCs w:val="16"/>
                <w:lang w:eastAsia="en-NZ"/>
              </w:rPr>
              <w:t>(86%)</w:t>
            </w:r>
          </w:p>
        </w:tc>
      </w:tr>
    </w:tbl>
    <w:p w14:paraId="223AA3A2" w14:textId="7DC0D06A" w:rsidR="009013E6" w:rsidRPr="00181EF3" w:rsidRDefault="009013E6" w:rsidP="009013E6">
      <w:pPr>
        <w:pStyle w:val="Note"/>
        <w:rPr>
          <w:lang w:eastAsia="en-NZ"/>
        </w:rPr>
      </w:pPr>
      <w:r w:rsidRPr="00181EF3">
        <w:rPr>
          <w:lang w:eastAsia="en-NZ"/>
        </w:rPr>
        <w:t xml:space="preserve">Note: Due to rounding, individual figures in this table do not add to give the stated </w:t>
      </w:r>
      <w:r w:rsidR="00A07FC0">
        <w:rPr>
          <w:lang w:eastAsia="en-NZ"/>
        </w:rPr>
        <w:t>totals</w:t>
      </w:r>
      <w:r w:rsidRPr="00181EF3">
        <w:rPr>
          <w:lang w:eastAsia="en-NZ"/>
        </w:rPr>
        <w:t>.</w:t>
      </w:r>
    </w:p>
    <w:p w14:paraId="3EA43034" w14:textId="77777777" w:rsidR="009013E6" w:rsidRPr="00181EF3" w:rsidRDefault="009013E6" w:rsidP="00EF58A1">
      <w:pPr>
        <w:pStyle w:val="Source"/>
        <w:spacing w:before="0"/>
        <w:rPr>
          <w:sz w:val="18"/>
          <w:lang w:eastAsia="en-NZ"/>
        </w:rPr>
      </w:pPr>
      <w:r w:rsidRPr="00181EF3">
        <w:rPr>
          <w:lang w:eastAsia="en-NZ"/>
        </w:rPr>
        <w:t xml:space="preserve">Source: </w:t>
      </w:r>
      <w:r>
        <w:rPr>
          <w:lang w:eastAsia="en-NZ"/>
        </w:rPr>
        <w:t>Stats NZ</w:t>
      </w:r>
    </w:p>
    <w:p w14:paraId="3BDA1721" w14:textId="77777777" w:rsidR="009013E6" w:rsidRPr="00181EF3" w:rsidRDefault="009013E6" w:rsidP="009013E6"/>
    <w:p w14:paraId="10464F75" w14:textId="4277B575" w:rsidR="004A7F24" w:rsidRPr="00D2650B" w:rsidRDefault="009013E6" w:rsidP="009013E6">
      <w:pPr>
        <w:rPr>
          <w:highlight w:val="yellow"/>
        </w:rPr>
      </w:pPr>
      <w:r w:rsidRPr="00181EF3">
        <w:t xml:space="preserve">In 2001 (Table 1), Māori comprised 14 percent of the New Zealand population. Females made up 51 percent of the Māori population, and males 49 percent. In comparison with </w:t>
      </w:r>
      <w:r w:rsidR="00EC03A3">
        <w:t>non</w:t>
      </w:r>
      <w:r w:rsidR="00EC03A3">
        <w:noBreakHyphen/>
        <w:t>M</w:t>
      </w:r>
      <w:r w:rsidRPr="00181EF3">
        <w:t xml:space="preserve">āori, Māori constituted a very youthful population: 37 percent of Māori were aged less than 15 years, compared with only 20 percent of </w:t>
      </w:r>
      <w:r w:rsidR="00EC03A3">
        <w:t>non</w:t>
      </w:r>
      <w:r w:rsidR="00EC03A3">
        <w:noBreakHyphen/>
        <w:t>M</w:t>
      </w:r>
      <w:r w:rsidRPr="00181EF3">
        <w:t>āori. The median age for Māori in 2001 was 21.9 years, in comparison the median age of the total population was 34.8 years.</w:t>
      </w:r>
    </w:p>
    <w:bookmarkEnd w:id="19"/>
    <w:bookmarkEnd w:id="20"/>
    <w:bookmarkEnd w:id="21"/>
    <w:p w14:paraId="4AD3E66D" w14:textId="0C5CD723" w:rsidR="006A632C" w:rsidRDefault="006A632C" w:rsidP="006A632C"/>
    <w:p w14:paraId="273E7D19" w14:textId="3B99130A" w:rsidR="00F51523" w:rsidRPr="00181EF3" w:rsidRDefault="00F51523" w:rsidP="00F51523">
      <w:pPr>
        <w:pStyle w:val="Table"/>
        <w:rPr>
          <w:i/>
        </w:rPr>
      </w:pPr>
      <w:bookmarkStart w:id="25" w:name="_Toc18594742"/>
      <w:r w:rsidRPr="00181EF3">
        <w:lastRenderedPageBreak/>
        <w:t xml:space="preserve">Table </w:t>
      </w:r>
      <w:r>
        <w:rPr>
          <w:noProof/>
        </w:rPr>
        <w:fldChar w:fldCharType="begin"/>
      </w:r>
      <w:r>
        <w:rPr>
          <w:noProof/>
        </w:rPr>
        <w:instrText xml:space="preserve"> SEQ Table \* ARABIC </w:instrText>
      </w:r>
      <w:r>
        <w:rPr>
          <w:noProof/>
        </w:rPr>
        <w:fldChar w:fldCharType="separate"/>
      </w:r>
      <w:r w:rsidR="00D2215B">
        <w:rPr>
          <w:noProof/>
        </w:rPr>
        <w:t>2</w:t>
      </w:r>
      <w:r>
        <w:rPr>
          <w:noProof/>
        </w:rPr>
        <w:fldChar w:fldCharType="end"/>
      </w:r>
      <w:r w:rsidRPr="00181EF3">
        <w:t xml:space="preserve">: Population by age group and gender, Māori and </w:t>
      </w:r>
      <w:r w:rsidR="00EC03A3">
        <w:t>non</w:t>
      </w:r>
      <w:r w:rsidR="00EC03A3">
        <w:noBreakHyphen/>
        <w:t>M</w:t>
      </w:r>
      <w:r w:rsidRPr="00181EF3">
        <w:t>āori, 2006</w:t>
      </w:r>
      <w:bookmarkEnd w:id="25"/>
    </w:p>
    <w:tbl>
      <w:tblPr>
        <w:tblW w:w="8080" w:type="dxa"/>
        <w:tblInd w:w="57" w:type="dxa"/>
        <w:tblLayout w:type="fixed"/>
        <w:tblCellMar>
          <w:left w:w="57" w:type="dxa"/>
          <w:right w:w="57" w:type="dxa"/>
        </w:tblCellMar>
        <w:tblLook w:val="04A0" w:firstRow="1" w:lastRow="0" w:firstColumn="1" w:lastColumn="0" w:noHBand="0" w:noVBand="1"/>
      </w:tblPr>
      <w:tblGrid>
        <w:gridCol w:w="1135"/>
        <w:gridCol w:w="1157"/>
        <w:gridCol w:w="1158"/>
        <w:gridCol w:w="1157"/>
        <w:gridCol w:w="1158"/>
        <w:gridCol w:w="1157"/>
        <w:gridCol w:w="1158"/>
      </w:tblGrid>
      <w:tr w:rsidR="00F51523" w:rsidRPr="00181EF3" w14:paraId="5924D011" w14:textId="77777777" w:rsidTr="00F51523">
        <w:trPr>
          <w:cantSplit/>
        </w:trPr>
        <w:tc>
          <w:tcPr>
            <w:tcW w:w="1135" w:type="dxa"/>
            <w:vMerge w:val="restart"/>
            <w:tcBorders>
              <w:right w:val="single" w:sz="4" w:space="0" w:color="A6A6A6" w:themeColor="background1" w:themeShade="A6"/>
            </w:tcBorders>
            <w:shd w:val="clear" w:color="auto" w:fill="D9D9D9" w:themeFill="background1" w:themeFillShade="D9"/>
          </w:tcPr>
          <w:p w14:paraId="2351E85F" w14:textId="77777777" w:rsidR="00F51523" w:rsidRPr="00181EF3" w:rsidRDefault="00F51523" w:rsidP="002E449B">
            <w:pPr>
              <w:pStyle w:val="TableText"/>
              <w:keepNext/>
              <w:rPr>
                <w:b/>
              </w:rPr>
            </w:pPr>
            <w:r w:rsidRPr="00181EF3">
              <w:rPr>
                <w:b/>
              </w:rPr>
              <w:t>Age group (years)</w:t>
            </w:r>
          </w:p>
        </w:tc>
        <w:tc>
          <w:tcPr>
            <w:tcW w:w="3472" w:type="dxa"/>
            <w:gridSpan w:val="3"/>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184C5882" w14:textId="77777777" w:rsidR="00F51523" w:rsidRPr="00181EF3" w:rsidRDefault="00F51523" w:rsidP="002E449B">
            <w:pPr>
              <w:pStyle w:val="TableText"/>
              <w:keepNext/>
              <w:jc w:val="center"/>
              <w:rPr>
                <w:b/>
              </w:rPr>
            </w:pPr>
            <w:r w:rsidRPr="00181EF3">
              <w:rPr>
                <w:b/>
              </w:rPr>
              <w:t>Māori</w:t>
            </w:r>
          </w:p>
        </w:tc>
        <w:tc>
          <w:tcPr>
            <w:tcW w:w="3473" w:type="dxa"/>
            <w:gridSpan w:val="3"/>
            <w:tcBorders>
              <w:left w:val="single" w:sz="4" w:space="0" w:color="A6A6A6" w:themeColor="background1" w:themeShade="A6"/>
            </w:tcBorders>
            <w:shd w:val="clear" w:color="auto" w:fill="D9D9D9" w:themeFill="background1" w:themeFillShade="D9"/>
          </w:tcPr>
          <w:p w14:paraId="43EC3E74" w14:textId="22E458D4" w:rsidR="00F51523" w:rsidRPr="00181EF3" w:rsidRDefault="00EC03A3" w:rsidP="002E449B">
            <w:pPr>
              <w:pStyle w:val="TableText"/>
              <w:keepNext/>
              <w:jc w:val="center"/>
              <w:rPr>
                <w:b/>
              </w:rPr>
            </w:pPr>
            <w:r>
              <w:rPr>
                <w:b/>
              </w:rPr>
              <w:t>Non</w:t>
            </w:r>
            <w:r>
              <w:rPr>
                <w:b/>
              </w:rPr>
              <w:noBreakHyphen/>
              <w:t>M</w:t>
            </w:r>
            <w:r w:rsidR="00F51523" w:rsidRPr="00181EF3">
              <w:rPr>
                <w:b/>
              </w:rPr>
              <w:t>āori</w:t>
            </w:r>
          </w:p>
        </w:tc>
      </w:tr>
      <w:tr w:rsidR="00F51523" w:rsidRPr="00181EF3" w14:paraId="03B69042" w14:textId="77777777" w:rsidTr="00F51523">
        <w:trPr>
          <w:cantSplit/>
        </w:trPr>
        <w:tc>
          <w:tcPr>
            <w:tcW w:w="1135" w:type="dxa"/>
            <w:vMerge/>
            <w:tcBorders>
              <w:right w:val="single" w:sz="4" w:space="0" w:color="A6A6A6" w:themeColor="background1" w:themeShade="A6"/>
            </w:tcBorders>
            <w:shd w:val="clear" w:color="auto" w:fill="D9D9D9" w:themeFill="background1" w:themeFillShade="D9"/>
          </w:tcPr>
          <w:p w14:paraId="744EF38A" w14:textId="77777777" w:rsidR="00F51523" w:rsidRPr="00181EF3" w:rsidRDefault="00F51523" w:rsidP="002E449B">
            <w:pPr>
              <w:pStyle w:val="TableText"/>
              <w:keepNext/>
              <w:rPr>
                <w:b/>
              </w:rPr>
            </w:pPr>
          </w:p>
        </w:tc>
        <w:tc>
          <w:tcPr>
            <w:tcW w:w="1157" w:type="dxa"/>
            <w:tcBorders>
              <w:left w:val="single" w:sz="4" w:space="0" w:color="A6A6A6" w:themeColor="background1" w:themeShade="A6"/>
            </w:tcBorders>
            <w:shd w:val="clear" w:color="auto" w:fill="D9D9D9" w:themeFill="background1" w:themeFillShade="D9"/>
          </w:tcPr>
          <w:p w14:paraId="13E1ED65" w14:textId="77777777" w:rsidR="00F51523" w:rsidRPr="00181EF3" w:rsidRDefault="00F51523" w:rsidP="002E449B">
            <w:pPr>
              <w:pStyle w:val="TableText"/>
              <w:keepNext/>
              <w:spacing w:before="0"/>
              <w:jc w:val="center"/>
              <w:rPr>
                <w:b/>
              </w:rPr>
            </w:pPr>
            <w:r w:rsidRPr="00181EF3">
              <w:rPr>
                <w:b/>
              </w:rPr>
              <w:t>Males</w:t>
            </w:r>
          </w:p>
        </w:tc>
        <w:tc>
          <w:tcPr>
            <w:tcW w:w="1158" w:type="dxa"/>
            <w:shd w:val="clear" w:color="auto" w:fill="D9D9D9" w:themeFill="background1" w:themeFillShade="D9"/>
          </w:tcPr>
          <w:p w14:paraId="5D5D03B2" w14:textId="77777777" w:rsidR="00F51523" w:rsidRPr="00181EF3" w:rsidRDefault="00F51523" w:rsidP="002E449B">
            <w:pPr>
              <w:pStyle w:val="TableText"/>
              <w:keepNext/>
              <w:spacing w:before="0"/>
              <w:jc w:val="center"/>
              <w:rPr>
                <w:b/>
              </w:rPr>
            </w:pPr>
            <w:r w:rsidRPr="00181EF3">
              <w:rPr>
                <w:b/>
              </w:rPr>
              <w:t>Females</w:t>
            </w:r>
          </w:p>
        </w:tc>
        <w:tc>
          <w:tcPr>
            <w:tcW w:w="1157" w:type="dxa"/>
            <w:tcBorders>
              <w:right w:val="single" w:sz="4" w:space="0" w:color="A6A6A6" w:themeColor="background1" w:themeShade="A6"/>
            </w:tcBorders>
            <w:shd w:val="clear" w:color="auto" w:fill="D9D9D9" w:themeFill="background1" w:themeFillShade="D9"/>
          </w:tcPr>
          <w:p w14:paraId="5463B2DB" w14:textId="77777777" w:rsidR="00F51523" w:rsidRPr="00181EF3" w:rsidRDefault="00F51523" w:rsidP="002E449B">
            <w:pPr>
              <w:pStyle w:val="TableText"/>
              <w:keepNext/>
              <w:spacing w:before="0"/>
              <w:jc w:val="center"/>
              <w:rPr>
                <w:b/>
              </w:rPr>
            </w:pPr>
            <w:r w:rsidRPr="00181EF3">
              <w:rPr>
                <w:b/>
              </w:rPr>
              <w:t>Total</w:t>
            </w:r>
          </w:p>
        </w:tc>
        <w:tc>
          <w:tcPr>
            <w:tcW w:w="1158" w:type="dxa"/>
            <w:tcBorders>
              <w:left w:val="single" w:sz="4" w:space="0" w:color="A6A6A6" w:themeColor="background1" w:themeShade="A6"/>
            </w:tcBorders>
            <w:shd w:val="clear" w:color="auto" w:fill="D9D9D9" w:themeFill="background1" w:themeFillShade="D9"/>
          </w:tcPr>
          <w:p w14:paraId="0FD16AAE" w14:textId="77777777" w:rsidR="00F51523" w:rsidRPr="00181EF3" w:rsidRDefault="00F51523" w:rsidP="002E449B">
            <w:pPr>
              <w:pStyle w:val="TableText"/>
              <w:keepNext/>
              <w:spacing w:before="0"/>
              <w:jc w:val="center"/>
              <w:rPr>
                <w:b/>
              </w:rPr>
            </w:pPr>
            <w:r w:rsidRPr="00181EF3">
              <w:rPr>
                <w:b/>
              </w:rPr>
              <w:t>Males</w:t>
            </w:r>
          </w:p>
        </w:tc>
        <w:tc>
          <w:tcPr>
            <w:tcW w:w="1157" w:type="dxa"/>
            <w:shd w:val="clear" w:color="auto" w:fill="D9D9D9" w:themeFill="background1" w:themeFillShade="D9"/>
          </w:tcPr>
          <w:p w14:paraId="6FF656FF" w14:textId="77777777" w:rsidR="00F51523" w:rsidRPr="00181EF3" w:rsidRDefault="00F51523" w:rsidP="002E449B">
            <w:pPr>
              <w:pStyle w:val="TableText"/>
              <w:keepNext/>
              <w:spacing w:before="0"/>
              <w:jc w:val="center"/>
              <w:rPr>
                <w:b/>
              </w:rPr>
            </w:pPr>
            <w:r w:rsidRPr="00181EF3">
              <w:rPr>
                <w:b/>
              </w:rPr>
              <w:t>Females</w:t>
            </w:r>
          </w:p>
        </w:tc>
        <w:tc>
          <w:tcPr>
            <w:tcW w:w="1158" w:type="dxa"/>
            <w:shd w:val="clear" w:color="auto" w:fill="D9D9D9" w:themeFill="background1" w:themeFillShade="D9"/>
          </w:tcPr>
          <w:p w14:paraId="587460E8" w14:textId="77777777" w:rsidR="00F51523" w:rsidRPr="00181EF3" w:rsidRDefault="00F51523" w:rsidP="002E449B">
            <w:pPr>
              <w:pStyle w:val="TableText"/>
              <w:keepNext/>
              <w:spacing w:before="0"/>
              <w:jc w:val="center"/>
              <w:rPr>
                <w:b/>
              </w:rPr>
            </w:pPr>
            <w:r w:rsidRPr="00181EF3">
              <w:rPr>
                <w:b/>
              </w:rPr>
              <w:t>Total</w:t>
            </w:r>
          </w:p>
        </w:tc>
      </w:tr>
      <w:tr w:rsidR="00F51523" w:rsidRPr="00181EF3" w14:paraId="2FD398CD" w14:textId="77777777" w:rsidTr="00F51523">
        <w:trPr>
          <w:cantSplit/>
        </w:trPr>
        <w:tc>
          <w:tcPr>
            <w:tcW w:w="1135" w:type="dxa"/>
            <w:tcBorders>
              <w:bottom w:val="single" w:sz="4" w:space="0" w:color="A6A6A6" w:themeColor="background1" w:themeShade="A6"/>
              <w:right w:val="single" w:sz="4" w:space="0" w:color="A6A6A6" w:themeColor="background1" w:themeShade="A6"/>
            </w:tcBorders>
          </w:tcPr>
          <w:p w14:paraId="0DC8DDA4" w14:textId="77777777" w:rsidR="00F51523" w:rsidRPr="00181EF3" w:rsidRDefault="00F51523" w:rsidP="002E449B">
            <w:pPr>
              <w:pStyle w:val="TableText"/>
              <w:keepNext/>
              <w:rPr>
                <w:szCs w:val="16"/>
                <w:lang w:eastAsia="en-NZ"/>
              </w:rPr>
            </w:pPr>
            <w:r w:rsidRPr="00181EF3">
              <w:rPr>
                <w:szCs w:val="16"/>
                <w:lang w:eastAsia="en-NZ"/>
              </w:rPr>
              <w:t>0–14</w:t>
            </w:r>
          </w:p>
        </w:tc>
        <w:tc>
          <w:tcPr>
            <w:tcW w:w="1157" w:type="dxa"/>
            <w:tcBorders>
              <w:left w:val="single" w:sz="4" w:space="0" w:color="A6A6A6" w:themeColor="background1" w:themeShade="A6"/>
              <w:bottom w:val="single" w:sz="4" w:space="0" w:color="A6A6A6" w:themeColor="background1" w:themeShade="A6"/>
            </w:tcBorders>
          </w:tcPr>
          <w:p w14:paraId="6DEB8FC0" w14:textId="77777777" w:rsidR="00F51523" w:rsidRPr="00181EF3" w:rsidRDefault="00F51523" w:rsidP="002E449B">
            <w:pPr>
              <w:pStyle w:val="TableText"/>
              <w:keepNext/>
              <w:tabs>
                <w:tab w:val="decimal" w:pos="794"/>
              </w:tabs>
              <w:spacing w:after="0"/>
              <w:rPr>
                <w:szCs w:val="16"/>
                <w:lang w:eastAsia="en-NZ"/>
              </w:rPr>
            </w:pPr>
            <w:r w:rsidRPr="00181EF3">
              <w:rPr>
                <w:szCs w:val="16"/>
                <w:lang w:eastAsia="en-NZ"/>
              </w:rPr>
              <w:t>102,645</w:t>
            </w:r>
          </w:p>
          <w:p w14:paraId="00F6BB47" w14:textId="77777777" w:rsidR="00F51523" w:rsidRPr="00181EF3" w:rsidRDefault="00F51523" w:rsidP="002E449B">
            <w:pPr>
              <w:pStyle w:val="TableText"/>
              <w:keepNext/>
              <w:spacing w:before="0"/>
              <w:jc w:val="center"/>
              <w:rPr>
                <w:szCs w:val="16"/>
                <w:lang w:eastAsia="en-NZ"/>
              </w:rPr>
            </w:pPr>
            <w:r w:rsidRPr="00181EF3">
              <w:rPr>
                <w:szCs w:val="16"/>
                <w:lang w:eastAsia="en-NZ"/>
              </w:rPr>
              <w:t>(23%)</w:t>
            </w:r>
          </w:p>
        </w:tc>
        <w:tc>
          <w:tcPr>
            <w:tcW w:w="1158" w:type="dxa"/>
            <w:tcBorders>
              <w:bottom w:val="single" w:sz="4" w:space="0" w:color="A6A6A6" w:themeColor="background1" w:themeShade="A6"/>
            </w:tcBorders>
          </w:tcPr>
          <w:p w14:paraId="147B5675" w14:textId="77777777" w:rsidR="00F51523" w:rsidRPr="00181EF3" w:rsidRDefault="00F51523" w:rsidP="002E449B">
            <w:pPr>
              <w:pStyle w:val="TableText"/>
              <w:keepNext/>
              <w:tabs>
                <w:tab w:val="decimal" w:pos="794"/>
              </w:tabs>
              <w:spacing w:after="0"/>
              <w:rPr>
                <w:szCs w:val="16"/>
                <w:lang w:eastAsia="en-NZ"/>
              </w:rPr>
            </w:pPr>
            <w:r w:rsidRPr="00181EF3">
              <w:rPr>
                <w:szCs w:val="16"/>
                <w:lang w:eastAsia="en-NZ"/>
              </w:rPr>
              <w:t>97,278</w:t>
            </w:r>
          </w:p>
          <w:p w14:paraId="5AB07ACE" w14:textId="77777777" w:rsidR="00F51523" w:rsidRPr="00181EF3" w:rsidRDefault="00F51523" w:rsidP="002E449B">
            <w:pPr>
              <w:pStyle w:val="TableText"/>
              <w:keepNext/>
              <w:spacing w:before="0"/>
              <w:jc w:val="center"/>
              <w:rPr>
                <w:szCs w:val="16"/>
                <w:lang w:eastAsia="en-NZ"/>
              </w:rPr>
            </w:pPr>
            <w:r w:rsidRPr="00181EF3">
              <w:rPr>
                <w:szCs w:val="16"/>
                <w:lang w:eastAsia="en-NZ"/>
              </w:rPr>
              <w:t>(23%)</w:t>
            </w:r>
          </w:p>
        </w:tc>
        <w:tc>
          <w:tcPr>
            <w:tcW w:w="1157" w:type="dxa"/>
            <w:tcBorders>
              <w:bottom w:val="single" w:sz="4" w:space="0" w:color="A6A6A6" w:themeColor="background1" w:themeShade="A6"/>
              <w:right w:val="single" w:sz="4" w:space="0" w:color="A6A6A6" w:themeColor="background1" w:themeShade="A6"/>
            </w:tcBorders>
          </w:tcPr>
          <w:p w14:paraId="3F640DEF" w14:textId="77777777" w:rsidR="00F51523" w:rsidRPr="00181EF3" w:rsidRDefault="00F51523" w:rsidP="002E449B">
            <w:pPr>
              <w:pStyle w:val="TableText"/>
              <w:keepNext/>
              <w:tabs>
                <w:tab w:val="decimal" w:pos="794"/>
              </w:tabs>
              <w:spacing w:after="0"/>
              <w:rPr>
                <w:szCs w:val="16"/>
                <w:lang w:eastAsia="en-NZ"/>
              </w:rPr>
            </w:pPr>
            <w:r w:rsidRPr="00181EF3">
              <w:rPr>
                <w:szCs w:val="16"/>
                <w:lang w:eastAsia="en-NZ"/>
              </w:rPr>
              <w:t>199,923</w:t>
            </w:r>
          </w:p>
          <w:p w14:paraId="7C776AEE" w14:textId="77777777" w:rsidR="00F51523" w:rsidRPr="00181EF3" w:rsidRDefault="00F51523" w:rsidP="002E449B">
            <w:pPr>
              <w:pStyle w:val="TableText"/>
              <w:keepNext/>
              <w:spacing w:before="0"/>
              <w:jc w:val="center"/>
              <w:rPr>
                <w:szCs w:val="16"/>
                <w:lang w:eastAsia="en-NZ"/>
              </w:rPr>
            </w:pPr>
            <w:r w:rsidRPr="00181EF3">
              <w:rPr>
                <w:szCs w:val="16"/>
                <w:lang w:eastAsia="en-NZ"/>
              </w:rPr>
              <w:t>(23%)</w:t>
            </w:r>
          </w:p>
        </w:tc>
        <w:tc>
          <w:tcPr>
            <w:tcW w:w="1158" w:type="dxa"/>
            <w:tcBorders>
              <w:left w:val="single" w:sz="4" w:space="0" w:color="A6A6A6" w:themeColor="background1" w:themeShade="A6"/>
              <w:bottom w:val="single" w:sz="4" w:space="0" w:color="A6A6A6" w:themeColor="background1" w:themeShade="A6"/>
            </w:tcBorders>
          </w:tcPr>
          <w:p w14:paraId="0C4E15E3" w14:textId="77777777" w:rsidR="00F51523" w:rsidRPr="00181EF3" w:rsidRDefault="00F51523" w:rsidP="002E449B">
            <w:pPr>
              <w:pStyle w:val="TableText"/>
              <w:keepNext/>
              <w:tabs>
                <w:tab w:val="decimal" w:pos="879"/>
              </w:tabs>
              <w:spacing w:after="0"/>
              <w:rPr>
                <w:szCs w:val="16"/>
                <w:lang w:eastAsia="en-NZ"/>
              </w:rPr>
            </w:pPr>
            <w:r w:rsidRPr="00181EF3">
              <w:rPr>
                <w:szCs w:val="16"/>
                <w:lang w:eastAsia="en-NZ"/>
              </w:rPr>
              <w:t>341,379</w:t>
            </w:r>
          </w:p>
          <w:p w14:paraId="2AAA6ED2" w14:textId="77777777" w:rsidR="00F51523" w:rsidRPr="00181EF3" w:rsidRDefault="00F51523" w:rsidP="002E449B">
            <w:pPr>
              <w:pStyle w:val="TableText"/>
              <w:keepNext/>
              <w:spacing w:before="0"/>
              <w:jc w:val="center"/>
              <w:rPr>
                <w:szCs w:val="16"/>
                <w:lang w:eastAsia="en-NZ"/>
              </w:rPr>
            </w:pPr>
            <w:r w:rsidRPr="00181EF3">
              <w:rPr>
                <w:szCs w:val="16"/>
                <w:lang w:eastAsia="en-NZ"/>
              </w:rPr>
              <w:t>(77%)</w:t>
            </w:r>
          </w:p>
        </w:tc>
        <w:tc>
          <w:tcPr>
            <w:tcW w:w="1157" w:type="dxa"/>
            <w:tcBorders>
              <w:bottom w:val="single" w:sz="4" w:space="0" w:color="A6A6A6" w:themeColor="background1" w:themeShade="A6"/>
            </w:tcBorders>
          </w:tcPr>
          <w:p w14:paraId="676A4175" w14:textId="77777777" w:rsidR="00F51523" w:rsidRPr="00181EF3" w:rsidRDefault="00F51523" w:rsidP="002E449B">
            <w:pPr>
              <w:pStyle w:val="TableText"/>
              <w:keepNext/>
              <w:tabs>
                <w:tab w:val="decimal" w:pos="879"/>
              </w:tabs>
              <w:spacing w:after="0"/>
              <w:rPr>
                <w:szCs w:val="16"/>
                <w:lang w:eastAsia="en-NZ"/>
              </w:rPr>
            </w:pPr>
            <w:r w:rsidRPr="00181EF3">
              <w:rPr>
                <w:szCs w:val="16"/>
                <w:lang w:eastAsia="en-NZ"/>
              </w:rPr>
              <w:t>326,268</w:t>
            </w:r>
          </w:p>
          <w:p w14:paraId="725E172B" w14:textId="77777777" w:rsidR="00F51523" w:rsidRPr="00181EF3" w:rsidRDefault="00F51523" w:rsidP="002E449B">
            <w:pPr>
              <w:pStyle w:val="TableText"/>
              <w:keepNext/>
              <w:spacing w:before="0"/>
              <w:jc w:val="center"/>
              <w:rPr>
                <w:szCs w:val="16"/>
                <w:lang w:eastAsia="en-NZ"/>
              </w:rPr>
            </w:pPr>
            <w:r w:rsidRPr="00181EF3">
              <w:rPr>
                <w:szCs w:val="16"/>
                <w:lang w:eastAsia="en-NZ"/>
              </w:rPr>
              <w:t>(77%)</w:t>
            </w:r>
          </w:p>
        </w:tc>
        <w:tc>
          <w:tcPr>
            <w:tcW w:w="1158" w:type="dxa"/>
            <w:tcBorders>
              <w:bottom w:val="single" w:sz="4" w:space="0" w:color="A6A6A6" w:themeColor="background1" w:themeShade="A6"/>
            </w:tcBorders>
          </w:tcPr>
          <w:p w14:paraId="1EABBB84" w14:textId="77777777" w:rsidR="00F51523" w:rsidRPr="00181EF3" w:rsidRDefault="00F51523" w:rsidP="002E449B">
            <w:pPr>
              <w:pStyle w:val="TableText"/>
              <w:keepNext/>
              <w:tabs>
                <w:tab w:val="decimal" w:pos="879"/>
              </w:tabs>
              <w:spacing w:after="0"/>
              <w:rPr>
                <w:szCs w:val="16"/>
                <w:lang w:eastAsia="en-NZ"/>
              </w:rPr>
            </w:pPr>
            <w:r w:rsidRPr="00181EF3">
              <w:rPr>
                <w:szCs w:val="16"/>
                <w:lang w:eastAsia="en-NZ"/>
              </w:rPr>
              <w:t>667,653</w:t>
            </w:r>
          </w:p>
          <w:p w14:paraId="3D458A33" w14:textId="77777777" w:rsidR="00F51523" w:rsidRPr="00181EF3" w:rsidRDefault="00F51523" w:rsidP="002E449B">
            <w:pPr>
              <w:pStyle w:val="TableText"/>
              <w:keepNext/>
              <w:spacing w:before="0"/>
              <w:jc w:val="center"/>
              <w:rPr>
                <w:szCs w:val="16"/>
                <w:lang w:eastAsia="en-NZ"/>
              </w:rPr>
            </w:pPr>
            <w:r w:rsidRPr="00181EF3">
              <w:rPr>
                <w:szCs w:val="16"/>
                <w:lang w:eastAsia="en-NZ"/>
              </w:rPr>
              <w:t>(77%)</w:t>
            </w:r>
          </w:p>
        </w:tc>
      </w:tr>
      <w:tr w:rsidR="00F51523" w:rsidRPr="00181EF3" w14:paraId="76263A48" w14:textId="77777777" w:rsidTr="00F51523">
        <w:trPr>
          <w:cantSplit/>
        </w:trPr>
        <w:tc>
          <w:tcPr>
            <w:tcW w:w="113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399B4E1" w14:textId="77777777" w:rsidR="00F51523" w:rsidRPr="00181EF3" w:rsidRDefault="00F51523" w:rsidP="002E449B">
            <w:pPr>
              <w:pStyle w:val="TableText"/>
              <w:keepNext/>
              <w:rPr>
                <w:szCs w:val="16"/>
                <w:lang w:eastAsia="en-NZ"/>
              </w:rPr>
            </w:pPr>
            <w:r w:rsidRPr="00181EF3">
              <w:rPr>
                <w:szCs w:val="16"/>
                <w:lang w:eastAsia="en-NZ"/>
              </w:rPr>
              <w:t>15–24</w:t>
            </w:r>
          </w:p>
        </w:tc>
        <w:tc>
          <w:tcPr>
            <w:tcW w:w="115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ABD15B9" w14:textId="77777777" w:rsidR="00F51523" w:rsidRPr="00181EF3" w:rsidRDefault="00F51523" w:rsidP="002E449B">
            <w:pPr>
              <w:pStyle w:val="TableText"/>
              <w:keepNext/>
              <w:tabs>
                <w:tab w:val="decimal" w:pos="794"/>
              </w:tabs>
              <w:spacing w:after="0"/>
              <w:rPr>
                <w:szCs w:val="16"/>
                <w:lang w:eastAsia="en-NZ"/>
              </w:rPr>
            </w:pPr>
            <w:r w:rsidRPr="00181EF3">
              <w:rPr>
                <w:szCs w:val="16"/>
                <w:lang w:eastAsia="en-NZ"/>
              </w:rPr>
              <w:t>49,371</w:t>
            </w:r>
          </w:p>
          <w:p w14:paraId="62F728F4" w14:textId="77777777" w:rsidR="00F51523" w:rsidRPr="00181EF3" w:rsidRDefault="00F51523" w:rsidP="002E449B">
            <w:pPr>
              <w:pStyle w:val="TableText"/>
              <w:keepNext/>
              <w:spacing w:before="0"/>
              <w:jc w:val="center"/>
              <w:rPr>
                <w:szCs w:val="16"/>
                <w:lang w:eastAsia="en-NZ"/>
              </w:rPr>
            </w:pPr>
            <w:r w:rsidRPr="00181EF3">
              <w:rPr>
                <w:szCs w:val="16"/>
                <w:lang w:eastAsia="en-NZ"/>
              </w:rPr>
              <w:t>(17%)</w:t>
            </w:r>
          </w:p>
        </w:tc>
        <w:tc>
          <w:tcPr>
            <w:tcW w:w="1158" w:type="dxa"/>
            <w:tcBorders>
              <w:top w:val="single" w:sz="4" w:space="0" w:color="A6A6A6" w:themeColor="background1" w:themeShade="A6"/>
              <w:bottom w:val="single" w:sz="4" w:space="0" w:color="A6A6A6" w:themeColor="background1" w:themeShade="A6"/>
            </w:tcBorders>
          </w:tcPr>
          <w:p w14:paraId="3EEB152C" w14:textId="77777777" w:rsidR="00F51523" w:rsidRPr="00181EF3" w:rsidRDefault="00F51523" w:rsidP="002E449B">
            <w:pPr>
              <w:pStyle w:val="TableText"/>
              <w:keepNext/>
              <w:tabs>
                <w:tab w:val="decimal" w:pos="794"/>
              </w:tabs>
              <w:spacing w:after="0"/>
              <w:rPr>
                <w:szCs w:val="16"/>
                <w:lang w:eastAsia="en-NZ"/>
              </w:rPr>
            </w:pPr>
            <w:r w:rsidRPr="00181EF3">
              <w:rPr>
                <w:szCs w:val="16"/>
                <w:lang w:eastAsia="en-NZ"/>
              </w:rPr>
              <w:t>51,933</w:t>
            </w:r>
          </w:p>
          <w:p w14:paraId="5B980E7A" w14:textId="77777777" w:rsidR="00F51523" w:rsidRPr="00181EF3" w:rsidRDefault="00F51523" w:rsidP="002E449B">
            <w:pPr>
              <w:pStyle w:val="TableText"/>
              <w:keepNext/>
              <w:spacing w:before="0"/>
              <w:jc w:val="center"/>
              <w:rPr>
                <w:szCs w:val="16"/>
                <w:lang w:eastAsia="en-NZ"/>
              </w:rPr>
            </w:pPr>
            <w:r w:rsidRPr="00181EF3">
              <w:rPr>
                <w:szCs w:val="16"/>
                <w:lang w:eastAsia="en-NZ"/>
              </w:rPr>
              <w:t>(18%)</w:t>
            </w:r>
          </w:p>
        </w:tc>
        <w:tc>
          <w:tcPr>
            <w:tcW w:w="115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37041D3" w14:textId="77777777" w:rsidR="00F51523" w:rsidRPr="00181EF3" w:rsidRDefault="00F51523" w:rsidP="002E449B">
            <w:pPr>
              <w:pStyle w:val="TableText"/>
              <w:keepNext/>
              <w:tabs>
                <w:tab w:val="decimal" w:pos="794"/>
              </w:tabs>
              <w:spacing w:after="0"/>
              <w:rPr>
                <w:szCs w:val="16"/>
                <w:lang w:eastAsia="en-NZ"/>
              </w:rPr>
            </w:pPr>
            <w:r w:rsidRPr="00181EF3">
              <w:rPr>
                <w:szCs w:val="16"/>
                <w:lang w:eastAsia="en-NZ"/>
              </w:rPr>
              <w:t>101,304</w:t>
            </w:r>
          </w:p>
          <w:p w14:paraId="349A1DE2" w14:textId="77777777" w:rsidR="00F51523" w:rsidRPr="00181EF3" w:rsidRDefault="00F51523" w:rsidP="002E449B">
            <w:pPr>
              <w:pStyle w:val="TableText"/>
              <w:keepNext/>
              <w:spacing w:before="0"/>
              <w:jc w:val="center"/>
              <w:rPr>
                <w:szCs w:val="16"/>
                <w:lang w:eastAsia="en-NZ"/>
              </w:rPr>
            </w:pPr>
            <w:r w:rsidRPr="00181EF3">
              <w:rPr>
                <w:szCs w:val="16"/>
                <w:lang w:eastAsia="en-NZ"/>
              </w:rPr>
              <w:t>(18%)</w:t>
            </w:r>
          </w:p>
        </w:tc>
        <w:tc>
          <w:tcPr>
            <w:tcW w:w="1158"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779460A" w14:textId="77777777" w:rsidR="00F51523" w:rsidRPr="00181EF3" w:rsidRDefault="00F51523" w:rsidP="002E449B">
            <w:pPr>
              <w:pStyle w:val="TableText"/>
              <w:keepNext/>
              <w:tabs>
                <w:tab w:val="decimal" w:pos="879"/>
              </w:tabs>
              <w:spacing w:after="0"/>
              <w:rPr>
                <w:szCs w:val="16"/>
                <w:lang w:eastAsia="en-NZ"/>
              </w:rPr>
            </w:pPr>
            <w:r w:rsidRPr="00181EF3">
              <w:rPr>
                <w:szCs w:val="16"/>
                <w:lang w:eastAsia="en-NZ"/>
              </w:rPr>
              <w:t>238,152</w:t>
            </w:r>
          </w:p>
          <w:p w14:paraId="2280A66E" w14:textId="77777777" w:rsidR="00F51523" w:rsidRPr="00181EF3" w:rsidRDefault="00F51523" w:rsidP="002E449B">
            <w:pPr>
              <w:pStyle w:val="TableText"/>
              <w:keepNext/>
              <w:spacing w:before="0"/>
              <w:jc w:val="center"/>
              <w:rPr>
                <w:szCs w:val="16"/>
                <w:lang w:eastAsia="en-NZ"/>
              </w:rPr>
            </w:pPr>
            <w:r w:rsidRPr="00181EF3">
              <w:rPr>
                <w:szCs w:val="16"/>
                <w:lang w:eastAsia="en-NZ"/>
              </w:rPr>
              <w:t>(83%)</w:t>
            </w:r>
          </w:p>
        </w:tc>
        <w:tc>
          <w:tcPr>
            <w:tcW w:w="1157" w:type="dxa"/>
            <w:tcBorders>
              <w:top w:val="single" w:sz="4" w:space="0" w:color="A6A6A6" w:themeColor="background1" w:themeShade="A6"/>
              <w:bottom w:val="single" w:sz="4" w:space="0" w:color="A6A6A6" w:themeColor="background1" w:themeShade="A6"/>
            </w:tcBorders>
          </w:tcPr>
          <w:p w14:paraId="3C7D97AA" w14:textId="77777777" w:rsidR="00F51523" w:rsidRPr="00181EF3" w:rsidRDefault="00F51523" w:rsidP="002E449B">
            <w:pPr>
              <w:pStyle w:val="TableText"/>
              <w:keepNext/>
              <w:tabs>
                <w:tab w:val="decimal" w:pos="879"/>
              </w:tabs>
              <w:spacing w:after="0"/>
              <w:rPr>
                <w:szCs w:val="16"/>
                <w:lang w:eastAsia="en-NZ"/>
              </w:rPr>
            </w:pPr>
            <w:r w:rsidRPr="00181EF3">
              <w:rPr>
                <w:szCs w:val="16"/>
                <w:lang w:eastAsia="en-NZ"/>
              </w:rPr>
              <w:t>231,720</w:t>
            </w:r>
          </w:p>
          <w:p w14:paraId="39301619" w14:textId="77777777" w:rsidR="00F51523" w:rsidRPr="00181EF3" w:rsidRDefault="00F51523" w:rsidP="002E449B">
            <w:pPr>
              <w:pStyle w:val="TableText"/>
              <w:keepNext/>
              <w:spacing w:before="0"/>
              <w:jc w:val="center"/>
              <w:rPr>
                <w:szCs w:val="16"/>
                <w:lang w:eastAsia="en-NZ"/>
              </w:rPr>
            </w:pPr>
            <w:r w:rsidRPr="00181EF3">
              <w:rPr>
                <w:szCs w:val="16"/>
                <w:lang w:eastAsia="en-NZ"/>
              </w:rPr>
              <w:t>(82%)</w:t>
            </w:r>
          </w:p>
        </w:tc>
        <w:tc>
          <w:tcPr>
            <w:tcW w:w="1158" w:type="dxa"/>
            <w:tcBorders>
              <w:top w:val="single" w:sz="4" w:space="0" w:color="A6A6A6" w:themeColor="background1" w:themeShade="A6"/>
              <w:bottom w:val="single" w:sz="4" w:space="0" w:color="A6A6A6" w:themeColor="background1" w:themeShade="A6"/>
            </w:tcBorders>
          </w:tcPr>
          <w:p w14:paraId="04CC7F8C" w14:textId="77777777" w:rsidR="00F51523" w:rsidRPr="00181EF3" w:rsidRDefault="00F51523" w:rsidP="002E449B">
            <w:pPr>
              <w:pStyle w:val="TableText"/>
              <w:keepNext/>
              <w:tabs>
                <w:tab w:val="decimal" w:pos="879"/>
              </w:tabs>
              <w:spacing w:after="0"/>
              <w:rPr>
                <w:szCs w:val="16"/>
                <w:lang w:eastAsia="en-NZ"/>
              </w:rPr>
            </w:pPr>
            <w:r w:rsidRPr="00181EF3">
              <w:rPr>
                <w:szCs w:val="16"/>
                <w:lang w:eastAsia="en-NZ"/>
              </w:rPr>
              <w:t>469,872</w:t>
            </w:r>
          </w:p>
          <w:p w14:paraId="3445D5C2" w14:textId="77777777" w:rsidR="00F51523" w:rsidRPr="00181EF3" w:rsidRDefault="00F51523" w:rsidP="002E449B">
            <w:pPr>
              <w:pStyle w:val="TableText"/>
              <w:keepNext/>
              <w:spacing w:before="0"/>
              <w:jc w:val="center"/>
              <w:rPr>
                <w:szCs w:val="16"/>
                <w:lang w:eastAsia="en-NZ"/>
              </w:rPr>
            </w:pPr>
            <w:r w:rsidRPr="00181EF3">
              <w:rPr>
                <w:szCs w:val="16"/>
                <w:lang w:eastAsia="en-NZ"/>
              </w:rPr>
              <w:t>(82%)</w:t>
            </w:r>
          </w:p>
        </w:tc>
      </w:tr>
      <w:tr w:rsidR="00F51523" w:rsidRPr="00181EF3" w14:paraId="1D6CAC31" w14:textId="77777777" w:rsidTr="00F51523">
        <w:trPr>
          <w:cantSplit/>
        </w:trPr>
        <w:tc>
          <w:tcPr>
            <w:tcW w:w="113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396CEF3" w14:textId="77777777" w:rsidR="00F51523" w:rsidRPr="00181EF3" w:rsidRDefault="00F51523" w:rsidP="002E449B">
            <w:pPr>
              <w:pStyle w:val="TableText"/>
              <w:keepNext/>
              <w:rPr>
                <w:szCs w:val="16"/>
                <w:lang w:eastAsia="en-NZ"/>
              </w:rPr>
            </w:pPr>
            <w:r w:rsidRPr="00181EF3">
              <w:rPr>
                <w:szCs w:val="16"/>
                <w:lang w:eastAsia="en-NZ"/>
              </w:rPr>
              <w:t>25–44</w:t>
            </w:r>
          </w:p>
        </w:tc>
        <w:tc>
          <w:tcPr>
            <w:tcW w:w="115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B8DFE3E" w14:textId="77777777" w:rsidR="00F51523" w:rsidRPr="00181EF3" w:rsidRDefault="00F51523" w:rsidP="002E449B">
            <w:pPr>
              <w:pStyle w:val="TableText"/>
              <w:keepNext/>
              <w:tabs>
                <w:tab w:val="decimal" w:pos="794"/>
              </w:tabs>
              <w:spacing w:after="0"/>
              <w:rPr>
                <w:szCs w:val="16"/>
                <w:lang w:eastAsia="en-NZ"/>
              </w:rPr>
            </w:pPr>
            <w:r w:rsidRPr="00181EF3">
              <w:rPr>
                <w:szCs w:val="16"/>
                <w:lang w:eastAsia="en-NZ"/>
              </w:rPr>
              <w:t>70,824</w:t>
            </w:r>
          </w:p>
          <w:p w14:paraId="515F72AE" w14:textId="77777777" w:rsidR="00F51523" w:rsidRPr="00181EF3" w:rsidRDefault="00F51523" w:rsidP="002E449B">
            <w:pPr>
              <w:pStyle w:val="TableText"/>
              <w:keepNext/>
              <w:spacing w:before="0"/>
              <w:jc w:val="center"/>
              <w:rPr>
                <w:szCs w:val="16"/>
                <w:lang w:eastAsia="en-NZ"/>
              </w:rPr>
            </w:pPr>
            <w:r w:rsidRPr="00181EF3">
              <w:rPr>
                <w:szCs w:val="16"/>
                <w:lang w:eastAsia="en-NZ"/>
              </w:rPr>
              <w:t>(13%)</w:t>
            </w:r>
          </w:p>
        </w:tc>
        <w:tc>
          <w:tcPr>
            <w:tcW w:w="1158" w:type="dxa"/>
            <w:tcBorders>
              <w:top w:val="single" w:sz="4" w:space="0" w:color="A6A6A6" w:themeColor="background1" w:themeShade="A6"/>
              <w:bottom w:val="single" w:sz="4" w:space="0" w:color="A6A6A6" w:themeColor="background1" w:themeShade="A6"/>
            </w:tcBorders>
          </w:tcPr>
          <w:p w14:paraId="55BF551A" w14:textId="77777777" w:rsidR="00F51523" w:rsidRPr="00181EF3" w:rsidRDefault="00F51523" w:rsidP="002E449B">
            <w:pPr>
              <w:pStyle w:val="TableText"/>
              <w:keepNext/>
              <w:tabs>
                <w:tab w:val="decimal" w:pos="794"/>
              </w:tabs>
              <w:spacing w:after="0"/>
              <w:rPr>
                <w:szCs w:val="16"/>
                <w:lang w:eastAsia="en-NZ"/>
              </w:rPr>
            </w:pPr>
            <w:r w:rsidRPr="00181EF3">
              <w:rPr>
                <w:szCs w:val="16"/>
                <w:lang w:eastAsia="en-NZ"/>
              </w:rPr>
              <w:t>82,608</w:t>
            </w:r>
          </w:p>
          <w:p w14:paraId="2830A2C2" w14:textId="77777777" w:rsidR="00F51523" w:rsidRPr="00181EF3" w:rsidRDefault="00F51523" w:rsidP="002E449B">
            <w:pPr>
              <w:pStyle w:val="TableText"/>
              <w:keepNext/>
              <w:spacing w:before="0"/>
              <w:jc w:val="center"/>
              <w:rPr>
                <w:szCs w:val="16"/>
                <w:lang w:eastAsia="en-NZ"/>
              </w:rPr>
            </w:pPr>
            <w:r w:rsidRPr="00181EF3">
              <w:rPr>
                <w:szCs w:val="16"/>
                <w:lang w:eastAsia="en-NZ"/>
              </w:rPr>
              <w:t>(14%)</w:t>
            </w:r>
          </w:p>
        </w:tc>
        <w:tc>
          <w:tcPr>
            <w:tcW w:w="115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CE0BDEC" w14:textId="77777777" w:rsidR="00F51523" w:rsidRPr="00181EF3" w:rsidRDefault="00F51523" w:rsidP="002E449B">
            <w:pPr>
              <w:pStyle w:val="TableText"/>
              <w:keepNext/>
              <w:tabs>
                <w:tab w:val="decimal" w:pos="794"/>
              </w:tabs>
              <w:spacing w:after="0"/>
              <w:rPr>
                <w:szCs w:val="16"/>
                <w:lang w:eastAsia="en-NZ"/>
              </w:rPr>
            </w:pPr>
            <w:r w:rsidRPr="00181EF3">
              <w:rPr>
                <w:szCs w:val="16"/>
                <w:lang w:eastAsia="en-NZ"/>
              </w:rPr>
              <w:t>153,435</w:t>
            </w:r>
          </w:p>
          <w:p w14:paraId="04E2F196" w14:textId="77777777" w:rsidR="00F51523" w:rsidRPr="00181EF3" w:rsidRDefault="00F51523" w:rsidP="002E449B">
            <w:pPr>
              <w:pStyle w:val="TableText"/>
              <w:keepNext/>
              <w:spacing w:before="0"/>
              <w:jc w:val="center"/>
              <w:rPr>
                <w:szCs w:val="16"/>
                <w:lang w:eastAsia="en-NZ"/>
              </w:rPr>
            </w:pPr>
            <w:r w:rsidRPr="00181EF3">
              <w:rPr>
                <w:szCs w:val="16"/>
                <w:lang w:eastAsia="en-NZ"/>
              </w:rPr>
              <w:t>(14%)</w:t>
            </w:r>
          </w:p>
        </w:tc>
        <w:tc>
          <w:tcPr>
            <w:tcW w:w="1158"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15ABBDF" w14:textId="77777777" w:rsidR="00F51523" w:rsidRPr="00181EF3" w:rsidRDefault="00F51523" w:rsidP="002E449B">
            <w:pPr>
              <w:pStyle w:val="TableText"/>
              <w:keepNext/>
              <w:tabs>
                <w:tab w:val="decimal" w:pos="879"/>
              </w:tabs>
              <w:spacing w:after="0"/>
              <w:rPr>
                <w:szCs w:val="16"/>
                <w:lang w:eastAsia="en-NZ"/>
              </w:rPr>
            </w:pPr>
            <w:r w:rsidRPr="00181EF3">
              <w:rPr>
                <w:szCs w:val="16"/>
                <w:lang w:eastAsia="en-NZ"/>
              </w:rPr>
              <w:t>471,177</w:t>
            </w:r>
          </w:p>
          <w:p w14:paraId="60E60C36" w14:textId="77777777" w:rsidR="00F51523" w:rsidRPr="00181EF3" w:rsidRDefault="00F51523" w:rsidP="002E449B">
            <w:pPr>
              <w:pStyle w:val="TableText"/>
              <w:keepNext/>
              <w:spacing w:before="0"/>
              <w:jc w:val="center"/>
              <w:rPr>
                <w:szCs w:val="16"/>
                <w:lang w:eastAsia="en-NZ"/>
              </w:rPr>
            </w:pPr>
            <w:r w:rsidRPr="00181EF3">
              <w:rPr>
                <w:szCs w:val="16"/>
                <w:lang w:eastAsia="en-NZ"/>
              </w:rPr>
              <w:t>(87%)</w:t>
            </w:r>
          </w:p>
        </w:tc>
        <w:tc>
          <w:tcPr>
            <w:tcW w:w="1157" w:type="dxa"/>
            <w:tcBorders>
              <w:top w:val="single" w:sz="4" w:space="0" w:color="A6A6A6" w:themeColor="background1" w:themeShade="A6"/>
              <w:bottom w:val="single" w:sz="4" w:space="0" w:color="A6A6A6" w:themeColor="background1" w:themeShade="A6"/>
            </w:tcBorders>
          </w:tcPr>
          <w:p w14:paraId="746F6847" w14:textId="77777777" w:rsidR="00F51523" w:rsidRPr="00181EF3" w:rsidRDefault="00F51523" w:rsidP="002E449B">
            <w:pPr>
              <w:pStyle w:val="TableText"/>
              <w:keepNext/>
              <w:tabs>
                <w:tab w:val="decimal" w:pos="879"/>
              </w:tabs>
              <w:spacing w:after="0"/>
              <w:rPr>
                <w:szCs w:val="16"/>
                <w:lang w:eastAsia="en-NZ"/>
              </w:rPr>
            </w:pPr>
            <w:r w:rsidRPr="00181EF3">
              <w:rPr>
                <w:szCs w:val="16"/>
                <w:lang w:eastAsia="en-NZ"/>
              </w:rPr>
              <w:t>509,643</w:t>
            </w:r>
          </w:p>
          <w:p w14:paraId="710064E0" w14:textId="77777777" w:rsidR="00F51523" w:rsidRPr="00181EF3" w:rsidRDefault="00F51523" w:rsidP="002E449B">
            <w:pPr>
              <w:pStyle w:val="TableText"/>
              <w:keepNext/>
              <w:spacing w:before="0"/>
              <w:jc w:val="center"/>
              <w:rPr>
                <w:szCs w:val="16"/>
                <w:lang w:eastAsia="en-NZ"/>
              </w:rPr>
            </w:pPr>
            <w:r w:rsidRPr="00181EF3">
              <w:rPr>
                <w:szCs w:val="16"/>
                <w:lang w:eastAsia="en-NZ"/>
              </w:rPr>
              <w:t>(86%)</w:t>
            </w:r>
          </w:p>
        </w:tc>
        <w:tc>
          <w:tcPr>
            <w:tcW w:w="1158" w:type="dxa"/>
            <w:tcBorders>
              <w:top w:val="single" w:sz="4" w:space="0" w:color="A6A6A6" w:themeColor="background1" w:themeShade="A6"/>
              <w:bottom w:val="single" w:sz="4" w:space="0" w:color="A6A6A6" w:themeColor="background1" w:themeShade="A6"/>
            </w:tcBorders>
          </w:tcPr>
          <w:p w14:paraId="372AD398" w14:textId="77777777" w:rsidR="00F51523" w:rsidRPr="00181EF3" w:rsidRDefault="00F51523" w:rsidP="002E449B">
            <w:pPr>
              <w:pStyle w:val="TableText"/>
              <w:keepNext/>
              <w:tabs>
                <w:tab w:val="decimal" w:pos="879"/>
              </w:tabs>
              <w:spacing w:after="0"/>
              <w:rPr>
                <w:szCs w:val="16"/>
                <w:lang w:eastAsia="en-NZ"/>
              </w:rPr>
            </w:pPr>
            <w:r w:rsidRPr="00181EF3">
              <w:rPr>
                <w:szCs w:val="16"/>
                <w:lang w:eastAsia="en-NZ"/>
              </w:rPr>
              <w:t>980,817</w:t>
            </w:r>
          </w:p>
          <w:p w14:paraId="01044F8E" w14:textId="77777777" w:rsidR="00F51523" w:rsidRPr="00181EF3" w:rsidRDefault="00F51523" w:rsidP="002E449B">
            <w:pPr>
              <w:pStyle w:val="TableText"/>
              <w:keepNext/>
              <w:spacing w:before="0"/>
              <w:jc w:val="center"/>
              <w:rPr>
                <w:szCs w:val="16"/>
                <w:lang w:eastAsia="en-NZ"/>
              </w:rPr>
            </w:pPr>
            <w:r w:rsidRPr="00181EF3">
              <w:rPr>
                <w:szCs w:val="16"/>
                <w:lang w:eastAsia="en-NZ"/>
              </w:rPr>
              <w:t>(86%)</w:t>
            </w:r>
          </w:p>
        </w:tc>
      </w:tr>
      <w:tr w:rsidR="00F51523" w:rsidRPr="00181EF3" w14:paraId="1B825A96" w14:textId="77777777" w:rsidTr="00F51523">
        <w:trPr>
          <w:cantSplit/>
        </w:trPr>
        <w:tc>
          <w:tcPr>
            <w:tcW w:w="113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D1690B7" w14:textId="77777777" w:rsidR="00F51523" w:rsidRPr="00181EF3" w:rsidRDefault="00F51523" w:rsidP="002E449B">
            <w:pPr>
              <w:pStyle w:val="TableText"/>
              <w:keepNext/>
              <w:rPr>
                <w:szCs w:val="16"/>
                <w:lang w:eastAsia="en-NZ"/>
              </w:rPr>
            </w:pPr>
            <w:r w:rsidRPr="00181EF3">
              <w:rPr>
                <w:szCs w:val="16"/>
                <w:lang w:eastAsia="en-NZ"/>
              </w:rPr>
              <w:t>45–64</w:t>
            </w:r>
          </w:p>
        </w:tc>
        <w:tc>
          <w:tcPr>
            <w:tcW w:w="115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5BABBAD" w14:textId="77777777" w:rsidR="00F51523" w:rsidRPr="00181EF3" w:rsidRDefault="00F51523" w:rsidP="002E449B">
            <w:pPr>
              <w:pStyle w:val="TableText"/>
              <w:keepNext/>
              <w:tabs>
                <w:tab w:val="decimal" w:pos="794"/>
              </w:tabs>
              <w:spacing w:after="0"/>
              <w:rPr>
                <w:szCs w:val="16"/>
                <w:lang w:eastAsia="en-NZ"/>
              </w:rPr>
            </w:pPr>
            <w:r w:rsidRPr="00181EF3">
              <w:rPr>
                <w:szCs w:val="16"/>
                <w:lang w:eastAsia="en-NZ"/>
              </w:rPr>
              <w:t>41,547</w:t>
            </w:r>
          </w:p>
          <w:p w14:paraId="37BE8908" w14:textId="77777777" w:rsidR="00F51523" w:rsidRPr="00181EF3" w:rsidRDefault="00F51523" w:rsidP="002E449B">
            <w:pPr>
              <w:pStyle w:val="TableText"/>
              <w:keepNext/>
              <w:spacing w:before="0"/>
              <w:jc w:val="center"/>
              <w:rPr>
                <w:szCs w:val="16"/>
                <w:lang w:eastAsia="en-NZ"/>
              </w:rPr>
            </w:pPr>
            <w:r w:rsidRPr="00181EF3">
              <w:rPr>
                <w:szCs w:val="16"/>
                <w:lang w:eastAsia="en-NZ"/>
              </w:rPr>
              <w:t>(9%)</w:t>
            </w:r>
          </w:p>
        </w:tc>
        <w:tc>
          <w:tcPr>
            <w:tcW w:w="1158" w:type="dxa"/>
            <w:tcBorders>
              <w:top w:val="single" w:sz="4" w:space="0" w:color="A6A6A6" w:themeColor="background1" w:themeShade="A6"/>
              <w:bottom w:val="single" w:sz="4" w:space="0" w:color="A6A6A6" w:themeColor="background1" w:themeShade="A6"/>
            </w:tcBorders>
          </w:tcPr>
          <w:p w14:paraId="239BBFB1" w14:textId="77777777" w:rsidR="00F51523" w:rsidRPr="00181EF3" w:rsidRDefault="00F51523" w:rsidP="002E449B">
            <w:pPr>
              <w:pStyle w:val="TableText"/>
              <w:keepNext/>
              <w:tabs>
                <w:tab w:val="decimal" w:pos="794"/>
              </w:tabs>
              <w:spacing w:after="0"/>
              <w:rPr>
                <w:szCs w:val="16"/>
                <w:lang w:eastAsia="en-NZ"/>
              </w:rPr>
            </w:pPr>
            <w:r w:rsidRPr="00181EF3">
              <w:rPr>
                <w:szCs w:val="16"/>
                <w:lang w:eastAsia="en-NZ"/>
              </w:rPr>
              <w:t>46,002</w:t>
            </w:r>
          </w:p>
          <w:p w14:paraId="29159D3A" w14:textId="77777777" w:rsidR="00F51523" w:rsidRPr="00181EF3" w:rsidRDefault="00F51523" w:rsidP="002E449B">
            <w:pPr>
              <w:pStyle w:val="TableText"/>
              <w:keepNext/>
              <w:spacing w:before="0"/>
              <w:jc w:val="center"/>
              <w:rPr>
                <w:szCs w:val="16"/>
                <w:lang w:eastAsia="en-NZ"/>
              </w:rPr>
            </w:pPr>
            <w:r w:rsidRPr="00181EF3">
              <w:rPr>
                <w:szCs w:val="16"/>
                <w:lang w:eastAsia="en-NZ"/>
              </w:rPr>
              <w:t>(9%)</w:t>
            </w:r>
          </w:p>
        </w:tc>
        <w:tc>
          <w:tcPr>
            <w:tcW w:w="115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D3D8F30" w14:textId="77777777" w:rsidR="00F51523" w:rsidRPr="00181EF3" w:rsidRDefault="00F51523" w:rsidP="002E449B">
            <w:pPr>
              <w:pStyle w:val="TableText"/>
              <w:keepNext/>
              <w:tabs>
                <w:tab w:val="decimal" w:pos="794"/>
              </w:tabs>
              <w:spacing w:after="0"/>
              <w:rPr>
                <w:szCs w:val="16"/>
                <w:lang w:eastAsia="en-NZ"/>
              </w:rPr>
            </w:pPr>
            <w:r w:rsidRPr="00181EF3">
              <w:rPr>
                <w:szCs w:val="16"/>
                <w:lang w:eastAsia="en-NZ"/>
              </w:rPr>
              <w:t>87,537</w:t>
            </w:r>
          </w:p>
          <w:p w14:paraId="7DAB0B76" w14:textId="77777777" w:rsidR="00F51523" w:rsidRPr="00181EF3" w:rsidRDefault="00F51523" w:rsidP="002E449B">
            <w:pPr>
              <w:pStyle w:val="TableText"/>
              <w:keepNext/>
              <w:spacing w:before="0"/>
              <w:jc w:val="center"/>
              <w:rPr>
                <w:szCs w:val="16"/>
                <w:lang w:eastAsia="en-NZ"/>
              </w:rPr>
            </w:pPr>
            <w:r w:rsidRPr="00181EF3">
              <w:rPr>
                <w:szCs w:val="16"/>
                <w:lang w:eastAsia="en-NZ"/>
              </w:rPr>
              <w:t>(9%)</w:t>
            </w:r>
          </w:p>
        </w:tc>
        <w:tc>
          <w:tcPr>
            <w:tcW w:w="1158"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5E3A4B5" w14:textId="77777777" w:rsidR="00F51523" w:rsidRPr="00181EF3" w:rsidRDefault="00F51523" w:rsidP="002E449B">
            <w:pPr>
              <w:pStyle w:val="TableText"/>
              <w:keepNext/>
              <w:tabs>
                <w:tab w:val="decimal" w:pos="879"/>
              </w:tabs>
              <w:spacing w:after="0"/>
              <w:rPr>
                <w:szCs w:val="16"/>
                <w:lang w:eastAsia="en-NZ"/>
              </w:rPr>
            </w:pPr>
            <w:r w:rsidRPr="00181EF3">
              <w:rPr>
                <w:szCs w:val="16"/>
                <w:lang w:eastAsia="en-NZ"/>
              </w:rPr>
              <w:t>429,375</w:t>
            </w:r>
          </w:p>
          <w:p w14:paraId="29326A87" w14:textId="77777777" w:rsidR="00F51523" w:rsidRPr="00181EF3" w:rsidRDefault="00F51523" w:rsidP="002E449B">
            <w:pPr>
              <w:pStyle w:val="TableText"/>
              <w:keepNext/>
              <w:spacing w:before="0"/>
              <w:jc w:val="center"/>
              <w:rPr>
                <w:szCs w:val="16"/>
                <w:lang w:eastAsia="en-NZ"/>
              </w:rPr>
            </w:pPr>
            <w:r w:rsidRPr="00181EF3">
              <w:rPr>
                <w:szCs w:val="16"/>
                <w:lang w:eastAsia="en-NZ"/>
              </w:rPr>
              <w:t>(91%)</w:t>
            </w:r>
          </w:p>
        </w:tc>
        <w:tc>
          <w:tcPr>
            <w:tcW w:w="1157" w:type="dxa"/>
            <w:tcBorders>
              <w:top w:val="single" w:sz="4" w:space="0" w:color="A6A6A6" w:themeColor="background1" w:themeShade="A6"/>
              <w:bottom w:val="single" w:sz="4" w:space="0" w:color="A6A6A6" w:themeColor="background1" w:themeShade="A6"/>
            </w:tcBorders>
          </w:tcPr>
          <w:p w14:paraId="0E2D8E6B" w14:textId="77777777" w:rsidR="00F51523" w:rsidRPr="00181EF3" w:rsidRDefault="00F51523" w:rsidP="002E449B">
            <w:pPr>
              <w:pStyle w:val="TableText"/>
              <w:keepNext/>
              <w:tabs>
                <w:tab w:val="decimal" w:pos="879"/>
              </w:tabs>
              <w:spacing w:after="0"/>
              <w:rPr>
                <w:szCs w:val="16"/>
                <w:lang w:eastAsia="en-NZ"/>
              </w:rPr>
            </w:pPr>
            <w:r w:rsidRPr="00181EF3">
              <w:rPr>
                <w:szCs w:val="16"/>
                <w:lang w:eastAsia="en-NZ"/>
              </w:rPr>
              <w:t>442,416</w:t>
            </w:r>
          </w:p>
          <w:p w14:paraId="04BD5C64" w14:textId="77777777" w:rsidR="00F51523" w:rsidRPr="00181EF3" w:rsidRDefault="00F51523" w:rsidP="002E449B">
            <w:pPr>
              <w:pStyle w:val="TableText"/>
              <w:keepNext/>
              <w:spacing w:before="0"/>
              <w:jc w:val="center"/>
              <w:rPr>
                <w:szCs w:val="16"/>
                <w:lang w:eastAsia="en-NZ"/>
              </w:rPr>
            </w:pPr>
            <w:r w:rsidRPr="00181EF3">
              <w:rPr>
                <w:szCs w:val="16"/>
                <w:lang w:eastAsia="en-NZ"/>
              </w:rPr>
              <w:t>(91%)</w:t>
            </w:r>
          </w:p>
        </w:tc>
        <w:tc>
          <w:tcPr>
            <w:tcW w:w="1158" w:type="dxa"/>
            <w:tcBorders>
              <w:top w:val="single" w:sz="4" w:space="0" w:color="A6A6A6" w:themeColor="background1" w:themeShade="A6"/>
              <w:bottom w:val="single" w:sz="4" w:space="0" w:color="A6A6A6" w:themeColor="background1" w:themeShade="A6"/>
            </w:tcBorders>
          </w:tcPr>
          <w:p w14:paraId="6F8E20AC" w14:textId="77777777" w:rsidR="00F51523" w:rsidRPr="00181EF3" w:rsidRDefault="00F51523" w:rsidP="002E449B">
            <w:pPr>
              <w:pStyle w:val="TableText"/>
              <w:keepNext/>
              <w:tabs>
                <w:tab w:val="decimal" w:pos="879"/>
              </w:tabs>
              <w:spacing w:after="0"/>
              <w:rPr>
                <w:szCs w:val="16"/>
                <w:lang w:eastAsia="en-NZ"/>
              </w:rPr>
            </w:pPr>
            <w:r w:rsidRPr="00181EF3">
              <w:rPr>
                <w:szCs w:val="16"/>
                <w:lang w:eastAsia="en-NZ"/>
              </w:rPr>
              <w:t>871,797</w:t>
            </w:r>
          </w:p>
          <w:p w14:paraId="3A88571A" w14:textId="77777777" w:rsidR="00F51523" w:rsidRPr="00181EF3" w:rsidRDefault="00F51523" w:rsidP="002E449B">
            <w:pPr>
              <w:pStyle w:val="TableText"/>
              <w:keepNext/>
              <w:spacing w:before="0"/>
              <w:jc w:val="center"/>
              <w:rPr>
                <w:szCs w:val="16"/>
                <w:lang w:eastAsia="en-NZ"/>
              </w:rPr>
            </w:pPr>
            <w:r w:rsidRPr="00181EF3">
              <w:rPr>
                <w:szCs w:val="16"/>
                <w:lang w:eastAsia="en-NZ"/>
              </w:rPr>
              <w:t>(91%)</w:t>
            </w:r>
          </w:p>
        </w:tc>
      </w:tr>
      <w:tr w:rsidR="00F51523" w:rsidRPr="00181EF3" w14:paraId="2600771B" w14:textId="77777777" w:rsidTr="00F51523">
        <w:trPr>
          <w:cantSplit/>
        </w:trPr>
        <w:tc>
          <w:tcPr>
            <w:tcW w:w="113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2D9F3AC" w14:textId="77777777" w:rsidR="00F51523" w:rsidRPr="00181EF3" w:rsidRDefault="00F51523" w:rsidP="00F51523">
            <w:pPr>
              <w:pStyle w:val="TableText"/>
              <w:rPr>
                <w:szCs w:val="16"/>
                <w:lang w:eastAsia="en-NZ"/>
              </w:rPr>
            </w:pPr>
            <w:r w:rsidRPr="00181EF3">
              <w:rPr>
                <w:szCs w:val="16"/>
                <w:lang w:eastAsia="en-NZ"/>
              </w:rPr>
              <w:t>65+</w:t>
            </w:r>
          </w:p>
        </w:tc>
        <w:tc>
          <w:tcPr>
            <w:tcW w:w="115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E65FCC1" w14:textId="77777777" w:rsidR="00F51523" w:rsidRPr="00181EF3" w:rsidRDefault="00F51523" w:rsidP="00F51523">
            <w:pPr>
              <w:pStyle w:val="TableText"/>
              <w:tabs>
                <w:tab w:val="decimal" w:pos="794"/>
              </w:tabs>
              <w:spacing w:after="0"/>
              <w:rPr>
                <w:szCs w:val="16"/>
                <w:lang w:eastAsia="en-NZ"/>
              </w:rPr>
            </w:pPr>
            <w:r w:rsidRPr="00181EF3">
              <w:rPr>
                <w:szCs w:val="16"/>
                <w:lang w:eastAsia="en-NZ"/>
              </w:rPr>
              <w:t>10,479</w:t>
            </w:r>
          </w:p>
          <w:p w14:paraId="199E47EA" w14:textId="77777777" w:rsidR="00F51523" w:rsidRPr="00181EF3" w:rsidRDefault="00F51523" w:rsidP="00F51523">
            <w:pPr>
              <w:pStyle w:val="TableText"/>
              <w:spacing w:before="0"/>
              <w:jc w:val="center"/>
              <w:rPr>
                <w:szCs w:val="16"/>
                <w:lang w:eastAsia="en-NZ"/>
              </w:rPr>
            </w:pPr>
            <w:r w:rsidRPr="00181EF3">
              <w:rPr>
                <w:szCs w:val="16"/>
                <w:lang w:eastAsia="en-NZ"/>
              </w:rPr>
              <w:t>(5%)</w:t>
            </w:r>
          </w:p>
        </w:tc>
        <w:tc>
          <w:tcPr>
            <w:tcW w:w="1158" w:type="dxa"/>
            <w:tcBorders>
              <w:top w:val="single" w:sz="4" w:space="0" w:color="A6A6A6" w:themeColor="background1" w:themeShade="A6"/>
              <w:bottom w:val="single" w:sz="4" w:space="0" w:color="A6A6A6" w:themeColor="background1" w:themeShade="A6"/>
            </w:tcBorders>
          </w:tcPr>
          <w:p w14:paraId="6839A0A4" w14:textId="77777777" w:rsidR="00F51523" w:rsidRPr="00181EF3" w:rsidRDefault="00F51523" w:rsidP="00F51523">
            <w:pPr>
              <w:pStyle w:val="TableText"/>
              <w:tabs>
                <w:tab w:val="decimal" w:pos="794"/>
              </w:tabs>
              <w:spacing w:after="0"/>
              <w:rPr>
                <w:szCs w:val="16"/>
                <w:lang w:eastAsia="en-NZ"/>
              </w:rPr>
            </w:pPr>
            <w:r w:rsidRPr="00181EF3">
              <w:rPr>
                <w:szCs w:val="16"/>
                <w:lang w:eastAsia="en-NZ"/>
              </w:rPr>
              <w:t>12,645</w:t>
            </w:r>
          </w:p>
          <w:p w14:paraId="05D49C1B" w14:textId="77777777" w:rsidR="00F51523" w:rsidRPr="00181EF3" w:rsidRDefault="00F51523" w:rsidP="00F51523">
            <w:pPr>
              <w:pStyle w:val="TableText"/>
              <w:spacing w:before="0"/>
              <w:jc w:val="center"/>
              <w:rPr>
                <w:szCs w:val="16"/>
                <w:lang w:eastAsia="en-NZ"/>
              </w:rPr>
            </w:pPr>
            <w:r w:rsidRPr="00181EF3">
              <w:rPr>
                <w:szCs w:val="16"/>
                <w:lang w:eastAsia="en-NZ"/>
              </w:rPr>
              <w:t>(5%)</w:t>
            </w:r>
          </w:p>
        </w:tc>
        <w:tc>
          <w:tcPr>
            <w:tcW w:w="115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8757A32" w14:textId="77777777" w:rsidR="00F51523" w:rsidRPr="00181EF3" w:rsidRDefault="00F51523" w:rsidP="00F51523">
            <w:pPr>
              <w:pStyle w:val="TableText"/>
              <w:tabs>
                <w:tab w:val="decimal" w:pos="794"/>
              </w:tabs>
              <w:spacing w:after="0"/>
              <w:rPr>
                <w:szCs w:val="16"/>
                <w:lang w:eastAsia="en-NZ"/>
              </w:rPr>
            </w:pPr>
            <w:r w:rsidRPr="00181EF3">
              <w:rPr>
                <w:szCs w:val="16"/>
                <w:lang w:eastAsia="en-NZ"/>
              </w:rPr>
              <w:t>23,124</w:t>
            </w:r>
          </w:p>
          <w:p w14:paraId="5DDDA774" w14:textId="77777777" w:rsidR="00F51523" w:rsidRPr="00181EF3" w:rsidRDefault="00F51523" w:rsidP="00F51523">
            <w:pPr>
              <w:pStyle w:val="TableText"/>
              <w:spacing w:before="0"/>
              <w:jc w:val="center"/>
              <w:rPr>
                <w:szCs w:val="16"/>
                <w:lang w:eastAsia="en-NZ"/>
              </w:rPr>
            </w:pPr>
            <w:r w:rsidRPr="00181EF3">
              <w:rPr>
                <w:szCs w:val="16"/>
                <w:lang w:eastAsia="en-NZ"/>
              </w:rPr>
              <w:t>(5%)</w:t>
            </w:r>
          </w:p>
        </w:tc>
        <w:tc>
          <w:tcPr>
            <w:tcW w:w="1158"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B6DFE6F" w14:textId="77777777" w:rsidR="00F51523" w:rsidRPr="00181EF3" w:rsidRDefault="00F51523" w:rsidP="00F51523">
            <w:pPr>
              <w:pStyle w:val="TableText"/>
              <w:tabs>
                <w:tab w:val="decimal" w:pos="879"/>
              </w:tabs>
              <w:spacing w:after="0"/>
              <w:rPr>
                <w:szCs w:val="16"/>
                <w:lang w:eastAsia="en-NZ"/>
              </w:rPr>
            </w:pPr>
            <w:r w:rsidRPr="00181EF3">
              <w:rPr>
                <w:szCs w:val="16"/>
                <w:lang w:eastAsia="en-NZ"/>
              </w:rPr>
              <w:t>210,663</w:t>
            </w:r>
          </w:p>
          <w:p w14:paraId="65C6B460" w14:textId="77777777" w:rsidR="00F51523" w:rsidRPr="00181EF3" w:rsidRDefault="00F51523" w:rsidP="00F51523">
            <w:pPr>
              <w:pStyle w:val="TableText"/>
              <w:spacing w:before="0"/>
              <w:jc w:val="center"/>
              <w:rPr>
                <w:szCs w:val="16"/>
                <w:lang w:eastAsia="en-NZ"/>
              </w:rPr>
            </w:pPr>
            <w:r w:rsidRPr="00181EF3">
              <w:rPr>
                <w:szCs w:val="16"/>
                <w:lang w:eastAsia="en-NZ"/>
              </w:rPr>
              <w:t>(95%)</w:t>
            </w:r>
          </w:p>
        </w:tc>
        <w:tc>
          <w:tcPr>
            <w:tcW w:w="1157" w:type="dxa"/>
            <w:tcBorders>
              <w:top w:val="single" w:sz="4" w:space="0" w:color="A6A6A6" w:themeColor="background1" w:themeShade="A6"/>
              <w:bottom w:val="single" w:sz="4" w:space="0" w:color="A6A6A6" w:themeColor="background1" w:themeShade="A6"/>
            </w:tcBorders>
          </w:tcPr>
          <w:p w14:paraId="1302AEBB" w14:textId="77777777" w:rsidR="00F51523" w:rsidRPr="00181EF3" w:rsidRDefault="00F51523" w:rsidP="00F51523">
            <w:pPr>
              <w:pStyle w:val="TableText"/>
              <w:tabs>
                <w:tab w:val="decimal" w:pos="879"/>
              </w:tabs>
              <w:spacing w:after="0"/>
              <w:rPr>
                <w:szCs w:val="16"/>
                <w:lang w:eastAsia="en-NZ"/>
              </w:rPr>
            </w:pPr>
            <w:r w:rsidRPr="00181EF3">
              <w:rPr>
                <w:szCs w:val="16"/>
                <w:lang w:eastAsia="en-NZ"/>
              </w:rPr>
              <w:t>261,819</w:t>
            </w:r>
          </w:p>
          <w:p w14:paraId="68F5E5F7" w14:textId="77777777" w:rsidR="00F51523" w:rsidRPr="00181EF3" w:rsidRDefault="00F51523" w:rsidP="00F51523">
            <w:pPr>
              <w:pStyle w:val="TableText"/>
              <w:spacing w:before="0"/>
              <w:jc w:val="center"/>
              <w:rPr>
                <w:szCs w:val="16"/>
                <w:lang w:eastAsia="en-NZ"/>
              </w:rPr>
            </w:pPr>
            <w:r w:rsidRPr="00181EF3">
              <w:rPr>
                <w:szCs w:val="16"/>
                <w:lang w:eastAsia="en-NZ"/>
              </w:rPr>
              <w:t>(95%)</w:t>
            </w:r>
          </w:p>
        </w:tc>
        <w:tc>
          <w:tcPr>
            <w:tcW w:w="1158" w:type="dxa"/>
            <w:tcBorders>
              <w:top w:val="single" w:sz="4" w:space="0" w:color="A6A6A6" w:themeColor="background1" w:themeShade="A6"/>
              <w:bottom w:val="single" w:sz="4" w:space="0" w:color="A6A6A6" w:themeColor="background1" w:themeShade="A6"/>
            </w:tcBorders>
          </w:tcPr>
          <w:p w14:paraId="3C84311D" w14:textId="77777777" w:rsidR="00F51523" w:rsidRPr="00181EF3" w:rsidRDefault="00F51523" w:rsidP="00F51523">
            <w:pPr>
              <w:pStyle w:val="TableText"/>
              <w:tabs>
                <w:tab w:val="decimal" w:pos="879"/>
              </w:tabs>
              <w:spacing w:after="0"/>
              <w:rPr>
                <w:szCs w:val="16"/>
                <w:lang w:eastAsia="en-NZ"/>
              </w:rPr>
            </w:pPr>
            <w:r w:rsidRPr="00181EF3">
              <w:rPr>
                <w:szCs w:val="16"/>
                <w:lang w:eastAsia="en-NZ"/>
              </w:rPr>
              <w:t>472,479</w:t>
            </w:r>
          </w:p>
          <w:p w14:paraId="365CED18" w14:textId="77777777" w:rsidR="00F51523" w:rsidRPr="00181EF3" w:rsidRDefault="00F51523" w:rsidP="00F51523">
            <w:pPr>
              <w:pStyle w:val="TableText"/>
              <w:spacing w:before="0"/>
              <w:jc w:val="center"/>
              <w:rPr>
                <w:szCs w:val="16"/>
                <w:lang w:eastAsia="en-NZ"/>
              </w:rPr>
            </w:pPr>
            <w:r w:rsidRPr="00181EF3">
              <w:rPr>
                <w:szCs w:val="16"/>
                <w:lang w:eastAsia="en-NZ"/>
              </w:rPr>
              <w:t>(95%)</w:t>
            </w:r>
          </w:p>
        </w:tc>
      </w:tr>
      <w:tr w:rsidR="00F51523" w:rsidRPr="00181EF3" w14:paraId="5381A64C" w14:textId="77777777" w:rsidTr="00F51523">
        <w:trPr>
          <w:cantSplit/>
        </w:trPr>
        <w:tc>
          <w:tcPr>
            <w:tcW w:w="113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AE601EC" w14:textId="77777777" w:rsidR="00F51523" w:rsidRPr="00181EF3" w:rsidRDefault="00F51523" w:rsidP="00F51523">
            <w:pPr>
              <w:pStyle w:val="TableText"/>
              <w:rPr>
                <w:b/>
                <w:szCs w:val="16"/>
                <w:lang w:eastAsia="en-NZ"/>
              </w:rPr>
            </w:pPr>
            <w:r w:rsidRPr="00181EF3">
              <w:rPr>
                <w:b/>
                <w:szCs w:val="16"/>
                <w:lang w:eastAsia="en-NZ"/>
              </w:rPr>
              <w:t>Total</w:t>
            </w:r>
          </w:p>
        </w:tc>
        <w:tc>
          <w:tcPr>
            <w:tcW w:w="115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4E4C700" w14:textId="77777777" w:rsidR="00F51523" w:rsidRPr="00181EF3" w:rsidRDefault="00F51523" w:rsidP="00F51523">
            <w:pPr>
              <w:pStyle w:val="TableText"/>
              <w:tabs>
                <w:tab w:val="decimal" w:pos="794"/>
              </w:tabs>
              <w:spacing w:after="0"/>
              <w:rPr>
                <w:b/>
                <w:szCs w:val="16"/>
                <w:lang w:eastAsia="en-NZ"/>
              </w:rPr>
            </w:pPr>
            <w:r w:rsidRPr="00181EF3">
              <w:rPr>
                <w:b/>
                <w:szCs w:val="16"/>
                <w:lang w:eastAsia="en-NZ"/>
              </w:rPr>
              <w:t>274,860</w:t>
            </w:r>
          </w:p>
          <w:p w14:paraId="37B3260A" w14:textId="77777777" w:rsidR="00F51523" w:rsidRPr="00181EF3" w:rsidRDefault="00F51523" w:rsidP="00F51523">
            <w:pPr>
              <w:pStyle w:val="TableText"/>
              <w:spacing w:before="0"/>
              <w:jc w:val="center"/>
              <w:rPr>
                <w:b/>
                <w:szCs w:val="16"/>
                <w:lang w:eastAsia="en-NZ"/>
              </w:rPr>
            </w:pPr>
            <w:r w:rsidRPr="00181EF3">
              <w:rPr>
                <w:b/>
                <w:szCs w:val="16"/>
                <w:lang w:eastAsia="en-NZ"/>
              </w:rPr>
              <w:t>(14%)</w:t>
            </w:r>
          </w:p>
        </w:tc>
        <w:tc>
          <w:tcPr>
            <w:tcW w:w="1158" w:type="dxa"/>
            <w:tcBorders>
              <w:top w:val="single" w:sz="4" w:space="0" w:color="A6A6A6" w:themeColor="background1" w:themeShade="A6"/>
              <w:bottom w:val="single" w:sz="4" w:space="0" w:color="A6A6A6" w:themeColor="background1" w:themeShade="A6"/>
            </w:tcBorders>
          </w:tcPr>
          <w:p w14:paraId="6EC71BB5" w14:textId="77777777" w:rsidR="00F51523" w:rsidRPr="00181EF3" w:rsidRDefault="00F51523" w:rsidP="00F51523">
            <w:pPr>
              <w:pStyle w:val="TableText"/>
              <w:tabs>
                <w:tab w:val="decimal" w:pos="794"/>
              </w:tabs>
              <w:spacing w:after="0"/>
              <w:rPr>
                <w:b/>
                <w:szCs w:val="16"/>
                <w:lang w:eastAsia="en-NZ"/>
              </w:rPr>
            </w:pPr>
            <w:r w:rsidRPr="00181EF3">
              <w:rPr>
                <w:b/>
                <w:szCs w:val="16"/>
                <w:lang w:eastAsia="en-NZ"/>
              </w:rPr>
              <w:t>290,469</w:t>
            </w:r>
          </w:p>
          <w:p w14:paraId="677ED2EE" w14:textId="77777777" w:rsidR="00F51523" w:rsidRPr="00181EF3" w:rsidRDefault="00F51523" w:rsidP="00F51523">
            <w:pPr>
              <w:pStyle w:val="TableText"/>
              <w:spacing w:before="0"/>
              <w:jc w:val="center"/>
              <w:rPr>
                <w:b/>
                <w:szCs w:val="16"/>
                <w:lang w:eastAsia="en-NZ"/>
              </w:rPr>
            </w:pPr>
            <w:r w:rsidRPr="00181EF3">
              <w:rPr>
                <w:b/>
                <w:szCs w:val="16"/>
                <w:lang w:eastAsia="en-NZ"/>
              </w:rPr>
              <w:t>(14%)</w:t>
            </w:r>
          </w:p>
        </w:tc>
        <w:tc>
          <w:tcPr>
            <w:tcW w:w="115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76EEF1F" w14:textId="77777777" w:rsidR="00F51523" w:rsidRPr="00181EF3" w:rsidRDefault="00F51523" w:rsidP="00F51523">
            <w:pPr>
              <w:pStyle w:val="TableText"/>
              <w:tabs>
                <w:tab w:val="decimal" w:pos="794"/>
              </w:tabs>
              <w:spacing w:after="0"/>
              <w:rPr>
                <w:b/>
                <w:szCs w:val="16"/>
                <w:lang w:eastAsia="en-NZ"/>
              </w:rPr>
            </w:pPr>
            <w:r w:rsidRPr="00181EF3">
              <w:rPr>
                <w:b/>
                <w:szCs w:val="16"/>
                <w:lang w:eastAsia="en-NZ"/>
              </w:rPr>
              <w:t>565,326</w:t>
            </w:r>
          </w:p>
          <w:p w14:paraId="45D83900" w14:textId="77777777" w:rsidR="00F51523" w:rsidRPr="00181EF3" w:rsidRDefault="00F51523" w:rsidP="00F51523">
            <w:pPr>
              <w:pStyle w:val="TableText"/>
              <w:spacing w:before="0"/>
              <w:jc w:val="center"/>
              <w:rPr>
                <w:b/>
                <w:szCs w:val="16"/>
                <w:lang w:eastAsia="en-NZ"/>
              </w:rPr>
            </w:pPr>
            <w:r w:rsidRPr="00181EF3">
              <w:rPr>
                <w:b/>
                <w:szCs w:val="16"/>
                <w:lang w:eastAsia="en-NZ"/>
              </w:rPr>
              <w:t>(14%)</w:t>
            </w:r>
          </w:p>
        </w:tc>
        <w:tc>
          <w:tcPr>
            <w:tcW w:w="1158"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30F8C72" w14:textId="77777777" w:rsidR="00F51523" w:rsidRPr="00181EF3" w:rsidRDefault="00F51523" w:rsidP="00F51523">
            <w:pPr>
              <w:pStyle w:val="TableText"/>
              <w:tabs>
                <w:tab w:val="decimal" w:pos="879"/>
              </w:tabs>
              <w:spacing w:after="0"/>
              <w:rPr>
                <w:b/>
                <w:szCs w:val="16"/>
                <w:lang w:eastAsia="en-NZ"/>
              </w:rPr>
            </w:pPr>
            <w:r w:rsidRPr="00181EF3">
              <w:rPr>
                <w:b/>
                <w:szCs w:val="16"/>
                <w:lang w:eastAsia="en-NZ"/>
              </w:rPr>
              <w:t>1,690,758</w:t>
            </w:r>
          </w:p>
          <w:p w14:paraId="568BA3EA" w14:textId="77777777" w:rsidR="00F51523" w:rsidRPr="00181EF3" w:rsidRDefault="00F51523" w:rsidP="00F51523">
            <w:pPr>
              <w:pStyle w:val="TableText"/>
              <w:spacing w:before="0"/>
              <w:jc w:val="center"/>
              <w:rPr>
                <w:b/>
                <w:szCs w:val="16"/>
                <w:lang w:eastAsia="en-NZ"/>
              </w:rPr>
            </w:pPr>
            <w:r w:rsidRPr="00181EF3">
              <w:rPr>
                <w:b/>
                <w:szCs w:val="16"/>
                <w:lang w:eastAsia="en-NZ"/>
              </w:rPr>
              <w:t>(86%)</w:t>
            </w:r>
          </w:p>
        </w:tc>
        <w:tc>
          <w:tcPr>
            <w:tcW w:w="1157" w:type="dxa"/>
            <w:tcBorders>
              <w:top w:val="single" w:sz="4" w:space="0" w:color="A6A6A6" w:themeColor="background1" w:themeShade="A6"/>
              <w:bottom w:val="single" w:sz="4" w:space="0" w:color="A6A6A6" w:themeColor="background1" w:themeShade="A6"/>
            </w:tcBorders>
          </w:tcPr>
          <w:p w14:paraId="461C322E" w14:textId="77777777" w:rsidR="00F51523" w:rsidRPr="00181EF3" w:rsidRDefault="00F51523" w:rsidP="00F51523">
            <w:pPr>
              <w:pStyle w:val="TableText"/>
              <w:tabs>
                <w:tab w:val="decimal" w:pos="879"/>
              </w:tabs>
              <w:spacing w:after="0"/>
              <w:rPr>
                <w:b/>
                <w:szCs w:val="16"/>
                <w:lang w:eastAsia="en-NZ"/>
              </w:rPr>
            </w:pPr>
            <w:r w:rsidRPr="00181EF3">
              <w:rPr>
                <w:b/>
                <w:szCs w:val="16"/>
                <w:lang w:eastAsia="en-NZ"/>
              </w:rPr>
              <w:t>1,771,860</w:t>
            </w:r>
          </w:p>
          <w:p w14:paraId="42BDF750" w14:textId="77777777" w:rsidR="00F51523" w:rsidRPr="00181EF3" w:rsidRDefault="00F51523" w:rsidP="00F51523">
            <w:pPr>
              <w:pStyle w:val="TableText"/>
              <w:spacing w:before="0"/>
              <w:jc w:val="center"/>
              <w:rPr>
                <w:b/>
                <w:szCs w:val="16"/>
                <w:lang w:eastAsia="en-NZ"/>
              </w:rPr>
            </w:pPr>
            <w:r w:rsidRPr="00181EF3">
              <w:rPr>
                <w:b/>
                <w:szCs w:val="16"/>
                <w:lang w:eastAsia="en-NZ"/>
              </w:rPr>
              <w:t>(86%)</w:t>
            </w:r>
          </w:p>
        </w:tc>
        <w:tc>
          <w:tcPr>
            <w:tcW w:w="1158" w:type="dxa"/>
            <w:tcBorders>
              <w:top w:val="single" w:sz="4" w:space="0" w:color="A6A6A6" w:themeColor="background1" w:themeShade="A6"/>
              <w:bottom w:val="single" w:sz="4" w:space="0" w:color="A6A6A6" w:themeColor="background1" w:themeShade="A6"/>
            </w:tcBorders>
          </w:tcPr>
          <w:p w14:paraId="0CC5816C" w14:textId="77777777" w:rsidR="00F51523" w:rsidRPr="00181EF3" w:rsidRDefault="00F51523" w:rsidP="00F51523">
            <w:pPr>
              <w:pStyle w:val="TableText"/>
              <w:tabs>
                <w:tab w:val="decimal" w:pos="879"/>
              </w:tabs>
              <w:spacing w:after="0"/>
              <w:rPr>
                <w:b/>
                <w:szCs w:val="16"/>
                <w:lang w:eastAsia="en-NZ"/>
              </w:rPr>
            </w:pPr>
            <w:r w:rsidRPr="00181EF3">
              <w:rPr>
                <w:b/>
                <w:szCs w:val="16"/>
                <w:lang w:eastAsia="en-NZ"/>
              </w:rPr>
              <w:t>3,462,621</w:t>
            </w:r>
          </w:p>
          <w:p w14:paraId="1002B90B" w14:textId="77777777" w:rsidR="00F51523" w:rsidRPr="00181EF3" w:rsidRDefault="00F51523" w:rsidP="00F51523">
            <w:pPr>
              <w:pStyle w:val="TableText"/>
              <w:spacing w:before="0"/>
              <w:jc w:val="center"/>
              <w:rPr>
                <w:b/>
                <w:szCs w:val="16"/>
                <w:lang w:eastAsia="en-NZ"/>
              </w:rPr>
            </w:pPr>
            <w:r w:rsidRPr="00181EF3">
              <w:rPr>
                <w:b/>
                <w:szCs w:val="16"/>
                <w:lang w:eastAsia="en-NZ"/>
              </w:rPr>
              <w:t>(86%)</w:t>
            </w:r>
          </w:p>
        </w:tc>
      </w:tr>
    </w:tbl>
    <w:p w14:paraId="2FD5A081" w14:textId="31220F80" w:rsidR="00F51523" w:rsidRPr="00181EF3" w:rsidRDefault="00F51523" w:rsidP="00F51523">
      <w:pPr>
        <w:pStyle w:val="Note"/>
      </w:pPr>
      <w:r w:rsidRPr="00181EF3">
        <w:rPr>
          <w:lang w:eastAsia="en-NZ"/>
        </w:rPr>
        <w:t xml:space="preserve">Note: Due to rounding, individual figures in this table do not add to give the stated </w:t>
      </w:r>
      <w:r w:rsidR="00A07FC0">
        <w:rPr>
          <w:lang w:eastAsia="en-NZ"/>
        </w:rPr>
        <w:t>total</w:t>
      </w:r>
      <w:r w:rsidRPr="00181EF3">
        <w:rPr>
          <w:lang w:eastAsia="en-NZ"/>
        </w:rPr>
        <w:t>s.</w:t>
      </w:r>
    </w:p>
    <w:p w14:paraId="317B481C" w14:textId="3F21C659" w:rsidR="00F51523" w:rsidRPr="00181EF3" w:rsidRDefault="00F51523" w:rsidP="00EF58A1">
      <w:pPr>
        <w:pStyle w:val="Source"/>
        <w:spacing w:before="0"/>
        <w:rPr>
          <w:sz w:val="18"/>
          <w:lang w:eastAsia="en-NZ"/>
        </w:rPr>
      </w:pPr>
      <w:r w:rsidRPr="00181EF3">
        <w:rPr>
          <w:lang w:eastAsia="en-NZ"/>
        </w:rPr>
        <w:t xml:space="preserve">Source: </w:t>
      </w:r>
      <w:r w:rsidR="008F0248">
        <w:rPr>
          <w:lang w:eastAsia="en-NZ"/>
        </w:rPr>
        <w:t>Stats NZ</w:t>
      </w:r>
    </w:p>
    <w:p w14:paraId="618A2C71" w14:textId="77777777" w:rsidR="00F51523" w:rsidRDefault="00F51523" w:rsidP="00F51523"/>
    <w:p w14:paraId="0CD7D5D4" w14:textId="71D7B8F3" w:rsidR="006A632C" w:rsidRDefault="006A632C" w:rsidP="006A632C">
      <w:r w:rsidRPr="00181EF3">
        <w:t xml:space="preserve">In 2006 (Table 2), Māori comprised 14 percent of the New Zealand population. Females made up 51 percent of the Māori population and males 49 percent. In comparison with </w:t>
      </w:r>
      <w:r w:rsidR="00EC03A3">
        <w:t>non</w:t>
      </w:r>
      <w:r w:rsidR="00EC03A3">
        <w:noBreakHyphen/>
        <w:t>M</w:t>
      </w:r>
      <w:r w:rsidRPr="00181EF3">
        <w:t xml:space="preserve">āori, Māori constituted a very youthful population: 35 percent of Māori were aged less than 15 years, compared with only 19 percent of </w:t>
      </w:r>
      <w:r w:rsidR="00EC03A3">
        <w:t>non</w:t>
      </w:r>
      <w:r w:rsidR="00EC03A3">
        <w:noBreakHyphen/>
        <w:t>M</w:t>
      </w:r>
      <w:r w:rsidRPr="00181EF3">
        <w:t>āori. The median age for Māori in 2006 was 22.7 years, in comparison the median age for the total population was 35.9 years.</w:t>
      </w:r>
    </w:p>
    <w:p w14:paraId="4F32D346" w14:textId="77777777" w:rsidR="006A632C" w:rsidRPr="00181EF3" w:rsidRDefault="006A632C" w:rsidP="00F51523"/>
    <w:p w14:paraId="6BDFF32D" w14:textId="6E55AC18" w:rsidR="00F51523" w:rsidRPr="00181EF3" w:rsidRDefault="00F51523" w:rsidP="00F51523">
      <w:pPr>
        <w:pStyle w:val="Table"/>
        <w:rPr>
          <w:i/>
        </w:rPr>
      </w:pPr>
      <w:bookmarkStart w:id="26" w:name="_Toc18594743"/>
      <w:r w:rsidRPr="00181EF3">
        <w:t xml:space="preserve">Table </w:t>
      </w:r>
      <w:r>
        <w:rPr>
          <w:noProof/>
        </w:rPr>
        <w:fldChar w:fldCharType="begin"/>
      </w:r>
      <w:r>
        <w:rPr>
          <w:noProof/>
        </w:rPr>
        <w:instrText xml:space="preserve"> SEQ Table \* ARABIC </w:instrText>
      </w:r>
      <w:r>
        <w:rPr>
          <w:noProof/>
        </w:rPr>
        <w:fldChar w:fldCharType="separate"/>
      </w:r>
      <w:r w:rsidR="00D2215B">
        <w:rPr>
          <w:noProof/>
        </w:rPr>
        <w:t>3</w:t>
      </w:r>
      <w:r>
        <w:rPr>
          <w:noProof/>
        </w:rPr>
        <w:fldChar w:fldCharType="end"/>
      </w:r>
      <w:r w:rsidRPr="00181EF3">
        <w:t xml:space="preserve">: Population by age group and gender, Māori and </w:t>
      </w:r>
      <w:r w:rsidR="00EC03A3">
        <w:t>non</w:t>
      </w:r>
      <w:r w:rsidR="00EC03A3">
        <w:noBreakHyphen/>
        <w:t>M</w:t>
      </w:r>
      <w:r w:rsidRPr="00181EF3">
        <w:t>āori, 2013</w:t>
      </w:r>
      <w:bookmarkEnd w:id="26"/>
    </w:p>
    <w:tbl>
      <w:tblPr>
        <w:tblW w:w="8080" w:type="dxa"/>
        <w:tblInd w:w="57" w:type="dxa"/>
        <w:tblLayout w:type="fixed"/>
        <w:tblCellMar>
          <w:left w:w="57" w:type="dxa"/>
          <w:right w:w="57" w:type="dxa"/>
        </w:tblCellMar>
        <w:tblLook w:val="04A0" w:firstRow="1" w:lastRow="0" w:firstColumn="1" w:lastColumn="0" w:noHBand="0" w:noVBand="1"/>
      </w:tblPr>
      <w:tblGrid>
        <w:gridCol w:w="1135"/>
        <w:gridCol w:w="1157"/>
        <w:gridCol w:w="1158"/>
        <w:gridCol w:w="1157"/>
        <w:gridCol w:w="1158"/>
        <w:gridCol w:w="1157"/>
        <w:gridCol w:w="1158"/>
      </w:tblGrid>
      <w:tr w:rsidR="00F51523" w:rsidRPr="00181EF3" w14:paraId="3C30F933" w14:textId="77777777" w:rsidTr="00F51523">
        <w:trPr>
          <w:cantSplit/>
        </w:trPr>
        <w:tc>
          <w:tcPr>
            <w:tcW w:w="1135" w:type="dxa"/>
            <w:vMerge w:val="restart"/>
            <w:tcBorders>
              <w:right w:val="single" w:sz="4" w:space="0" w:color="A6A6A6" w:themeColor="background1" w:themeShade="A6"/>
            </w:tcBorders>
            <w:shd w:val="clear" w:color="auto" w:fill="D9D9D9" w:themeFill="background1" w:themeFillShade="D9"/>
          </w:tcPr>
          <w:p w14:paraId="098101E2" w14:textId="77777777" w:rsidR="00F51523" w:rsidRPr="00181EF3" w:rsidRDefault="00F51523" w:rsidP="00F51523">
            <w:pPr>
              <w:pStyle w:val="TableText"/>
              <w:rPr>
                <w:b/>
              </w:rPr>
            </w:pPr>
            <w:r w:rsidRPr="00181EF3">
              <w:rPr>
                <w:b/>
              </w:rPr>
              <w:t>Age group (years)</w:t>
            </w:r>
          </w:p>
        </w:tc>
        <w:tc>
          <w:tcPr>
            <w:tcW w:w="3472" w:type="dxa"/>
            <w:gridSpan w:val="3"/>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3531EA62" w14:textId="77777777" w:rsidR="00F51523" w:rsidRPr="00181EF3" w:rsidRDefault="00F51523" w:rsidP="00F51523">
            <w:pPr>
              <w:pStyle w:val="TableText"/>
              <w:jc w:val="center"/>
              <w:rPr>
                <w:b/>
              </w:rPr>
            </w:pPr>
            <w:r w:rsidRPr="00181EF3">
              <w:rPr>
                <w:b/>
              </w:rPr>
              <w:t>Māori</w:t>
            </w:r>
          </w:p>
        </w:tc>
        <w:tc>
          <w:tcPr>
            <w:tcW w:w="3473" w:type="dxa"/>
            <w:gridSpan w:val="3"/>
            <w:tcBorders>
              <w:left w:val="single" w:sz="4" w:space="0" w:color="A6A6A6" w:themeColor="background1" w:themeShade="A6"/>
            </w:tcBorders>
            <w:shd w:val="clear" w:color="auto" w:fill="D9D9D9" w:themeFill="background1" w:themeFillShade="D9"/>
          </w:tcPr>
          <w:p w14:paraId="56F97CAE" w14:textId="36E81CFB" w:rsidR="00F51523" w:rsidRPr="00181EF3" w:rsidRDefault="00EC03A3" w:rsidP="00F51523">
            <w:pPr>
              <w:pStyle w:val="TableText"/>
              <w:jc w:val="center"/>
              <w:rPr>
                <w:b/>
              </w:rPr>
            </w:pPr>
            <w:r>
              <w:rPr>
                <w:b/>
              </w:rPr>
              <w:t>Non</w:t>
            </w:r>
            <w:r>
              <w:rPr>
                <w:b/>
              </w:rPr>
              <w:noBreakHyphen/>
              <w:t>M</w:t>
            </w:r>
            <w:r w:rsidR="00F51523" w:rsidRPr="00181EF3">
              <w:rPr>
                <w:b/>
              </w:rPr>
              <w:t>āori</w:t>
            </w:r>
          </w:p>
        </w:tc>
      </w:tr>
      <w:tr w:rsidR="00F51523" w:rsidRPr="00181EF3" w14:paraId="74392931" w14:textId="77777777" w:rsidTr="00F51523">
        <w:trPr>
          <w:cantSplit/>
        </w:trPr>
        <w:tc>
          <w:tcPr>
            <w:tcW w:w="1135" w:type="dxa"/>
            <w:vMerge/>
            <w:tcBorders>
              <w:right w:val="single" w:sz="4" w:space="0" w:color="A6A6A6" w:themeColor="background1" w:themeShade="A6"/>
            </w:tcBorders>
            <w:shd w:val="clear" w:color="auto" w:fill="D9D9D9" w:themeFill="background1" w:themeFillShade="D9"/>
          </w:tcPr>
          <w:p w14:paraId="3DD4F923" w14:textId="77777777" w:rsidR="00F51523" w:rsidRPr="00181EF3" w:rsidRDefault="00F51523" w:rsidP="00F51523">
            <w:pPr>
              <w:pStyle w:val="TableText"/>
              <w:rPr>
                <w:b/>
              </w:rPr>
            </w:pPr>
          </w:p>
        </w:tc>
        <w:tc>
          <w:tcPr>
            <w:tcW w:w="1157" w:type="dxa"/>
            <w:tcBorders>
              <w:left w:val="single" w:sz="4" w:space="0" w:color="A6A6A6" w:themeColor="background1" w:themeShade="A6"/>
            </w:tcBorders>
            <w:shd w:val="clear" w:color="auto" w:fill="D9D9D9" w:themeFill="background1" w:themeFillShade="D9"/>
          </w:tcPr>
          <w:p w14:paraId="2E6684DD" w14:textId="77777777" w:rsidR="00F51523" w:rsidRPr="00181EF3" w:rsidRDefault="00F51523" w:rsidP="00F51523">
            <w:pPr>
              <w:pStyle w:val="TableText"/>
              <w:spacing w:before="0"/>
              <w:jc w:val="center"/>
              <w:rPr>
                <w:b/>
              </w:rPr>
            </w:pPr>
            <w:r w:rsidRPr="00181EF3">
              <w:rPr>
                <w:b/>
              </w:rPr>
              <w:t>Males</w:t>
            </w:r>
          </w:p>
        </w:tc>
        <w:tc>
          <w:tcPr>
            <w:tcW w:w="1158" w:type="dxa"/>
            <w:shd w:val="clear" w:color="auto" w:fill="D9D9D9" w:themeFill="background1" w:themeFillShade="D9"/>
          </w:tcPr>
          <w:p w14:paraId="2E03E143" w14:textId="77777777" w:rsidR="00F51523" w:rsidRPr="00181EF3" w:rsidRDefault="00F51523" w:rsidP="00F51523">
            <w:pPr>
              <w:pStyle w:val="TableText"/>
              <w:spacing w:before="0"/>
              <w:jc w:val="center"/>
              <w:rPr>
                <w:b/>
              </w:rPr>
            </w:pPr>
            <w:r w:rsidRPr="00181EF3">
              <w:rPr>
                <w:b/>
              </w:rPr>
              <w:t>Females</w:t>
            </w:r>
          </w:p>
        </w:tc>
        <w:tc>
          <w:tcPr>
            <w:tcW w:w="1157" w:type="dxa"/>
            <w:tcBorders>
              <w:right w:val="single" w:sz="4" w:space="0" w:color="A6A6A6" w:themeColor="background1" w:themeShade="A6"/>
            </w:tcBorders>
            <w:shd w:val="clear" w:color="auto" w:fill="D9D9D9" w:themeFill="background1" w:themeFillShade="D9"/>
          </w:tcPr>
          <w:p w14:paraId="65E58C0C" w14:textId="77777777" w:rsidR="00F51523" w:rsidRPr="00181EF3" w:rsidRDefault="00F51523" w:rsidP="00F51523">
            <w:pPr>
              <w:pStyle w:val="TableText"/>
              <w:spacing w:before="0"/>
              <w:jc w:val="center"/>
              <w:rPr>
                <w:b/>
              </w:rPr>
            </w:pPr>
            <w:r w:rsidRPr="00181EF3">
              <w:rPr>
                <w:b/>
              </w:rPr>
              <w:t>Total</w:t>
            </w:r>
          </w:p>
        </w:tc>
        <w:tc>
          <w:tcPr>
            <w:tcW w:w="1158" w:type="dxa"/>
            <w:tcBorders>
              <w:left w:val="single" w:sz="4" w:space="0" w:color="A6A6A6" w:themeColor="background1" w:themeShade="A6"/>
            </w:tcBorders>
            <w:shd w:val="clear" w:color="auto" w:fill="D9D9D9" w:themeFill="background1" w:themeFillShade="D9"/>
          </w:tcPr>
          <w:p w14:paraId="323A97DB" w14:textId="77777777" w:rsidR="00F51523" w:rsidRPr="00181EF3" w:rsidRDefault="00F51523" w:rsidP="00F51523">
            <w:pPr>
              <w:pStyle w:val="TableText"/>
              <w:spacing w:before="0"/>
              <w:jc w:val="center"/>
              <w:rPr>
                <w:b/>
              </w:rPr>
            </w:pPr>
            <w:r w:rsidRPr="00181EF3">
              <w:rPr>
                <w:b/>
              </w:rPr>
              <w:t>Males</w:t>
            </w:r>
          </w:p>
        </w:tc>
        <w:tc>
          <w:tcPr>
            <w:tcW w:w="1157" w:type="dxa"/>
            <w:shd w:val="clear" w:color="auto" w:fill="D9D9D9" w:themeFill="background1" w:themeFillShade="D9"/>
          </w:tcPr>
          <w:p w14:paraId="0CE06AD4" w14:textId="77777777" w:rsidR="00F51523" w:rsidRPr="00181EF3" w:rsidRDefault="00F51523" w:rsidP="00F51523">
            <w:pPr>
              <w:pStyle w:val="TableText"/>
              <w:spacing w:before="0"/>
              <w:jc w:val="center"/>
              <w:rPr>
                <w:b/>
              </w:rPr>
            </w:pPr>
            <w:r w:rsidRPr="00181EF3">
              <w:rPr>
                <w:b/>
              </w:rPr>
              <w:t>Females</w:t>
            </w:r>
          </w:p>
        </w:tc>
        <w:tc>
          <w:tcPr>
            <w:tcW w:w="1158" w:type="dxa"/>
            <w:shd w:val="clear" w:color="auto" w:fill="D9D9D9" w:themeFill="background1" w:themeFillShade="D9"/>
          </w:tcPr>
          <w:p w14:paraId="186EF852" w14:textId="77777777" w:rsidR="00F51523" w:rsidRPr="00181EF3" w:rsidRDefault="00F51523" w:rsidP="00F51523">
            <w:pPr>
              <w:pStyle w:val="TableText"/>
              <w:spacing w:before="0"/>
              <w:jc w:val="center"/>
              <w:rPr>
                <w:b/>
              </w:rPr>
            </w:pPr>
            <w:r w:rsidRPr="00181EF3">
              <w:rPr>
                <w:b/>
              </w:rPr>
              <w:t>Total</w:t>
            </w:r>
          </w:p>
        </w:tc>
      </w:tr>
      <w:tr w:rsidR="00F51523" w:rsidRPr="00181EF3" w14:paraId="76D577AB" w14:textId="77777777" w:rsidTr="00F51523">
        <w:trPr>
          <w:cantSplit/>
        </w:trPr>
        <w:tc>
          <w:tcPr>
            <w:tcW w:w="1135" w:type="dxa"/>
            <w:tcBorders>
              <w:bottom w:val="single" w:sz="4" w:space="0" w:color="A6A6A6" w:themeColor="background1" w:themeShade="A6"/>
              <w:right w:val="single" w:sz="4" w:space="0" w:color="A6A6A6" w:themeColor="background1" w:themeShade="A6"/>
            </w:tcBorders>
          </w:tcPr>
          <w:p w14:paraId="4FEE40F9" w14:textId="77777777" w:rsidR="00F51523" w:rsidRPr="00181EF3" w:rsidRDefault="00F51523" w:rsidP="00F51523">
            <w:pPr>
              <w:pStyle w:val="TableText"/>
              <w:rPr>
                <w:szCs w:val="16"/>
                <w:lang w:eastAsia="en-NZ"/>
              </w:rPr>
            </w:pPr>
            <w:r w:rsidRPr="00181EF3">
              <w:rPr>
                <w:szCs w:val="16"/>
                <w:lang w:eastAsia="en-NZ"/>
              </w:rPr>
              <w:t>0–14</w:t>
            </w:r>
          </w:p>
        </w:tc>
        <w:tc>
          <w:tcPr>
            <w:tcW w:w="1157" w:type="dxa"/>
            <w:tcBorders>
              <w:left w:val="single" w:sz="4" w:space="0" w:color="A6A6A6" w:themeColor="background1" w:themeShade="A6"/>
              <w:bottom w:val="single" w:sz="4" w:space="0" w:color="A6A6A6" w:themeColor="background1" w:themeShade="A6"/>
            </w:tcBorders>
          </w:tcPr>
          <w:p w14:paraId="023F7A2F" w14:textId="77777777" w:rsidR="00F51523" w:rsidRPr="00181EF3" w:rsidRDefault="00F51523" w:rsidP="00F51523">
            <w:pPr>
              <w:pStyle w:val="TableText"/>
              <w:tabs>
                <w:tab w:val="decimal" w:pos="794"/>
              </w:tabs>
              <w:spacing w:after="0"/>
              <w:rPr>
                <w:szCs w:val="16"/>
                <w:lang w:eastAsia="en-NZ"/>
              </w:rPr>
            </w:pPr>
            <w:r w:rsidRPr="00181EF3">
              <w:rPr>
                <w:szCs w:val="16"/>
                <w:lang w:eastAsia="en-NZ"/>
              </w:rPr>
              <w:t>119,790</w:t>
            </w:r>
          </w:p>
          <w:p w14:paraId="583F1BDD" w14:textId="77777777" w:rsidR="00F51523" w:rsidRPr="00181EF3" w:rsidRDefault="00F51523" w:rsidP="00F51523">
            <w:pPr>
              <w:pStyle w:val="TableText"/>
              <w:spacing w:before="0"/>
              <w:jc w:val="center"/>
              <w:rPr>
                <w:szCs w:val="16"/>
                <w:lang w:eastAsia="en-NZ"/>
              </w:rPr>
            </w:pPr>
            <w:r w:rsidRPr="00181EF3">
              <w:rPr>
                <w:szCs w:val="16"/>
                <w:lang w:eastAsia="en-NZ"/>
              </w:rPr>
              <w:t>(26%)</w:t>
            </w:r>
          </w:p>
        </w:tc>
        <w:tc>
          <w:tcPr>
            <w:tcW w:w="1158" w:type="dxa"/>
            <w:tcBorders>
              <w:bottom w:val="single" w:sz="4" w:space="0" w:color="A6A6A6" w:themeColor="background1" w:themeShade="A6"/>
            </w:tcBorders>
          </w:tcPr>
          <w:p w14:paraId="081CCF5F" w14:textId="77777777" w:rsidR="00F51523" w:rsidRPr="00181EF3" w:rsidRDefault="00F51523" w:rsidP="00F51523">
            <w:pPr>
              <w:pStyle w:val="TableText"/>
              <w:tabs>
                <w:tab w:val="decimal" w:pos="794"/>
              </w:tabs>
              <w:spacing w:after="0"/>
              <w:rPr>
                <w:szCs w:val="16"/>
                <w:lang w:eastAsia="en-NZ"/>
              </w:rPr>
            </w:pPr>
            <w:r w:rsidRPr="00181EF3">
              <w:rPr>
                <w:szCs w:val="16"/>
                <w:lang w:eastAsia="en-NZ"/>
              </w:rPr>
              <w:t>113,200</w:t>
            </w:r>
          </w:p>
          <w:p w14:paraId="544C3113" w14:textId="77777777" w:rsidR="00F51523" w:rsidRPr="00181EF3" w:rsidRDefault="00F51523" w:rsidP="00F51523">
            <w:pPr>
              <w:pStyle w:val="TableText"/>
              <w:spacing w:before="0"/>
              <w:jc w:val="center"/>
              <w:rPr>
                <w:szCs w:val="16"/>
                <w:lang w:eastAsia="en-NZ"/>
              </w:rPr>
            </w:pPr>
            <w:r w:rsidRPr="00181EF3">
              <w:rPr>
                <w:szCs w:val="16"/>
                <w:lang w:eastAsia="en-NZ"/>
              </w:rPr>
              <w:t>(26%)</w:t>
            </w:r>
          </w:p>
        </w:tc>
        <w:tc>
          <w:tcPr>
            <w:tcW w:w="1157" w:type="dxa"/>
            <w:tcBorders>
              <w:bottom w:val="single" w:sz="4" w:space="0" w:color="A6A6A6" w:themeColor="background1" w:themeShade="A6"/>
              <w:right w:val="single" w:sz="4" w:space="0" w:color="A6A6A6" w:themeColor="background1" w:themeShade="A6"/>
            </w:tcBorders>
          </w:tcPr>
          <w:p w14:paraId="0A037D46" w14:textId="77777777" w:rsidR="00F51523" w:rsidRPr="00181EF3" w:rsidRDefault="00F51523" w:rsidP="00F51523">
            <w:pPr>
              <w:pStyle w:val="TableText"/>
              <w:tabs>
                <w:tab w:val="decimal" w:pos="794"/>
              </w:tabs>
              <w:spacing w:after="0"/>
              <w:rPr>
                <w:szCs w:val="16"/>
                <w:lang w:eastAsia="en-NZ"/>
              </w:rPr>
            </w:pPr>
            <w:r w:rsidRPr="00181EF3">
              <w:rPr>
                <w:szCs w:val="16"/>
                <w:lang w:eastAsia="en-NZ"/>
              </w:rPr>
              <w:t>232,980</w:t>
            </w:r>
          </w:p>
          <w:p w14:paraId="42E991F7" w14:textId="77777777" w:rsidR="00F51523" w:rsidRPr="00181EF3" w:rsidRDefault="00F51523" w:rsidP="00F51523">
            <w:pPr>
              <w:pStyle w:val="TableText"/>
              <w:spacing w:before="0"/>
              <w:jc w:val="center"/>
              <w:rPr>
                <w:szCs w:val="16"/>
                <w:lang w:eastAsia="en-NZ"/>
              </w:rPr>
            </w:pPr>
            <w:r w:rsidRPr="00181EF3">
              <w:rPr>
                <w:szCs w:val="16"/>
                <w:lang w:eastAsia="en-NZ"/>
              </w:rPr>
              <w:t>(26%)</w:t>
            </w:r>
          </w:p>
        </w:tc>
        <w:tc>
          <w:tcPr>
            <w:tcW w:w="1158" w:type="dxa"/>
            <w:tcBorders>
              <w:left w:val="single" w:sz="4" w:space="0" w:color="A6A6A6" w:themeColor="background1" w:themeShade="A6"/>
              <w:bottom w:val="single" w:sz="4" w:space="0" w:color="A6A6A6" w:themeColor="background1" w:themeShade="A6"/>
            </w:tcBorders>
          </w:tcPr>
          <w:p w14:paraId="159178AA" w14:textId="77777777" w:rsidR="00F51523" w:rsidRPr="00181EF3" w:rsidRDefault="00F51523" w:rsidP="00F51523">
            <w:pPr>
              <w:pStyle w:val="TableText"/>
              <w:tabs>
                <w:tab w:val="decimal" w:pos="879"/>
              </w:tabs>
              <w:spacing w:after="0"/>
              <w:rPr>
                <w:szCs w:val="16"/>
                <w:lang w:eastAsia="en-NZ"/>
              </w:rPr>
            </w:pPr>
            <w:r w:rsidRPr="00181EF3">
              <w:rPr>
                <w:szCs w:val="16"/>
                <w:lang w:eastAsia="en-NZ"/>
              </w:rPr>
              <w:t>346,110</w:t>
            </w:r>
          </w:p>
          <w:p w14:paraId="08CED3A0" w14:textId="77777777" w:rsidR="00F51523" w:rsidRPr="00181EF3" w:rsidRDefault="00F51523" w:rsidP="00F51523">
            <w:pPr>
              <w:pStyle w:val="TableText"/>
              <w:spacing w:before="0"/>
              <w:jc w:val="center"/>
              <w:rPr>
                <w:szCs w:val="16"/>
                <w:lang w:eastAsia="en-NZ"/>
              </w:rPr>
            </w:pPr>
            <w:r w:rsidRPr="00181EF3">
              <w:rPr>
                <w:szCs w:val="16"/>
                <w:lang w:eastAsia="en-NZ"/>
              </w:rPr>
              <w:t>(74%)</w:t>
            </w:r>
          </w:p>
        </w:tc>
        <w:tc>
          <w:tcPr>
            <w:tcW w:w="1157" w:type="dxa"/>
            <w:tcBorders>
              <w:bottom w:val="single" w:sz="4" w:space="0" w:color="A6A6A6" w:themeColor="background1" w:themeShade="A6"/>
            </w:tcBorders>
          </w:tcPr>
          <w:p w14:paraId="019947A4" w14:textId="77777777" w:rsidR="00F51523" w:rsidRPr="00181EF3" w:rsidRDefault="00F51523" w:rsidP="00F51523">
            <w:pPr>
              <w:pStyle w:val="TableText"/>
              <w:tabs>
                <w:tab w:val="decimal" w:pos="879"/>
              </w:tabs>
              <w:spacing w:after="0"/>
              <w:rPr>
                <w:szCs w:val="16"/>
                <w:lang w:eastAsia="en-NZ"/>
              </w:rPr>
            </w:pPr>
            <w:r w:rsidRPr="00181EF3">
              <w:rPr>
                <w:szCs w:val="16"/>
                <w:lang w:eastAsia="en-NZ"/>
              </w:rPr>
              <w:t>329,640</w:t>
            </w:r>
          </w:p>
          <w:p w14:paraId="705E1FFD" w14:textId="77777777" w:rsidR="00F51523" w:rsidRPr="00181EF3" w:rsidRDefault="00F51523" w:rsidP="00F51523">
            <w:pPr>
              <w:pStyle w:val="TableText"/>
              <w:spacing w:before="0"/>
              <w:jc w:val="center"/>
              <w:rPr>
                <w:szCs w:val="16"/>
                <w:lang w:eastAsia="en-NZ"/>
              </w:rPr>
            </w:pPr>
            <w:r w:rsidRPr="00181EF3">
              <w:rPr>
                <w:szCs w:val="16"/>
                <w:lang w:eastAsia="en-NZ"/>
              </w:rPr>
              <w:t>(74%)</w:t>
            </w:r>
          </w:p>
        </w:tc>
        <w:tc>
          <w:tcPr>
            <w:tcW w:w="1158" w:type="dxa"/>
            <w:tcBorders>
              <w:bottom w:val="single" w:sz="4" w:space="0" w:color="A6A6A6" w:themeColor="background1" w:themeShade="A6"/>
            </w:tcBorders>
          </w:tcPr>
          <w:p w14:paraId="65FE1CB4" w14:textId="77777777" w:rsidR="00F51523" w:rsidRPr="00181EF3" w:rsidRDefault="00F51523" w:rsidP="00F51523">
            <w:pPr>
              <w:pStyle w:val="TableText"/>
              <w:tabs>
                <w:tab w:val="decimal" w:pos="879"/>
              </w:tabs>
              <w:spacing w:after="0"/>
              <w:rPr>
                <w:szCs w:val="16"/>
                <w:lang w:eastAsia="en-NZ"/>
              </w:rPr>
            </w:pPr>
            <w:r w:rsidRPr="00181EF3">
              <w:rPr>
                <w:szCs w:val="16"/>
                <w:lang w:eastAsia="en-NZ"/>
              </w:rPr>
              <w:t>675,790</w:t>
            </w:r>
          </w:p>
          <w:p w14:paraId="60A00B11" w14:textId="77777777" w:rsidR="00F51523" w:rsidRPr="00181EF3" w:rsidRDefault="00F51523" w:rsidP="00F51523">
            <w:pPr>
              <w:pStyle w:val="TableText"/>
              <w:spacing w:before="0"/>
              <w:jc w:val="center"/>
              <w:rPr>
                <w:szCs w:val="16"/>
                <w:lang w:eastAsia="en-NZ"/>
              </w:rPr>
            </w:pPr>
            <w:r w:rsidRPr="00181EF3">
              <w:rPr>
                <w:szCs w:val="16"/>
                <w:lang w:eastAsia="en-NZ"/>
              </w:rPr>
              <w:t>(74%)</w:t>
            </w:r>
          </w:p>
        </w:tc>
      </w:tr>
      <w:tr w:rsidR="00F51523" w:rsidRPr="00181EF3" w14:paraId="3705C7A1" w14:textId="77777777" w:rsidTr="00F51523">
        <w:trPr>
          <w:cantSplit/>
        </w:trPr>
        <w:tc>
          <w:tcPr>
            <w:tcW w:w="113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65CDBEB" w14:textId="77777777" w:rsidR="00F51523" w:rsidRPr="00181EF3" w:rsidRDefault="00F51523" w:rsidP="00F51523">
            <w:pPr>
              <w:pStyle w:val="TableText"/>
              <w:rPr>
                <w:szCs w:val="16"/>
                <w:lang w:eastAsia="en-NZ"/>
              </w:rPr>
            </w:pPr>
            <w:r w:rsidRPr="00181EF3">
              <w:rPr>
                <w:szCs w:val="16"/>
                <w:lang w:eastAsia="en-NZ"/>
              </w:rPr>
              <w:t>15–24</w:t>
            </w:r>
          </w:p>
        </w:tc>
        <w:tc>
          <w:tcPr>
            <w:tcW w:w="115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36DCFDD" w14:textId="77777777" w:rsidR="00F51523" w:rsidRPr="00181EF3" w:rsidRDefault="00F51523" w:rsidP="00F51523">
            <w:pPr>
              <w:pStyle w:val="TableText"/>
              <w:tabs>
                <w:tab w:val="decimal" w:pos="794"/>
              </w:tabs>
              <w:spacing w:after="0"/>
              <w:rPr>
                <w:szCs w:val="16"/>
                <w:lang w:eastAsia="en-NZ"/>
              </w:rPr>
            </w:pPr>
            <w:r w:rsidRPr="00181EF3">
              <w:rPr>
                <w:szCs w:val="16"/>
                <w:lang w:eastAsia="en-NZ"/>
              </w:rPr>
              <w:t>63,550</w:t>
            </w:r>
          </w:p>
          <w:p w14:paraId="06CC371E" w14:textId="77777777" w:rsidR="00F51523" w:rsidRPr="00181EF3" w:rsidRDefault="00F51523" w:rsidP="00F51523">
            <w:pPr>
              <w:pStyle w:val="TableText"/>
              <w:spacing w:before="0"/>
              <w:jc w:val="center"/>
              <w:rPr>
                <w:szCs w:val="16"/>
                <w:lang w:eastAsia="en-NZ"/>
              </w:rPr>
            </w:pPr>
            <w:r w:rsidRPr="00181EF3">
              <w:rPr>
                <w:szCs w:val="16"/>
                <w:lang w:eastAsia="en-NZ"/>
              </w:rPr>
              <w:t>(20%)</w:t>
            </w:r>
          </w:p>
        </w:tc>
        <w:tc>
          <w:tcPr>
            <w:tcW w:w="1158" w:type="dxa"/>
            <w:tcBorders>
              <w:top w:val="single" w:sz="4" w:space="0" w:color="A6A6A6" w:themeColor="background1" w:themeShade="A6"/>
              <w:bottom w:val="single" w:sz="4" w:space="0" w:color="A6A6A6" w:themeColor="background1" w:themeShade="A6"/>
            </w:tcBorders>
          </w:tcPr>
          <w:p w14:paraId="636B279A" w14:textId="77777777" w:rsidR="00F51523" w:rsidRPr="00181EF3" w:rsidRDefault="00F51523" w:rsidP="00F51523">
            <w:pPr>
              <w:pStyle w:val="TableText"/>
              <w:tabs>
                <w:tab w:val="decimal" w:pos="794"/>
              </w:tabs>
              <w:spacing w:after="0"/>
              <w:rPr>
                <w:szCs w:val="16"/>
                <w:lang w:eastAsia="en-NZ"/>
              </w:rPr>
            </w:pPr>
            <w:r w:rsidRPr="00181EF3">
              <w:rPr>
                <w:szCs w:val="16"/>
                <w:lang w:eastAsia="en-NZ"/>
              </w:rPr>
              <w:t>64,210</w:t>
            </w:r>
          </w:p>
          <w:p w14:paraId="20DB3782" w14:textId="77777777" w:rsidR="00F51523" w:rsidRPr="00181EF3" w:rsidRDefault="00F51523" w:rsidP="00F51523">
            <w:pPr>
              <w:pStyle w:val="TableText"/>
              <w:spacing w:before="0"/>
              <w:jc w:val="center"/>
              <w:rPr>
                <w:szCs w:val="16"/>
                <w:lang w:eastAsia="en-NZ"/>
              </w:rPr>
            </w:pPr>
            <w:r w:rsidRPr="00181EF3">
              <w:rPr>
                <w:szCs w:val="16"/>
                <w:lang w:eastAsia="en-NZ"/>
              </w:rPr>
              <w:t>(21%)</w:t>
            </w:r>
          </w:p>
        </w:tc>
        <w:tc>
          <w:tcPr>
            <w:tcW w:w="115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4ED33AC" w14:textId="77777777" w:rsidR="00F51523" w:rsidRPr="00181EF3" w:rsidRDefault="00F51523" w:rsidP="00F51523">
            <w:pPr>
              <w:pStyle w:val="TableText"/>
              <w:tabs>
                <w:tab w:val="decimal" w:pos="794"/>
              </w:tabs>
              <w:spacing w:after="0"/>
              <w:rPr>
                <w:szCs w:val="16"/>
                <w:lang w:eastAsia="en-NZ"/>
              </w:rPr>
            </w:pPr>
            <w:r w:rsidRPr="00181EF3">
              <w:rPr>
                <w:szCs w:val="16"/>
                <w:lang w:eastAsia="en-NZ"/>
              </w:rPr>
              <w:t>127,760</w:t>
            </w:r>
          </w:p>
          <w:p w14:paraId="6AE3FEDC" w14:textId="77777777" w:rsidR="00F51523" w:rsidRPr="00181EF3" w:rsidRDefault="00F51523" w:rsidP="00F51523">
            <w:pPr>
              <w:pStyle w:val="TableText"/>
              <w:spacing w:before="0"/>
              <w:jc w:val="center"/>
              <w:rPr>
                <w:szCs w:val="16"/>
                <w:lang w:eastAsia="en-NZ"/>
              </w:rPr>
            </w:pPr>
            <w:r w:rsidRPr="00181EF3">
              <w:rPr>
                <w:szCs w:val="16"/>
                <w:lang w:eastAsia="en-NZ"/>
              </w:rPr>
              <w:t>(20%)</w:t>
            </w:r>
          </w:p>
        </w:tc>
        <w:tc>
          <w:tcPr>
            <w:tcW w:w="1158"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7B532A9" w14:textId="77777777" w:rsidR="00F51523" w:rsidRPr="00181EF3" w:rsidRDefault="00F51523" w:rsidP="00F51523">
            <w:pPr>
              <w:pStyle w:val="TableText"/>
              <w:tabs>
                <w:tab w:val="decimal" w:pos="879"/>
              </w:tabs>
              <w:spacing w:after="0"/>
              <w:rPr>
                <w:szCs w:val="16"/>
                <w:lang w:eastAsia="en-NZ"/>
              </w:rPr>
            </w:pPr>
            <w:r w:rsidRPr="00181EF3">
              <w:rPr>
                <w:szCs w:val="16"/>
                <w:lang w:eastAsia="en-NZ"/>
              </w:rPr>
              <w:t>255,780</w:t>
            </w:r>
          </w:p>
          <w:p w14:paraId="0D65573D" w14:textId="77777777" w:rsidR="00F51523" w:rsidRPr="00181EF3" w:rsidRDefault="00F51523" w:rsidP="00F51523">
            <w:pPr>
              <w:pStyle w:val="TableText"/>
              <w:spacing w:before="0"/>
              <w:jc w:val="center"/>
              <w:rPr>
                <w:szCs w:val="16"/>
                <w:lang w:eastAsia="en-NZ"/>
              </w:rPr>
            </w:pPr>
            <w:r w:rsidRPr="00181EF3">
              <w:rPr>
                <w:szCs w:val="16"/>
                <w:lang w:eastAsia="en-NZ"/>
              </w:rPr>
              <w:t>(80%)</w:t>
            </w:r>
          </w:p>
        </w:tc>
        <w:tc>
          <w:tcPr>
            <w:tcW w:w="1157" w:type="dxa"/>
            <w:tcBorders>
              <w:top w:val="single" w:sz="4" w:space="0" w:color="A6A6A6" w:themeColor="background1" w:themeShade="A6"/>
              <w:bottom w:val="single" w:sz="4" w:space="0" w:color="A6A6A6" w:themeColor="background1" w:themeShade="A6"/>
            </w:tcBorders>
          </w:tcPr>
          <w:p w14:paraId="03D06A79" w14:textId="77777777" w:rsidR="00F51523" w:rsidRPr="00181EF3" w:rsidRDefault="00F51523" w:rsidP="00F51523">
            <w:pPr>
              <w:pStyle w:val="TableText"/>
              <w:tabs>
                <w:tab w:val="decimal" w:pos="879"/>
              </w:tabs>
              <w:spacing w:after="0"/>
              <w:rPr>
                <w:szCs w:val="16"/>
                <w:lang w:eastAsia="en-NZ"/>
              </w:rPr>
            </w:pPr>
            <w:r w:rsidRPr="00181EF3">
              <w:rPr>
                <w:szCs w:val="16"/>
                <w:lang w:eastAsia="en-NZ"/>
              </w:rPr>
              <w:t>243,860</w:t>
            </w:r>
          </w:p>
          <w:p w14:paraId="6D9156FB" w14:textId="77777777" w:rsidR="00F51523" w:rsidRPr="00181EF3" w:rsidRDefault="00F51523" w:rsidP="00F51523">
            <w:pPr>
              <w:pStyle w:val="TableText"/>
              <w:spacing w:before="0"/>
              <w:jc w:val="center"/>
              <w:rPr>
                <w:szCs w:val="16"/>
                <w:lang w:eastAsia="en-NZ"/>
              </w:rPr>
            </w:pPr>
            <w:r w:rsidRPr="00181EF3">
              <w:rPr>
                <w:szCs w:val="16"/>
                <w:lang w:eastAsia="en-NZ"/>
              </w:rPr>
              <w:t>(79%)</w:t>
            </w:r>
          </w:p>
        </w:tc>
        <w:tc>
          <w:tcPr>
            <w:tcW w:w="1158" w:type="dxa"/>
            <w:tcBorders>
              <w:top w:val="single" w:sz="4" w:space="0" w:color="A6A6A6" w:themeColor="background1" w:themeShade="A6"/>
              <w:bottom w:val="single" w:sz="4" w:space="0" w:color="A6A6A6" w:themeColor="background1" w:themeShade="A6"/>
            </w:tcBorders>
          </w:tcPr>
          <w:p w14:paraId="7BC2CFC5" w14:textId="77777777" w:rsidR="00F51523" w:rsidRPr="00181EF3" w:rsidRDefault="00F51523" w:rsidP="00F51523">
            <w:pPr>
              <w:pStyle w:val="TableText"/>
              <w:tabs>
                <w:tab w:val="decimal" w:pos="879"/>
              </w:tabs>
              <w:spacing w:after="0"/>
              <w:rPr>
                <w:szCs w:val="16"/>
                <w:lang w:eastAsia="en-NZ"/>
              </w:rPr>
            </w:pPr>
            <w:r w:rsidRPr="00181EF3">
              <w:rPr>
                <w:szCs w:val="16"/>
                <w:lang w:eastAsia="en-NZ"/>
              </w:rPr>
              <w:t>499,640</w:t>
            </w:r>
          </w:p>
          <w:p w14:paraId="7BA9AAAE" w14:textId="77777777" w:rsidR="00F51523" w:rsidRPr="00181EF3" w:rsidRDefault="00F51523" w:rsidP="00F51523">
            <w:pPr>
              <w:pStyle w:val="TableText"/>
              <w:spacing w:before="0"/>
              <w:jc w:val="center"/>
              <w:rPr>
                <w:szCs w:val="16"/>
                <w:lang w:eastAsia="en-NZ"/>
              </w:rPr>
            </w:pPr>
            <w:r w:rsidRPr="00181EF3">
              <w:rPr>
                <w:szCs w:val="16"/>
                <w:lang w:eastAsia="en-NZ"/>
              </w:rPr>
              <w:t>(80%)</w:t>
            </w:r>
          </w:p>
        </w:tc>
      </w:tr>
      <w:tr w:rsidR="00F51523" w:rsidRPr="00181EF3" w14:paraId="7218FF5C" w14:textId="77777777" w:rsidTr="00F51523">
        <w:trPr>
          <w:cantSplit/>
        </w:trPr>
        <w:tc>
          <w:tcPr>
            <w:tcW w:w="113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3C82D0C" w14:textId="77777777" w:rsidR="00F51523" w:rsidRPr="00181EF3" w:rsidRDefault="00F51523" w:rsidP="00F51523">
            <w:pPr>
              <w:pStyle w:val="TableText"/>
              <w:rPr>
                <w:szCs w:val="16"/>
                <w:lang w:eastAsia="en-NZ"/>
              </w:rPr>
            </w:pPr>
            <w:r w:rsidRPr="00181EF3">
              <w:rPr>
                <w:szCs w:val="16"/>
                <w:lang w:eastAsia="en-NZ"/>
              </w:rPr>
              <w:t>25–44</w:t>
            </w:r>
          </w:p>
        </w:tc>
        <w:tc>
          <w:tcPr>
            <w:tcW w:w="115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1752316" w14:textId="77777777" w:rsidR="00F51523" w:rsidRPr="00181EF3" w:rsidRDefault="00F51523" w:rsidP="00F51523">
            <w:pPr>
              <w:pStyle w:val="TableText"/>
              <w:tabs>
                <w:tab w:val="decimal" w:pos="794"/>
              </w:tabs>
              <w:spacing w:after="0"/>
              <w:rPr>
                <w:szCs w:val="16"/>
                <w:lang w:eastAsia="en-NZ"/>
              </w:rPr>
            </w:pPr>
            <w:r w:rsidRPr="00181EF3">
              <w:rPr>
                <w:szCs w:val="16"/>
                <w:lang w:eastAsia="en-NZ"/>
              </w:rPr>
              <w:t>77,180</w:t>
            </w:r>
          </w:p>
          <w:p w14:paraId="65CFFB66" w14:textId="77777777" w:rsidR="00F51523" w:rsidRPr="00181EF3" w:rsidRDefault="00F51523" w:rsidP="00F51523">
            <w:pPr>
              <w:pStyle w:val="TableText"/>
              <w:spacing w:before="0"/>
              <w:jc w:val="center"/>
              <w:rPr>
                <w:szCs w:val="16"/>
                <w:lang w:eastAsia="en-NZ"/>
              </w:rPr>
            </w:pPr>
            <w:r w:rsidRPr="00181EF3">
              <w:rPr>
                <w:szCs w:val="16"/>
                <w:lang w:eastAsia="en-NZ"/>
              </w:rPr>
              <w:t>(14%)</w:t>
            </w:r>
          </w:p>
        </w:tc>
        <w:tc>
          <w:tcPr>
            <w:tcW w:w="1158" w:type="dxa"/>
            <w:tcBorders>
              <w:top w:val="single" w:sz="4" w:space="0" w:color="A6A6A6" w:themeColor="background1" w:themeShade="A6"/>
              <w:bottom w:val="single" w:sz="4" w:space="0" w:color="A6A6A6" w:themeColor="background1" w:themeShade="A6"/>
            </w:tcBorders>
          </w:tcPr>
          <w:p w14:paraId="76EC7448" w14:textId="77777777" w:rsidR="00F51523" w:rsidRPr="00181EF3" w:rsidRDefault="00F51523" w:rsidP="00F51523">
            <w:pPr>
              <w:pStyle w:val="TableText"/>
              <w:tabs>
                <w:tab w:val="decimal" w:pos="794"/>
              </w:tabs>
              <w:spacing w:after="0"/>
              <w:rPr>
                <w:szCs w:val="16"/>
                <w:lang w:eastAsia="en-NZ"/>
              </w:rPr>
            </w:pPr>
            <w:r w:rsidRPr="00181EF3">
              <w:rPr>
                <w:szCs w:val="16"/>
                <w:lang w:eastAsia="en-NZ"/>
              </w:rPr>
              <w:t>90,420</w:t>
            </w:r>
          </w:p>
          <w:p w14:paraId="6835F480" w14:textId="77777777" w:rsidR="00F51523" w:rsidRPr="00181EF3" w:rsidRDefault="00F51523" w:rsidP="00F51523">
            <w:pPr>
              <w:pStyle w:val="TableText"/>
              <w:spacing w:before="0"/>
              <w:jc w:val="center"/>
              <w:rPr>
                <w:szCs w:val="16"/>
                <w:lang w:eastAsia="en-NZ"/>
              </w:rPr>
            </w:pPr>
            <w:r w:rsidRPr="00181EF3">
              <w:rPr>
                <w:szCs w:val="16"/>
                <w:lang w:eastAsia="en-NZ"/>
              </w:rPr>
              <w:t>(15%)</w:t>
            </w:r>
          </w:p>
        </w:tc>
        <w:tc>
          <w:tcPr>
            <w:tcW w:w="115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8F1C690" w14:textId="77777777" w:rsidR="00F51523" w:rsidRPr="00181EF3" w:rsidRDefault="00F51523" w:rsidP="00F51523">
            <w:pPr>
              <w:pStyle w:val="TableText"/>
              <w:tabs>
                <w:tab w:val="decimal" w:pos="794"/>
              </w:tabs>
              <w:spacing w:after="0"/>
              <w:rPr>
                <w:szCs w:val="16"/>
                <w:lang w:eastAsia="en-NZ"/>
              </w:rPr>
            </w:pPr>
            <w:r w:rsidRPr="00181EF3">
              <w:rPr>
                <w:szCs w:val="16"/>
                <w:lang w:eastAsia="en-NZ"/>
              </w:rPr>
              <w:t>167,600</w:t>
            </w:r>
          </w:p>
          <w:p w14:paraId="6E5B6A03" w14:textId="77777777" w:rsidR="00F51523" w:rsidRPr="00181EF3" w:rsidRDefault="00F51523" w:rsidP="00F51523">
            <w:pPr>
              <w:pStyle w:val="TableText"/>
              <w:spacing w:before="0"/>
              <w:jc w:val="center"/>
              <w:rPr>
                <w:szCs w:val="16"/>
                <w:lang w:eastAsia="en-NZ"/>
              </w:rPr>
            </w:pPr>
            <w:r w:rsidRPr="00181EF3">
              <w:rPr>
                <w:szCs w:val="16"/>
                <w:lang w:eastAsia="en-NZ"/>
              </w:rPr>
              <w:t>(15%)</w:t>
            </w:r>
          </w:p>
        </w:tc>
        <w:tc>
          <w:tcPr>
            <w:tcW w:w="1158"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3FEDDEA" w14:textId="77777777" w:rsidR="00F51523" w:rsidRPr="00181EF3" w:rsidRDefault="00F51523" w:rsidP="00F51523">
            <w:pPr>
              <w:pStyle w:val="TableText"/>
              <w:tabs>
                <w:tab w:val="decimal" w:pos="879"/>
              </w:tabs>
              <w:spacing w:after="0"/>
              <w:rPr>
                <w:szCs w:val="16"/>
                <w:lang w:eastAsia="en-NZ"/>
              </w:rPr>
            </w:pPr>
            <w:r w:rsidRPr="00181EF3">
              <w:rPr>
                <w:szCs w:val="16"/>
                <w:lang w:eastAsia="en-NZ"/>
              </w:rPr>
              <w:t>469,330</w:t>
            </w:r>
          </w:p>
          <w:p w14:paraId="23943858" w14:textId="77777777" w:rsidR="00F51523" w:rsidRPr="00181EF3" w:rsidRDefault="00F51523" w:rsidP="00F51523">
            <w:pPr>
              <w:pStyle w:val="TableText"/>
              <w:spacing w:before="0"/>
              <w:jc w:val="center"/>
              <w:rPr>
                <w:szCs w:val="16"/>
                <w:lang w:eastAsia="en-NZ"/>
              </w:rPr>
            </w:pPr>
            <w:r w:rsidRPr="00181EF3">
              <w:rPr>
                <w:szCs w:val="16"/>
                <w:lang w:eastAsia="en-NZ"/>
              </w:rPr>
              <w:t>(86%)</w:t>
            </w:r>
          </w:p>
        </w:tc>
        <w:tc>
          <w:tcPr>
            <w:tcW w:w="1157" w:type="dxa"/>
            <w:tcBorders>
              <w:top w:val="single" w:sz="4" w:space="0" w:color="A6A6A6" w:themeColor="background1" w:themeShade="A6"/>
              <w:bottom w:val="single" w:sz="4" w:space="0" w:color="A6A6A6" w:themeColor="background1" w:themeShade="A6"/>
            </w:tcBorders>
          </w:tcPr>
          <w:p w14:paraId="084255BF" w14:textId="77777777" w:rsidR="00F51523" w:rsidRPr="00181EF3" w:rsidRDefault="00F51523" w:rsidP="00F51523">
            <w:pPr>
              <w:pStyle w:val="TableText"/>
              <w:tabs>
                <w:tab w:val="decimal" w:pos="879"/>
              </w:tabs>
              <w:spacing w:after="0"/>
              <w:rPr>
                <w:szCs w:val="16"/>
                <w:lang w:eastAsia="en-NZ"/>
              </w:rPr>
            </w:pPr>
            <w:r w:rsidRPr="00181EF3">
              <w:rPr>
                <w:szCs w:val="16"/>
                <w:lang w:eastAsia="en-NZ"/>
              </w:rPr>
              <w:t>504,590</w:t>
            </w:r>
          </w:p>
          <w:p w14:paraId="73E048B1" w14:textId="77777777" w:rsidR="00F51523" w:rsidRPr="00181EF3" w:rsidRDefault="00F51523" w:rsidP="00F51523">
            <w:pPr>
              <w:pStyle w:val="TableText"/>
              <w:spacing w:before="0"/>
              <w:jc w:val="center"/>
              <w:rPr>
                <w:szCs w:val="16"/>
                <w:lang w:eastAsia="en-NZ"/>
              </w:rPr>
            </w:pPr>
            <w:r w:rsidRPr="00181EF3">
              <w:rPr>
                <w:szCs w:val="16"/>
                <w:lang w:eastAsia="en-NZ"/>
              </w:rPr>
              <w:t>(85%)</w:t>
            </w:r>
          </w:p>
        </w:tc>
        <w:tc>
          <w:tcPr>
            <w:tcW w:w="1158" w:type="dxa"/>
            <w:tcBorders>
              <w:top w:val="single" w:sz="4" w:space="0" w:color="A6A6A6" w:themeColor="background1" w:themeShade="A6"/>
              <w:bottom w:val="single" w:sz="4" w:space="0" w:color="A6A6A6" w:themeColor="background1" w:themeShade="A6"/>
            </w:tcBorders>
          </w:tcPr>
          <w:p w14:paraId="7E519300" w14:textId="77777777" w:rsidR="00F51523" w:rsidRPr="00181EF3" w:rsidRDefault="00F51523" w:rsidP="00F51523">
            <w:pPr>
              <w:pStyle w:val="TableText"/>
              <w:tabs>
                <w:tab w:val="decimal" w:pos="879"/>
              </w:tabs>
              <w:spacing w:after="0"/>
              <w:rPr>
                <w:szCs w:val="16"/>
                <w:lang w:eastAsia="en-NZ"/>
              </w:rPr>
            </w:pPr>
            <w:r w:rsidRPr="00181EF3">
              <w:rPr>
                <w:szCs w:val="16"/>
                <w:lang w:eastAsia="en-NZ"/>
              </w:rPr>
              <w:t>973,910</w:t>
            </w:r>
          </w:p>
          <w:p w14:paraId="1A816C00" w14:textId="77777777" w:rsidR="00F51523" w:rsidRPr="00181EF3" w:rsidRDefault="00F51523" w:rsidP="00F51523">
            <w:pPr>
              <w:pStyle w:val="TableText"/>
              <w:spacing w:before="0"/>
              <w:jc w:val="center"/>
              <w:rPr>
                <w:szCs w:val="16"/>
                <w:lang w:eastAsia="en-NZ"/>
              </w:rPr>
            </w:pPr>
            <w:r w:rsidRPr="00181EF3">
              <w:rPr>
                <w:szCs w:val="16"/>
                <w:lang w:eastAsia="en-NZ"/>
              </w:rPr>
              <w:t>(85%)</w:t>
            </w:r>
          </w:p>
        </w:tc>
      </w:tr>
      <w:tr w:rsidR="00F51523" w:rsidRPr="00181EF3" w14:paraId="34369E31" w14:textId="77777777" w:rsidTr="00F51523">
        <w:trPr>
          <w:cantSplit/>
        </w:trPr>
        <w:tc>
          <w:tcPr>
            <w:tcW w:w="113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4095193" w14:textId="77777777" w:rsidR="00F51523" w:rsidRPr="00181EF3" w:rsidRDefault="00F51523" w:rsidP="00F51523">
            <w:pPr>
              <w:pStyle w:val="TableText"/>
              <w:rPr>
                <w:szCs w:val="16"/>
                <w:lang w:eastAsia="en-NZ"/>
              </w:rPr>
            </w:pPr>
            <w:r w:rsidRPr="00181EF3">
              <w:rPr>
                <w:szCs w:val="16"/>
                <w:lang w:eastAsia="en-NZ"/>
              </w:rPr>
              <w:t>45–64</w:t>
            </w:r>
          </w:p>
        </w:tc>
        <w:tc>
          <w:tcPr>
            <w:tcW w:w="115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48B56A2" w14:textId="77777777" w:rsidR="00F51523" w:rsidRPr="00181EF3" w:rsidRDefault="00F51523" w:rsidP="00F51523">
            <w:pPr>
              <w:pStyle w:val="TableText"/>
              <w:tabs>
                <w:tab w:val="decimal" w:pos="794"/>
              </w:tabs>
              <w:spacing w:after="0"/>
              <w:rPr>
                <w:szCs w:val="16"/>
                <w:lang w:eastAsia="en-NZ"/>
              </w:rPr>
            </w:pPr>
            <w:r w:rsidRPr="00181EF3">
              <w:rPr>
                <w:szCs w:val="16"/>
                <w:lang w:eastAsia="en-NZ"/>
              </w:rPr>
              <w:t>59,870</w:t>
            </w:r>
          </w:p>
          <w:p w14:paraId="608763B6" w14:textId="77777777" w:rsidR="00F51523" w:rsidRPr="00181EF3" w:rsidRDefault="00F51523" w:rsidP="00F51523">
            <w:pPr>
              <w:pStyle w:val="TableText"/>
              <w:spacing w:before="0"/>
              <w:jc w:val="center"/>
              <w:rPr>
                <w:szCs w:val="16"/>
                <w:lang w:eastAsia="en-NZ"/>
              </w:rPr>
            </w:pPr>
            <w:r w:rsidRPr="00181EF3">
              <w:rPr>
                <w:szCs w:val="16"/>
                <w:lang w:eastAsia="en-NZ"/>
              </w:rPr>
              <w:t>(11%)</w:t>
            </w:r>
          </w:p>
        </w:tc>
        <w:tc>
          <w:tcPr>
            <w:tcW w:w="1158" w:type="dxa"/>
            <w:tcBorders>
              <w:top w:val="single" w:sz="4" w:space="0" w:color="A6A6A6" w:themeColor="background1" w:themeShade="A6"/>
              <w:bottom w:val="single" w:sz="4" w:space="0" w:color="A6A6A6" w:themeColor="background1" w:themeShade="A6"/>
            </w:tcBorders>
          </w:tcPr>
          <w:p w14:paraId="4509154F" w14:textId="77777777" w:rsidR="00F51523" w:rsidRPr="00181EF3" w:rsidRDefault="00F51523" w:rsidP="00F51523">
            <w:pPr>
              <w:pStyle w:val="TableText"/>
              <w:tabs>
                <w:tab w:val="decimal" w:pos="794"/>
              </w:tabs>
              <w:spacing w:after="0"/>
              <w:rPr>
                <w:szCs w:val="16"/>
                <w:lang w:eastAsia="en-NZ"/>
              </w:rPr>
            </w:pPr>
            <w:r w:rsidRPr="00181EF3">
              <w:rPr>
                <w:szCs w:val="16"/>
                <w:lang w:eastAsia="en-NZ"/>
              </w:rPr>
              <w:t>67,590</w:t>
            </w:r>
          </w:p>
          <w:p w14:paraId="08834986" w14:textId="77777777" w:rsidR="00F51523" w:rsidRPr="00181EF3" w:rsidRDefault="00F51523" w:rsidP="00F51523">
            <w:pPr>
              <w:pStyle w:val="TableText"/>
              <w:spacing w:before="0"/>
              <w:jc w:val="center"/>
              <w:rPr>
                <w:szCs w:val="16"/>
                <w:lang w:eastAsia="en-NZ"/>
              </w:rPr>
            </w:pPr>
            <w:r w:rsidRPr="00181EF3">
              <w:rPr>
                <w:szCs w:val="16"/>
                <w:lang w:eastAsia="en-NZ"/>
              </w:rPr>
              <w:t>(12%)</w:t>
            </w:r>
          </w:p>
        </w:tc>
        <w:tc>
          <w:tcPr>
            <w:tcW w:w="115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FA85AA5" w14:textId="77777777" w:rsidR="00F51523" w:rsidRPr="00181EF3" w:rsidRDefault="00F51523" w:rsidP="00F51523">
            <w:pPr>
              <w:pStyle w:val="TableText"/>
              <w:tabs>
                <w:tab w:val="decimal" w:pos="794"/>
              </w:tabs>
              <w:spacing w:after="0"/>
              <w:rPr>
                <w:szCs w:val="16"/>
                <w:lang w:eastAsia="en-NZ"/>
              </w:rPr>
            </w:pPr>
            <w:r w:rsidRPr="00181EF3">
              <w:rPr>
                <w:szCs w:val="16"/>
                <w:lang w:eastAsia="en-NZ"/>
              </w:rPr>
              <w:t>127,460</w:t>
            </w:r>
          </w:p>
          <w:p w14:paraId="68AA31EC" w14:textId="77777777" w:rsidR="00F51523" w:rsidRPr="00181EF3" w:rsidRDefault="00F51523" w:rsidP="00F51523">
            <w:pPr>
              <w:pStyle w:val="TableText"/>
              <w:spacing w:before="0"/>
              <w:jc w:val="center"/>
              <w:rPr>
                <w:szCs w:val="16"/>
                <w:lang w:eastAsia="en-NZ"/>
              </w:rPr>
            </w:pPr>
            <w:r w:rsidRPr="00181EF3">
              <w:rPr>
                <w:szCs w:val="16"/>
                <w:lang w:eastAsia="en-NZ"/>
              </w:rPr>
              <w:t>(11%)</w:t>
            </w:r>
          </w:p>
        </w:tc>
        <w:tc>
          <w:tcPr>
            <w:tcW w:w="1158"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44A1D99" w14:textId="77777777" w:rsidR="00F51523" w:rsidRPr="00181EF3" w:rsidRDefault="00F51523" w:rsidP="00F51523">
            <w:pPr>
              <w:pStyle w:val="TableText"/>
              <w:tabs>
                <w:tab w:val="decimal" w:pos="879"/>
              </w:tabs>
              <w:spacing w:after="0"/>
              <w:rPr>
                <w:szCs w:val="16"/>
                <w:lang w:eastAsia="en-NZ"/>
              </w:rPr>
            </w:pPr>
            <w:r w:rsidRPr="00181EF3">
              <w:rPr>
                <w:szCs w:val="16"/>
                <w:lang w:eastAsia="en-NZ"/>
              </w:rPr>
              <w:t>491,980</w:t>
            </w:r>
          </w:p>
          <w:p w14:paraId="0A5E61E2" w14:textId="77777777" w:rsidR="00F51523" w:rsidRPr="00181EF3" w:rsidRDefault="00F51523" w:rsidP="00F51523">
            <w:pPr>
              <w:pStyle w:val="TableText"/>
              <w:spacing w:before="0"/>
              <w:jc w:val="center"/>
              <w:rPr>
                <w:szCs w:val="16"/>
                <w:lang w:eastAsia="en-NZ"/>
              </w:rPr>
            </w:pPr>
            <w:r w:rsidRPr="00181EF3">
              <w:rPr>
                <w:szCs w:val="16"/>
                <w:lang w:eastAsia="en-NZ"/>
              </w:rPr>
              <w:t>(89%)</w:t>
            </w:r>
          </w:p>
        </w:tc>
        <w:tc>
          <w:tcPr>
            <w:tcW w:w="1157" w:type="dxa"/>
            <w:tcBorders>
              <w:top w:val="single" w:sz="4" w:space="0" w:color="A6A6A6" w:themeColor="background1" w:themeShade="A6"/>
              <w:bottom w:val="single" w:sz="4" w:space="0" w:color="A6A6A6" w:themeColor="background1" w:themeShade="A6"/>
            </w:tcBorders>
          </w:tcPr>
          <w:p w14:paraId="61DDD2C6" w14:textId="77777777" w:rsidR="00F51523" w:rsidRPr="00181EF3" w:rsidRDefault="00F51523" w:rsidP="00F51523">
            <w:pPr>
              <w:pStyle w:val="TableText"/>
              <w:tabs>
                <w:tab w:val="decimal" w:pos="879"/>
              </w:tabs>
              <w:spacing w:after="0"/>
              <w:rPr>
                <w:szCs w:val="16"/>
                <w:lang w:eastAsia="en-NZ"/>
              </w:rPr>
            </w:pPr>
            <w:r w:rsidRPr="00181EF3">
              <w:rPr>
                <w:szCs w:val="16"/>
                <w:lang w:eastAsia="en-NZ"/>
              </w:rPr>
              <w:t>518,990</w:t>
            </w:r>
          </w:p>
          <w:p w14:paraId="15EBCE33" w14:textId="77777777" w:rsidR="00F51523" w:rsidRPr="00181EF3" w:rsidRDefault="00F51523" w:rsidP="00F51523">
            <w:pPr>
              <w:pStyle w:val="TableText"/>
              <w:spacing w:before="0"/>
              <w:jc w:val="center"/>
              <w:rPr>
                <w:szCs w:val="16"/>
                <w:lang w:eastAsia="en-NZ"/>
              </w:rPr>
            </w:pPr>
            <w:r w:rsidRPr="00181EF3">
              <w:rPr>
                <w:szCs w:val="16"/>
                <w:lang w:eastAsia="en-NZ"/>
              </w:rPr>
              <w:t>(88%)</w:t>
            </w:r>
          </w:p>
        </w:tc>
        <w:tc>
          <w:tcPr>
            <w:tcW w:w="1158" w:type="dxa"/>
            <w:tcBorders>
              <w:top w:val="single" w:sz="4" w:space="0" w:color="A6A6A6" w:themeColor="background1" w:themeShade="A6"/>
              <w:bottom w:val="single" w:sz="4" w:space="0" w:color="A6A6A6" w:themeColor="background1" w:themeShade="A6"/>
            </w:tcBorders>
          </w:tcPr>
          <w:p w14:paraId="12522CF5" w14:textId="77777777" w:rsidR="00F51523" w:rsidRPr="00181EF3" w:rsidRDefault="00F51523" w:rsidP="00F51523">
            <w:pPr>
              <w:pStyle w:val="TableText"/>
              <w:tabs>
                <w:tab w:val="decimal" w:pos="879"/>
              </w:tabs>
              <w:spacing w:after="0"/>
              <w:rPr>
                <w:szCs w:val="16"/>
                <w:lang w:eastAsia="en-NZ"/>
              </w:rPr>
            </w:pPr>
            <w:r w:rsidRPr="00181EF3">
              <w:rPr>
                <w:szCs w:val="16"/>
                <w:lang w:eastAsia="en-NZ"/>
              </w:rPr>
              <w:t>1,010,970</w:t>
            </w:r>
          </w:p>
          <w:p w14:paraId="75936FD8" w14:textId="77777777" w:rsidR="00F51523" w:rsidRPr="00181EF3" w:rsidRDefault="00F51523" w:rsidP="00F51523">
            <w:pPr>
              <w:pStyle w:val="TableText"/>
              <w:spacing w:before="0"/>
              <w:jc w:val="center"/>
              <w:rPr>
                <w:szCs w:val="16"/>
                <w:lang w:eastAsia="en-NZ"/>
              </w:rPr>
            </w:pPr>
            <w:r w:rsidRPr="00181EF3">
              <w:rPr>
                <w:szCs w:val="16"/>
                <w:lang w:eastAsia="en-NZ"/>
              </w:rPr>
              <w:t>(89%)</w:t>
            </w:r>
          </w:p>
        </w:tc>
      </w:tr>
      <w:tr w:rsidR="00F51523" w:rsidRPr="00181EF3" w14:paraId="73DF28D3" w14:textId="77777777" w:rsidTr="00F51523">
        <w:trPr>
          <w:cantSplit/>
        </w:trPr>
        <w:tc>
          <w:tcPr>
            <w:tcW w:w="113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E5F86DB" w14:textId="77777777" w:rsidR="00F51523" w:rsidRPr="00181EF3" w:rsidRDefault="00F51523" w:rsidP="00F51523">
            <w:pPr>
              <w:pStyle w:val="TableText"/>
              <w:rPr>
                <w:szCs w:val="16"/>
                <w:lang w:eastAsia="en-NZ"/>
              </w:rPr>
            </w:pPr>
            <w:r w:rsidRPr="00181EF3">
              <w:rPr>
                <w:szCs w:val="16"/>
                <w:lang w:eastAsia="en-NZ"/>
              </w:rPr>
              <w:t>65+</w:t>
            </w:r>
          </w:p>
        </w:tc>
        <w:tc>
          <w:tcPr>
            <w:tcW w:w="115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1C55D39" w14:textId="77777777" w:rsidR="00F51523" w:rsidRPr="00181EF3" w:rsidRDefault="00F51523" w:rsidP="00F51523">
            <w:pPr>
              <w:pStyle w:val="TableText"/>
              <w:tabs>
                <w:tab w:val="decimal" w:pos="794"/>
              </w:tabs>
              <w:spacing w:after="0"/>
              <w:rPr>
                <w:szCs w:val="16"/>
                <w:lang w:eastAsia="en-NZ"/>
              </w:rPr>
            </w:pPr>
            <w:r w:rsidRPr="00181EF3">
              <w:rPr>
                <w:szCs w:val="16"/>
                <w:lang w:eastAsia="en-NZ"/>
              </w:rPr>
              <w:t>16,560</w:t>
            </w:r>
          </w:p>
          <w:p w14:paraId="2B960922" w14:textId="77777777" w:rsidR="00F51523" w:rsidRPr="00181EF3" w:rsidRDefault="00F51523" w:rsidP="00F51523">
            <w:pPr>
              <w:pStyle w:val="TableText"/>
              <w:spacing w:before="0"/>
              <w:jc w:val="center"/>
              <w:rPr>
                <w:szCs w:val="16"/>
                <w:lang w:eastAsia="en-NZ"/>
              </w:rPr>
            </w:pPr>
            <w:r w:rsidRPr="00181EF3">
              <w:rPr>
                <w:szCs w:val="16"/>
                <w:lang w:eastAsia="en-NZ"/>
              </w:rPr>
              <w:t>(6%)</w:t>
            </w:r>
          </w:p>
        </w:tc>
        <w:tc>
          <w:tcPr>
            <w:tcW w:w="1158" w:type="dxa"/>
            <w:tcBorders>
              <w:top w:val="single" w:sz="4" w:space="0" w:color="A6A6A6" w:themeColor="background1" w:themeShade="A6"/>
              <w:bottom w:val="single" w:sz="4" w:space="0" w:color="A6A6A6" w:themeColor="background1" w:themeShade="A6"/>
            </w:tcBorders>
          </w:tcPr>
          <w:p w14:paraId="35E92462" w14:textId="77777777" w:rsidR="00F51523" w:rsidRPr="00181EF3" w:rsidRDefault="00F51523" w:rsidP="00F51523">
            <w:pPr>
              <w:pStyle w:val="TableText"/>
              <w:tabs>
                <w:tab w:val="decimal" w:pos="794"/>
              </w:tabs>
              <w:spacing w:after="0"/>
              <w:rPr>
                <w:szCs w:val="16"/>
                <w:lang w:eastAsia="en-NZ"/>
              </w:rPr>
            </w:pPr>
            <w:r w:rsidRPr="00181EF3">
              <w:rPr>
                <w:szCs w:val="16"/>
                <w:lang w:eastAsia="en-NZ"/>
              </w:rPr>
              <w:t>19,900</w:t>
            </w:r>
          </w:p>
          <w:p w14:paraId="4C25A4EF" w14:textId="77777777" w:rsidR="00F51523" w:rsidRPr="00181EF3" w:rsidRDefault="00F51523" w:rsidP="00F51523">
            <w:pPr>
              <w:pStyle w:val="TableText"/>
              <w:spacing w:before="0"/>
              <w:jc w:val="center"/>
              <w:rPr>
                <w:szCs w:val="16"/>
                <w:lang w:eastAsia="en-NZ"/>
              </w:rPr>
            </w:pPr>
            <w:r w:rsidRPr="00181EF3">
              <w:rPr>
                <w:szCs w:val="16"/>
                <w:lang w:eastAsia="en-NZ"/>
              </w:rPr>
              <w:t>(6%)</w:t>
            </w:r>
          </w:p>
        </w:tc>
        <w:tc>
          <w:tcPr>
            <w:tcW w:w="115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B353CCA" w14:textId="77777777" w:rsidR="00F51523" w:rsidRPr="00181EF3" w:rsidRDefault="00F51523" w:rsidP="00F51523">
            <w:pPr>
              <w:pStyle w:val="TableText"/>
              <w:tabs>
                <w:tab w:val="decimal" w:pos="794"/>
              </w:tabs>
              <w:spacing w:after="0"/>
              <w:rPr>
                <w:szCs w:val="16"/>
                <w:lang w:eastAsia="en-NZ"/>
              </w:rPr>
            </w:pPr>
            <w:r w:rsidRPr="00181EF3">
              <w:rPr>
                <w:szCs w:val="16"/>
                <w:lang w:eastAsia="en-NZ"/>
              </w:rPr>
              <w:t>36,460</w:t>
            </w:r>
          </w:p>
          <w:p w14:paraId="2469F4AA" w14:textId="77777777" w:rsidR="00F51523" w:rsidRPr="00181EF3" w:rsidRDefault="00F51523" w:rsidP="00F51523">
            <w:pPr>
              <w:pStyle w:val="TableText"/>
              <w:spacing w:before="0"/>
              <w:jc w:val="center"/>
              <w:rPr>
                <w:szCs w:val="16"/>
                <w:lang w:eastAsia="en-NZ"/>
              </w:rPr>
            </w:pPr>
            <w:r w:rsidRPr="00181EF3">
              <w:rPr>
                <w:szCs w:val="16"/>
                <w:lang w:eastAsia="en-NZ"/>
              </w:rPr>
              <w:t>(6%)</w:t>
            </w:r>
          </w:p>
        </w:tc>
        <w:tc>
          <w:tcPr>
            <w:tcW w:w="1158"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FDBEB16" w14:textId="77777777" w:rsidR="00F51523" w:rsidRPr="00181EF3" w:rsidRDefault="00F51523" w:rsidP="00F51523">
            <w:pPr>
              <w:pStyle w:val="TableText"/>
              <w:tabs>
                <w:tab w:val="decimal" w:pos="879"/>
              </w:tabs>
              <w:spacing w:after="0"/>
              <w:rPr>
                <w:szCs w:val="16"/>
                <w:lang w:eastAsia="en-NZ"/>
              </w:rPr>
            </w:pPr>
            <w:r w:rsidRPr="00181EF3">
              <w:rPr>
                <w:szCs w:val="16"/>
                <w:lang w:eastAsia="en-NZ"/>
              </w:rPr>
              <w:t>272,000</w:t>
            </w:r>
          </w:p>
          <w:p w14:paraId="02D66FDB" w14:textId="77777777" w:rsidR="00F51523" w:rsidRPr="00181EF3" w:rsidRDefault="00F51523" w:rsidP="00F51523">
            <w:pPr>
              <w:pStyle w:val="TableText"/>
              <w:spacing w:before="0"/>
              <w:jc w:val="center"/>
              <w:rPr>
                <w:szCs w:val="16"/>
                <w:lang w:eastAsia="en-NZ"/>
              </w:rPr>
            </w:pPr>
            <w:r w:rsidRPr="00181EF3">
              <w:rPr>
                <w:szCs w:val="16"/>
                <w:lang w:eastAsia="en-NZ"/>
              </w:rPr>
              <w:t>(94%)</w:t>
            </w:r>
          </w:p>
        </w:tc>
        <w:tc>
          <w:tcPr>
            <w:tcW w:w="1157" w:type="dxa"/>
            <w:tcBorders>
              <w:top w:val="single" w:sz="4" w:space="0" w:color="A6A6A6" w:themeColor="background1" w:themeShade="A6"/>
              <w:bottom w:val="single" w:sz="4" w:space="0" w:color="A6A6A6" w:themeColor="background1" w:themeShade="A6"/>
            </w:tcBorders>
          </w:tcPr>
          <w:p w14:paraId="778DD542" w14:textId="77777777" w:rsidR="00F51523" w:rsidRPr="00181EF3" w:rsidRDefault="00F51523" w:rsidP="00F51523">
            <w:pPr>
              <w:pStyle w:val="TableText"/>
              <w:tabs>
                <w:tab w:val="decimal" w:pos="879"/>
              </w:tabs>
              <w:spacing w:after="0"/>
              <w:rPr>
                <w:szCs w:val="16"/>
                <w:lang w:eastAsia="en-NZ"/>
              </w:rPr>
            </w:pPr>
            <w:r w:rsidRPr="00181EF3">
              <w:rPr>
                <w:szCs w:val="16"/>
                <w:lang w:eastAsia="en-NZ"/>
              </w:rPr>
              <w:t>317,530</w:t>
            </w:r>
          </w:p>
          <w:p w14:paraId="173B47BB" w14:textId="77777777" w:rsidR="00F51523" w:rsidRPr="00181EF3" w:rsidRDefault="00F51523" w:rsidP="00F51523">
            <w:pPr>
              <w:pStyle w:val="TableText"/>
              <w:spacing w:before="0"/>
              <w:jc w:val="center"/>
              <w:rPr>
                <w:szCs w:val="16"/>
                <w:lang w:eastAsia="en-NZ"/>
              </w:rPr>
            </w:pPr>
            <w:r w:rsidRPr="00181EF3">
              <w:rPr>
                <w:szCs w:val="16"/>
                <w:lang w:eastAsia="en-NZ"/>
              </w:rPr>
              <w:t>(94%)</w:t>
            </w:r>
          </w:p>
        </w:tc>
        <w:tc>
          <w:tcPr>
            <w:tcW w:w="1158" w:type="dxa"/>
            <w:tcBorders>
              <w:top w:val="single" w:sz="4" w:space="0" w:color="A6A6A6" w:themeColor="background1" w:themeShade="A6"/>
              <w:bottom w:val="single" w:sz="4" w:space="0" w:color="A6A6A6" w:themeColor="background1" w:themeShade="A6"/>
            </w:tcBorders>
          </w:tcPr>
          <w:p w14:paraId="583B99FD" w14:textId="77777777" w:rsidR="00F51523" w:rsidRPr="00181EF3" w:rsidRDefault="00F51523" w:rsidP="00F51523">
            <w:pPr>
              <w:pStyle w:val="TableText"/>
              <w:tabs>
                <w:tab w:val="decimal" w:pos="879"/>
              </w:tabs>
              <w:spacing w:after="0"/>
              <w:rPr>
                <w:szCs w:val="16"/>
                <w:lang w:eastAsia="en-NZ"/>
              </w:rPr>
            </w:pPr>
            <w:r w:rsidRPr="00181EF3">
              <w:rPr>
                <w:szCs w:val="16"/>
                <w:lang w:eastAsia="en-NZ"/>
              </w:rPr>
              <w:t>589,520</w:t>
            </w:r>
          </w:p>
          <w:p w14:paraId="018F5C93" w14:textId="77777777" w:rsidR="00F51523" w:rsidRPr="00181EF3" w:rsidRDefault="00F51523" w:rsidP="00F51523">
            <w:pPr>
              <w:pStyle w:val="TableText"/>
              <w:spacing w:before="0"/>
              <w:jc w:val="center"/>
              <w:rPr>
                <w:szCs w:val="16"/>
                <w:lang w:eastAsia="en-NZ"/>
              </w:rPr>
            </w:pPr>
            <w:r w:rsidRPr="00181EF3">
              <w:rPr>
                <w:szCs w:val="16"/>
                <w:lang w:eastAsia="en-NZ"/>
              </w:rPr>
              <w:t>(94%)</w:t>
            </w:r>
          </w:p>
        </w:tc>
      </w:tr>
      <w:tr w:rsidR="00F51523" w:rsidRPr="00181EF3" w14:paraId="3E851E4C" w14:textId="77777777" w:rsidTr="00F51523">
        <w:trPr>
          <w:cantSplit/>
        </w:trPr>
        <w:tc>
          <w:tcPr>
            <w:tcW w:w="1135"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32E140C" w14:textId="77777777" w:rsidR="00F51523" w:rsidRPr="00181EF3" w:rsidRDefault="00F51523" w:rsidP="00F51523">
            <w:pPr>
              <w:pStyle w:val="TableText"/>
              <w:rPr>
                <w:b/>
                <w:szCs w:val="16"/>
                <w:lang w:eastAsia="en-NZ"/>
              </w:rPr>
            </w:pPr>
            <w:r w:rsidRPr="00181EF3">
              <w:rPr>
                <w:b/>
                <w:szCs w:val="16"/>
                <w:lang w:eastAsia="en-NZ"/>
              </w:rPr>
              <w:t>Total</w:t>
            </w:r>
          </w:p>
        </w:tc>
        <w:tc>
          <w:tcPr>
            <w:tcW w:w="115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9C3FD3B" w14:textId="77777777" w:rsidR="00F51523" w:rsidRPr="00181EF3" w:rsidRDefault="00F51523" w:rsidP="00F51523">
            <w:pPr>
              <w:pStyle w:val="TableText"/>
              <w:tabs>
                <w:tab w:val="decimal" w:pos="794"/>
              </w:tabs>
              <w:spacing w:after="0"/>
              <w:rPr>
                <w:b/>
                <w:szCs w:val="16"/>
                <w:lang w:eastAsia="en-NZ"/>
              </w:rPr>
            </w:pPr>
            <w:r w:rsidRPr="00181EF3">
              <w:rPr>
                <w:b/>
                <w:szCs w:val="16"/>
                <w:lang w:eastAsia="en-NZ"/>
              </w:rPr>
              <w:t>337,000</w:t>
            </w:r>
          </w:p>
          <w:p w14:paraId="5ED69759" w14:textId="77777777" w:rsidR="00F51523" w:rsidRPr="00181EF3" w:rsidRDefault="00F51523" w:rsidP="00F51523">
            <w:pPr>
              <w:pStyle w:val="TableText"/>
              <w:spacing w:before="0"/>
              <w:jc w:val="center"/>
              <w:rPr>
                <w:b/>
                <w:szCs w:val="16"/>
                <w:lang w:eastAsia="en-NZ"/>
              </w:rPr>
            </w:pPr>
            <w:r w:rsidRPr="00181EF3">
              <w:rPr>
                <w:b/>
                <w:szCs w:val="16"/>
                <w:lang w:eastAsia="en-NZ"/>
              </w:rPr>
              <w:t>(16%)</w:t>
            </w:r>
          </w:p>
        </w:tc>
        <w:tc>
          <w:tcPr>
            <w:tcW w:w="1158" w:type="dxa"/>
            <w:tcBorders>
              <w:top w:val="single" w:sz="4" w:space="0" w:color="A6A6A6" w:themeColor="background1" w:themeShade="A6"/>
              <w:bottom w:val="single" w:sz="4" w:space="0" w:color="A6A6A6" w:themeColor="background1" w:themeShade="A6"/>
            </w:tcBorders>
          </w:tcPr>
          <w:p w14:paraId="69792625" w14:textId="77777777" w:rsidR="00F51523" w:rsidRPr="00181EF3" w:rsidRDefault="00F51523" w:rsidP="00F51523">
            <w:pPr>
              <w:pStyle w:val="TableText"/>
              <w:tabs>
                <w:tab w:val="decimal" w:pos="794"/>
              </w:tabs>
              <w:spacing w:after="0"/>
              <w:rPr>
                <w:b/>
                <w:szCs w:val="16"/>
                <w:lang w:eastAsia="en-NZ"/>
              </w:rPr>
            </w:pPr>
            <w:r w:rsidRPr="00181EF3">
              <w:rPr>
                <w:b/>
                <w:szCs w:val="16"/>
                <w:lang w:eastAsia="en-NZ"/>
              </w:rPr>
              <w:t>355,300</w:t>
            </w:r>
          </w:p>
          <w:p w14:paraId="67B93A19" w14:textId="77777777" w:rsidR="00F51523" w:rsidRPr="00181EF3" w:rsidRDefault="00F51523" w:rsidP="00F51523">
            <w:pPr>
              <w:pStyle w:val="TableText"/>
              <w:spacing w:before="0"/>
              <w:jc w:val="center"/>
              <w:rPr>
                <w:b/>
                <w:szCs w:val="16"/>
                <w:lang w:eastAsia="en-NZ"/>
              </w:rPr>
            </w:pPr>
            <w:r w:rsidRPr="00181EF3">
              <w:rPr>
                <w:b/>
                <w:szCs w:val="16"/>
                <w:lang w:eastAsia="en-NZ"/>
              </w:rPr>
              <w:t>(16%)</w:t>
            </w:r>
          </w:p>
        </w:tc>
        <w:tc>
          <w:tcPr>
            <w:tcW w:w="115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7F6B70F" w14:textId="77777777" w:rsidR="00F51523" w:rsidRPr="00181EF3" w:rsidRDefault="00F51523" w:rsidP="00F51523">
            <w:pPr>
              <w:pStyle w:val="TableText"/>
              <w:tabs>
                <w:tab w:val="decimal" w:pos="794"/>
              </w:tabs>
              <w:spacing w:after="0"/>
              <w:rPr>
                <w:b/>
                <w:szCs w:val="16"/>
                <w:lang w:eastAsia="en-NZ"/>
              </w:rPr>
            </w:pPr>
            <w:r w:rsidRPr="00181EF3">
              <w:rPr>
                <w:b/>
                <w:szCs w:val="16"/>
                <w:lang w:eastAsia="en-NZ"/>
              </w:rPr>
              <w:t>692,300</w:t>
            </w:r>
          </w:p>
          <w:p w14:paraId="5ED99C74" w14:textId="77777777" w:rsidR="00F51523" w:rsidRPr="00181EF3" w:rsidRDefault="00F51523" w:rsidP="00F51523">
            <w:pPr>
              <w:pStyle w:val="TableText"/>
              <w:spacing w:before="0"/>
              <w:jc w:val="center"/>
              <w:rPr>
                <w:b/>
                <w:szCs w:val="16"/>
                <w:lang w:eastAsia="en-NZ"/>
              </w:rPr>
            </w:pPr>
            <w:r w:rsidRPr="00181EF3">
              <w:rPr>
                <w:b/>
                <w:szCs w:val="16"/>
                <w:lang w:eastAsia="en-NZ"/>
              </w:rPr>
              <w:t>(16%)</w:t>
            </w:r>
          </w:p>
        </w:tc>
        <w:tc>
          <w:tcPr>
            <w:tcW w:w="1158"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D53FE75" w14:textId="77777777" w:rsidR="00F51523" w:rsidRPr="00181EF3" w:rsidRDefault="00F51523" w:rsidP="00F51523">
            <w:pPr>
              <w:pStyle w:val="TableText"/>
              <w:tabs>
                <w:tab w:val="decimal" w:pos="879"/>
              </w:tabs>
              <w:spacing w:after="0"/>
              <w:rPr>
                <w:b/>
                <w:szCs w:val="16"/>
                <w:lang w:eastAsia="en-NZ"/>
              </w:rPr>
            </w:pPr>
            <w:r w:rsidRPr="00181EF3">
              <w:rPr>
                <w:b/>
                <w:szCs w:val="16"/>
                <w:lang w:eastAsia="en-NZ"/>
              </w:rPr>
              <w:t>1,835,200</w:t>
            </w:r>
          </w:p>
          <w:p w14:paraId="7A55B30E" w14:textId="77777777" w:rsidR="00F51523" w:rsidRPr="00181EF3" w:rsidRDefault="00F51523" w:rsidP="00F51523">
            <w:pPr>
              <w:pStyle w:val="TableText"/>
              <w:spacing w:before="0"/>
              <w:jc w:val="center"/>
              <w:rPr>
                <w:b/>
                <w:szCs w:val="16"/>
                <w:lang w:eastAsia="en-NZ"/>
              </w:rPr>
            </w:pPr>
            <w:r w:rsidRPr="00181EF3">
              <w:rPr>
                <w:b/>
                <w:szCs w:val="16"/>
                <w:lang w:eastAsia="en-NZ"/>
              </w:rPr>
              <w:t>(84%)</w:t>
            </w:r>
          </w:p>
        </w:tc>
        <w:tc>
          <w:tcPr>
            <w:tcW w:w="1157" w:type="dxa"/>
            <w:tcBorders>
              <w:top w:val="single" w:sz="4" w:space="0" w:color="A6A6A6" w:themeColor="background1" w:themeShade="A6"/>
              <w:bottom w:val="single" w:sz="4" w:space="0" w:color="A6A6A6" w:themeColor="background1" w:themeShade="A6"/>
            </w:tcBorders>
          </w:tcPr>
          <w:p w14:paraId="44C31726" w14:textId="77777777" w:rsidR="00F51523" w:rsidRPr="00181EF3" w:rsidRDefault="00F51523" w:rsidP="00F51523">
            <w:pPr>
              <w:pStyle w:val="TableText"/>
              <w:tabs>
                <w:tab w:val="decimal" w:pos="879"/>
              </w:tabs>
              <w:spacing w:after="0"/>
              <w:rPr>
                <w:b/>
                <w:szCs w:val="16"/>
                <w:lang w:eastAsia="en-NZ"/>
              </w:rPr>
            </w:pPr>
            <w:r w:rsidRPr="00181EF3">
              <w:rPr>
                <w:b/>
                <w:szCs w:val="16"/>
                <w:lang w:eastAsia="en-NZ"/>
              </w:rPr>
              <w:t>1,914,600</w:t>
            </w:r>
          </w:p>
          <w:p w14:paraId="0B5BD869" w14:textId="77777777" w:rsidR="00F51523" w:rsidRPr="00181EF3" w:rsidRDefault="00F51523" w:rsidP="00F51523">
            <w:pPr>
              <w:pStyle w:val="TableText"/>
              <w:spacing w:before="0"/>
              <w:jc w:val="center"/>
              <w:rPr>
                <w:b/>
                <w:szCs w:val="16"/>
                <w:lang w:eastAsia="en-NZ"/>
              </w:rPr>
            </w:pPr>
            <w:r w:rsidRPr="00181EF3">
              <w:rPr>
                <w:b/>
                <w:szCs w:val="16"/>
                <w:lang w:eastAsia="en-NZ"/>
              </w:rPr>
              <w:t>(84%)</w:t>
            </w:r>
          </w:p>
        </w:tc>
        <w:tc>
          <w:tcPr>
            <w:tcW w:w="1158" w:type="dxa"/>
            <w:tcBorders>
              <w:top w:val="single" w:sz="4" w:space="0" w:color="A6A6A6" w:themeColor="background1" w:themeShade="A6"/>
              <w:bottom w:val="single" w:sz="4" w:space="0" w:color="A6A6A6" w:themeColor="background1" w:themeShade="A6"/>
            </w:tcBorders>
          </w:tcPr>
          <w:p w14:paraId="5D89F22F" w14:textId="77777777" w:rsidR="00F51523" w:rsidRPr="00181EF3" w:rsidRDefault="00F51523" w:rsidP="00F51523">
            <w:pPr>
              <w:pStyle w:val="TableText"/>
              <w:tabs>
                <w:tab w:val="decimal" w:pos="879"/>
              </w:tabs>
              <w:spacing w:after="0"/>
              <w:rPr>
                <w:b/>
                <w:szCs w:val="16"/>
                <w:lang w:eastAsia="en-NZ"/>
              </w:rPr>
            </w:pPr>
            <w:r w:rsidRPr="00181EF3">
              <w:rPr>
                <w:b/>
                <w:szCs w:val="16"/>
                <w:lang w:eastAsia="en-NZ"/>
              </w:rPr>
              <w:t>3,749,800</w:t>
            </w:r>
          </w:p>
          <w:p w14:paraId="101CDE34" w14:textId="77777777" w:rsidR="00F51523" w:rsidRPr="00181EF3" w:rsidRDefault="00F51523" w:rsidP="00F51523">
            <w:pPr>
              <w:pStyle w:val="TableText"/>
              <w:spacing w:before="0"/>
              <w:jc w:val="center"/>
              <w:rPr>
                <w:b/>
                <w:szCs w:val="16"/>
                <w:lang w:eastAsia="en-NZ"/>
              </w:rPr>
            </w:pPr>
            <w:r w:rsidRPr="00181EF3">
              <w:rPr>
                <w:b/>
                <w:szCs w:val="16"/>
                <w:lang w:eastAsia="en-NZ"/>
              </w:rPr>
              <w:t>(84%)</w:t>
            </w:r>
          </w:p>
        </w:tc>
      </w:tr>
    </w:tbl>
    <w:p w14:paraId="13E8264C" w14:textId="4ACA916C" w:rsidR="00F51523" w:rsidRPr="00181EF3" w:rsidRDefault="00F51523" w:rsidP="00F51523">
      <w:pPr>
        <w:pStyle w:val="Note"/>
      </w:pPr>
      <w:r w:rsidRPr="00181EF3">
        <w:rPr>
          <w:lang w:eastAsia="en-NZ"/>
        </w:rPr>
        <w:t xml:space="preserve">Note: Due to rounding, individual figures in this table do not add to give the stated </w:t>
      </w:r>
      <w:r w:rsidR="00A07FC0">
        <w:rPr>
          <w:lang w:eastAsia="en-NZ"/>
        </w:rPr>
        <w:t>total</w:t>
      </w:r>
      <w:r w:rsidRPr="00181EF3">
        <w:rPr>
          <w:lang w:eastAsia="en-NZ"/>
        </w:rPr>
        <w:t>s.</w:t>
      </w:r>
    </w:p>
    <w:p w14:paraId="4C11FF89" w14:textId="0F302944" w:rsidR="00F51523" w:rsidRPr="00181EF3" w:rsidRDefault="00F51523" w:rsidP="00EF58A1">
      <w:pPr>
        <w:pStyle w:val="Source"/>
        <w:spacing w:before="0"/>
        <w:rPr>
          <w:sz w:val="18"/>
          <w:lang w:eastAsia="en-NZ"/>
        </w:rPr>
      </w:pPr>
      <w:r w:rsidRPr="00181EF3">
        <w:rPr>
          <w:lang w:eastAsia="en-NZ"/>
        </w:rPr>
        <w:t xml:space="preserve">Source: </w:t>
      </w:r>
      <w:r w:rsidR="008F0248">
        <w:rPr>
          <w:lang w:eastAsia="en-NZ"/>
        </w:rPr>
        <w:t>Stats NZ</w:t>
      </w:r>
    </w:p>
    <w:p w14:paraId="69850103" w14:textId="77777777" w:rsidR="00F51523" w:rsidRPr="00181EF3" w:rsidRDefault="00F51523" w:rsidP="00F51523"/>
    <w:p w14:paraId="2E84AC8E" w14:textId="42F3C4FE" w:rsidR="006A632C" w:rsidRPr="00181EF3" w:rsidRDefault="006A632C" w:rsidP="006A632C">
      <w:pPr>
        <w:keepLines/>
      </w:pPr>
      <w:r w:rsidRPr="00181EF3">
        <w:lastRenderedPageBreak/>
        <w:t xml:space="preserve">In 2013 (Table 3), Māori comprised 16 percent of the New Zealand population. Females made up 51 percent of the Māori population, and males 49 percent. In comparison with </w:t>
      </w:r>
      <w:r w:rsidR="00EC03A3">
        <w:t>non</w:t>
      </w:r>
      <w:r w:rsidR="00EC03A3">
        <w:noBreakHyphen/>
        <w:t>M</w:t>
      </w:r>
      <w:r w:rsidRPr="00181EF3">
        <w:t xml:space="preserve">āori, Māori constituted a very youthful population: 34 percent of Māori were aged less than 15 years, compared with only 18 percent of </w:t>
      </w:r>
      <w:r w:rsidR="00EC03A3">
        <w:t>non</w:t>
      </w:r>
      <w:r w:rsidR="00EC03A3">
        <w:noBreakHyphen/>
        <w:t>M</w:t>
      </w:r>
      <w:r w:rsidRPr="00181EF3">
        <w:t>āori. The median age for Māori in 2013 was 23.9 years, in comparison the median age for the total population was 38.0 years.</w:t>
      </w:r>
    </w:p>
    <w:p w14:paraId="32DC7C9C" w14:textId="77777777" w:rsidR="00F51523" w:rsidRPr="00181EF3" w:rsidRDefault="00F51523" w:rsidP="00F51523"/>
    <w:p w14:paraId="4FA528EA" w14:textId="77777777" w:rsidR="00F51523" w:rsidRPr="00181EF3" w:rsidRDefault="00F51523" w:rsidP="00F51523">
      <w:pPr>
        <w:pStyle w:val="Heading2"/>
      </w:pPr>
      <w:bookmarkStart w:id="27" w:name="_Toc19102290"/>
      <w:r w:rsidRPr="00181EF3">
        <w:t>Population projections</w:t>
      </w:r>
      <w:bookmarkEnd w:id="27"/>
    </w:p>
    <w:p w14:paraId="0E1F7459" w14:textId="20990D6D" w:rsidR="00F51523" w:rsidRPr="00181EF3" w:rsidRDefault="00F51523" w:rsidP="00F51523">
      <w:pPr>
        <w:pStyle w:val="Table"/>
        <w:rPr>
          <w:i/>
        </w:rPr>
      </w:pPr>
      <w:bookmarkStart w:id="28" w:name="_Toc18594744"/>
      <w:r w:rsidRPr="00181EF3">
        <w:t xml:space="preserve">Table </w:t>
      </w:r>
      <w:r>
        <w:rPr>
          <w:noProof/>
        </w:rPr>
        <w:fldChar w:fldCharType="begin"/>
      </w:r>
      <w:r>
        <w:rPr>
          <w:noProof/>
        </w:rPr>
        <w:instrText xml:space="preserve"> SEQ Table \* ARABIC </w:instrText>
      </w:r>
      <w:r>
        <w:rPr>
          <w:noProof/>
        </w:rPr>
        <w:fldChar w:fldCharType="separate"/>
      </w:r>
      <w:r w:rsidR="00D2215B">
        <w:rPr>
          <w:noProof/>
        </w:rPr>
        <w:t>4</w:t>
      </w:r>
      <w:r>
        <w:rPr>
          <w:noProof/>
        </w:rPr>
        <w:fldChar w:fldCharType="end"/>
      </w:r>
      <w:r w:rsidRPr="00181EF3">
        <w:t xml:space="preserve">: Projected populations by gender, Māori and </w:t>
      </w:r>
      <w:r w:rsidR="00EC03A3">
        <w:t>non</w:t>
      </w:r>
      <w:r w:rsidR="00EC03A3">
        <w:noBreakHyphen/>
        <w:t>M</w:t>
      </w:r>
      <w:r w:rsidRPr="00181EF3">
        <w:t>āori, 2015–2030</w:t>
      </w:r>
      <w:bookmarkEnd w:id="28"/>
    </w:p>
    <w:tbl>
      <w:tblPr>
        <w:tblW w:w="8080" w:type="dxa"/>
        <w:tblInd w:w="57" w:type="dxa"/>
        <w:tblLayout w:type="fixed"/>
        <w:tblCellMar>
          <w:left w:w="57" w:type="dxa"/>
          <w:right w:w="57" w:type="dxa"/>
        </w:tblCellMar>
        <w:tblLook w:val="04A0" w:firstRow="1" w:lastRow="0" w:firstColumn="1" w:lastColumn="0" w:noHBand="0" w:noVBand="1"/>
      </w:tblPr>
      <w:tblGrid>
        <w:gridCol w:w="1127"/>
        <w:gridCol w:w="1158"/>
        <w:gridCol w:w="1159"/>
        <w:gridCol w:w="1159"/>
        <w:gridCol w:w="1159"/>
        <w:gridCol w:w="1159"/>
        <w:gridCol w:w="1159"/>
      </w:tblGrid>
      <w:tr w:rsidR="00F51523" w:rsidRPr="00181EF3" w14:paraId="7367343C" w14:textId="77777777" w:rsidTr="002545BA">
        <w:trPr>
          <w:cantSplit/>
        </w:trPr>
        <w:tc>
          <w:tcPr>
            <w:tcW w:w="1127" w:type="dxa"/>
            <w:vMerge w:val="restart"/>
            <w:tcBorders>
              <w:right w:val="single" w:sz="4" w:space="0" w:color="A6A6A6" w:themeColor="background1" w:themeShade="A6"/>
            </w:tcBorders>
            <w:shd w:val="clear" w:color="auto" w:fill="D9D9D9" w:themeFill="background1" w:themeFillShade="D9"/>
          </w:tcPr>
          <w:p w14:paraId="67BF3DEA" w14:textId="77777777" w:rsidR="00F51523" w:rsidRPr="00181EF3" w:rsidRDefault="00F51523" w:rsidP="00F51523">
            <w:pPr>
              <w:pStyle w:val="TableText"/>
              <w:rPr>
                <w:b/>
              </w:rPr>
            </w:pPr>
            <w:r w:rsidRPr="00181EF3">
              <w:rPr>
                <w:b/>
              </w:rPr>
              <w:t>Year</w:t>
            </w:r>
          </w:p>
        </w:tc>
        <w:tc>
          <w:tcPr>
            <w:tcW w:w="3476" w:type="dxa"/>
            <w:gridSpan w:val="3"/>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2EB73411" w14:textId="77777777" w:rsidR="00F51523" w:rsidRPr="00181EF3" w:rsidRDefault="00F51523" w:rsidP="00F51523">
            <w:pPr>
              <w:pStyle w:val="TableText"/>
              <w:jc w:val="center"/>
              <w:rPr>
                <w:b/>
              </w:rPr>
            </w:pPr>
            <w:r w:rsidRPr="00181EF3">
              <w:rPr>
                <w:b/>
              </w:rPr>
              <w:t>Māori</w:t>
            </w:r>
          </w:p>
        </w:tc>
        <w:tc>
          <w:tcPr>
            <w:tcW w:w="3477" w:type="dxa"/>
            <w:gridSpan w:val="3"/>
            <w:tcBorders>
              <w:left w:val="single" w:sz="4" w:space="0" w:color="A6A6A6" w:themeColor="background1" w:themeShade="A6"/>
            </w:tcBorders>
            <w:shd w:val="clear" w:color="auto" w:fill="D9D9D9" w:themeFill="background1" w:themeFillShade="D9"/>
          </w:tcPr>
          <w:p w14:paraId="455545E5" w14:textId="54C38833" w:rsidR="00F51523" w:rsidRPr="00181EF3" w:rsidRDefault="00EC03A3" w:rsidP="00F51523">
            <w:pPr>
              <w:pStyle w:val="TableText"/>
              <w:jc w:val="center"/>
              <w:rPr>
                <w:b/>
              </w:rPr>
            </w:pPr>
            <w:r>
              <w:rPr>
                <w:b/>
              </w:rPr>
              <w:t>Non</w:t>
            </w:r>
            <w:r>
              <w:rPr>
                <w:b/>
              </w:rPr>
              <w:noBreakHyphen/>
              <w:t>M</w:t>
            </w:r>
            <w:r w:rsidR="00F51523" w:rsidRPr="00181EF3">
              <w:rPr>
                <w:b/>
              </w:rPr>
              <w:t>āori</w:t>
            </w:r>
          </w:p>
        </w:tc>
      </w:tr>
      <w:tr w:rsidR="00F51523" w:rsidRPr="00181EF3" w14:paraId="03D54ABD" w14:textId="77777777" w:rsidTr="002545BA">
        <w:trPr>
          <w:cantSplit/>
        </w:trPr>
        <w:tc>
          <w:tcPr>
            <w:tcW w:w="1127" w:type="dxa"/>
            <w:vMerge/>
            <w:tcBorders>
              <w:right w:val="single" w:sz="4" w:space="0" w:color="A6A6A6" w:themeColor="background1" w:themeShade="A6"/>
            </w:tcBorders>
            <w:shd w:val="clear" w:color="auto" w:fill="D9D9D9" w:themeFill="background1" w:themeFillShade="D9"/>
          </w:tcPr>
          <w:p w14:paraId="594BDE07" w14:textId="77777777" w:rsidR="00F51523" w:rsidRPr="00181EF3" w:rsidRDefault="00F51523" w:rsidP="00F51523">
            <w:pPr>
              <w:pStyle w:val="TableText"/>
              <w:rPr>
                <w:b/>
              </w:rPr>
            </w:pPr>
          </w:p>
        </w:tc>
        <w:tc>
          <w:tcPr>
            <w:tcW w:w="1158" w:type="dxa"/>
            <w:tcBorders>
              <w:left w:val="single" w:sz="4" w:space="0" w:color="A6A6A6" w:themeColor="background1" w:themeShade="A6"/>
            </w:tcBorders>
            <w:shd w:val="clear" w:color="auto" w:fill="D9D9D9" w:themeFill="background1" w:themeFillShade="D9"/>
          </w:tcPr>
          <w:p w14:paraId="4E9192AD" w14:textId="77777777" w:rsidR="00F51523" w:rsidRPr="00181EF3" w:rsidRDefault="00F51523" w:rsidP="00F51523">
            <w:pPr>
              <w:pStyle w:val="TableText"/>
              <w:spacing w:before="0"/>
              <w:jc w:val="center"/>
              <w:rPr>
                <w:b/>
              </w:rPr>
            </w:pPr>
            <w:r w:rsidRPr="00181EF3">
              <w:rPr>
                <w:b/>
              </w:rPr>
              <w:t>Male</w:t>
            </w:r>
          </w:p>
        </w:tc>
        <w:tc>
          <w:tcPr>
            <w:tcW w:w="1159" w:type="dxa"/>
            <w:shd w:val="clear" w:color="auto" w:fill="D9D9D9" w:themeFill="background1" w:themeFillShade="D9"/>
          </w:tcPr>
          <w:p w14:paraId="41B4D269" w14:textId="77777777" w:rsidR="00F51523" w:rsidRPr="00181EF3" w:rsidRDefault="00F51523" w:rsidP="00F51523">
            <w:pPr>
              <w:pStyle w:val="TableText"/>
              <w:spacing w:before="0"/>
              <w:jc w:val="center"/>
              <w:rPr>
                <w:b/>
              </w:rPr>
            </w:pPr>
            <w:r w:rsidRPr="00181EF3">
              <w:rPr>
                <w:b/>
              </w:rPr>
              <w:t>Female</w:t>
            </w:r>
          </w:p>
        </w:tc>
        <w:tc>
          <w:tcPr>
            <w:tcW w:w="1159" w:type="dxa"/>
            <w:tcBorders>
              <w:right w:val="single" w:sz="4" w:space="0" w:color="A6A6A6" w:themeColor="background1" w:themeShade="A6"/>
            </w:tcBorders>
            <w:shd w:val="clear" w:color="auto" w:fill="D9D9D9" w:themeFill="background1" w:themeFillShade="D9"/>
          </w:tcPr>
          <w:p w14:paraId="50F8DEA2" w14:textId="77777777" w:rsidR="00F51523" w:rsidRPr="00181EF3" w:rsidRDefault="00F51523" w:rsidP="00F51523">
            <w:pPr>
              <w:pStyle w:val="TableText"/>
              <w:spacing w:before="0"/>
              <w:jc w:val="center"/>
              <w:rPr>
                <w:b/>
              </w:rPr>
            </w:pPr>
            <w:r w:rsidRPr="00181EF3">
              <w:rPr>
                <w:b/>
              </w:rPr>
              <w:t>Total</w:t>
            </w:r>
          </w:p>
        </w:tc>
        <w:tc>
          <w:tcPr>
            <w:tcW w:w="1159" w:type="dxa"/>
            <w:tcBorders>
              <w:left w:val="single" w:sz="4" w:space="0" w:color="A6A6A6" w:themeColor="background1" w:themeShade="A6"/>
            </w:tcBorders>
            <w:shd w:val="clear" w:color="auto" w:fill="D9D9D9" w:themeFill="background1" w:themeFillShade="D9"/>
          </w:tcPr>
          <w:p w14:paraId="7681DA8B" w14:textId="77777777" w:rsidR="00F51523" w:rsidRPr="00181EF3" w:rsidRDefault="00F51523" w:rsidP="00F51523">
            <w:pPr>
              <w:pStyle w:val="TableText"/>
              <w:spacing w:before="0"/>
              <w:jc w:val="center"/>
              <w:rPr>
                <w:b/>
              </w:rPr>
            </w:pPr>
            <w:r w:rsidRPr="00181EF3">
              <w:rPr>
                <w:b/>
              </w:rPr>
              <w:t>Male</w:t>
            </w:r>
          </w:p>
        </w:tc>
        <w:tc>
          <w:tcPr>
            <w:tcW w:w="1159" w:type="dxa"/>
            <w:shd w:val="clear" w:color="auto" w:fill="D9D9D9" w:themeFill="background1" w:themeFillShade="D9"/>
          </w:tcPr>
          <w:p w14:paraId="6EAA03B3" w14:textId="77777777" w:rsidR="00F51523" w:rsidRPr="00181EF3" w:rsidRDefault="00F51523" w:rsidP="00F51523">
            <w:pPr>
              <w:pStyle w:val="TableText"/>
              <w:spacing w:before="0"/>
              <w:jc w:val="center"/>
              <w:rPr>
                <w:b/>
              </w:rPr>
            </w:pPr>
            <w:r w:rsidRPr="00181EF3">
              <w:rPr>
                <w:b/>
              </w:rPr>
              <w:t>Female</w:t>
            </w:r>
          </w:p>
        </w:tc>
        <w:tc>
          <w:tcPr>
            <w:tcW w:w="1159" w:type="dxa"/>
            <w:shd w:val="clear" w:color="auto" w:fill="D9D9D9" w:themeFill="background1" w:themeFillShade="D9"/>
          </w:tcPr>
          <w:p w14:paraId="0B5CD7F3" w14:textId="77777777" w:rsidR="00F51523" w:rsidRPr="00181EF3" w:rsidRDefault="00F51523" w:rsidP="00F51523">
            <w:pPr>
              <w:pStyle w:val="TableText"/>
              <w:spacing w:before="0"/>
              <w:jc w:val="center"/>
              <w:rPr>
                <w:b/>
              </w:rPr>
            </w:pPr>
            <w:r w:rsidRPr="00181EF3">
              <w:rPr>
                <w:b/>
              </w:rPr>
              <w:t>Total</w:t>
            </w:r>
          </w:p>
        </w:tc>
      </w:tr>
      <w:tr w:rsidR="00F51523" w:rsidRPr="00181EF3" w14:paraId="30399D3B" w14:textId="77777777" w:rsidTr="002545BA">
        <w:trPr>
          <w:cantSplit/>
        </w:trPr>
        <w:tc>
          <w:tcPr>
            <w:tcW w:w="1127" w:type="dxa"/>
            <w:tcBorders>
              <w:bottom w:val="single" w:sz="4" w:space="0" w:color="A6A6A6" w:themeColor="background1" w:themeShade="A6"/>
              <w:right w:val="single" w:sz="4" w:space="0" w:color="A6A6A6" w:themeColor="background1" w:themeShade="A6"/>
            </w:tcBorders>
            <w:vAlign w:val="center"/>
          </w:tcPr>
          <w:p w14:paraId="28A0F6C0" w14:textId="77777777" w:rsidR="00F51523" w:rsidRPr="00181EF3" w:rsidRDefault="00F51523" w:rsidP="00F51523">
            <w:pPr>
              <w:pStyle w:val="TableText"/>
            </w:pPr>
            <w:r w:rsidRPr="00181EF3">
              <w:t>2015</w:t>
            </w:r>
          </w:p>
        </w:tc>
        <w:tc>
          <w:tcPr>
            <w:tcW w:w="1158" w:type="dxa"/>
            <w:tcBorders>
              <w:left w:val="single" w:sz="4" w:space="0" w:color="A6A6A6" w:themeColor="background1" w:themeShade="A6"/>
              <w:bottom w:val="single" w:sz="4" w:space="0" w:color="A6A6A6" w:themeColor="background1" w:themeShade="A6"/>
            </w:tcBorders>
          </w:tcPr>
          <w:p w14:paraId="4226DF2B" w14:textId="77777777" w:rsidR="00F51523" w:rsidRPr="00181EF3" w:rsidRDefault="00F51523" w:rsidP="00F51523">
            <w:pPr>
              <w:pStyle w:val="TableText"/>
              <w:jc w:val="center"/>
            </w:pPr>
            <w:r w:rsidRPr="00181EF3">
              <w:t>346,850</w:t>
            </w:r>
          </w:p>
        </w:tc>
        <w:tc>
          <w:tcPr>
            <w:tcW w:w="1159" w:type="dxa"/>
            <w:tcBorders>
              <w:bottom w:val="single" w:sz="4" w:space="0" w:color="A6A6A6" w:themeColor="background1" w:themeShade="A6"/>
            </w:tcBorders>
          </w:tcPr>
          <w:p w14:paraId="684C5008" w14:textId="77777777" w:rsidR="00F51523" w:rsidRPr="00181EF3" w:rsidRDefault="00F51523" w:rsidP="00F51523">
            <w:pPr>
              <w:pStyle w:val="TableText"/>
              <w:jc w:val="center"/>
            </w:pPr>
            <w:r w:rsidRPr="00181EF3">
              <w:t>365,110</w:t>
            </w:r>
          </w:p>
        </w:tc>
        <w:tc>
          <w:tcPr>
            <w:tcW w:w="1159" w:type="dxa"/>
            <w:tcBorders>
              <w:bottom w:val="single" w:sz="4" w:space="0" w:color="A6A6A6" w:themeColor="background1" w:themeShade="A6"/>
              <w:right w:val="single" w:sz="4" w:space="0" w:color="A6A6A6" w:themeColor="background1" w:themeShade="A6"/>
            </w:tcBorders>
          </w:tcPr>
          <w:p w14:paraId="52A733D3" w14:textId="77777777" w:rsidR="00F51523" w:rsidRPr="00181EF3" w:rsidRDefault="00F51523" w:rsidP="00F51523">
            <w:pPr>
              <w:pStyle w:val="TableText"/>
              <w:jc w:val="center"/>
            </w:pPr>
            <w:r w:rsidRPr="00181EF3">
              <w:t>711,960</w:t>
            </w:r>
          </w:p>
        </w:tc>
        <w:tc>
          <w:tcPr>
            <w:tcW w:w="1159" w:type="dxa"/>
            <w:tcBorders>
              <w:left w:val="single" w:sz="4" w:space="0" w:color="A6A6A6" w:themeColor="background1" w:themeShade="A6"/>
              <w:bottom w:val="single" w:sz="4" w:space="0" w:color="A6A6A6" w:themeColor="background1" w:themeShade="A6"/>
            </w:tcBorders>
          </w:tcPr>
          <w:p w14:paraId="737BF539" w14:textId="77777777" w:rsidR="00F51523" w:rsidRPr="00181EF3" w:rsidRDefault="00F51523" w:rsidP="00F51523">
            <w:pPr>
              <w:pStyle w:val="TableText"/>
              <w:jc w:val="center"/>
            </w:pPr>
            <w:r w:rsidRPr="00181EF3">
              <w:t>1,895,375</w:t>
            </w:r>
          </w:p>
        </w:tc>
        <w:tc>
          <w:tcPr>
            <w:tcW w:w="1159" w:type="dxa"/>
            <w:tcBorders>
              <w:bottom w:val="single" w:sz="4" w:space="0" w:color="A6A6A6" w:themeColor="background1" w:themeShade="A6"/>
            </w:tcBorders>
          </w:tcPr>
          <w:p w14:paraId="757B8829" w14:textId="77777777" w:rsidR="00F51523" w:rsidRPr="00181EF3" w:rsidRDefault="00F51523" w:rsidP="00F51523">
            <w:pPr>
              <w:pStyle w:val="TableText"/>
              <w:jc w:val="center"/>
            </w:pPr>
            <w:r w:rsidRPr="00181EF3">
              <w:t>1,972,195</w:t>
            </w:r>
          </w:p>
        </w:tc>
        <w:tc>
          <w:tcPr>
            <w:tcW w:w="1159" w:type="dxa"/>
            <w:tcBorders>
              <w:bottom w:val="single" w:sz="4" w:space="0" w:color="A6A6A6" w:themeColor="background1" w:themeShade="A6"/>
            </w:tcBorders>
          </w:tcPr>
          <w:p w14:paraId="1F2381DC" w14:textId="77777777" w:rsidR="00F51523" w:rsidRPr="00181EF3" w:rsidRDefault="00F51523" w:rsidP="00F51523">
            <w:pPr>
              <w:pStyle w:val="TableText"/>
              <w:jc w:val="center"/>
            </w:pPr>
            <w:r w:rsidRPr="00181EF3">
              <w:t>3,867,570</w:t>
            </w:r>
          </w:p>
        </w:tc>
      </w:tr>
      <w:tr w:rsidR="00F51523" w:rsidRPr="00181EF3" w14:paraId="461DE49E" w14:textId="77777777" w:rsidTr="002545BA">
        <w:trPr>
          <w:cantSplit/>
        </w:trPr>
        <w:tc>
          <w:tcPr>
            <w:tcW w:w="1127"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D519EC7" w14:textId="77777777" w:rsidR="00F51523" w:rsidRPr="00181EF3" w:rsidRDefault="00F51523" w:rsidP="00F51523">
            <w:pPr>
              <w:pStyle w:val="TableText"/>
            </w:pPr>
            <w:r w:rsidRPr="00181EF3">
              <w:t>2020</w:t>
            </w:r>
          </w:p>
        </w:tc>
        <w:tc>
          <w:tcPr>
            <w:tcW w:w="1158"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F44F091" w14:textId="77777777" w:rsidR="00F51523" w:rsidRPr="00181EF3" w:rsidRDefault="00F51523" w:rsidP="00F51523">
            <w:pPr>
              <w:pStyle w:val="TableText"/>
              <w:jc w:val="center"/>
            </w:pPr>
            <w:r w:rsidRPr="00181EF3">
              <w:t>366,360</w:t>
            </w:r>
          </w:p>
        </w:tc>
        <w:tc>
          <w:tcPr>
            <w:tcW w:w="1159" w:type="dxa"/>
            <w:tcBorders>
              <w:top w:val="single" w:sz="4" w:space="0" w:color="A6A6A6" w:themeColor="background1" w:themeShade="A6"/>
              <w:bottom w:val="single" w:sz="4" w:space="0" w:color="A6A6A6" w:themeColor="background1" w:themeShade="A6"/>
            </w:tcBorders>
          </w:tcPr>
          <w:p w14:paraId="02CDADF7" w14:textId="77777777" w:rsidR="00F51523" w:rsidRPr="00181EF3" w:rsidRDefault="00F51523" w:rsidP="00F51523">
            <w:pPr>
              <w:pStyle w:val="TableText"/>
              <w:jc w:val="center"/>
            </w:pPr>
            <w:r w:rsidRPr="00181EF3">
              <w:t>383,720</w:t>
            </w:r>
          </w:p>
        </w:tc>
        <w:tc>
          <w:tcPr>
            <w:tcW w:w="1159"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797948E" w14:textId="77777777" w:rsidR="00F51523" w:rsidRPr="00181EF3" w:rsidRDefault="00F51523" w:rsidP="00F51523">
            <w:pPr>
              <w:pStyle w:val="TableText"/>
              <w:jc w:val="center"/>
            </w:pPr>
            <w:r w:rsidRPr="00181EF3">
              <w:t>750,080</w:t>
            </w:r>
          </w:p>
        </w:tc>
        <w:tc>
          <w:tcPr>
            <w:tcW w:w="115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D2ACB6C" w14:textId="77777777" w:rsidR="00F51523" w:rsidRPr="00181EF3" w:rsidRDefault="00F51523" w:rsidP="00F51523">
            <w:pPr>
              <w:pStyle w:val="TableText"/>
              <w:jc w:val="center"/>
            </w:pPr>
            <w:r w:rsidRPr="00181EF3">
              <w:t>1,993,685</w:t>
            </w:r>
          </w:p>
        </w:tc>
        <w:tc>
          <w:tcPr>
            <w:tcW w:w="1159" w:type="dxa"/>
            <w:tcBorders>
              <w:top w:val="single" w:sz="4" w:space="0" w:color="A6A6A6" w:themeColor="background1" w:themeShade="A6"/>
              <w:bottom w:val="single" w:sz="4" w:space="0" w:color="A6A6A6" w:themeColor="background1" w:themeShade="A6"/>
            </w:tcBorders>
          </w:tcPr>
          <w:p w14:paraId="6DCAFC25" w14:textId="77777777" w:rsidR="00F51523" w:rsidRPr="00181EF3" w:rsidRDefault="00F51523" w:rsidP="00F51523">
            <w:pPr>
              <w:pStyle w:val="TableText"/>
              <w:jc w:val="center"/>
            </w:pPr>
            <w:r w:rsidRPr="00181EF3">
              <w:t>2,065,760</w:t>
            </w:r>
          </w:p>
        </w:tc>
        <w:tc>
          <w:tcPr>
            <w:tcW w:w="1159" w:type="dxa"/>
            <w:tcBorders>
              <w:top w:val="single" w:sz="4" w:space="0" w:color="A6A6A6" w:themeColor="background1" w:themeShade="A6"/>
              <w:bottom w:val="single" w:sz="4" w:space="0" w:color="A6A6A6" w:themeColor="background1" w:themeShade="A6"/>
            </w:tcBorders>
          </w:tcPr>
          <w:p w14:paraId="1F3818D8" w14:textId="77777777" w:rsidR="00F51523" w:rsidRPr="00181EF3" w:rsidRDefault="00F51523" w:rsidP="00F51523">
            <w:pPr>
              <w:pStyle w:val="TableText"/>
              <w:jc w:val="center"/>
            </w:pPr>
            <w:r w:rsidRPr="00181EF3">
              <w:t>4,059,445</w:t>
            </w:r>
          </w:p>
        </w:tc>
      </w:tr>
      <w:tr w:rsidR="00F51523" w:rsidRPr="00181EF3" w14:paraId="6A09596D" w14:textId="77777777" w:rsidTr="002545BA">
        <w:trPr>
          <w:cantSplit/>
        </w:trPr>
        <w:tc>
          <w:tcPr>
            <w:tcW w:w="1127"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3D86C8D" w14:textId="77777777" w:rsidR="00F51523" w:rsidRPr="00181EF3" w:rsidRDefault="00F51523" w:rsidP="00F51523">
            <w:pPr>
              <w:pStyle w:val="TableText"/>
            </w:pPr>
            <w:r w:rsidRPr="00181EF3">
              <w:t>2025</w:t>
            </w:r>
          </w:p>
        </w:tc>
        <w:tc>
          <w:tcPr>
            <w:tcW w:w="1158"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0C906F6" w14:textId="77777777" w:rsidR="00F51523" w:rsidRPr="00181EF3" w:rsidRDefault="00F51523" w:rsidP="00F51523">
            <w:pPr>
              <w:pStyle w:val="TableText"/>
              <w:jc w:val="center"/>
            </w:pPr>
            <w:r w:rsidRPr="00181EF3">
              <w:t>386,210</w:t>
            </w:r>
          </w:p>
        </w:tc>
        <w:tc>
          <w:tcPr>
            <w:tcW w:w="1159" w:type="dxa"/>
            <w:tcBorders>
              <w:top w:val="single" w:sz="4" w:space="0" w:color="A6A6A6" w:themeColor="background1" w:themeShade="A6"/>
              <w:bottom w:val="single" w:sz="4" w:space="0" w:color="A6A6A6" w:themeColor="background1" w:themeShade="A6"/>
            </w:tcBorders>
          </w:tcPr>
          <w:p w14:paraId="5B1CC583" w14:textId="77777777" w:rsidR="00F51523" w:rsidRPr="00181EF3" w:rsidRDefault="00F51523" w:rsidP="00F51523">
            <w:pPr>
              <w:pStyle w:val="TableText"/>
              <w:jc w:val="center"/>
            </w:pPr>
            <w:r w:rsidRPr="00181EF3">
              <w:t>402,780</w:t>
            </w:r>
          </w:p>
        </w:tc>
        <w:tc>
          <w:tcPr>
            <w:tcW w:w="1159"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9D20AA1" w14:textId="77777777" w:rsidR="00F51523" w:rsidRPr="00181EF3" w:rsidRDefault="00F51523" w:rsidP="00F51523">
            <w:pPr>
              <w:pStyle w:val="TableText"/>
              <w:jc w:val="center"/>
            </w:pPr>
            <w:r w:rsidRPr="00181EF3">
              <w:t>788,990</w:t>
            </w:r>
          </w:p>
        </w:tc>
        <w:tc>
          <w:tcPr>
            <w:tcW w:w="115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9EEACBE" w14:textId="77777777" w:rsidR="00F51523" w:rsidRPr="00181EF3" w:rsidRDefault="00F51523" w:rsidP="00F51523">
            <w:pPr>
              <w:pStyle w:val="TableText"/>
              <w:jc w:val="center"/>
            </w:pPr>
            <w:r w:rsidRPr="00181EF3">
              <w:t>2,079,415</w:t>
            </w:r>
          </w:p>
        </w:tc>
        <w:tc>
          <w:tcPr>
            <w:tcW w:w="1159" w:type="dxa"/>
            <w:tcBorders>
              <w:top w:val="single" w:sz="4" w:space="0" w:color="A6A6A6" w:themeColor="background1" w:themeShade="A6"/>
              <w:bottom w:val="single" w:sz="4" w:space="0" w:color="A6A6A6" w:themeColor="background1" w:themeShade="A6"/>
            </w:tcBorders>
          </w:tcPr>
          <w:p w14:paraId="24659804" w14:textId="77777777" w:rsidR="00F51523" w:rsidRPr="00181EF3" w:rsidRDefault="00F51523" w:rsidP="00F51523">
            <w:pPr>
              <w:pStyle w:val="TableText"/>
              <w:jc w:val="center"/>
            </w:pPr>
            <w:r w:rsidRPr="00181EF3">
              <w:t>2,149,520</w:t>
            </w:r>
          </w:p>
        </w:tc>
        <w:tc>
          <w:tcPr>
            <w:tcW w:w="1159" w:type="dxa"/>
            <w:tcBorders>
              <w:top w:val="single" w:sz="4" w:space="0" w:color="A6A6A6" w:themeColor="background1" w:themeShade="A6"/>
              <w:bottom w:val="single" w:sz="4" w:space="0" w:color="A6A6A6" w:themeColor="background1" w:themeShade="A6"/>
            </w:tcBorders>
          </w:tcPr>
          <w:p w14:paraId="6885A49F" w14:textId="77777777" w:rsidR="00F51523" w:rsidRPr="00181EF3" w:rsidRDefault="00F51523" w:rsidP="00F51523">
            <w:pPr>
              <w:pStyle w:val="TableText"/>
              <w:jc w:val="center"/>
            </w:pPr>
            <w:r w:rsidRPr="00181EF3">
              <w:t>4,228,935</w:t>
            </w:r>
          </w:p>
        </w:tc>
      </w:tr>
      <w:tr w:rsidR="00F51523" w:rsidRPr="00181EF3" w14:paraId="252949DC" w14:textId="77777777" w:rsidTr="002545BA">
        <w:trPr>
          <w:cantSplit/>
        </w:trPr>
        <w:tc>
          <w:tcPr>
            <w:tcW w:w="1127"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3B8997F" w14:textId="77777777" w:rsidR="00F51523" w:rsidRPr="00181EF3" w:rsidRDefault="00F51523" w:rsidP="00F51523">
            <w:pPr>
              <w:pStyle w:val="TableText"/>
            </w:pPr>
            <w:r w:rsidRPr="00181EF3">
              <w:t>2030</w:t>
            </w:r>
          </w:p>
        </w:tc>
        <w:tc>
          <w:tcPr>
            <w:tcW w:w="1158"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BE54A04" w14:textId="77777777" w:rsidR="00F51523" w:rsidRPr="00181EF3" w:rsidRDefault="00F51523" w:rsidP="00F51523">
            <w:pPr>
              <w:pStyle w:val="TableText"/>
              <w:jc w:val="center"/>
            </w:pPr>
            <w:r w:rsidRPr="00181EF3">
              <w:t>405,900</w:t>
            </w:r>
          </w:p>
        </w:tc>
        <w:tc>
          <w:tcPr>
            <w:tcW w:w="1159" w:type="dxa"/>
            <w:tcBorders>
              <w:top w:val="single" w:sz="4" w:space="0" w:color="A6A6A6" w:themeColor="background1" w:themeShade="A6"/>
              <w:bottom w:val="single" w:sz="4" w:space="0" w:color="A6A6A6" w:themeColor="background1" w:themeShade="A6"/>
            </w:tcBorders>
          </w:tcPr>
          <w:p w14:paraId="06557417" w14:textId="77777777" w:rsidR="00F51523" w:rsidRPr="00181EF3" w:rsidRDefault="00F51523" w:rsidP="00F51523">
            <w:pPr>
              <w:pStyle w:val="TableText"/>
              <w:jc w:val="center"/>
            </w:pPr>
            <w:r w:rsidRPr="00181EF3">
              <w:t>421,330</w:t>
            </w:r>
          </w:p>
        </w:tc>
        <w:tc>
          <w:tcPr>
            <w:tcW w:w="1159"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7535AC5" w14:textId="77777777" w:rsidR="00F51523" w:rsidRPr="00181EF3" w:rsidRDefault="00F51523" w:rsidP="00F51523">
            <w:pPr>
              <w:pStyle w:val="TableText"/>
              <w:jc w:val="center"/>
            </w:pPr>
            <w:r w:rsidRPr="00181EF3">
              <w:t>827,230</w:t>
            </w:r>
          </w:p>
        </w:tc>
        <w:tc>
          <w:tcPr>
            <w:tcW w:w="115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3CDE4D2" w14:textId="77777777" w:rsidR="00F51523" w:rsidRPr="00181EF3" w:rsidRDefault="00F51523" w:rsidP="00F51523">
            <w:pPr>
              <w:pStyle w:val="TableText"/>
              <w:jc w:val="center"/>
            </w:pPr>
            <w:r w:rsidRPr="00181EF3">
              <w:t>2,160,355</w:t>
            </w:r>
          </w:p>
        </w:tc>
        <w:tc>
          <w:tcPr>
            <w:tcW w:w="1159" w:type="dxa"/>
            <w:tcBorders>
              <w:top w:val="single" w:sz="4" w:space="0" w:color="A6A6A6" w:themeColor="background1" w:themeShade="A6"/>
              <w:bottom w:val="single" w:sz="4" w:space="0" w:color="A6A6A6" w:themeColor="background1" w:themeShade="A6"/>
            </w:tcBorders>
          </w:tcPr>
          <w:p w14:paraId="3CD04167" w14:textId="77777777" w:rsidR="00F51523" w:rsidRPr="00181EF3" w:rsidRDefault="00F51523" w:rsidP="00F51523">
            <w:pPr>
              <w:pStyle w:val="TableText"/>
              <w:jc w:val="center"/>
            </w:pPr>
            <w:r w:rsidRPr="00181EF3">
              <w:t>2,229,015</w:t>
            </w:r>
          </w:p>
        </w:tc>
        <w:tc>
          <w:tcPr>
            <w:tcW w:w="1159" w:type="dxa"/>
            <w:tcBorders>
              <w:top w:val="single" w:sz="4" w:space="0" w:color="A6A6A6" w:themeColor="background1" w:themeShade="A6"/>
              <w:bottom w:val="single" w:sz="4" w:space="0" w:color="A6A6A6" w:themeColor="background1" w:themeShade="A6"/>
            </w:tcBorders>
          </w:tcPr>
          <w:p w14:paraId="1C69E2AA" w14:textId="77777777" w:rsidR="00F51523" w:rsidRPr="00181EF3" w:rsidRDefault="00F51523" w:rsidP="00F51523">
            <w:pPr>
              <w:pStyle w:val="TableText"/>
              <w:jc w:val="center"/>
            </w:pPr>
            <w:r w:rsidRPr="00181EF3">
              <w:t>4,389,370</w:t>
            </w:r>
          </w:p>
        </w:tc>
      </w:tr>
    </w:tbl>
    <w:p w14:paraId="3C0335F1" w14:textId="77777777" w:rsidR="002545BA" w:rsidRPr="00181EF3" w:rsidRDefault="002545BA" w:rsidP="002545BA">
      <w:pPr>
        <w:pStyle w:val="Note"/>
      </w:pPr>
      <w:r w:rsidRPr="00181EF3">
        <w:t>Notes:</w:t>
      </w:r>
    </w:p>
    <w:p w14:paraId="62394128" w14:textId="77777777" w:rsidR="002545BA" w:rsidRPr="00181EF3" w:rsidRDefault="002545BA" w:rsidP="002545BA">
      <w:pPr>
        <w:pStyle w:val="Note"/>
      </w:pPr>
      <w:r w:rsidRPr="00181EF3">
        <w:t>Due to rounding, individual figures in this table do not add to give the stated totals.</w:t>
      </w:r>
    </w:p>
    <w:p w14:paraId="498576DE" w14:textId="5D6DC9FA" w:rsidR="002545BA" w:rsidRPr="00181EF3" w:rsidRDefault="002545BA" w:rsidP="00886EED">
      <w:pPr>
        <w:pStyle w:val="Note"/>
        <w:ind w:left="0" w:firstLine="0"/>
      </w:pPr>
      <w:r w:rsidRPr="00181EF3">
        <w:t xml:space="preserve">Māori figures are series 6 projections based on 2013 Census, and assume medium fertility, medium mortality, medium annual net migration and medium inter-ethnic mobility. </w:t>
      </w:r>
      <w:r w:rsidR="00EC03A3">
        <w:t>Non</w:t>
      </w:r>
      <w:r w:rsidR="00EC03A3">
        <w:noBreakHyphen/>
        <w:t>M</w:t>
      </w:r>
      <w:r w:rsidRPr="00181EF3">
        <w:t>āori figures are derived from national series 5 projections based on the 2013 Census and assume medium fertility, medium mortality and long-term annual net migration of 10,000. The two series are designed to be directly comparable.</w:t>
      </w:r>
    </w:p>
    <w:p w14:paraId="202E0C99" w14:textId="77777777" w:rsidR="002545BA" w:rsidRPr="00181EF3" w:rsidRDefault="002545BA" w:rsidP="002545BA"/>
    <w:p w14:paraId="21A61D47" w14:textId="5C786812" w:rsidR="00F51523" w:rsidRPr="00181EF3" w:rsidRDefault="00F51523" w:rsidP="00F51523">
      <w:r w:rsidRPr="00181EF3">
        <w:t xml:space="preserve">Table 4 shows that between 2015 and 2030, the Māori population is projected to grow by 16 percent, whereas the </w:t>
      </w:r>
      <w:r w:rsidR="00EC03A3">
        <w:t>non</w:t>
      </w:r>
      <w:r w:rsidR="00EC03A3">
        <w:noBreakHyphen/>
        <w:t>M</w:t>
      </w:r>
      <w:r w:rsidRPr="00181EF3">
        <w:t xml:space="preserve">āori population is projected to grow by 14 percent. The Māori projected population has a slightly higher growth rate (an average annual increase of 1 percent) compared with the </w:t>
      </w:r>
      <w:r w:rsidR="00EC03A3">
        <w:t>non</w:t>
      </w:r>
      <w:r w:rsidR="00EC03A3">
        <w:noBreakHyphen/>
        <w:t>M</w:t>
      </w:r>
      <w:r w:rsidRPr="00181EF3">
        <w:t>āori projected population (an average annual increase of 0.8 percent).</w:t>
      </w:r>
    </w:p>
    <w:p w14:paraId="7CBE0282" w14:textId="77777777" w:rsidR="00F51523" w:rsidRPr="00181EF3" w:rsidRDefault="00F51523" w:rsidP="00F51523"/>
    <w:p w14:paraId="20732DA3" w14:textId="45ABD312" w:rsidR="00F51523" w:rsidRPr="00181EF3" w:rsidRDefault="00F51523" w:rsidP="00F51523">
      <w:r w:rsidRPr="00181EF3">
        <w:t>There are a number of drivers of this higher population growth rate for Māori, including a higher fertility rate</w:t>
      </w:r>
      <w:r w:rsidR="002545BA" w:rsidRPr="002E449B">
        <w:rPr>
          <w:rStyle w:val="FootnoteReference"/>
        </w:rPr>
        <w:footnoteReference w:id="1"/>
      </w:r>
      <w:r w:rsidRPr="00181EF3">
        <w:t xml:space="preserve"> for Māori females. In 2014 the Māori total fertility rate was 2.34 in 2014, compared with 1.92 for New Zealand (</w:t>
      </w:r>
      <w:r w:rsidR="008F0248">
        <w:t>Stats NZ</w:t>
      </w:r>
      <w:r w:rsidRPr="00181EF3">
        <w:t xml:space="preserve"> 2015).</w:t>
      </w:r>
    </w:p>
    <w:p w14:paraId="7DAA9C27" w14:textId="77777777" w:rsidR="00F51523" w:rsidRPr="00181EF3" w:rsidRDefault="00F51523" w:rsidP="00F51523"/>
    <w:p w14:paraId="1535917C" w14:textId="6BCD2A4F" w:rsidR="002545BA" w:rsidRDefault="00F51523" w:rsidP="00F51523">
      <w:r w:rsidRPr="00181EF3">
        <w:t>Another factor is that the Māori population has a younger age structure, with a relatively large proportion in the main reproductive ages (15–44 years; see Tables 1–3). This provides built-in momentum for future population growth (</w:t>
      </w:r>
      <w:r w:rsidR="008F0248">
        <w:t>Stats NZ</w:t>
      </w:r>
      <w:r w:rsidRPr="00181EF3">
        <w:t xml:space="preserve"> 2005).</w:t>
      </w:r>
    </w:p>
    <w:p w14:paraId="1B77EF84" w14:textId="77777777" w:rsidR="002E449B" w:rsidRDefault="002E449B" w:rsidP="00F51523"/>
    <w:p w14:paraId="7F9CC111" w14:textId="77777777" w:rsidR="00F51523" w:rsidRPr="00181EF3" w:rsidRDefault="00F51523" w:rsidP="002E449B">
      <w:pPr>
        <w:pStyle w:val="Heading2"/>
      </w:pPr>
      <w:bookmarkStart w:id="29" w:name="_Toc19102291"/>
      <w:r w:rsidRPr="00181EF3">
        <w:lastRenderedPageBreak/>
        <w:t>Population by DHB</w:t>
      </w:r>
      <w:bookmarkEnd w:id="29"/>
    </w:p>
    <w:p w14:paraId="3BA7B0B9" w14:textId="5A3BEC79" w:rsidR="00F51523" w:rsidRPr="00181EF3" w:rsidRDefault="00F51523" w:rsidP="00F51523">
      <w:r w:rsidRPr="00181EF3">
        <w:t xml:space="preserve">Table 5 presents the Māori and </w:t>
      </w:r>
      <w:r w:rsidR="00EC03A3">
        <w:t>non</w:t>
      </w:r>
      <w:r w:rsidR="00EC03A3">
        <w:noBreakHyphen/>
        <w:t>M</w:t>
      </w:r>
      <w:r w:rsidRPr="00181EF3">
        <w:t>āori populations of each DHB, by life cycle age group for the 2001 census. A map showing the proportion of each DHB’s population that is Māori follows as Figure 1.</w:t>
      </w:r>
    </w:p>
    <w:p w14:paraId="2B337350" w14:textId="77777777" w:rsidR="00F51523" w:rsidRPr="00181EF3" w:rsidRDefault="00F51523" w:rsidP="00F51523"/>
    <w:p w14:paraId="6FDB9030" w14:textId="3980D893" w:rsidR="00F51523" w:rsidRPr="00181EF3" w:rsidRDefault="00F51523" w:rsidP="00F51523">
      <w:r w:rsidRPr="00181EF3">
        <w:t xml:space="preserve">Table 6 presents the Māori and </w:t>
      </w:r>
      <w:r w:rsidR="00EC03A3">
        <w:t>non</w:t>
      </w:r>
      <w:r w:rsidR="00EC03A3">
        <w:noBreakHyphen/>
        <w:t>M</w:t>
      </w:r>
      <w:r w:rsidRPr="00181EF3">
        <w:t>āori populations of each DHB, by life cycle age group for the 2006 census. A map showing the proportion of each DHB’s population that is Māori follows as Figure 2.</w:t>
      </w:r>
    </w:p>
    <w:p w14:paraId="55377041" w14:textId="77777777" w:rsidR="00F51523" w:rsidRPr="00181EF3" w:rsidRDefault="00F51523" w:rsidP="00F51523"/>
    <w:p w14:paraId="4ADA6054" w14:textId="10D23C52" w:rsidR="00F51523" w:rsidRDefault="00F51523" w:rsidP="00F51523">
      <w:r w:rsidRPr="00181EF3">
        <w:t xml:space="preserve">Table 7 presents the Māori and </w:t>
      </w:r>
      <w:r w:rsidR="00EC03A3">
        <w:t>non</w:t>
      </w:r>
      <w:r w:rsidR="00EC03A3">
        <w:noBreakHyphen/>
        <w:t>M</w:t>
      </w:r>
      <w:r w:rsidRPr="00181EF3">
        <w:t>āori populations of each DHB, by life cycle age group for the 2013 census. A map showing the proportion of each DHB’s population that is Māori follows as Figure 3.</w:t>
      </w:r>
      <w:r w:rsidR="002545BA">
        <w:t xml:space="preserve"> </w:t>
      </w:r>
      <w:r w:rsidRPr="00181EF3">
        <w:t>Note the Southland and Otago DHB’s merged in 2010 to form the Southern DHB.</w:t>
      </w:r>
    </w:p>
    <w:p w14:paraId="3941DBAC" w14:textId="77777777" w:rsidR="002E449B" w:rsidRPr="00181EF3" w:rsidRDefault="002E449B" w:rsidP="00F51523"/>
    <w:p w14:paraId="36AE53E1" w14:textId="77777777" w:rsidR="00F51523" w:rsidRPr="00181EF3" w:rsidRDefault="00F51523" w:rsidP="00F51523">
      <w:pPr>
        <w:pStyle w:val="Table"/>
        <w:sectPr w:rsidR="00F51523" w:rsidRPr="00181EF3" w:rsidSect="00353BFB">
          <w:headerReference w:type="default" r:id="rId25"/>
          <w:footerReference w:type="even" r:id="rId26"/>
          <w:footerReference w:type="default" r:id="rId27"/>
          <w:headerReference w:type="first" r:id="rId28"/>
          <w:footerReference w:type="first" r:id="rId29"/>
          <w:pgSz w:w="11907" w:h="16834" w:code="9"/>
          <w:pgMar w:top="1418" w:right="1701" w:bottom="1134" w:left="1843" w:header="425" w:footer="425" w:gutter="284"/>
          <w:pgNumType w:start="1"/>
          <w:cols w:space="720"/>
          <w:titlePg/>
          <w:docGrid w:linePitch="286"/>
        </w:sectPr>
      </w:pPr>
    </w:p>
    <w:p w14:paraId="58D49EA7" w14:textId="0D4B6881" w:rsidR="00F51523" w:rsidRPr="00181EF3" w:rsidRDefault="00F51523" w:rsidP="00F51523">
      <w:pPr>
        <w:pStyle w:val="Table"/>
        <w:spacing w:before="0"/>
        <w:rPr>
          <w:i/>
        </w:rPr>
      </w:pPr>
      <w:bookmarkStart w:id="30" w:name="_Toc18594745"/>
      <w:r w:rsidRPr="00181EF3">
        <w:lastRenderedPageBreak/>
        <w:t xml:space="preserve">Table </w:t>
      </w:r>
      <w:r>
        <w:rPr>
          <w:noProof/>
        </w:rPr>
        <w:fldChar w:fldCharType="begin"/>
      </w:r>
      <w:r>
        <w:rPr>
          <w:noProof/>
        </w:rPr>
        <w:instrText xml:space="preserve"> SEQ Table \* ARABIC </w:instrText>
      </w:r>
      <w:r>
        <w:rPr>
          <w:noProof/>
        </w:rPr>
        <w:fldChar w:fldCharType="separate"/>
      </w:r>
      <w:r w:rsidR="00D2215B">
        <w:rPr>
          <w:noProof/>
        </w:rPr>
        <w:t>5</w:t>
      </w:r>
      <w:r>
        <w:rPr>
          <w:noProof/>
        </w:rPr>
        <w:fldChar w:fldCharType="end"/>
      </w:r>
      <w:r w:rsidRPr="00181EF3">
        <w:t xml:space="preserve">: District Health Board age distributions, Māori and </w:t>
      </w:r>
      <w:r w:rsidR="00EC03A3">
        <w:t>non</w:t>
      </w:r>
      <w:r w:rsidR="00EC03A3">
        <w:noBreakHyphen/>
        <w:t>M</w:t>
      </w:r>
      <w:r w:rsidRPr="00181EF3">
        <w:t>āori, 2001</w:t>
      </w:r>
      <w:bookmarkEnd w:id="30"/>
    </w:p>
    <w:tbl>
      <w:tblPr>
        <w:tblW w:w="14601" w:type="dxa"/>
        <w:tblInd w:w="57" w:type="dxa"/>
        <w:tblLayout w:type="fixed"/>
        <w:tblCellMar>
          <w:left w:w="57" w:type="dxa"/>
          <w:right w:w="57" w:type="dxa"/>
        </w:tblCellMar>
        <w:tblLook w:val="04A0" w:firstRow="1" w:lastRow="0" w:firstColumn="1" w:lastColumn="0" w:noHBand="0" w:noVBand="1"/>
      </w:tblPr>
      <w:tblGrid>
        <w:gridCol w:w="1843"/>
        <w:gridCol w:w="1063"/>
        <w:gridCol w:w="1063"/>
        <w:gridCol w:w="1063"/>
        <w:gridCol w:w="1063"/>
        <w:gridCol w:w="1063"/>
        <w:gridCol w:w="1064"/>
        <w:gridCol w:w="1063"/>
        <w:gridCol w:w="1063"/>
        <w:gridCol w:w="1063"/>
        <w:gridCol w:w="1063"/>
        <w:gridCol w:w="1063"/>
        <w:gridCol w:w="1064"/>
      </w:tblGrid>
      <w:tr w:rsidR="00F51523" w:rsidRPr="00181EF3" w14:paraId="39DB665C" w14:textId="77777777" w:rsidTr="00F51523">
        <w:trPr>
          <w:cantSplit/>
        </w:trPr>
        <w:tc>
          <w:tcPr>
            <w:tcW w:w="1843" w:type="dxa"/>
            <w:vMerge w:val="restart"/>
            <w:tcBorders>
              <w:right w:val="single" w:sz="4" w:space="0" w:color="A6A6A6" w:themeColor="background1" w:themeShade="A6"/>
            </w:tcBorders>
            <w:shd w:val="clear" w:color="auto" w:fill="D9D9D9" w:themeFill="background1" w:themeFillShade="D9"/>
          </w:tcPr>
          <w:p w14:paraId="6FD7442E" w14:textId="77777777" w:rsidR="00F51523" w:rsidRPr="00181EF3" w:rsidRDefault="00F51523" w:rsidP="00F51523">
            <w:pPr>
              <w:pStyle w:val="TableText"/>
              <w:rPr>
                <w:b/>
              </w:rPr>
            </w:pPr>
            <w:r w:rsidRPr="00181EF3">
              <w:rPr>
                <w:b/>
              </w:rPr>
              <w:t>DHB</w:t>
            </w:r>
          </w:p>
        </w:tc>
        <w:tc>
          <w:tcPr>
            <w:tcW w:w="2126" w:type="dxa"/>
            <w:gridSpan w:val="2"/>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305F9EE9" w14:textId="77777777" w:rsidR="00F51523" w:rsidRPr="00181EF3" w:rsidRDefault="00F51523" w:rsidP="00F51523">
            <w:pPr>
              <w:pStyle w:val="TableText"/>
              <w:jc w:val="center"/>
              <w:rPr>
                <w:b/>
              </w:rPr>
            </w:pPr>
            <w:r w:rsidRPr="00181EF3">
              <w:rPr>
                <w:b/>
              </w:rPr>
              <w:t>0–14 years</w:t>
            </w:r>
          </w:p>
        </w:tc>
        <w:tc>
          <w:tcPr>
            <w:tcW w:w="2126" w:type="dxa"/>
            <w:gridSpan w:val="2"/>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5F601068" w14:textId="77777777" w:rsidR="00F51523" w:rsidRPr="00181EF3" w:rsidRDefault="00F51523" w:rsidP="00F51523">
            <w:pPr>
              <w:pStyle w:val="TableText"/>
              <w:jc w:val="center"/>
              <w:rPr>
                <w:b/>
              </w:rPr>
            </w:pPr>
            <w:r w:rsidRPr="00181EF3">
              <w:rPr>
                <w:b/>
              </w:rPr>
              <w:t>15–24 years</w:t>
            </w:r>
          </w:p>
        </w:tc>
        <w:tc>
          <w:tcPr>
            <w:tcW w:w="2127" w:type="dxa"/>
            <w:gridSpan w:val="2"/>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036255BA" w14:textId="77777777" w:rsidR="00F51523" w:rsidRPr="00181EF3" w:rsidRDefault="00F51523" w:rsidP="00F51523">
            <w:pPr>
              <w:pStyle w:val="TableText"/>
              <w:jc w:val="center"/>
              <w:rPr>
                <w:b/>
              </w:rPr>
            </w:pPr>
            <w:r w:rsidRPr="00181EF3">
              <w:rPr>
                <w:b/>
              </w:rPr>
              <w:t>25–44 years</w:t>
            </w:r>
          </w:p>
        </w:tc>
        <w:tc>
          <w:tcPr>
            <w:tcW w:w="2126" w:type="dxa"/>
            <w:gridSpan w:val="2"/>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6E7F8248" w14:textId="77777777" w:rsidR="00F51523" w:rsidRPr="00181EF3" w:rsidRDefault="00F51523" w:rsidP="00F51523">
            <w:pPr>
              <w:pStyle w:val="TableText"/>
              <w:jc w:val="center"/>
              <w:rPr>
                <w:b/>
              </w:rPr>
            </w:pPr>
            <w:r w:rsidRPr="00181EF3">
              <w:rPr>
                <w:b/>
              </w:rPr>
              <w:t>45–64 years</w:t>
            </w:r>
          </w:p>
        </w:tc>
        <w:tc>
          <w:tcPr>
            <w:tcW w:w="2126" w:type="dxa"/>
            <w:gridSpan w:val="2"/>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2CB5E976" w14:textId="77777777" w:rsidR="00F51523" w:rsidRPr="00181EF3" w:rsidRDefault="00F51523" w:rsidP="00F51523">
            <w:pPr>
              <w:pStyle w:val="TableText"/>
              <w:jc w:val="center"/>
              <w:rPr>
                <w:b/>
              </w:rPr>
            </w:pPr>
            <w:r w:rsidRPr="00181EF3">
              <w:rPr>
                <w:b/>
              </w:rPr>
              <w:t>65+ years</w:t>
            </w:r>
          </w:p>
        </w:tc>
        <w:tc>
          <w:tcPr>
            <w:tcW w:w="2127" w:type="dxa"/>
            <w:gridSpan w:val="2"/>
            <w:tcBorders>
              <w:left w:val="single" w:sz="4" w:space="0" w:color="A6A6A6" w:themeColor="background1" w:themeShade="A6"/>
            </w:tcBorders>
            <w:shd w:val="clear" w:color="auto" w:fill="D9D9D9" w:themeFill="background1" w:themeFillShade="D9"/>
          </w:tcPr>
          <w:p w14:paraId="59CA1D85" w14:textId="77777777" w:rsidR="00F51523" w:rsidRPr="00181EF3" w:rsidRDefault="00F51523" w:rsidP="00F51523">
            <w:pPr>
              <w:pStyle w:val="TableText"/>
              <w:jc w:val="center"/>
              <w:rPr>
                <w:b/>
              </w:rPr>
            </w:pPr>
            <w:r w:rsidRPr="00181EF3">
              <w:rPr>
                <w:b/>
              </w:rPr>
              <w:t>Total</w:t>
            </w:r>
          </w:p>
        </w:tc>
      </w:tr>
      <w:tr w:rsidR="00F51523" w:rsidRPr="00181EF3" w14:paraId="3E853901" w14:textId="77777777" w:rsidTr="00F51523">
        <w:trPr>
          <w:cantSplit/>
        </w:trPr>
        <w:tc>
          <w:tcPr>
            <w:tcW w:w="1843" w:type="dxa"/>
            <w:vMerge/>
            <w:tcBorders>
              <w:right w:val="single" w:sz="4" w:space="0" w:color="A6A6A6" w:themeColor="background1" w:themeShade="A6"/>
            </w:tcBorders>
            <w:shd w:val="clear" w:color="auto" w:fill="D9D9D9" w:themeFill="background1" w:themeFillShade="D9"/>
          </w:tcPr>
          <w:p w14:paraId="30F2B89B" w14:textId="77777777" w:rsidR="00F51523" w:rsidRPr="00181EF3" w:rsidRDefault="00F51523" w:rsidP="00F51523">
            <w:pPr>
              <w:pStyle w:val="TableText"/>
              <w:rPr>
                <w:b/>
              </w:rPr>
            </w:pPr>
          </w:p>
        </w:tc>
        <w:tc>
          <w:tcPr>
            <w:tcW w:w="1063" w:type="dxa"/>
            <w:tcBorders>
              <w:left w:val="single" w:sz="4" w:space="0" w:color="A6A6A6" w:themeColor="background1" w:themeShade="A6"/>
            </w:tcBorders>
            <w:shd w:val="clear" w:color="auto" w:fill="D9D9D9" w:themeFill="background1" w:themeFillShade="D9"/>
          </w:tcPr>
          <w:p w14:paraId="6AA0DC56" w14:textId="77777777" w:rsidR="00F51523" w:rsidRPr="00181EF3" w:rsidRDefault="00F51523" w:rsidP="00F51523">
            <w:pPr>
              <w:pStyle w:val="TableText"/>
              <w:spacing w:before="0"/>
              <w:jc w:val="center"/>
              <w:rPr>
                <w:b/>
              </w:rPr>
            </w:pPr>
            <w:r w:rsidRPr="00181EF3">
              <w:rPr>
                <w:b/>
              </w:rPr>
              <w:t>Māori</w:t>
            </w:r>
          </w:p>
        </w:tc>
        <w:tc>
          <w:tcPr>
            <w:tcW w:w="1063" w:type="dxa"/>
            <w:tcBorders>
              <w:right w:val="single" w:sz="4" w:space="0" w:color="A6A6A6" w:themeColor="background1" w:themeShade="A6"/>
            </w:tcBorders>
            <w:shd w:val="clear" w:color="auto" w:fill="D9D9D9" w:themeFill="background1" w:themeFillShade="D9"/>
          </w:tcPr>
          <w:p w14:paraId="3831BAC4" w14:textId="5623EC33" w:rsidR="00F51523" w:rsidRPr="00181EF3" w:rsidRDefault="00EC03A3" w:rsidP="00F51523">
            <w:pPr>
              <w:pStyle w:val="TableText"/>
              <w:spacing w:before="0"/>
              <w:jc w:val="center"/>
              <w:rPr>
                <w:b/>
              </w:rPr>
            </w:pPr>
            <w:r>
              <w:rPr>
                <w:b/>
              </w:rPr>
              <w:t>Non</w:t>
            </w:r>
            <w:r>
              <w:rPr>
                <w:b/>
              </w:rPr>
              <w:noBreakHyphen/>
              <w:t>M</w:t>
            </w:r>
            <w:r w:rsidR="00F51523" w:rsidRPr="00181EF3">
              <w:rPr>
                <w:b/>
              </w:rPr>
              <w:t>āori</w:t>
            </w:r>
          </w:p>
        </w:tc>
        <w:tc>
          <w:tcPr>
            <w:tcW w:w="1063" w:type="dxa"/>
            <w:tcBorders>
              <w:left w:val="single" w:sz="4" w:space="0" w:color="A6A6A6" w:themeColor="background1" w:themeShade="A6"/>
            </w:tcBorders>
            <w:shd w:val="clear" w:color="auto" w:fill="D9D9D9" w:themeFill="background1" w:themeFillShade="D9"/>
          </w:tcPr>
          <w:p w14:paraId="66D6BDC7" w14:textId="77777777" w:rsidR="00F51523" w:rsidRPr="00181EF3" w:rsidRDefault="00F51523" w:rsidP="00F51523">
            <w:pPr>
              <w:pStyle w:val="TableText"/>
              <w:spacing w:before="0"/>
              <w:jc w:val="center"/>
              <w:rPr>
                <w:b/>
              </w:rPr>
            </w:pPr>
            <w:r w:rsidRPr="00181EF3">
              <w:rPr>
                <w:b/>
              </w:rPr>
              <w:t>Māori</w:t>
            </w:r>
          </w:p>
        </w:tc>
        <w:tc>
          <w:tcPr>
            <w:tcW w:w="1063" w:type="dxa"/>
            <w:tcBorders>
              <w:right w:val="single" w:sz="4" w:space="0" w:color="A6A6A6" w:themeColor="background1" w:themeShade="A6"/>
            </w:tcBorders>
            <w:shd w:val="clear" w:color="auto" w:fill="D9D9D9" w:themeFill="background1" w:themeFillShade="D9"/>
          </w:tcPr>
          <w:p w14:paraId="573B6D8F" w14:textId="3A969874" w:rsidR="00F51523" w:rsidRPr="00181EF3" w:rsidRDefault="00EC03A3" w:rsidP="00F51523">
            <w:pPr>
              <w:pStyle w:val="TableText"/>
              <w:spacing w:before="0"/>
              <w:jc w:val="center"/>
              <w:rPr>
                <w:b/>
              </w:rPr>
            </w:pPr>
            <w:r>
              <w:rPr>
                <w:b/>
              </w:rPr>
              <w:t>Non</w:t>
            </w:r>
            <w:r>
              <w:rPr>
                <w:b/>
              </w:rPr>
              <w:noBreakHyphen/>
              <w:t>M</w:t>
            </w:r>
            <w:r w:rsidR="00F51523" w:rsidRPr="00181EF3">
              <w:rPr>
                <w:b/>
              </w:rPr>
              <w:t>āori</w:t>
            </w:r>
          </w:p>
        </w:tc>
        <w:tc>
          <w:tcPr>
            <w:tcW w:w="1063" w:type="dxa"/>
            <w:tcBorders>
              <w:left w:val="single" w:sz="4" w:space="0" w:color="A6A6A6" w:themeColor="background1" w:themeShade="A6"/>
            </w:tcBorders>
            <w:shd w:val="clear" w:color="auto" w:fill="D9D9D9" w:themeFill="background1" w:themeFillShade="D9"/>
          </w:tcPr>
          <w:p w14:paraId="1DE6E0DE" w14:textId="77777777" w:rsidR="00F51523" w:rsidRPr="00181EF3" w:rsidRDefault="00F51523" w:rsidP="00F51523">
            <w:pPr>
              <w:pStyle w:val="TableText"/>
              <w:spacing w:before="0"/>
              <w:jc w:val="center"/>
              <w:rPr>
                <w:b/>
              </w:rPr>
            </w:pPr>
            <w:r w:rsidRPr="00181EF3">
              <w:rPr>
                <w:b/>
              </w:rPr>
              <w:t>Māori</w:t>
            </w:r>
          </w:p>
        </w:tc>
        <w:tc>
          <w:tcPr>
            <w:tcW w:w="1064" w:type="dxa"/>
            <w:tcBorders>
              <w:right w:val="single" w:sz="4" w:space="0" w:color="A6A6A6" w:themeColor="background1" w:themeShade="A6"/>
            </w:tcBorders>
            <w:shd w:val="clear" w:color="auto" w:fill="D9D9D9" w:themeFill="background1" w:themeFillShade="D9"/>
          </w:tcPr>
          <w:p w14:paraId="3D4D56ED" w14:textId="09F7A3C1" w:rsidR="00F51523" w:rsidRPr="00181EF3" w:rsidRDefault="00EC03A3" w:rsidP="00F51523">
            <w:pPr>
              <w:pStyle w:val="TableText"/>
              <w:spacing w:before="0"/>
              <w:jc w:val="center"/>
              <w:rPr>
                <w:b/>
              </w:rPr>
            </w:pPr>
            <w:r>
              <w:rPr>
                <w:b/>
              </w:rPr>
              <w:t>Non</w:t>
            </w:r>
            <w:r>
              <w:rPr>
                <w:b/>
              </w:rPr>
              <w:noBreakHyphen/>
              <w:t>M</w:t>
            </w:r>
            <w:r w:rsidR="00F51523" w:rsidRPr="00181EF3">
              <w:rPr>
                <w:b/>
              </w:rPr>
              <w:t>āori</w:t>
            </w:r>
          </w:p>
        </w:tc>
        <w:tc>
          <w:tcPr>
            <w:tcW w:w="1063" w:type="dxa"/>
            <w:tcBorders>
              <w:left w:val="single" w:sz="4" w:space="0" w:color="A6A6A6" w:themeColor="background1" w:themeShade="A6"/>
            </w:tcBorders>
            <w:shd w:val="clear" w:color="auto" w:fill="D9D9D9" w:themeFill="background1" w:themeFillShade="D9"/>
          </w:tcPr>
          <w:p w14:paraId="5B0C975D" w14:textId="77777777" w:rsidR="00F51523" w:rsidRPr="00181EF3" w:rsidRDefault="00F51523" w:rsidP="00F51523">
            <w:pPr>
              <w:pStyle w:val="TableText"/>
              <w:spacing w:before="0"/>
              <w:jc w:val="center"/>
              <w:rPr>
                <w:b/>
              </w:rPr>
            </w:pPr>
            <w:r w:rsidRPr="00181EF3">
              <w:rPr>
                <w:b/>
              </w:rPr>
              <w:t>Māori</w:t>
            </w:r>
          </w:p>
        </w:tc>
        <w:tc>
          <w:tcPr>
            <w:tcW w:w="1063" w:type="dxa"/>
            <w:tcBorders>
              <w:right w:val="single" w:sz="4" w:space="0" w:color="A6A6A6" w:themeColor="background1" w:themeShade="A6"/>
            </w:tcBorders>
            <w:shd w:val="clear" w:color="auto" w:fill="D9D9D9" w:themeFill="background1" w:themeFillShade="D9"/>
          </w:tcPr>
          <w:p w14:paraId="0D17BFC0" w14:textId="6A5773E3" w:rsidR="00F51523" w:rsidRPr="00181EF3" w:rsidRDefault="00EC03A3" w:rsidP="00F51523">
            <w:pPr>
              <w:pStyle w:val="TableText"/>
              <w:spacing w:before="0"/>
              <w:jc w:val="center"/>
              <w:rPr>
                <w:b/>
              </w:rPr>
            </w:pPr>
            <w:r>
              <w:rPr>
                <w:b/>
              </w:rPr>
              <w:t>Non</w:t>
            </w:r>
            <w:r>
              <w:rPr>
                <w:b/>
              </w:rPr>
              <w:noBreakHyphen/>
              <w:t>M</w:t>
            </w:r>
            <w:r w:rsidR="00F51523" w:rsidRPr="00181EF3">
              <w:rPr>
                <w:b/>
              </w:rPr>
              <w:t>āori</w:t>
            </w:r>
          </w:p>
        </w:tc>
        <w:tc>
          <w:tcPr>
            <w:tcW w:w="1063" w:type="dxa"/>
            <w:tcBorders>
              <w:left w:val="single" w:sz="4" w:space="0" w:color="A6A6A6" w:themeColor="background1" w:themeShade="A6"/>
            </w:tcBorders>
            <w:shd w:val="clear" w:color="auto" w:fill="D9D9D9" w:themeFill="background1" w:themeFillShade="D9"/>
          </w:tcPr>
          <w:p w14:paraId="6323F0FB" w14:textId="77777777" w:rsidR="00F51523" w:rsidRPr="00181EF3" w:rsidRDefault="00F51523" w:rsidP="00F51523">
            <w:pPr>
              <w:pStyle w:val="TableText"/>
              <w:spacing w:before="0"/>
              <w:jc w:val="center"/>
              <w:rPr>
                <w:b/>
              </w:rPr>
            </w:pPr>
            <w:r w:rsidRPr="00181EF3">
              <w:rPr>
                <w:b/>
              </w:rPr>
              <w:t>Māori</w:t>
            </w:r>
          </w:p>
        </w:tc>
        <w:tc>
          <w:tcPr>
            <w:tcW w:w="1063" w:type="dxa"/>
            <w:tcBorders>
              <w:right w:val="single" w:sz="4" w:space="0" w:color="A6A6A6" w:themeColor="background1" w:themeShade="A6"/>
            </w:tcBorders>
            <w:shd w:val="clear" w:color="auto" w:fill="D9D9D9" w:themeFill="background1" w:themeFillShade="D9"/>
          </w:tcPr>
          <w:p w14:paraId="74E0AAEA" w14:textId="50213F47" w:rsidR="00F51523" w:rsidRPr="00181EF3" w:rsidRDefault="00EC03A3" w:rsidP="00F51523">
            <w:pPr>
              <w:pStyle w:val="TableText"/>
              <w:spacing w:before="0"/>
              <w:jc w:val="center"/>
              <w:rPr>
                <w:b/>
              </w:rPr>
            </w:pPr>
            <w:r>
              <w:rPr>
                <w:b/>
              </w:rPr>
              <w:t>Non</w:t>
            </w:r>
            <w:r>
              <w:rPr>
                <w:b/>
              </w:rPr>
              <w:noBreakHyphen/>
              <w:t>M</w:t>
            </w:r>
            <w:r w:rsidR="00F51523" w:rsidRPr="00181EF3">
              <w:rPr>
                <w:b/>
              </w:rPr>
              <w:t>āori</w:t>
            </w:r>
          </w:p>
        </w:tc>
        <w:tc>
          <w:tcPr>
            <w:tcW w:w="1063" w:type="dxa"/>
            <w:tcBorders>
              <w:left w:val="single" w:sz="4" w:space="0" w:color="A6A6A6" w:themeColor="background1" w:themeShade="A6"/>
            </w:tcBorders>
            <w:shd w:val="clear" w:color="auto" w:fill="D9D9D9" w:themeFill="background1" w:themeFillShade="D9"/>
          </w:tcPr>
          <w:p w14:paraId="6A09DC20" w14:textId="77777777" w:rsidR="00F51523" w:rsidRPr="00181EF3" w:rsidRDefault="00F51523" w:rsidP="00F51523">
            <w:pPr>
              <w:pStyle w:val="TableText"/>
              <w:spacing w:before="0"/>
              <w:jc w:val="center"/>
              <w:rPr>
                <w:b/>
              </w:rPr>
            </w:pPr>
            <w:r w:rsidRPr="00181EF3">
              <w:rPr>
                <w:b/>
              </w:rPr>
              <w:t>Māori</w:t>
            </w:r>
          </w:p>
        </w:tc>
        <w:tc>
          <w:tcPr>
            <w:tcW w:w="1064" w:type="dxa"/>
            <w:shd w:val="clear" w:color="auto" w:fill="D9D9D9" w:themeFill="background1" w:themeFillShade="D9"/>
          </w:tcPr>
          <w:p w14:paraId="174EA10D" w14:textId="65F5B73A" w:rsidR="00F51523" w:rsidRPr="00181EF3" w:rsidRDefault="00EC03A3" w:rsidP="00F51523">
            <w:pPr>
              <w:pStyle w:val="TableText"/>
              <w:spacing w:before="0"/>
              <w:jc w:val="center"/>
              <w:rPr>
                <w:b/>
              </w:rPr>
            </w:pPr>
            <w:r>
              <w:rPr>
                <w:b/>
              </w:rPr>
              <w:t>Non</w:t>
            </w:r>
            <w:r>
              <w:rPr>
                <w:b/>
              </w:rPr>
              <w:noBreakHyphen/>
              <w:t>M</w:t>
            </w:r>
            <w:r w:rsidR="00F51523" w:rsidRPr="00181EF3">
              <w:rPr>
                <w:b/>
              </w:rPr>
              <w:t>āori</w:t>
            </w:r>
          </w:p>
        </w:tc>
      </w:tr>
      <w:tr w:rsidR="00F51523" w:rsidRPr="00181EF3" w14:paraId="182C81C5" w14:textId="77777777" w:rsidTr="00F51523">
        <w:trPr>
          <w:cantSplit/>
        </w:trPr>
        <w:tc>
          <w:tcPr>
            <w:tcW w:w="1843" w:type="dxa"/>
            <w:tcBorders>
              <w:bottom w:val="single" w:sz="4" w:space="0" w:color="A6A6A6" w:themeColor="background1" w:themeShade="A6"/>
              <w:right w:val="single" w:sz="4" w:space="0" w:color="A6A6A6" w:themeColor="background1" w:themeShade="A6"/>
            </w:tcBorders>
          </w:tcPr>
          <w:p w14:paraId="17E8A791" w14:textId="77777777" w:rsidR="00F51523" w:rsidRPr="00181EF3" w:rsidRDefault="00F51523" w:rsidP="00F51523">
            <w:pPr>
              <w:pStyle w:val="TableText"/>
            </w:pPr>
            <w:r w:rsidRPr="00181EF3">
              <w:t>Northland</w:t>
            </w:r>
          </w:p>
        </w:tc>
        <w:tc>
          <w:tcPr>
            <w:tcW w:w="1063" w:type="dxa"/>
            <w:tcBorders>
              <w:left w:val="single" w:sz="4" w:space="0" w:color="A6A6A6" w:themeColor="background1" w:themeShade="A6"/>
              <w:bottom w:val="single" w:sz="4" w:space="0" w:color="A6A6A6" w:themeColor="background1" w:themeShade="A6"/>
            </w:tcBorders>
          </w:tcPr>
          <w:p w14:paraId="53713519" w14:textId="77777777" w:rsidR="00F51523" w:rsidRPr="00181EF3" w:rsidRDefault="00F51523" w:rsidP="00F51523">
            <w:pPr>
              <w:pStyle w:val="TableText"/>
              <w:tabs>
                <w:tab w:val="decimal" w:pos="765"/>
              </w:tabs>
              <w:rPr>
                <w:szCs w:val="18"/>
              </w:rPr>
            </w:pPr>
            <w:r w:rsidRPr="00181EF3">
              <w:rPr>
                <w:szCs w:val="18"/>
              </w:rPr>
              <w:t>15,588</w:t>
            </w:r>
          </w:p>
        </w:tc>
        <w:tc>
          <w:tcPr>
            <w:tcW w:w="1063" w:type="dxa"/>
            <w:tcBorders>
              <w:bottom w:val="single" w:sz="4" w:space="0" w:color="A6A6A6" w:themeColor="background1" w:themeShade="A6"/>
              <w:right w:val="single" w:sz="4" w:space="0" w:color="A6A6A6" w:themeColor="background1" w:themeShade="A6"/>
            </w:tcBorders>
          </w:tcPr>
          <w:p w14:paraId="390EEE9A" w14:textId="77777777" w:rsidR="00F51523" w:rsidRPr="00181EF3" w:rsidRDefault="00F51523" w:rsidP="00F51523">
            <w:pPr>
              <w:pStyle w:val="TableText"/>
              <w:tabs>
                <w:tab w:val="decimal" w:pos="765"/>
              </w:tabs>
              <w:rPr>
                <w:szCs w:val="18"/>
              </w:rPr>
            </w:pPr>
            <w:r w:rsidRPr="00181EF3">
              <w:rPr>
                <w:szCs w:val="18"/>
              </w:rPr>
              <w:t>19,464</w:t>
            </w:r>
          </w:p>
        </w:tc>
        <w:tc>
          <w:tcPr>
            <w:tcW w:w="1063" w:type="dxa"/>
            <w:tcBorders>
              <w:left w:val="single" w:sz="4" w:space="0" w:color="A6A6A6" w:themeColor="background1" w:themeShade="A6"/>
              <w:bottom w:val="single" w:sz="4" w:space="0" w:color="A6A6A6" w:themeColor="background1" w:themeShade="A6"/>
            </w:tcBorders>
          </w:tcPr>
          <w:p w14:paraId="0CE460B7" w14:textId="77777777" w:rsidR="00F51523" w:rsidRPr="00181EF3" w:rsidRDefault="00F51523" w:rsidP="00F51523">
            <w:pPr>
              <w:pStyle w:val="TableText"/>
              <w:tabs>
                <w:tab w:val="decimal" w:pos="765"/>
              </w:tabs>
              <w:rPr>
                <w:szCs w:val="18"/>
              </w:rPr>
            </w:pPr>
            <w:r w:rsidRPr="00181EF3">
              <w:rPr>
                <w:szCs w:val="18"/>
              </w:rPr>
              <w:t>5,979</w:t>
            </w:r>
          </w:p>
        </w:tc>
        <w:tc>
          <w:tcPr>
            <w:tcW w:w="1063" w:type="dxa"/>
            <w:tcBorders>
              <w:bottom w:val="single" w:sz="4" w:space="0" w:color="A6A6A6" w:themeColor="background1" w:themeShade="A6"/>
              <w:right w:val="single" w:sz="4" w:space="0" w:color="A6A6A6" w:themeColor="background1" w:themeShade="A6"/>
            </w:tcBorders>
          </w:tcPr>
          <w:p w14:paraId="305F0CFF" w14:textId="77777777" w:rsidR="00F51523" w:rsidRPr="00181EF3" w:rsidRDefault="00F51523" w:rsidP="00F51523">
            <w:pPr>
              <w:pStyle w:val="TableText"/>
              <w:tabs>
                <w:tab w:val="decimal" w:pos="765"/>
              </w:tabs>
              <w:rPr>
                <w:szCs w:val="18"/>
              </w:rPr>
            </w:pPr>
            <w:r w:rsidRPr="00181EF3">
              <w:rPr>
                <w:szCs w:val="18"/>
              </w:rPr>
              <w:t>9,489</w:t>
            </w:r>
          </w:p>
        </w:tc>
        <w:tc>
          <w:tcPr>
            <w:tcW w:w="1063" w:type="dxa"/>
            <w:tcBorders>
              <w:left w:val="single" w:sz="4" w:space="0" w:color="A6A6A6" w:themeColor="background1" w:themeShade="A6"/>
              <w:bottom w:val="single" w:sz="4" w:space="0" w:color="A6A6A6" w:themeColor="background1" w:themeShade="A6"/>
            </w:tcBorders>
          </w:tcPr>
          <w:p w14:paraId="4982552C" w14:textId="77777777" w:rsidR="00F51523" w:rsidRPr="00181EF3" w:rsidRDefault="00F51523" w:rsidP="00F51523">
            <w:pPr>
              <w:pStyle w:val="TableText"/>
              <w:tabs>
                <w:tab w:val="decimal" w:pos="765"/>
              </w:tabs>
              <w:rPr>
                <w:szCs w:val="18"/>
              </w:rPr>
            </w:pPr>
            <w:r w:rsidRPr="00181EF3">
              <w:rPr>
                <w:szCs w:val="18"/>
              </w:rPr>
              <w:t>10,932</w:t>
            </w:r>
          </w:p>
        </w:tc>
        <w:tc>
          <w:tcPr>
            <w:tcW w:w="1064" w:type="dxa"/>
            <w:tcBorders>
              <w:bottom w:val="single" w:sz="4" w:space="0" w:color="A6A6A6" w:themeColor="background1" w:themeShade="A6"/>
              <w:right w:val="single" w:sz="4" w:space="0" w:color="A6A6A6" w:themeColor="background1" w:themeShade="A6"/>
            </w:tcBorders>
          </w:tcPr>
          <w:p w14:paraId="280A5E37" w14:textId="77777777" w:rsidR="00F51523" w:rsidRPr="00181EF3" w:rsidRDefault="00F51523" w:rsidP="00F51523">
            <w:pPr>
              <w:pStyle w:val="TableText"/>
              <w:tabs>
                <w:tab w:val="decimal" w:pos="765"/>
              </w:tabs>
              <w:rPr>
                <w:szCs w:val="18"/>
              </w:rPr>
            </w:pPr>
            <w:r w:rsidRPr="00181EF3">
              <w:rPr>
                <w:szCs w:val="18"/>
              </w:rPr>
              <w:t>25,923</w:t>
            </w:r>
          </w:p>
        </w:tc>
        <w:tc>
          <w:tcPr>
            <w:tcW w:w="1063" w:type="dxa"/>
            <w:tcBorders>
              <w:left w:val="single" w:sz="4" w:space="0" w:color="A6A6A6" w:themeColor="background1" w:themeShade="A6"/>
              <w:bottom w:val="single" w:sz="4" w:space="0" w:color="A6A6A6" w:themeColor="background1" w:themeShade="A6"/>
            </w:tcBorders>
          </w:tcPr>
          <w:p w14:paraId="30CD26AB" w14:textId="77777777" w:rsidR="00F51523" w:rsidRPr="00181EF3" w:rsidRDefault="00F51523" w:rsidP="00F51523">
            <w:pPr>
              <w:pStyle w:val="TableText"/>
              <w:tabs>
                <w:tab w:val="decimal" w:pos="765"/>
              </w:tabs>
              <w:rPr>
                <w:szCs w:val="18"/>
              </w:rPr>
            </w:pPr>
            <w:r w:rsidRPr="00181EF3">
              <w:rPr>
                <w:szCs w:val="18"/>
              </w:rPr>
              <w:t>6,132</w:t>
            </w:r>
          </w:p>
        </w:tc>
        <w:tc>
          <w:tcPr>
            <w:tcW w:w="1063" w:type="dxa"/>
            <w:tcBorders>
              <w:bottom w:val="single" w:sz="4" w:space="0" w:color="A6A6A6" w:themeColor="background1" w:themeShade="A6"/>
              <w:right w:val="single" w:sz="4" w:space="0" w:color="A6A6A6" w:themeColor="background1" w:themeShade="A6"/>
            </w:tcBorders>
          </w:tcPr>
          <w:p w14:paraId="49513AEC" w14:textId="77777777" w:rsidR="00F51523" w:rsidRPr="00181EF3" w:rsidRDefault="00F51523" w:rsidP="00F51523">
            <w:pPr>
              <w:pStyle w:val="TableText"/>
              <w:tabs>
                <w:tab w:val="decimal" w:pos="765"/>
              </w:tabs>
              <w:rPr>
                <w:szCs w:val="18"/>
              </w:rPr>
            </w:pPr>
            <w:r w:rsidRPr="00181EF3">
              <w:rPr>
                <w:szCs w:val="18"/>
              </w:rPr>
              <w:t>27,657</w:t>
            </w:r>
          </w:p>
        </w:tc>
        <w:tc>
          <w:tcPr>
            <w:tcW w:w="1063" w:type="dxa"/>
            <w:tcBorders>
              <w:left w:val="single" w:sz="4" w:space="0" w:color="A6A6A6" w:themeColor="background1" w:themeShade="A6"/>
              <w:bottom w:val="single" w:sz="4" w:space="0" w:color="A6A6A6" w:themeColor="background1" w:themeShade="A6"/>
            </w:tcBorders>
          </w:tcPr>
          <w:p w14:paraId="4C4E508B" w14:textId="77777777" w:rsidR="00F51523" w:rsidRPr="00181EF3" w:rsidRDefault="00F51523" w:rsidP="00F51523">
            <w:pPr>
              <w:pStyle w:val="TableText"/>
              <w:tabs>
                <w:tab w:val="decimal" w:pos="765"/>
              </w:tabs>
              <w:rPr>
                <w:szCs w:val="18"/>
              </w:rPr>
            </w:pPr>
            <w:r w:rsidRPr="00181EF3">
              <w:rPr>
                <w:szCs w:val="18"/>
              </w:rPr>
              <w:t>2,112</w:t>
            </w:r>
          </w:p>
        </w:tc>
        <w:tc>
          <w:tcPr>
            <w:tcW w:w="1063" w:type="dxa"/>
            <w:tcBorders>
              <w:bottom w:val="single" w:sz="4" w:space="0" w:color="A6A6A6" w:themeColor="background1" w:themeShade="A6"/>
              <w:right w:val="single" w:sz="4" w:space="0" w:color="A6A6A6" w:themeColor="background1" w:themeShade="A6"/>
            </w:tcBorders>
          </w:tcPr>
          <w:p w14:paraId="7374B20B" w14:textId="77777777" w:rsidR="00F51523" w:rsidRPr="00181EF3" w:rsidRDefault="00F51523" w:rsidP="00F51523">
            <w:pPr>
              <w:pStyle w:val="TableText"/>
              <w:tabs>
                <w:tab w:val="decimal" w:pos="765"/>
              </w:tabs>
              <w:rPr>
                <w:szCs w:val="18"/>
              </w:rPr>
            </w:pPr>
            <w:r w:rsidRPr="00181EF3">
              <w:rPr>
                <w:szCs w:val="18"/>
              </w:rPr>
              <w:t>16,674</w:t>
            </w:r>
          </w:p>
        </w:tc>
        <w:tc>
          <w:tcPr>
            <w:tcW w:w="1063" w:type="dxa"/>
            <w:tcBorders>
              <w:left w:val="single" w:sz="4" w:space="0" w:color="A6A6A6" w:themeColor="background1" w:themeShade="A6"/>
              <w:bottom w:val="single" w:sz="4" w:space="0" w:color="A6A6A6" w:themeColor="background1" w:themeShade="A6"/>
            </w:tcBorders>
          </w:tcPr>
          <w:p w14:paraId="5EDF501F" w14:textId="77777777" w:rsidR="00F51523" w:rsidRPr="00181EF3" w:rsidRDefault="00F51523" w:rsidP="00F51523">
            <w:pPr>
              <w:pStyle w:val="TableText"/>
              <w:tabs>
                <w:tab w:val="decimal" w:pos="765"/>
              </w:tabs>
              <w:rPr>
                <w:szCs w:val="18"/>
              </w:rPr>
            </w:pPr>
            <w:r w:rsidRPr="00181EF3">
              <w:rPr>
                <w:szCs w:val="18"/>
              </w:rPr>
              <w:t>40,743</w:t>
            </w:r>
          </w:p>
        </w:tc>
        <w:tc>
          <w:tcPr>
            <w:tcW w:w="1064" w:type="dxa"/>
            <w:tcBorders>
              <w:bottom w:val="single" w:sz="4" w:space="0" w:color="A6A6A6" w:themeColor="background1" w:themeShade="A6"/>
            </w:tcBorders>
          </w:tcPr>
          <w:p w14:paraId="3811A67B" w14:textId="77777777" w:rsidR="00F51523" w:rsidRPr="00181EF3" w:rsidRDefault="00F51523" w:rsidP="00F51523">
            <w:pPr>
              <w:pStyle w:val="TableText"/>
              <w:tabs>
                <w:tab w:val="decimal" w:pos="765"/>
              </w:tabs>
              <w:rPr>
                <w:szCs w:val="18"/>
              </w:rPr>
            </w:pPr>
            <w:r w:rsidRPr="00181EF3">
              <w:rPr>
                <w:szCs w:val="18"/>
              </w:rPr>
              <w:t>99,207</w:t>
            </w:r>
          </w:p>
        </w:tc>
      </w:tr>
      <w:tr w:rsidR="00F51523" w:rsidRPr="00181EF3" w14:paraId="76C090B8" w14:textId="77777777" w:rsidTr="00F51523">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E7B282C" w14:textId="77777777" w:rsidR="00F51523" w:rsidRPr="00181EF3" w:rsidRDefault="00F51523" w:rsidP="00F51523">
            <w:pPr>
              <w:pStyle w:val="TableText"/>
            </w:pPr>
            <w:r w:rsidRPr="00181EF3">
              <w:t>Waitemata</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5C1165F" w14:textId="77777777" w:rsidR="00F51523" w:rsidRPr="00181EF3" w:rsidRDefault="00F51523" w:rsidP="00F51523">
            <w:pPr>
              <w:pStyle w:val="TableText"/>
              <w:tabs>
                <w:tab w:val="decimal" w:pos="765"/>
              </w:tabs>
              <w:rPr>
                <w:szCs w:val="18"/>
              </w:rPr>
            </w:pPr>
            <w:r w:rsidRPr="00181EF3">
              <w:rPr>
                <w:szCs w:val="18"/>
              </w:rPr>
              <w:t>14,784</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B84140C" w14:textId="77777777" w:rsidR="00F51523" w:rsidRPr="00181EF3" w:rsidRDefault="00F51523" w:rsidP="00F51523">
            <w:pPr>
              <w:pStyle w:val="TableText"/>
              <w:tabs>
                <w:tab w:val="decimal" w:pos="765"/>
              </w:tabs>
              <w:rPr>
                <w:szCs w:val="18"/>
              </w:rPr>
            </w:pPr>
            <w:r w:rsidRPr="00181EF3">
              <w:rPr>
                <w:szCs w:val="18"/>
              </w:rPr>
              <w:t>82,635</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50212E2" w14:textId="77777777" w:rsidR="00F51523" w:rsidRPr="00181EF3" w:rsidRDefault="00F51523" w:rsidP="00F51523">
            <w:pPr>
              <w:pStyle w:val="TableText"/>
              <w:tabs>
                <w:tab w:val="decimal" w:pos="765"/>
              </w:tabs>
              <w:rPr>
                <w:szCs w:val="18"/>
              </w:rPr>
            </w:pPr>
            <w:r w:rsidRPr="00181EF3">
              <w:rPr>
                <w:szCs w:val="18"/>
              </w:rPr>
              <w:t>7,206</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B9B521F" w14:textId="77777777" w:rsidR="00F51523" w:rsidRPr="00181EF3" w:rsidRDefault="00F51523" w:rsidP="00F51523">
            <w:pPr>
              <w:pStyle w:val="TableText"/>
              <w:tabs>
                <w:tab w:val="decimal" w:pos="765"/>
              </w:tabs>
              <w:rPr>
                <w:szCs w:val="18"/>
              </w:rPr>
            </w:pPr>
            <w:r w:rsidRPr="00181EF3">
              <w:rPr>
                <w:szCs w:val="18"/>
              </w:rPr>
              <w:t>50,277</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0AA704B" w14:textId="77777777" w:rsidR="00F51523" w:rsidRPr="00181EF3" w:rsidRDefault="00F51523" w:rsidP="00F51523">
            <w:pPr>
              <w:pStyle w:val="TableText"/>
              <w:tabs>
                <w:tab w:val="decimal" w:pos="765"/>
              </w:tabs>
              <w:rPr>
                <w:szCs w:val="18"/>
              </w:rPr>
            </w:pPr>
            <w:r w:rsidRPr="00181EF3">
              <w:rPr>
                <w:szCs w:val="18"/>
              </w:rPr>
              <w:t>12,246</w:t>
            </w:r>
          </w:p>
        </w:tc>
        <w:tc>
          <w:tcPr>
            <w:tcW w:w="106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5A298A0" w14:textId="77777777" w:rsidR="00F51523" w:rsidRPr="00181EF3" w:rsidRDefault="00F51523" w:rsidP="00F51523">
            <w:pPr>
              <w:pStyle w:val="TableText"/>
              <w:tabs>
                <w:tab w:val="decimal" w:pos="765"/>
              </w:tabs>
              <w:rPr>
                <w:szCs w:val="18"/>
              </w:rPr>
            </w:pPr>
            <w:r w:rsidRPr="00181EF3">
              <w:rPr>
                <w:szCs w:val="18"/>
              </w:rPr>
              <w:t>121,215</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9C638D8" w14:textId="77777777" w:rsidR="00F51523" w:rsidRPr="00181EF3" w:rsidRDefault="00F51523" w:rsidP="00F51523">
            <w:pPr>
              <w:pStyle w:val="TableText"/>
              <w:tabs>
                <w:tab w:val="decimal" w:pos="765"/>
              </w:tabs>
              <w:rPr>
                <w:szCs w:val="18"/>
              </w:rPr>
            </w:pPr>
            <w:r w:rsidRPr="00181EF3">
              <w:rPr>
                <w:szCs w:val="18"/>
              </w:rPr>
              <w:t>4,593</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47FA716" w14:textId="77777777" w:rsidR="00F51523" w:rsidRPr="00181EF3" w:rsidRDefault="00F51523" w:rsidP="00F51523">
            <w:pPr>
              <w:pStyle w:val="TableText"/>
              <w:tabs>
                <w:tab w:val="decimal" w:pos="765"/>
              </w:tabs>
              <w:rPr>
                <w:szCs w:val="18"/>
              </w:rPr>
            </w:pPr>
            <w:r w:rsidRPr="00181EF3">
              <w:rPr>
                <w:szCs w:val="18"/>
              </w:rPr>
              <w:t>90,786</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039D121" w14:textId="77777777" w:rsidR="00F51523" w:rsidRPr="00181EF3" w:rsidRDefault="00F51523" w:rsidP="00F51523">
            <w:pPr>
              <w:pStyle w:val="TableText"/>
              <w:tabs>
                <w:tab w:val="decimal" w:pos="765"/>
              </w:tabs>
              <w:rPr>
                <w:szCs w:val="18"/>
              </w:rPr>
            </w:pPr>
            <w:r w:rsidRPr="00181EF3">
              <w:rPr>
                <w:szCs w:val="18"/>
              </w:rPr>
              <w:t>933</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518CC88" w14:textId="77777777" w:rsidR="00F51523" w:rsidRPr="00181EF3" w:rsidRDefault="00F51523" w:rsidP="00F51523">
            <w:pPr>
              <w:pStyle w:val="TableText"/>
              <w:tabs>
                <w:tab w:val="decimal" w:pos="765"/>
              </w:tabs>
              <w:rPr>
                <w:szCs w:val="18"/>
              </w:rPr>
            </w:pPr>
            <w:r w:rsidRPr="00181EF3">
              <w:rPr>
                <w:szCs w:val="18"/>
              </w:rPr>
              <w:t>45,393</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36B6CD3" w14:textId="77777777" w:rsidR="00F51523" w:rsidRPr="00181EF3" w:rsidRDefault="00F51523" w:rsidP="00F51523">
            <w:pPr>
              <w:pStyle w:val="TableText"/>
              <w:tabs>
                <w:tab w:val="decimal" w:pos="765"/>
              </w:tabs>
              <w:rPr>
                <w:szCs w:val="18"/>
              </w:rPr>
            </w:pPr>
            <w:r w:rsidRPr="00181EF3">
              <w:rPr>
                <w:szCs w:val="18"/>
              </w:rPr>
              <w:t>39,762</w:t>
            </w:r>
          </w:p>
        </w:tc>
        <w:tc>
          <w:tcPr>
            <w:tcW w:w="1064" w:type="dxa"/>
            <w:tcBorders>
              <w:top w:val="single" w:sz="4" w:space="0" w:color="A6A6A6" w:themeColor="background1" w:themeShade="A6"/>
              <w:bottom w:val="single" w:sz="4" w:space="0" w:color="A6A6A6" w:themeColor="background1" w:themeShade="A6"/>
            </w:tcBorders>
          </w:tcPr>
          <w:p w14:paraId="5B3AB863" w14:textId="77777777" w:rsidR="00F51523" w:rsidRPr="00181EF3" w:rsidRDefault="00F51523" w:rsidP="00F51523">
            <w:pPr>
              <w:pStyle w:val="TableText"/>
              <w:tabs>
                <w:tab w:val="decimal" w:pos="765"/>
              </w:tabs>
              <w:rPr>
                <w:szCs w:val="18"/>
              </w:rPr>
            </w:pPr>
            <w:r w:rsidRPr="00181EF3">
              <w:rPr>
                <w:szCs w:val="18"/>
              </w:rPr>
              <w:t>390,306</w:t>
            </w:r>
          </w:p>
        </w:tc>
      </w:tr>
      <w:tr w:rsidR="00F51523" w:rsidRPr="00181EF3" w14:paraId="55AF3238" w14:textId="77777777" w:rsidTr="00F51523">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47CCC1E" w14:textId="77777777" w:rsidR="00F51523" w:rsidRPr="00181EF3" w:rsidRDefault="00F51523" w:rsidP="00F51523">
            <w:pPr>
              <w:pStyle w:val="TableText"/>
            </w:pPr>
            <w:r w:rsidRPr="00181EF3">
              <w:t>Auckland</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2AF7CAE" w14:textId="77777777" w:rsidR="00F51523" w:rsidRPr="00181EF3" w:rsidRDefault="00F51523" w:rsidP="00F51523">
            <w:pPr>
              <w:pStyle w:val="TableText"/>
              <w:tabs>
                <w:tab w:val="decimal" w:pos="765"/>
              </w:tabs>
              <w:rPr>
                <w:szCs w:val="18"/>
              </w:rPr>
            </w:pPr>
            <w:r w:rsidRPr="00181EF3">
              <w:rPr>
                <w:szCs w:val="18"/>
              </w:rPr>
              <w:t>9,012</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14EFAA0" w14:textId="77777777" w:rsidR="00F51523" w:rsidRPr="00181EF3" w:rsidRDefault="00F51523" w:rsidP="00F51523">
            <w:pPr>
              <w:pStyle w:val="TableText"/>
              <w:tabs>
                <w:tab w:val="decimal" w:pos="765"/>
              </w:tabs>
              <w:rPr>
                <w:szCs w:val="18"/>
              </w:rPr>
            </w:pPr>
            <w:r w:rsidRPr="00181EF3">
              <w:rPr>
                <w:szCs w:val="18"/>
              </w:rPr>
              <w:t>63,297</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DF196AE" w14:textId="77777777" w:rsidR="00F51523" w:rsidRPr="00181EF3" w:rsidRDefault="00F51523" w:rsidP="00F51523">
            <w:pPr>
              <w:pStyle w:val="TableText"/>
              <w:tabs>
                <w:tab w:val="decimal" w:pos="765"/>
              </w:tabs>
              <w:rPr>
                <w:szCs w:val="18"/>
              </w:rPr>
            </w:pPr>
            <w:r w:rsidRPr="00181EF3">
              <w:rPr>
                <w:szCs w:val="18"/>
              </w:rPr>
              <w:t>5,568</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82E60C8" w14:textId="77777777" w:rsidR="00F51523" w:rsidRPr="00181EF3" w:rsidRDefault="00F51523" w:rsidP="00F51523">
            <w:pPr>
              <w:pStyle w:val="TableText"/>
              <w:tabs>
                <w:tab w:val="decimal" w:pos="765"/>
              </w:tabs>
              <w:rPr>
                <w:szCs w:val="18"/>
              </w:rPr>
            </w:pPr>
            <w:r w:rsidRPr="00181EF3">
              <w:rPr>
                <w:szCs w:val="18"/>
              </w:rPr>
              <w:t>50,766</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643D51D" w14:textId="77777777" w:rsidR="00F51523" w:rsidRPr="00181EF3" w:rsidRDefault="00F51523" w:rsidP="00F51523">
            <w:pPr>
              <w:pStyle w:val="TableText"/>
              <w:tabs>
                <w:tab w:val="decimal" w:pos="765"/>
              </w:tabs>
              <w:rPr>
                <w:szCs w:val="18"/>
              </w:rPr>
            </w:pPr>
            <w:r w:rsidRPr="00181EF3">
              <w:rPr>
                <w:szCs w:val="18"/>
              </w:rPr>
              <w:t>9,642</w:t>
            </w:r>
          </w:p>
        </w:tc>
        <w:tc>
          <w:tcPr>
            <w:tcW w:w="106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3538823" w14:textId="77777777" w:rsidR="00F51523" w:rsidRPr="00181EF3" w:rsidRDefault="00F51523" w:rsidP="00F51523">
            <w:pPr>
              <w:pStyle w:val="TableText"/>
              <w:tabs>
                <w:tab w:val="decimal" w:pos="765"/>
              </w:tabs>
              <w:rPr>
                <w:szCs w:val="18"/>
              </w:rPr>
            </w:pPr>
            <w:r w:rsidRPr="00181EF3">
              <w:rPr>
                <w:szCs w:val="18"/>
              </w:rPr>
              <w:t>117,042</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69A6EF3" w14:textId="77777777" w:rsidR="00F51523" w:rsidRPr="00181EF3" w:rsidRDefault="00F51523" w:rsidP="00F51523">
            <w:pPr>
              <w:pStyle w:val="TableText"/>
              <w:tabs>
                <w:tab w:val="decimal" w:pos="765"/>
              </w:tabs>
              <w:rPr>
                <w:szCs w:val="18"/>
              </w:rPr>
            </w:pPr>
            <w:r w:rsidRPr="00181EF3">
              <w:rPr>
                <w:szCs w:val="18"/>
              </w:rPr>
              <w:t>4,011</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D9F17A6" w14:textId="77777777" w:rsidR="00F51523" w:rsidRPr="00181EF3" w:rsidRDefault="00F51523" w:rsidP="00F51523">
            <w:pPr>
              <w:pStyle w:val="TableText"/>
              <w:tabs>
                <w:tab w:val="decimal" w:pos="765"/>
              </w:tabs>
              <w:rPr>
                <w:szCs w:val="18"/>
              </w:rPr>
            </w:pPr>
            <w:r w:rsidRPr="00181EF3">
              <w:rPr>
                <w:szCs w:val="18"/>
              </w:rPr>
              <w:t>70,578</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B5B1E10" w14:textId="77777777" w:rsidR="00F51523" w:rsidRPr="00181EF3" w:rsidRDefault="00F51523" w:rsidP="00F51523">
            <w:pPr>
              <w:pStyle w:val="TableText"/>
              <w:tabs>
                <w:tab w:val="decimal" w:pos="765"/>
              </w:tabs>
              <w:rPr>
                <w:szCs w:val="18"/>
              </w:rPr>
            </w:pPr>
            <w:r w:rsidRPr="00181EF3">
              <w:rPr>
                <w:szCs w:val="18"/>
              </w:rPr>
              <w:t>915</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19D0EE0" w14:textId="77777777" w:rsidR="00F51523" w:rsidRPr="00181EF3" w:rsidRDefault="00F51523" w:rsidP="00F51523">
            <w:pPr>
              <w:pStyle w:val="TableText"/>
              <w:tabs>
                <w:tab w:val="decimal" w:pos="765"/>
              </w:tabs>
              <w:rPr>
                <w:szCs w:val="18"/>
              </w:rPr>
            </w:pPr>
            <w:r w:rsidRPr="00181EF3">
              <w:rPr>
                <w:szCs w:val="18"/>
              </w:rPr>
              <w:t>36,909</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15070A8" w14:textId="77777777" w:rsidR="00F51523" w:rsidRPr="00181EF3" w:rsidRDefault="00F51523" w:rsidP="00F51523">
            <w:pPr>
              <w:pStyle w:val="TableText"/>
              <w:tabs>
                <w:tab w:val="decimal" w:pos="765"/>
              </w:tabs>
              <w:rPr>
                <w:szCs w:val="18"/>
              </w:rPr>
            </w:pPr>
            <w:r w:rsidRPr="00181EF3">
              <w:rPr>
                <w:szCs w:val="18"/>
              </w:rPr>
              <w:t>29,148</w:t>
            </w:r>
          </w:p>
        </w:tc>
        <w:tc>
          <w:tcPr>
            <w:tcW w:w="1064" w:type="dxa"/>
            <w:tcBorders>
              <w:top w:val="single" w:sz="4" w:space="0" w:color="A6A6A6" w:themeColor="background1" w:themeShade="A6"/>
              <w:bottom w:val="single" w:sz="4" w:space="0" w:color="A6A6A6" w:themeColor="background1" w:themeShade="A6"/>
            </w:tcBorders>
          </w:tcPr>
          <w:p w14:paraId="45FEA93C" w14:textId="77777777" w:rsidR="00F51523" w:rsidRPr="00181EF3" w:rsidRDefault="00F51523" w:rsidP="00F51523">
            <w:pPr>
              <w:pStyle w:val="TableText"/>
              <w:tabs>
                <w:tab w:val="decimal" w:pos="765"/>
              </w:tabs>
              <w:rPr>
                <w:szCs w:val="18"/>
              </w:rPr>
            </w:pPr>
            <w:r w:rsidRPr="00181EF3">
              <w:rPr>
                <w:szCs w:val="18"/>
              </w:rPr>
              <w:t>338,592</w:t>
            </w:r>
          </w:p>
        </w:tc>
      </w:tr>
      <w:tr w:rsidR="00F51523" w:rsidRPr="00181EF3" w14:paraId="7E33D305" w14:textId="77777777" w:rsidTr="00F51523">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D267CDD" w14:textId="77777777" w:rsidR="00F51523" w:rsidRPr="00181EF3" w:rsidRDefault="00F51523" w:rsidP="00F51523">
            <w:pPr>
              <w:pStyle w:val="TableText"/>
            </w:pPr>
            <w:r w:rsidRPr="00181EF3">
              <w:t>Counties Manukau</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891010E" w14:textId="77777777" w:rsidR="00F51523" w:rsidRPr="00181EF3" w:rsidRDefault="00F51523" w:rsidP="00F51523">
            <w:pPr>
              <w:pStyle w:val="TableText"/>
              <w:tabs>
                <w:tab w:val="decimal" w:pos="765"/>
              </w:tabs>
              <w:rPr>
                <w:szCs w:val="18"/>
              </w:rPr>
            </w:pPr>
            <w:r w:rsidRPr="00181EF3">
              <w:rPr>
                <w:szCs w:val="18"/>
              </w:rPr>
              <w:t>23,922</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DE2369A" w14:textId="77777777" w:rsidR="00F51523" w:rsidRPr="00181EF3" w:rsidRDefault="00F51523" w:rsidP="00F51523">
            <w:pPr>
              <w:pStyle w:val="TableText"/>
              <w:tabs>
                <w:tab w:val="decimal" w:pos="765"/>
              </w:tabs>
              <w:rPr>
                <w:szCs w:val="18"/>
              </w:rPr>
            </w:pPr>
            <w:r w:rsidRPr="00181EF3">
              <w:rPr>
                <w:szCs w:val="18"/>
              </w:rPr>
              <w:t>75,972</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A55747C" w14:textId="77777777" w:rsidR="00F51523" w:rsidRPr="00181EF3" w:rsidRDefault="00F51523" w:rsidP="00F51523">
            <w:pPr>
              <w:pStyle w:val="TableText"/>
              <w:tabs>
                <w:tab w:val="decimal" w:pos="765"/>
              </w:tabs>
              <w:rPr>
                <w:szCs w:val="18"/>
              </w:rPr>
            </w:pPr>
            <w:r w:rsidRPr="00181EF3">
              <w:rPr>
                <w:szCs w:val="18"/>
              </w:rPr>
              <w:t>10,803</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B6277EA" w14:textId="77777777" w:rsidR="00F51523" w:rsidRPr="00181EF3" w:rsidRDefault="00F51523" w:rsidP="00F51523">
            <w:pPr>
              <w:pStyle w:val="TableText"/>
              <w:tabs>
                <w:tab w:val="decimal" w:pos="765"/>
              </w:tabs>
              <w:rPr>
                <w:szCs w:val="18"/>
              </w:rPr>
            </w:pPr>
            <w:r w:rsidRPr="00181EF3">
              <w:rPr>
                <w:szCs w:val="18"/>
              </w:rPr>
              <w:t>42,858</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B9F0EB1" w14:textId="77777777" w:rsidR="00F51523" w:rsidRPr="00181EF3" w:rsidRDefault="00F51523" w:rsidP="00F51523">
            <w:pPr>
              <w:pStyle w:val="TableText"/>
              <w:tabs>
                <w:tab w:val="decimal" w:pos="765"/>
              </w:tabs>
              <w:rPr>
                <w:szCs w:val="18"/>
              </w:rPr>
            </w:pPr>
            <w:r w:rsidRPr="00181EF3">
              <w:rPr>
                <w:szCs w:val="18"/>
              </w:rPr>
              <w:t>17,679</w:t>
            </w:r>
          </w:p>
        </w:tc>
        <w:tc>
          <w:tcPr>
            <w:tcW w:w="106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0038F78" w14:textId="77777777" w:rsidR="00F51523" w:rsidRPr="00181EF3" w:rsidRDefault="00F51523" w:rsidP="00F51523">
            <w:pPr>
              <w:pStyle w:val="TableText"/>
              <w:tabs>
                <w:tab w:val="decimal" w:pos="765"/>
              </w:tabs>
              <w:rPr>
                <w:szCs w:val="18"/>
              </w:rPr>
            </w:pPr>
            <w:r w:rsidRPr="00181EF3">
              <w:rPr>
                <w:szCs w:val="18"/>
              </w:rPr>
              <w:t>94,359</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3A3A91D" w14:textId="77777777" w:rsidR="00F51523" w:rsidRPr="00181EF3" w:rsidRDefault="00F51523" w:rsidP="00F51523">
            <w:pPr>
              <w:pStyle w:val="TableText"/>
              <w:tabs>
                <w:tab w:val="decimal" w:pos="765"/>
              </w:tabs>
              <w:rPr>
                <w:szCs w:val="18"/>
              </w:rPr>
            </w:pPr>
            <w:r w:rsidRPr="00181EF3">
              <w:rPr>
                <w:szCs w:val="18"/>
              </w:rPr>
              <w:t>7,590</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89B920D" w14:textId="77777777" w:rsidR="00F51523" w:rsidRPr="00181EF3" w:rsidRDefault="00F51523" w:rsidP="00F51523">
            <w:pPr>
              <w:pStyle w:val="TableText"/>
              <w:tabs>
                <w:tab w:val="decimal" w:pos="765"/>
              </w:tabs>
              <w:rPr>
                <w:szCs w:val="18"/>
              </w:rPr>
            </w:pPr>
            <w:r w:rsidRPr="00181EF3">
              <w:rPr>
                <w:szCs w:val="18"/>
              </w:rPr>
              <w:t>69,519</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33EF8BC" w14:textId="77777777" w:rsidR="00F51523" w:rsidRPr="00181EF3" w:rsidRDefault="00F51523" w:rsidP="00F51523">
            <w:pPr>
              <w:pStyle w:val="TableText"/>
              <w:tabs>
                <w:tab w:val="decimal" w:pos="765"/>
              </w:tabs>
              <w:rPr>
                <w:szCs w:val="18"/>
              </w:rPr>
            </w:pPr>
            <w:r w:rsidRPr="00181EF3">
              <w:rPr>
                <w:szCs w:val="18"/>
              </w:rPr>
              <w:t>1,392</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1D8E917" w14:textId="77777777" w:rsidR="00F51523" w:rsidRPr="00181EF3" w:rsidRDefault="00F51523" w:rsidP="00F51523">
            <w:pPr>
              <w:pStyle w:val="TableText"/>
              <w:tabs>
                <w:tab w:val="decimal" w:pos="765"/>
              </w:tabs>
              <w:rPr>
                <w:szCs w:val="18"/>
              </w:rPr>
            </w:pPr>
            <w:r w:rsidRPr="00181EF3">
              <w:rPr>
                <w:szCs w:val="18"/>
              </w:rPr>
              <w:t>31,311</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972D1F4" w14:textId="77777777" w:rsidR="00F51523" w:rsidRPr="00181EF3" w:rsidRDefault="00F51523" w:rsidP="00F51523">
            <w:pPr>
              <w:pStyle w:val="TableText"/>
              <w:tabs>
                <w:tab w:val="decimal" w:pos="765"/>
              </w:tabs>
              <w:rPr>
                <w:szCs w:val="18"/>
              </w:rPr>
            </w:pPr>
            <w:r w:rsidRPr="00181EF3">
              <w:rPr>
                <w:szCs w:val="18"/>
              </w:rPr>
              <w:t>61,386</w:t>
            </w:r>
          </w:p>
        </w:tc>
        <w:tc>
          <w:tcPr>
            <w:tcW w:w="1064" w:type="dxa"/>
            <w:tcBorders>
              <w:top w:val="single" w:sz="4" w:space="0" w:color="A6A6A6" w:themeColor="background1" w:themeShade="A6"/>
              <w:bottom w:val="single" w:sz="4" w:space="0" w:color="A6A6A6" w:themeColor="background1" w:themeShade="A6"/>
            </w:tcBorders>
          </w:tcPr>
          <w:p w14:paraId="64ED49C4" w14:textId="77777777" w:rsidR="00F51523" w:rsidRPr="00181EF3" w:rsidRDefault="00F51523" w:rsidP="00F51523">
            <w:pPr>
              <w:pStyle w:val="TableText"/>
              <w:tabs>
                <w:tab w:val="decimal" w:pos="765"/>
              </w:tabs>
              <w:rPr>
                <w:szCs w:val="18"/>
              </w:rPr>
            </w:pPr>
            <w:r w:rsidRPr="00181EF3">
              <w:rPr>
                <w:szCs w:val="18"/>
              </w:rPr>
              <w:t>314,019</w:t>
            </w:r>
          </w:p>
        </w:tc>
      </w:tr>
      <w:tr w:rsidR="00F51523" w:rsidRPr="00181EF3" w14:paraId="7DB53899" w14:textId="77777777" w:rsidTr="00F51523">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5335975" w14:textId="77777777" w:rsidR="00F51523" w:rsidRPr="00181EF3" w:rsidRDefault="00F51523" w:rsidP="00F51523">
            <w:pPr>
              <w:pStyle w:val="TableText"/>
            </w:pPr>
            <w:r w:rsidRPr="00181EF3">
              <w:t>Waikato</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DFBB40C" w14:textId="77777777" w:rsidR="00F51523" w:rsidRPr="00181EF3" w:rsidRDefault="00F51523" w:rsidP="00F51523">
            <w:pPr>
              <w:pStyle w:val="TableText"/>
              <w:tabs>
                <w:tab w:val="decimal" w:pos="765"/>
              </w:tabs>
              <w:rPr>
                <w:szCs w:val="18"/>
              </w:rPr>
            </w:pPr>
            <w:r w:rsidRPr="00181EF3">
              <w:rPr>
                <w:szCs w:val="18"/>
              </w:rPr>
              <w:t>24,306</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C370254" w14:textId="77777777" w:rsidR="00F51523" w:rsidRPr="00181EF3" w:rsidRDefault="00F51523" w:rsidP="00F51523">
            <w:pPr>
              <w:pStyle w:val="TableText"/>
              <w:tabs>
                <w:tab w:val="decimal" w:pos="765"/>
              </w:tabs>
              <w:rPr>
                <w:szCs w:val="18"/>
              </w:rPr>
            </w:pPr>
            <w:r w:rsidRPr="00181EF3">
              <w:rPr>
                <w:szCs w:val="18"/>
              </w:rPr>
              <w:t>52,668</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56145C7" w14:textId="77777777" w:rsidR="00F51523" w:rsidRPr="00181EF3" w:rsidRDefault="00F51523" w:rsidP="00F51523">
            <w:pPr>
              <w:pStyle w:val="TableText"/>
              <w:tabs>
                <w:tab w:val="decimal" w:pos="765"/>
              </w:tabs>
              <w:rPr>
                <w:szCs w:val="18"/>
              </w:rPr>
            </w:pPr>
            <w:r w:rsidRPr="00181EF3">
              <w:rPr>
                <w:szCs w:val="18"/>
              </w:rPr>
              <w:t>11,586</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FBEC778" w14:textId="77777777" w:rsidR="00F51523" w:rsidRPr="00181EF3" w:rsidRDefault="00F51523" w:rsidP="00F51523">
            <w:pPr>
              <w:pStyle w:val="TableText"/>
              <w:tabs>
                <w:tab w:val="decimal" w:pos="765"/>
              </w:tabs>
              <w:rPr>
                <w:szCs w:val="18"/>
              </w:rPr>
            </w:pPr>
            <w:r w:rsidRPr="00181EF3">
              <w:rPr>
                <w:szCs w:val="18"/>
              </w:rPr>
              <w:t>32,751</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4F7412D" w14:textId="77777777" w:rsidR="00F51523" w:rsidRPr="00181EF3" w:rsidRDefault="00F51523" w:rsidP="00F51523">
            <w:pPr>
              <w:pStyle w:val="TableText"/>
              <w:tabs>
                <w:tab w:val="decimal" w:pos="765"/>
              </w:tabs>
              <w:rPr>
                <w:szCs w:val="18"/>
              </w:rPr>
            </w:pPr>
            <w:r w:rsidRPr="00181EF3">
              <w:rPr>
                <w:szCs w:val="18"/>
              </w:rPr>
              <w:t>17,793</w:t>
            </w:r>
          </w:p>
        </w:tc>
        <w:tc>
          <w:tcPr>
            <w:tcW w:w="106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C8C3B7C" w14:textId="77777777" w:rsidR="00F51523" w:rsidRPr="00181EF3" w:rsidRDefault="00F51523" w:rsidP="00F51523">
            <w:pPr>
              <w:pStyle w:val="TableText"/>
              <w:tabs>
                <w:tab w:val="decimal" w:pos="765"/>
              </w:tabs>
              <w:rPr>
                <w:szCs w:val="18"/>
              </w:rPr>
            </w:pPr>
            <w:r w:rsidRPr="00181EF3">
              <w:rPr>
                <w:szCs w:val="18"/>
              </w:rPr>
              <w:t>72,147</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AD2B93E" w14:textId="77777777" w:rsidR="00F51523" w:rsidRPr="00181EF3" w:rsidRDefault="00F51523" w:rsidP="00F51523">
            <w:pPr>
              <w:pStyle w:val="TableText"/>
              <w:tabs>
                <w:tab w:val="decimal" w:pos="765"/>
              </w:tabs>
              <w:rPr>
                <w:szCs w:val="18"/>
              </w:rPr>
            </w:pPr>
            <w:r w:rsidRPr="00181EF3">
              <w:rPr>
                <w:szCs w:val="18"/>
              </w:rPr>
              <w:t>8,337</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1197E62" w14:textId="77777777" w:rsidR="00F51523" w:rsidRPr="00181EF3" w:rsidRDefault="00F51523" w:rsidP="00F51523">
            <w:pPr>
              <w:pStyle w:val="TableText"/>
              <w:tabs>
                <w:tab w:val="decimal" w:pos="765"/>
              </w:tabs>
              <w:rPr>
                <w:szCs w:val="18"/>
              </w:rPr>
            </w:pPr>
            <w:r w:rsidRPr="00181EF3">
              <w:rPr>
                <w:szCs w:val="18"/>
              </w:rPr>
              <w:t>60,405</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A1216A5" w14:textId="77777777" w:rsidR="00F51523" w:rsidRPr="00181EF3" w:rsidRDefault="00F51523" w:rsidP="00F51523">
            <w:pPr>
              <w:pStyle w:val="TableText"/>
              <w:tabs>
                <w:tab w:val="decimal" w:pos="765"/>
              </w:tabs>
              <w:rPr>
                <w:szCs w:val="18"/>
              </w:rPr>
            </w:pPr>
            <w:r w:rsidRPr="00181EF3">
              <w:rPr>
                <w:szCs w:val="18"/>
              </w:rPr>
              <w:t>2,247</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2FB95C1" w14:textId="77777777" w:rsidR="00F51523" w:rsidRPr="00181EF3" w:rsidRDefault="00F51523" w:rsidP="00F51523">
            <w:pPr>
              <w:pStyle w:val="TableText"/>
              <w:tabs>
                <w:tab w:val="decimal" w:pos="765"/>
              </w:tabs>
              <w:rPr>
                <w:szCs w:val="18"/>
              </w:rPr>
            </w:pPr>
            <w:r w:rsidRPr="00181EF3">
              <w:rPr>
                <w:szCs w:val="18"/>
              </w:rPr>
              <w:t>35,451</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8ACDBEF" w14:textId="77777777" w:rsidR="00F51523" w:rsidRPr="00181EF3" w:rsidRDefault="00F51523" w:rsidP="00F51523">
            <w:pPr>
              <w:pStyle w:val="TableText"/>
              <w:tabs>
                <w:tab w:val="decimal" w:pos="765"/>
              </w:tabs>
              <w:rPr>
                <w:szCs w:val="18"/>
              </w:rPr>
            </w:pPr>
            <w:r w:rsidRPr="00181EF3">
              <w:rPr>
                <w:szCs w:val="18"/>
              </w:rPr>
              <w:t>64,269</w:t>
            </w:r>
          </w:p>
        </w:tc>
        <w:tc>
          <w:tcPr>
            <w:tcW w:w="1064" w:type="dxa"/>
            <w:tcBorders>
              <w:top w:val="single" w:sz="4" w:space="0" w:color="A6A6A6" w:themeColor="background1" w:themeShade="A6"/>
              <w:bottom w:val="single" w:sz="4" w:space="0" w:color="A6A6A6" w:themeColor="background1" w:themeShade="A6"/>
            </w:tcBorders>
          </w:tcPr>
          <w:p w14:paraId="1A7E6353" w14:textId="77777777" w:rsidR="00F51523" w:rsidRPr="00181EF3" w:rsidRDefault="00F51523" w:rsidP="00F51523">
            <w:pPr>
              <w:pStyle w:val="TableText"/>
              <w:tabs>
                <w:tab w:val="decimal" w:pos="765"/>
              </w:tabs>
              <w:rPr>
                <w:szCs w:val="18"/>
              </w:rPr>
            </w:pPr>
            <w:r w:rsidRPr="00181EF3">
              <w:rPr>
                <w:szCs w:val="18"/>
              </w:rPr>
              <w:t>253,422</w:t>
            </w:r>
          </w:p>
        </w:tc>
      </w:tr>
      <w:tr w:rsidR="00F51523" w:rsidRPr="00181EF3" w14:paraId="5C97E538" w14:textId="77777777" w:rsidTr="00F51523">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C49306E" w14:textId="77777777" w:rsidR="00F51523" w:rsidRPr="00181EF3" w:rsidRDefault="00F51523" w:rsidP="00F51523">
            <w:pPr>
              <w:pStyle w:val="TableText"/>
            </w:pPr>
            <w:r w:rsidRPr="00181EF3">
              <w:t>Lakes</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ED3C6B4" w14:textId="77777777" w:rsidR="00F51523" w:rsidRPr="00181EF3" w:rsidRDefault="00F51523" w:rsidP="00F51523">
            <w:pPr>
              <w:pStyle w:val="TableText"/>
              <w:tabs>
                <w:tab w:val="decimal" w:pos="765"/>
              </w:tabs>
              <w:rPr>
                <w:szCs w:val="18"/>
              </w:rPr>
            </w:pPr>
            <w:r w:rsidRPr="00181EF3">
              <w:rPr>
                <w:szCs w:val="18"/>
              </w:rPr>
              <w:t>11,211</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D7A9997" w14:textId="77777777" w:rsidR="00F51523" w:rsidRPr="00181EF3" w:rsidRDefault="00F51523" w:rsidP="00F51523">
            <w:pPr>
              <w:pStyle w:val="TableText"/>
              <w:tabs>
                <w:tab w:val="decimal" w:pos="765"/>
              </w:tabs>
              <w:rPr>
                <w:szCs w:val="18"/>
              </w:rPr>
            </w:pPr>
            <w:r w:rsidRPr="00181EF3">
              <w:rPr>
                <w:szCs w:val="18"/>
              </w:rPr>
              <w:t>13,038</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3632A86" w14:textId="77777777" w:rsidR="00F51523" w:rsidRPr="00181EF3" w:rsidRDefault="00F51523" w:rsidP="00F51523">
            <w:pPr>
              <w:pStyle w:val="TableText"/>
              <w:tabs>
                <w:tab w:val="decimal" w:pos="765"/>
              </w:tabs>
              <w:rPr>
                <w:szCs w:val="18"/>
              </w:rPr>
            </w:pPr>
            <w:r w:rsidRPr="00181EF3">
              <w:rPr>
                <w:szCs w:val="18"/>
              </w:rPr>
              <w:t>5,223</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E63031C" w14:textId="77777777" w:rsidR="00F51523" w:rsidRPr="00181EF3" w:rsidRDefault="00F51523" w:rsidP="00F51523">
            <w:pPr>
              <w:pStyle w:val="TableText"/>
              <w:tabs>
                <w:tab w:val="decimal" w:pos="765"/>
              </w:tabs>
              <w:rPr>
                <w:szCs w:val="18"/>
              </w:rPr>
            </w:pPr>
            <w:r w:rsidRPr="00181EF3">
              <w:rPr>
                <w:szCs w:val="18"/>
              </w:rPr>
              <w:t>7,074</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77B3E5D" w14:textId="77777777" w:rsidR="00F51523" w:rsidRPr="00181EF3" w:rsidRDefault="00F51523" w:rsidP="00F51523">
            <w:pPr>
              <w:pStyle w:val="TableText"/>
              <w:tabs>
                <w:tab w:val="decimal" w:pos="765"/>
              </w:tabs>
              <w:rPr>
                <w:szCs w:val="18"/>
              </w:rPr>
            </w:pPr>
            <w:r w:rsidRPr="00181EF3">
              <w:rPr>
                <w:szCs w:val="18"/>
              </w:rPr>
              <w:t>8,649</w:t>
            </w:r>
          </w:p>
        </w:tc>
        <w:tc>
          <w:tcPr>
            <w:tcW w:w="106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E142C8E" w14:textId="77777777" w:rsidR="00F51523" w:rsidRPr="00181EF3" w:rsidRDefault="00F51523" w:rsidP="00F51523">
            <w:pPr>
              <w:pStyle w:val="TableText"/>
              <w:tabs>
                <w:tab w:val="decimal" w:pos="765"/>
              </w:tabs>
              <w:rPr>
                <w:szCs w:val="18"/>
              </w:rPr>
            </w:pPr>
            <w:r w:rsidRPr="00181EF3">
              <w:rPr>
                <w:szCs w:val="18"/>
              </w:rPr>
              <w:t>19,404</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6FE3B53" w14:textId="77777777" w:rsidR="00F51523" w:rsidRPr="00181EF3" w:rsidRDefault="00F51523" w:rsidP="00F51523">
            <w:pPr>
              <w:pStyle w:val="TableText"/>
              <w:tabs>
                <w:tab w:val="decimal" w:pos="765"/>
              </w:tabs>
              <w:rPr>
                <w:szCs w:val="18"/>
              </w:rPr>
            </w:pPr>
            <w:r w:rsidRPr="00181EF3">
              <w:rPr>
                <w:szCs w:val="18"/>
              </w:rPr>
              <w:t>4,098</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2369CD2" w14:textId="77777777" w:rsidR="00F51523" w:rsidRPr="00181EF3" w:rsidRDefault="00F51523" w:rsidP="00F51523">
            <w:pPr>
              <w:pStyle w:val="TableText"/>
              <w:tabs>
                <w:tab w:val="decimal" w:pos="765"/>
              </w:tabs>
              <w:rPr>
                <w:szCs w:val="18"/>
              </w:rPr>
            </w:pPr>
            <w:r w:rsidRPr="00181EF3">
              <w:rPr>
                <w:szCs w:val="18"/>
              </w:rPr>
              <w:t>16,623</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42AEA92" w14:textId="77777777" w:rsidR="00F51523" w:rsidRPr="00181EF3" w:rsidRDefault="00F51523" w:rsidP="00F51523">
            <w:pPr>
              <w:pStyle w:val="TableText"/>
              <w:tabs>
                <w:tab w:val="decimal" w:pos="765"/>
              </w:tabs>
              <w:rPr>
                <w:szCs w:val="18"/>
              </w:rPr>
            </w:pPr>
            <w:r w:rsidRPr="00181EF3">
              <w:rPr>
                <w:szCs w:val="18"/>
              </w:rPr>
              <w:t>1,164</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D75CB6A" w14:textId="77777777" w:rsidR="00F51523" w:rsidRPr="00181EF3" w:rsidRDefault="00F51523" w:rsidP="00F51523">
            <w:pPr>
              <w:pStyle w:val="TableText"/>
              <w:tabs>
                <w:tab w:val="decimal" w:pos="765"/>
              </w:tabs>
              <w:rPr>
                <w:szCs w:val="18"/>
              </w:rPr>
            </w:pPr>
            <w:r w:rsidRPr="00181EF3">
              <w:rPr>
                <w:szCs w:val="18"/>
              </w:rPr>
              <w:t>9,462</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B097C66" w14:textId="77777777" w:rsidR="00F51523" w:rsidRPr="00181EF3" w:rsidRDefault="00F51523" w:rsidP="00F51523">
            <w:pPr>
              <w:pStyle w:val="TableText"/>
              <w:tabs>
                <w:tab w:val="decimal" w:pos="765"/>
              </w:tabs>
              <w:rPr>
                <w:szCs w:val="18"/>
              </w:rPr>
            </w:pPr>
            <w:r w:rsidRPr="00181EF3">
              <w:rPr>
                <w:szCs w:val="18"/>
              </w:rPr>
              <w:t>30,345</w:t>
            </w:r>
          </w:p>
        </w:tc>
        <w:tc>
          <w:tcPr>
            <w:tcW w:w="1064" w:type="dxa"/>
            <w:tcBorders>
              <w:top w:val="single" w:sz="4" w:space="0" w:color="A6A6A6" w:themeColor="background1" w:themeShade="A6"/>
              <w:bottom w:val="single" w:sz="4" w:space="0" w:color="A6A6A6" w:themeColor="background1" w:themeShade="A6"/>
            </w:tcBorders>
          </w:tcPr>
          <w:p w14:paraId="55F61531" w14:textId="77777777" w:rsidR="00F51523" w:rsidRPr="00181EF3" w:rsidRDefault="00F51523" w:rsidP="00F51523">
            <w:pPr>
              <w:pStyle w:val="TableText"/>
              <w:tabs>
                <w:tab w:val="decimal" w:pos="765"/>
              </w:tabs>
              <w:rPr>
                <w:szCs w:val="18"/>
              </w:rPr>
            </w:pPr>
            <w:r w:rsidRPr="00181EF3">
              <w:rPr>
                <w:szCs w:val="18"/>
              </w:rPr>
              <w:t>65,631</w:t>
            </w:r>
          </w:p>
        </w:tc>
      </w:tr>
      <w:tr w:rsidR="00F51523" w:rsidRPr="00181EF3" w14:paraId="3C442289" w14:textId="77777777" w:rsidTr="00F51523">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A418F2D" w14:textId="77777777" w:rsidR="00F51523" w:rsidRPr="00181EF3" w:rsidRDefault="00F51523" w:rsidP="00F51523">
            <w:pPr>
              <w:pStyle w:val="TableText"/>
            </w:pPr>
            <w:r w:rsidRPr="00181EF3">
              <w:t>Bay of Plenty</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01E9886" w14:textId="77777777" w:rsidR="00F51523" w:rsidRPr="00181EF3" w:rsidRDefault="00F51523" w:rsidP="00F51523">
            <w:pPr>
              <w:pStyle w:val="TableText"/>
              <w:tabs>
                <w:tab w:val="decimal" w:pos="765"/>
              </w:tabs>
              <w:rPr>
                <w:szCs w:val="18"/>
              </w:rPr>
            </w:pPr>
            <w:r w:rsidRPr="00181EF3">
              <w:rPr>
                <w:szCs w:val="18"/>
              </w:rPr>
              <w:t>16,242</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0CE2B17" w14:textId="77777777" w:rsidR="00F51523" w:rsidRPr="00181EF3" w:rsidRDefault="00F51523" w:rsidP="00F51523">
            <w:pPr>
              <w:pStyle w:val="TableText"/>
              <w:tabs>
                <w:tab w:val="decimal" w:pos="765"/>
              </w:tabs>
              <w:rPr>
                <w:szCs w:val="18"/>
              </w:rPr>
            </w:pPr>
            <w:r w:rsidRPr="00181EF3">
              <w:rPr>
                <w:szCs w:val="18"/>
              </w:rPr>
              <w:t>26,469</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057E61A" w14:textId="77777777" w:rsidR="00F51523" w:rsidRPr="00181EF3" w:rsidRDefault="00F51523" w:rsidP="00F51523">
            <w:pPr>
              <w:pStyle w:val="TableText"/>
              <w:tabs>
                <w:tab w:val="decimal" w:pos="765"/>
              </w:tabs>
              <w:rPr>
                <w:szCs w:val="18"/>
              </w:rPr>
            </w:pPr>
            <w:r w:rsidRPr="00181EF3">
              <w:rPr>
                <w:szCs w:val="18"/>
              </w:rPr>
              <w:t>6,633</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72337A2" w14:textId="77777777" w:rsidR="00F51523" w:rsidRPr="00181EF3" w:rsidRDefault="00F51523" w:rsidP="00F51523">
            <w:pPr>
              <w:pStyle w:val="TableText"/>
              <w:tabs>
                <w:tab w:val="decimal" w:pos="765"/>
              </w:tabs>
              <w:rPr>
                <w:szCs w:val="18"/>
              </w:rPr>
            </w:pPr>
            <w:r w:rsidRPr="00181EF3">
              <w:rPr>
                <w:szCs w:val="18"/>
              </w:rPr>
              <w:t>13,242</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D1A0090" w14:textId="77777777" w:rsidR="00F51523" w:rsidRPr="00181EF3" w:rsidRDefault="00F51523" w:rsidP="00F51523">
            <w:pPr>
              <w:pStyle w:val="TableText"/>
              <w:tabs>
                <w:tab w:val="decimal" w:pos="765"/>
              </w:tabs>
              <w:rPr>
                <w:szCs w:val="18"/>
              </w:rPr>
            </w:pPr>
            <w:r w:rsidRPr="00181EF3">
              <w:rPr>
                <w:szCs w:val="18"/>
              </w:rPr>
              <w:t>11,772</w:t>
            </w:r>
          </w:p>
        </w:tc>
        <w:tc>
          <w:tcPr>
            <w:tcW w:w="106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99495CB" w14:textId="77777777" w:rsidR="00F51523" w:rsidRPr="00181EF3" w:rsidRDefault="00F51523" w:rsidP="00F51523">
            <w:pPr>
              <w:pStyle w:val="TableText"/>
              <w:tabs>
                <w:tab w:val="decimal" w:pos="765"/>
              </w:tabs>
              <w:rPr>
                <w:szCs w:val="18"/>
              </w:rPr>
            </w:pPr>
            <w:r w:rsidRPr="00181EF3">
              <w:rPr>
                <w:szCs w:val="18"/>
              </w:rPr>
              <w:t>36,054</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4433B6C" w14:textId="77777777" w:rsidR="00F51523" w:rsidRPr="00181EF3" w:rsidRDefault="00F51523" w:rsidP="00F51523">
            <w:pPr>
              <w:pStyle w:val="TableText"/>
              <w:tabs>
                <w:tab w:val="decimal" w:pos="765"/>
              </w:tabs>
              <w:rPr>
                <w:szCs w:val="18"/>
              </w:rPr>
            </w:pPr>
            <w:r w:rsidRPr="00181EF3">
              <w:rPr>
                <w:szCs w:val="18"/>
              </w:rPr>
              <w:t>6,186</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24BA4A8" w14:textId="77777777" w:rsidR="00F51523" w:rsidRPr="00181EF3" w:rsidRDefault="00F51523" w:rsidP="00F51523">
            <w:pPr>
              <w:pStyle w:val="TableText"/>
              <w:tabs>
                <w:tab w:val="decimal" w:pos="765"/>
              </w:tabs>
              <w:rPr>
                <w:szCs w:val="18"/>
              </w:rPr>
            </w:pPr>
            <w:r w:rsidRPr="00181EF3">
              <w:rPr>
                <w:szCs w:val="18"/>
              </w:rPr>
              <w:t>34,689</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AF895C7" w14:textId="77777777" w:rsidR="00F51523" w:rsidRPr="00181EF3" w:rsidRDefault="00F51523" w:rsidP="00F51523">
            <w:pPr>
              <w:pStyle w:val="TableText"/>
              <w:tabs>
                <w:tab w:val="decimal" w:pos="765"/>
              </w:tabs>
              <w:rPr>
                <w:szCs w:val="18"/>
              </w:rPr>
            </w:pPr>
            <w:r w:rsidRPr="00181EF3">
              <w:rPr>
                <w:szCs w:val="18"/>
              </w:rPr>
              <w:t>1,764</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D96B77A" w14:textId="77777777" w:rsidR="00F51523" w:rsidRPr="00181EF3" w:rsidRDefault="00F51523" w:rsidP="00F51523">
            <w:pPr>
              <w:pStyle w:val="TableText"/>
              <w:tabs>
                <w:tab w:val="decimal" w:pos="765"/>
              </w:tabs>
              <w:rPr>
                <w:szCs w:val="18"/>
              </w:rPr>
            </w:pPr>
            <w:r w:rsidRPr="00181EF3">
              <w:rPr>
                <w:szCs w:val="18"/>
              </w:rPr>
              <w:t>24,900</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A09A866" w14:textId="77777777" w:rsidR="00F51523" w:rsidRPr="00181EF3" w:rsidRDefault="00F51523" w:rsidP="00F51523">
            <w:pPr>
              <w:pStyle w:val="TableText"/>
              <w:tabs>
                <w:tab w:val="decimal" w:pos="765"/>
              </w:tabs>
              <w:rPr>
                <w:szCs w:val="18"/>
              </w:rPr>
            </w:pPr>
            <w:r w:rsidRPr="00181EF3">
              <w:rPr>
                <w:szCs w:val="18"/>
              </w:rPr>
              <w:t>42,594</w:t>
            </w:r>
          </w:p>
        </w:tc>
        <w:tc>
          <w:tcPr>
            <w:tcW w:w="1064" w:type="dxa"/>
            <w:tcBorders>
              <w:top w:val="single" w:sz="4" w:space="0" w:color="A6A6A6" w:themeColor="background1" w:themeShade="A6"/>
              <w:bottom w:val="single" w:sz="4" w:space="0" w:color="A6A6A6" w:themeColor="background1" w:themeShade="A6"/>
            </w:tcBorders>
          </w:tcPr>
          <w:p w14:paraId="6F8E2C3D" w14:textId="77777777" w:rsidR="00F51523" w:rsidRPr="00181EF3" w:rsidRDefault="00F51523" w:rsidP="00F51523">
            <w:pPr>
              <w:pStyle w:val="TableText"/>
              <w:tabs>
                <w:tab w:val="decimal" w:pos="765"/>
              </w:tabs>
              <w:rPr>
                <w:szCs w:val="18"/>
              </w:rPr>
            </w:pPr>
            <w:r w:rsidRPr="00181EF3">
              <w:rPr>
                <w:szCs w:val="18"/>
              </w:rPr>
              <w:t>135,354</w:t>
            </w:r>
          </w:p>
        </w:tc>
      </w:tr>
      <w:tr w:rsidR="00F51523" w:rsidRPr="00181EF3" w14:paraId="18F6D4AD" w14:textId="77777777" w:rsidTr="00F51523">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CEDBDB6" w14:textId="77777777" w:rsidR="00F51523" w:rsidRPr="00181EF3" w:rsidRDefault="00F51523" w:rsidP="00F51523">
            <w:pPr>
              <w:pStyle w:val="TableText"/>
            </w:pPr>
            <w:r w:rsidRPr="00181EF3">
              <w:t>Tairāwhiti</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7939DB8" w14:textId="77777777" w:rsidR="00F51523" w:rsidRPr="00181EF3" w:rsidRDefault="00F51523" w:rsidP="00F51523">
            <w:pPr>
              <w:pStyle w:val="TableText"/>
              <w:tabs>
                <w:tab w:val="decimal" w:pos="765"/>
              </w:tabs>
              <w:rPr>
                <w:szCs w:val="18"/>
              </w:rPr>
            </w:pPr>
            <w:r w:rsidRPr="00181EF3">
              <w:rPr>
                <w:szCs w:val="18"/>
              </w:rPr>
              <w:t>6,987</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5169B4C" w14:textId="77777777" w:rsidR="00F51523" w:rsidRPr="00181EF3" w:rsidRDefault="00F51523" w:rsidP="00F51523">
            <w:pPr>
              <w:pStyle w:val="TableText"/>
              <w:tabs>
                <w:tab w:val="decimal" w:pos="765"/>
              </w:tabs>
              <w:rPr>
                <w:szCs w:val="18"/>
              </w:rPr>
            </w:pPr>
            <w:r w:rsidRPr="00181EF3">
              <w:rPr>
                <w:szCs w:val="18"/>
              </w:rPr>
              <w:t>5,097</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F508B52" w14:textId="77777777" w:rsidR="00F51523" w:rsidRPr="00181EF3" w:rsidRDefault="00F51523" w:rsidP="00F51523">
            <w:pPr>
              <w:pStyle w:val="TableText"/>
              <w:tabs>
                <w:tab w:val="decimal" w:pos="765"/>
              </w:tabs>
              <w:rPr>
                <w:szCs w:val="18"/>
              </w:rPr>
            </w:pPr>
            <w:r w:rsidRPr="00181EF3">
              <w:rPr>
                <w:szCs w:val="18"/>
              </w:rPr>
              <w:t>2,967</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FFDCB63" w14:textId="77777777" w:rsidR="00F51523" w:rsidRPr="00181EF3" w:rsidRDefault="00F51523" w:rsidP="00F51523">
            <w:pPr>
              <w:pStyle w:val="TableText"/>
              <w:tabs>
                <w:tab w:val="decimal" w:pos="765"/>
              </w:tabs>
              <w:rPr>
                <w:szCs w:val="18"/>
              </w:rPr>
            </w:pPr>
            <w:r w:rsidRPr="00181EF3">
              <w:rPr>
                <w:szCs w:val="18"/>
              </w:rPr>
              <w:t>2,550</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67085E2" w14:textId="77777777" w:rsidR="00F51523" w:rsidRPr="00181EF3" w:rsidRDefault="00F51523" w:rsidP="00F51523">
            <w:pPr>
              <w:pStyle w:val="TableText"/>
              <w:tabs>
                <w:tab w:val="decimal" w:pos="765"/>
              </w:tabs>
              <w:rPr>
                <w:szCs w:val="18"/>
              </w:rPr>
            </w:pPr>
            <w:r w:rsidRPr="00181EF3">
              <w:rPr>
                <w:szCs w:val="18"/>
              </w:rPr>
              <w:t>5,346</w:t>
            </w:r>
          </w:p>
        </w:tc>
        <w:tc>
          <w:tcPr>
            <w:tcW w:w="106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5CCFEC0" w14:textId="77777777" w:rsidR="00F51523" w:rsidRPr="00181EF3" w:rsidRDefault="00F51523" w:rsidP="00F51523">
            <w:pPr>
              <w:pStyle w:val="TableText"/>
              <w:tabs>
                <w:tab w:val="decimal" w:pos="765"/>
              </w:tabs>
              <w:rPr>
                <w:szCs w:val="18"/>
              </w:rPr>
            </w:pPr>
            <w:r w:rsidRPr="00181EF3">
              <w:rPr>
                <w:szCs w:val="18"/>
              </w:rPr>
              <w:t>6,702</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455E8D1" w14:textId="77777777" w:rsidR="00F51523" w:rsidRPr="00181EF3" w:rsidRDefault="00F51523" w:rsidP="00F51523">
            <w:pPr>
              <w:pStyle w:val="TableText"/>
              <w:tabs>
                <w:tab w:val="decimal" w:pos="765"/>
              </w:tabs>
              <w:rPr>
                <w:szCs w:val="18"/>
              </w:rPr>
            </w:pPr>
            <w:r w:rsidRPr="00181EF3">
              <w:rPr>
                <w:szCs w:val="18"/>
              </w:rPr>
              <w:t>3,051</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ED13DF7" w14:textId="77777777" w:rsidR="00F51523" w:rsidRPr="00181EF3" w:rsidRDefault="00F51523" w:rsidP="00F51523">
            <w:pPr>
              <w:pStyle w:val="TableText"/>
              <w:tabs>
                <w:tab w:val="decimal" w:pos="765"/>
              </w:tabs>
              <w:rPr>
                <w:szCs w:val="18"/>
              </w:rPr>
            </w:pPr>
            <w:r w:rsidRPr="00181EF3">
              <w:rPr>
                <w:szCs w:val="18"/>
              </w:rPr>
              <w:t>6,201</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C4314BB" w14:textId="77777777" w:rsidR="00F51523" w:rsidRPr="00181EF3" w:rsidRDefault="00F51523" w:rsidP="00F51523">
            <w:pPr>
              <w:pStyle w:val="TableText"/>
              <w:tabs>
                <w:tab w:val="decimal" w:pos="765"/>
              </w:tabs>
              <w:rPr>
                <w:szCs w:val="18"/>
              </w:rPr>
            </w:pPr>
            <w:r w:rsidRPr="00181EF3">
              <w:rPr>
                <w:szCs w:val="18"/>
              </w:rPr>
              <w:t>1,047</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47F2844" w14:textId="77777777" w:rsidR="00F51523" w:rsidRPr="00181EF3" w:rsidRDefault="00F51523" w:rsidP="00F51523">
            <w:pPr>
              <w:pStyle w:val="TableText"/>
              <w:tabs>
                <w:tab w:val="decimal" w:pos="765"/>
              </w:tabs>
              <w:rPr>
                <w:szCs w:val="18"/>
              </w:rPr>
            </w:pPr>
            <w:r w:rsidRPr="00181EF3">
              <w:rPr>
                <w:szCs w:val="18"/>
              </w:rPr>
              <w:t>4,086</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D38ACEA" w14:textId="77777777" w:rsidR="00F51523" w:rsidRPr="00181EF3" w:rsidRDefault="00F51523" w:rsidP="00F51523">
            <w:pPr>
              <w:pStyle w:val="TableText"/>
              <w:tabs>
                <w:tab w:val="decimal" w:pos="765"/>
              </w:tabs>
              <w:rPr>
                <w:szCs w:val="18"/>
              </w:rPr>
            </w:pPr>
            <w:r w:rsidRPr="00181EF3">
              <w:rPr>
                <w:szCs w:val="18"/>
              </w:rPr>
              <w:t>19,398</w:t>
            </w:r>
          </w:p>
        </w:tc>
        <w:tc>
          <w:tcPr>
            <w:tcW w:w="1064" w:type="dxa"/>
            <w:tcBorders>
              <w:top w:val="single" w:sz="4" w:space="0" w:color="A6A6A6" w:themeColor="background1" w:themeShade="A6"/>
              <w:bottom w:val="single" w:sz="4" w:space="0" w:color="A6A6A6" w:themeColor="background1" w:themeShade="A6"/>
            </w:tcBorders>
          </w:tcPr>
          <w:p w14:paraId="024E82A6" w14:textId="77777777" w:rsidR="00F51523" w:rsidRPr="00181EF3" w:rsidRDefault="00F51523" w:rsidP="00F51523">
            <w:pPr>
              <w:pStyle w:val="TableText"/>
              <w:tabs>
                <w:tab w:val="decimal" w:pos="765"/>
              </w:tabs>
              <w:rPr>
                <w:szCs w:val="18"/>
              </w:rPr>
            </w:pPr>
            <w:r w:rsidRPr="00181EF3">
              <w:rPr>
                <w:szCs w:val="18"/>
              </w:rPr>
              <w:t>24,636</w:t>
            </w:r>
          </w:p>
        </w:tc>
      </w:tr>
      <w:tr w:rsidR="00F51523" w:rsidRPr="00181EF3" w14:paraId="0AEA8AF6" w14:textId="77777777" w:rsidTr="00F51523">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049B76F" w14:textId="77777777" w:rsidR="00F51523" w:rsidRPr="00181EF3" w:rsidRDefault="00F51523" w:rsidP="00F51523">
            <w:pPr>
              <w:pStyle w:val="TableText"/>
            </w:pPr>
            <w:r w:rsidRPr="00181EF3">
              <w:t>Taranaki</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70EEBDA" w14:textId="77777777" w:rsidR="00F51523" w:rsidRPr="00181EF3" w:rsidRDefault="00F51523" w:rsidP="00F51523">
            <w:pPr>
              <w:pStyle w:val="TableText"/>
              <w:tabs>
                <w:tab w:val="decimal" w:pos="765"/>
              </w:tabs>
              <w:rPr>
                <w:szCs w:val="18"/>
              </w:rPr>
            </w:pPr>
            <w:r w:rsidRPr="00181EF3">
              <w:rPr>
                <w:szCs w:val="18"/>
              </w:rPr>
              <w:t>5,655</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27ACB75" w14:textId="77777777" w:rsidR="00F51523" w:rsidRPr="00181EF3" w:rsidRDefault="00F51523" w:rsidP="00F51523">
            <w:pPr>
              <w:pStyle w:val="TableText"/>
              <w:tabs>
                <w:tab w:val="decimal" w:pos="765"/>
              </w:tabs>
              <w:rPr>
                <w:szCs w:val="18"/>
              </w:rPr>
            </w:pPr>
            <w:r w:rsidRPr="00181EF3">
              <w:rPr>
                <w:szCs w:val="18"/>
              </w:rPr>
              <w:t>18,587</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BDC295C" w14:textId="77777777" w:rsidR="00F51523" w:rsidRPr="00181EF3" w:rsidRDefault="00F51523" w:rsidP="00F51523">
            <w:pPr>
              <w:pStyle w:val="TableText"/>
              <w:tabs>
                <w:tab w:val="decimal" w:pos="765"/>
              </w:tabs>
              <w:rPr>
                <w:szCs w:val="18"/>
              </w:rPr>
            </w:pPr>
            <w:r w:rsidRPr="00181EF3">
              <w:rPr>
                <w:szCs w:val="18"/>
              </w:rPr>
              <w:t>2,481</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82B90CD" w14:textId="77777777" w:rsidR="00F51523" w:rsidRPr="00181EF3" w:rsidRDefault="00F51523" w:rsidP="00F51523">
            <w:pPr>
              <w:pStyle w:val="TableText"/>
              <w:tabs>
                <w:tab w:val="decimal" w:pos="765"/>
              </w:tabs>
              <w:rPr>
                <w:szCs w:val="18"/>
              </w:rPr>
            </w:pPr>
            <w:r w:rsidRPr="00181EF3">
              <w:rPr>
                <w:szCs w:val="18"/>
              </w:rPr>
              <w:t>9,972</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A5EF545" w14:textId="77777777" w:rsidR="00F51523" w:rsidRPr="00181EF3" w:rsidRDefault="00F51523" w:rsidP="00F51523">
            <w:pPr>
              <w:pStyle w:val="TableText"/>
              <w:tabs>
                <w:tab w:val="decimal" w:pos="765"/>
              </w:tabs>
              <w:rPr>
                <w:szCs w:val="18"/>
              </w:rPr>
            </w:pPr>
            <w:r w:rsidRPr="00181EF3">
              <w:rPr>
                <w:szCs w:val="18"/>
              </w:rPr>
              <w:t>3,948</w:t>
            </w:r>
          </w:p>
        </w:tc>
        <w:tc>
          <w:tcPr>
            <w:tcW w:w="106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7F42804" w14:textId="77777777" w:rsidR="00F51523" w:rsidRPr="00181EF3" w:rsidRDefault="00F51523" w:rsidP="00F51523">
            <w:pPr>
              <w:pStyle w:val="TableText"/>
              <w:tabs>
                <w:tab w:val="decimal" w:pos="765"/>
              </w:tabs>
              <w:rPr>
                <w:szCs w:val="18"/>
              </w:rPr>
            </w:pPr>
            <w:r w:rsidRPr="00181EF3">
              <w:rPr>
                <w:szCs w:val="18"/>
              </w:rPr>
              <w:t>24,438</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CAFF405" w14:textId="77777777" w:rsidR="00F51523" w:rsidRPr="00181EF3" w:rsidRDefault="00F51523" w:rsidP="00F51523">
            <w:pPr>
              <w:pStyle w:val="TableText"/>
              <w:tabs>
                <w:tab w:val="decimal" w:pos="765"/>
              </w:tabs>
              <w:rPr>
                <w:szCs w:val="18"/>
              </w:rPr>
            </w:pPr>
            <w:r w:rsidRPr="00181EF3">
              <w:rPr>
                <w:szCs w:val="18"/>
              </w:rPr>
              <w:t>1,944</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5316A77" w14:textId="77777777" w:rsidR="00F51523" w:rsidRPr="00181EF3" w:rsidRDefault="00F51523" w:rsidP="00F51523">
            <w:pPr>
              <w:pStyle w:val="TableText"/>
              <w:tabs>
                <w:tab w:val="decimal" w:pos="765"/>
              </w:tabs>
              <w:rPr>
                <w:szCs w:val="18"/>
              </w:rPr>
            </w:pPr>
            <w:r w:rsidRPr="00181EF3">
              <w:rPr>
                <w:szCs w:val="18"/>
              </w:rPr>
              <w:t>21,270</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3CE1A71" w14:textId="77777777" w:rsidR="00F51523" w:rsidRPr="00181EF3" w:rsidRDefault="00F51523" w:rsidP="00F51523">
            <w:pPr>
              <w:pStyle w:val="TableText"/>
              <w:tabs>
                <w:tab w:val="decimal" w:pos="765"/>
              </w:tabs>
              <w:rPr>
                <w:szCs w:val="18"/>
              </w:rPr>
            </w:pPr>
            <w:r w:rsidRPr="00181EF3">
              <w:rPr>
                <w:szCs w:val="18"/>
              </w:rPr>
              <w:t>597</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4D93845" w14:textId="77777777" w:rsidR="00F51523" w:rsidRPr="00181EF3" w:rsidRDefault="00F51523" w:rsidP="00F51523">
            <w:pPr>
              <w:pStyle w:val="TableText"/>
              <w:tabs>
                <w:tab w:val="decimal" w:pos="765"/>
              </w:tabs>
              <w:rPr>
                <w:szCs w:val="18"/>
              </w:rPr>
            </w:pPr>
            <w:r w:rsidRPr="00181EF3">
              <w:rPr>
                <w:szCs w:val="18"/>
              </w:rPr>
              <w:t>14,052</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C507307" w14:textId="77777777" w:rsidR="00F51523" w:rsidRPr="00181EF3" w:rsidRDefault="00F51523" w:rsidP="00F51523">
            <w:pPr>
              <w:pStyle w:val="TableText"/>
              <w:tabs>
                <w:tab w:val="decimal" w:pos="765"/>
              </w:tabs>
              <w:rPr>
                <w:szCs w:val="18"/>
              </w:rPr>
            </w:pPr>
            <w:r w:rsidRPr="00181EF3">
              <w:rPr>
                <w:szCs w:val="18"/>
              </w:rPr>
              <w:t>14,625</w:t>
            </w:r>
          </w:p>
        </w:tc>
        <w:tc>
          <w:tcPr>
            <w:tcW w:w="1064" w:type="dxa"/>
            <w:tcBorders>
              <w:top w:val="single" w:sz="4" w:space="0" w:color="A6A6A6" w:themeColor="background1" w:themeShade="A6"/>
              <w:bottom w:val="single" w:sz="4" w:space="0" w:color="A6A6A6" w:themeColor="background1" w:themeShade="A6"/>
            </w:tcBorders>
          </w:tcPr>
          <w:p w14:paraId="7559A3B7" w14:textId="77777777" w:rsidR="00F51523" w:rsidRPr="00181EF3" w:rsidRDefault="00F51523" w:rsidP="00F51523">
            <w:pPr>
              <w:pStyle w:val="TableText"/>
              <w:tabs>
                <w:tab w:val="decimal" w:pos="765"/>
              </w:tabs>
              <w:rPr>
                <w:szCs w:val="18"/>
              </w:rPr>
            </w:pPr>
            <w:r w:rsidRPr="00181EF3">
              <w:rPr>
                <w:szCs w:val="18"/>
              </w:rPr>
              <w:t>88,419</w:t>
            </w:r>
          </w:p>
        </w:tc>
      </w:tr>
      <w:tr w:rsidR="00F51523" w:rsidRPr="00181EF3" w14:paraId="19B8CE08" w14:textId="77777777" w:rsidTr="00F51523">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2E1ACFF" w14:textId="77777777" w:rsidR="00F51523" w:rsidRPr="00181EF3" w:rsidRDefault="00F51523" w:rsidP="00F51523">
            <w:pPr>
              <w:pStyle w:val="TableText"/>
            </w:pPr>
            <w:r w:rsidRPr="00181EF3">
              <w:t>Hawkes Bay</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6B6A43B" w14:textId="77777777" w:rsidR="00F51523" w:rsidRPr="00181EF3" w:rsidRDefault="00F51523" w:rsidP="00F51523">
            <w:pPr>
              <w:pStyle w:val="TableText"/>
              <w:tabs>
                <w:tab w:val="decimal" w:pos="765"/>
              </w:tabs>
              <w:rPr>
                <w:szCs w:val="18"/>
              </w:rPr>
            </w:pPr>
            <w:r w:rsidRPr="00181EF3">
              <w:rPr>
                <w:szCs w:val="18"/>
              </w:rPr>
              <w:t>12,288</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7C72CFF" w14:textId="77777777" w:rsidR="00F51523" w:rsidRPr="00181EF3" w:rsidRDefault="00F51523" w:rsidP="00F51523">
            <w:pPr>
              <w:pStyle w:val="TableText"/>
              <w:tabs>
                <w:tab w:val="decimal" w:pos="765"/>
              </w:tabs>
              <w:rPr>
                <w:szCs w:val="18"/>
              </w:rPr>
            </w:pPr>
            <w:r w:rsidRPr="00181EF3">
              <w:rPr>
                <w:szCs w:val="18"/>
              </w:rPr>
              <w:t>22,677</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F160A01" w14:textId="77777777" w:rsidR="00F51523" w:rsidRPr="00181EF3" w:rsidRDefault="00F51523" w:rsidP="00F51523">
            <w:pPr>
              <w:pStyle w:val="TableText"/>
              <w:tabs>
                <w:tab w:val="decimal" w:pos="765"/>
              </w:tabs>
              <w:rPr>
                <w:szCs w:val="18"/>
              </w:rPr>
            </w:pPr>
            <w:r w:rsidRPr="00181EF3">
              <w:rPr>
                <w:szCs w:val="18"/>
              </w:rPr>
              <w:t>5,529</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B8A9A43" w14:textId="77777777" w:rsidR="00F51523" w:rsidRPr="00181EF3" w:rsidRDefault="00F51523" w:rsidP="00F51523">
            <w:pPr>
              <w:pStyle w:val="TableText"/>
              <w:tabs>
                <w:tab w:val="decimal" w:pos="765"/>
              </w:tabs>
              <w:rPr>
                <w:szCs w:val="18"/>
              </w:rPr>
            </w:pPr>
            <w:r w:rsidRPr="00181EF3">
              <w:rPr>
                <w:szCs w:val="18"/>
              </w:rPr>
              <w:t>11,811</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F4CC444" w14:textId="77777777" w:rsidR="00F51523" w:rsidRPr="00181EF3" w:rsidRDefault="00F51523" w:rsidP="00F51523">
            <w:pPr>
              <w:pStyle w:val="TableText"/>
              <w:tabs>
                <w:tab w:val="decimal" w:pos="765"/>
              </w:tabs>
              <w:rPr>
                <w:szCs w:val="18"/>
              </w:rPr>
            </w:pPr>
            <w:r w:rsidRPr="00181EF3">
              <w:rPr>
                <w:szCs w:val="18"/>
              </w:rPr>
              <w:t>8,919</w:t>
            </w:r>
          </w:p>
        </w:tc>
        <w:tc>
          <w:tcPr>
            <w:tcW w:w="106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F12734B" w14:textId="77777777" w:rsidR="00F51523" w:rsidRPr="00181EF3" w:rsidRDefault="00F51523" w:rsidP="00F51523">
            <w:pPr>
              <w:pStyle w:val="TableText"/>
              <w:tabs>
                <w:tab w:val="decimal" w:pos="765"/>
              </w:tabs>
              <w:rPr>
                <w:szCs w:val="18"/>
              </w:rPr>
            </w:pPr>
            <w:r w:rsidRPr="00181EF3">
              <w:rPr>
                <w:szCs w:val="18"/>
              </w:rPr>
              <w:t>30,381</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1DDD133" w14:textId="77777777" w:rsidR="00F51523" w:rsidRPr="00181EF3" w:rsidRDefault="00F51523" w:rsidP="00F51523">
            <w:pPr>
              <w:pStyle w:val="TableText"/>
              <w:tabs>
                <w:tab w:val="decimal" w:pos="765"/>
              </w:tabs>
              <w:rPr>
                <w:szCs w:val="18"/>
              </w:rPr>
            </w:pPr>
            <w:r w:rsidRPr="00181EF3">
              <w:rPr>
                <w:szCs w:val="18"/>
              </w:rPr>
              <w:t>4,506</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5AF59E8" w14:textId="77777777" w:rsidR="00F51523" w:rsidRPr="00181EF3" w:rsidRDefault="00F51523" w:rsidP="00F51523">
            <w:pPr>
              <w:pStyle w:val="TableText"/>
              <w:tabs>
                <w:tab w:val="decimal" w:pos="765"/>
              </w:tabs>
              <w:rPr>
                <w:szCs w:val="18"/>
              </w:rPr>
            </w:pPr>
            <w:r w:rsidRPr="00181EF3">
              <w:rPr>
                <w:szCs w:val="18"/>
              </w:rPr>
              <w:t>28,428</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31904F4" w14:textId="77777777" w:rsidR="00F51523" w:rsidRPr="00181EF3" w:rsidRDefault="00F51523" w:rsidP="00F51523">
            <w:pPr>
              <w:pStyle w:val="TableText"/>
              <w:tabs>
                <w:tab w:val="decimal" w:pos="765"/>
              </w:tabs>
              <w:rPr>
                <w:szCs w:val="18"/>
              </w:rPr>
            </w:pPr>
            <w:r w:rsidRPr="00181EF3">
              <w:rPr>
                <w:szCs w:val="18"/>
              </w:rPr>
              <w:t>1,248</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1DFDF3A" w14:textId="77777777" w:rsidR="00F51523" w:rsidRPr="00181EF3" w:rsidRDefault="00F51523" w:rsidP="00F51523">
            <w:pPr>
              <w:pStyle w:val="TableText"/>
              <w:tabs>
                <w:tab w:val="decimal" w:pos="765"/>
              </w:tabs>
              <w:rPr>
                <w:szCs w:val="18"/>
              </w:rPr>
            </w:pPr>
            <w:r w:rsidRPr="00181EF3">
              <w:rPr>
                <w:szCs w:val="18"/>
              </w:rPr>
              <w:t>17,898</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483A511" w14:textId="77777777" w:rsidR="00F51523" w:rsidRPr="00181EF3" w:rsidRDefault="00F51523" w:rsidP="00F51523">
            <w:pPr>
              <w:pStyle w:val="TableText"/>
              <w:tabs>
                <w:tab w:val="decimal" w:pos="765"/>
              </w:tabs>
              <w:rPr>
                <w:szCs w:val="18"/>
              </w:rPr>
            </w:pPr>
            <w:r w:rsidRPr="00181EF3">
              <w:rPr>
                <w:szCs w:val="18"/>
              </w:rPr>
              <w:t>32,490</w:t>
            </w:r>
          </w:p>
        </w:tc>
        <w:tc>
          <w:tcPr>
            <w:tcW w:w="1064" w:type="dxa"/>
            <w:tcBorders>
              <w:top w:val="single" w:sz="4" w:space="0" w:color="A6A6A6" w:themeColor="background1" w:themeShade="A6"/>
              <w:bottom w:val="single" w:sz="4" w:space="0" w:color="A6A6A6" w:themeColor="background1" w:themeShade="A6"/>
            </w:tcBorders>
          </w:tcPr>
          <w:p w14:paraId="19602D5B" w14:textId="77777777" w:rsidR="00F51523" w:rsidRPr="00181EF3" w:rsidRDefault="00F51523" w:rsidP="00F51523">
            <w:pPr>
              <w:pStyle w:val="TableText"/>
              <w:tabs>
                <w:tab w:val="decimal" w:pos="765"/>
              </w:tabs>
              <w:rPr>
                <w:szCs w:val="18"/>
              </w:rPr>
            </w:pPr>
            <w:r w:rsidRPr="00181EF3">
              <w:rPr>
                <w:szCs w:val="18"/>
              </w:rPr>
              <w:t>111,195</w:t>
            </w:r>
          </w:p>
        </w:tc>
      </w:tr>
      <w:tr w:rsidR="00F51523" w:rsidRPr="00181EF3" w14:paraId="5F966115" w14:textId="77777777" w:rsidTr="00F51523">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1C4D7CE" w14:textId="77777777" w:rsidR="00F51523" w:rsidRPr="00181EF3" w:rsidRDefault="00F51523" w:rsidP="00F51523">
            <w:pPr>
              <w:pStyle w:val="TableText"/>
            </w:pPr>
            <w:r w:rsidRPr="00181EF3">
              <w:t>Whanganui</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797DDF0" w14:textId="77777777" w:rsidR="00F51523" w:rsidRPr="00181EF3" w:rsidRDefault="00F51523" w:rsidP="00F51523">
            <w:pPr>
              <w:pStyle w:val="TableText"/>
              <w:tabs>
                <w:tab w:val="decimal" w:pos="765"/>
              </w:tabs>
              <w:rPr>
                <w:szCs w:val="18"/>
              </w:rPr>
            </w:pPr>
            <w:r w:rsidRPr="00181EF3">
              <w:rPr>
                <w:szCs w:val="18"/>
              </w:rPr>
              <w:t>5,412</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82A33CC" w14:textId="77777777" w:rsidR="00F51523" w:rsidRPr="00181EF3" w:rsidRDefault="00F51523" w:rsidP="00F51523">
            <w:pPr>
              <w:pStyle w:val="TableText"/>
              <w:tabs>
                <w:tab w:val="decimal" w:pos="765"/>
              </w:tabs>
              <w:rPr>
                <w:szCs w:val="18"/>
              </w:rPr>
            </w:pPr>
            <w:r w:rsidRPr="00181EF3">
              <w:rPr>
                <w:szCs w:val="18"/>
              </w:rPr>
              <w:t>10,005</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61223BB" w14:textId="77777777" w:rsidR="00F51523" w:rsidRPr="00181EF3" w:rsidRDefault="00F51523" w:rsidP="00F51523">
            <w:pPr>
              <w:pStyle w:val="TableText"/>
              <w:tabs>
                <w:tab w:val="decimal" w:pos="765"/>
              </w:tabs>
              <w:rPr>
                <w:szCs w:val="18"/>
              </w:rPr>
            </w:pPr>
            <w:r w:rsidRPr="00181EF3">
              <w:rPr>
                <w:szCs w:val="18"/>
              </w:rPr>
              <w:t>2,289</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0F171E9" w14:textId="77777777" w:rsidR="00F51523" w:rsidRPr="00181EF3" w:rsidRDefault="00F51523" w:rsidP="00F51523">
            <w:pPr>
              <w:pStyle w:val="TableText"/>
              <w:tabs>
                <w:tab w:val="decimal" w:pos="765"/>
              </w:tabs>
              <w:rPr>
                <w:szCs w:val="18"/>
              </w:rPr>
            </w:pPr>
            <w:r w:rsidRPr="00181EF3">
              <w:rPr>
                <w:szCs w:val="18"/>
              </w:rPr>
              <w:t>5,529</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9ABBB3B" w14:textId="77777777" w:rsidR="00F51523" w:rsidRPr="00181EF3" w:rsidRDefault="00F51523" w:rsidP="00F51523">
            <w:pPr>
              <w:pStyle w:val="TableText"/>
              <w:tabs>
                <w:tab w:val="decimal" w:pos="765"/>
              </w:tabs>
              <w:rPr>
                <w:szCs w:val="18"/>
              </w:rPr>
            </w:pPr>
            <w:r w:rsidRPr="00181EF3">
              <w:rPr>
                <w:szCs w:val="18"/>
              </w:rPr>
              <w:t>3,948</w:t>
            </w:r>
          </w:p>
        </w:tc>
        <w:tc>
          <w:tcPr>
            <w:tcW w:w="106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C3A9A21" w14:textId="77777777" w:rsidR="00F51523" w:rsidRPr="00181EF3" w:rsidRDefault="00F51523" w:rsidP="00F51523">
            <w:pPr>
              <w:pStyle w:val="TableText"/>
              <w:tabs>
                <w:tab w:val="decimal" w:pos="765"/>
              </w:tabs>
              <w:rPr>
                <w:szCs w:val="18"/>
              </w:rPr>
            </w:pPr>
            <w:r w:rsidRPr="00181EF3">
              <w:rPr>
                <w:szCs w:val="18"/>
              </w:rPr>
              <w:t>13,128</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F37C52B" w14:textId="77777777" w:rsidR="00F51523" w:rsidRPr="00181EF3" w:rsidRDefault="00F51523" w:rsidP="00F51523">
            <w:pPr>
              <w:pStyle w:val="TableText"/>
              <w:tabs>
                <w:tab w:val="decimal" w:pos="765"/>
              </w:tabs>
              <w:rPr>
                <w:szCs w:val="18"/>
              </w:rPr>
            </w:pPr>
            <w:r w:rsidRPr="00181EF3">
              <w:rPr>
                <w:szCs w:val="18"/>
              </w:rPr>
              <w:t>1,914</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993F304" w14:textId="77777777" w:rsidR="00F51523" w:rsidRPr="00181EF3" w:rsidRDefault="00F51523" w:rsidP="00F51523">
            <w:pPr>
              <w:pStyle w:val="TableText"/>
              <w:tabs>
                <w:tab w:val="decimal" w:pos="765"/>
              </w:tabs>
              <w:rPr>
                <w:szCs w:val="18"/>
              </w:rPr>
            </w:pPr>
            <w:r w:rsidRPr="00181EF3">
              <w:rPr>
                <w:szCs w:val="18"/>
              </w:rPr>
              <w:t>12,153</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BDEA59D" w14:textId="77777777" w:rsidR="00F51523" w:rsidRPr="00181EF3" w:rsidRDefault="00F51523" w:rsidP="00F51523">
            <w:pPr>
              <w:pStyle w:val="TableText"/>
              <w:tabs>
                <w:tab w:val="decimal" w:pos="765"/>
              </w:tabs>
              <w:rPr>
                <w:szCs w:val="18"/>
              </w:rPr>
            </w:pPr>
            <w:r w:rsidRPr="00181EF3">
              <w:rPr>
                <w:szCs w:val="18"/>
              </w:rPr>
              <w:t>531</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784449D" w14:textId="77777777" w:rsidR="00F51523" w:rsidRPr="00181EF3" w:rsidRDefault="00F51523" w:rsidP="00F51523">
            <w:pPr>
              <w:pStyle w:val="TableText"/>
              <w:tabs>
                <w:tab w:val="decimal" w:pos="765"/>
              </w:tabs>
              <w:rPr>
                <w:szCs w:val="18"/>
              </w:rPr>
            </w:pPr>
            <w:r w:rsidRPr="00181EF3">
              <w:rPr>
                <w:szCs w:val="18"/>
              </w:rPr>
              <w:t>8,637</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84906F0" w14:textId="77777777" w:rsidR="00F51523" w:rsidRPr="00181EF3" w:rsidRDefault="00F51523" w:rsidP="00F51523">
            <w:pPr>
              <w:pStyle w:val="TableText"/>
              <w:tabs>
                <w:tab w:val="decimal" w:pos="765"/>
              </w:tabs>
              <w:rPr>
                <w:szCs w:val="18"/>
              </w:rPr>
            </w:pPr>
            <w:r w:rsidRPr="00181EF3">
              <w:rPr>
                <w:szCs w:val="18"/>
              </w:rPr>
              <w:t>14,094</w:t>
            </w:r>
          </w:p>
        </w:tc>
        <w:tc>
          <w:tcPr>
            <w:tcW w:w="1064" w:type="dxa"/>
            <w:tcBorders>
              <w:top w:val="single" w:sz="4" w:space="0" w:color="A6A6A6" w:themeColor="background1" w:themeShade="A6"/>
              <w:bottom w:val="single" w:sz="4" w:space="0" w:color="A6A6A6" w:themeColor="background1" w:themeShade="A6"/>
            </w:tcBorders>
          </w:tcPr>
          <w:p w14:paraId="349BFF1A" w14:textId="77777777" w:rsidR="00F51523" w:rsidRPr="00181EF3" w:rsidRDefault="00F51523" w:rsidP="00F51523">
            <w:pPr>
              <w:pStyle w:val="TableText"/>
              <w:tabs>
                <w:tab w:val="decimal" w:pos="765"/>
              </w:tabs>
              <w:rPr>
                <w:szCs w:val="18"/>
              </w:rPr>
            </w:pPr>
            <w:r w:rsidRPr="00181EF3">
              <w:rPr>
                <w:szCs w:val="18"/>
              </w:rPr>
              <w:t>49,452</w:t>
            </w:r>
          </w:p>
        </w:tc>
      </w:tr>
      <w:tr w:rsidR="00F51523" w:rsidRPr="00181EF3" w14:paraId="169D27FD" w14:textId="77777777" w:rsidTr="00F51523">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7175E43" w14:textId="77777777" w:rsidR="00F51523" w:rsidRPr="00181EF3" w:rsidRDefault="00F51523" w:rsidP="00F51523">
            <w:pPr>
              <w:pStyle w:val="TableText"/>
            </w:pPr>
            <w:r w:rsidRPr="00181EF3">
              <w:t>MidCentral</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687FEF1" w14:textId="77777777" w:rsidR="00F51523" w:rsidRPr="00181EF3" w:rsidRDefault="00F51523" w:rsidP="00F51523">
            <w:pPr>
              <w:pStyle w:val="TableText"/>
              <w:tabs>
                <w:tab w:val="decimal" w:pos="765"/>
              </w:tabs>
              <w:rPr>
                <w:szCs w:val="18"/>
              </w:rPr>
            </w:pPr>
            <w:r w:rsidRPr="00181EF3">
              <w:rPr>
                <w:szCs w:val="18"/>
              </w:rPr>
              <w:t>9,087</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A4C2BC8" w14:textId="77777777" w:rsidR="00F51523" w:rsidRPr="00181EF3" w:rsidRDefault="00F51523" w:rsidP="00F51523">
            <w:pPr>
              <w:pStyle w:val="TableText"/>
              <w:tabs>
                <w:tab w:val="decimal" w:pos="765"/>
              </w:tabs>
              <w:rPr>
                <w:szCs w:val="18"/>
              </w:rPr>
            </w:pPr>
            <w:r w:rsidRPr="00181EF3">
              <w:rPr>
                <w:szCs w:val="18"/>
              </w:rPr>
              <w:t>26,025</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7387565" w14:textId="77777777" w:rsidR="00F51523" w:rsidRPr="00181EF3" w:rsidRDefault="00F51523" w:rsidP="00F51523">
            <w:pPr>
              <w:pStyle w:val="TableText"/>
              <w:tabs>
                <w:tab w:val="decimal" w:pos="765"/>
              </w:tabs>
              <w:rPr>
                <w:szCs w:val="18"/>
              </w:rPr>
            </w:pPr>
            <w:r w:rsidRPr="00181EF3">
              <w:rPr>
                <w:szCs w:val="18"/>
              </w:rPr>
              <w:t>4,332</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BFC6016" w14:textId="77777777" w:rsidR="00F51523" w:rsidRPr="00181EF3" w:rsidRDefault="00F51523" w:rsidP="00F51523">
            <w:pPr>
              <w:pStyle w:val="TableText"/>
              <w:tabs>
                <w:tab w:val="decimal" w:pos="765"/>
              </w:tabs>
              <w:rPr>
                <w:szCs w:val="18"/>
              </w:rPr>
            </w:pPr>
            <w:r w:rsidRPr="00181EF3">
              <w:rPr>
                <w:szCs w:val="18"/>
              </w:rPr>
              <w:t>18,207</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BFEEEE7" w14:textId="77777777" w:rsidR="00F51523" w:rsidRPr="00181EF3" w:rsidRDefault="00F51523" w:rsidP="00F51523">
            <w:pPr>
              <w:pStyle w:val="TableText"/>
              <w:tabs>
                <w:tab w:val="decimal" w:pos="765"/>
              </w:tabs>
              <w:rPr>
                <w:szCs w:val="18"/>
              </w:rPr>
            </w:pPr>
            <w:r w:rsidRPr="00181EF3">
              <w:rPr>
                <w:szCs w:val="18"/>
              </w:rPr>
              <w:t>6,504</w:t>
            </w:r>
          </w:p>
        </w:tc>
        <w:tc>
          <w:tcPr>
            <w:tcW w:w="106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E1FF5A0" w14:textId="77777777" w:rsidR="00F51523" w:rsidRPr="00181EF3" w:rsidRDefault="00F51523" w:rsidP="00F51523">
            <w:pPr>
              <w:pStyle w:val="TableText"/>
              <w:tabs>
                <w:tab w:val="decimal" w:pos="765"/>
              </w:tabs>
              <w:rPr>
                <w:szCs w:val="18"/>
              </w:rPr>
            </w:pPr>
            <w:r w:rsidRPr="00181EF3">
              <w:rPr>
                <w:szCs w:val="18"/>
              </w:rPr>
              <w:t>36,201</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B1ECF91" w14:textId="77777777" w:rsidR="00F51523" w:rsidRPr="00181EF3" w:rsidRDefault="00F51523" w:rsidP="00F51523">
            <w:pPr>
              <w:pStyle w:val="TableText"/>
              <w:tabs>
                <w:tab w:val="decimal" w:pos="765"/>
              </w:tabs>
              <w:rPr>
                <w:szCs w:val="18"/>
              </w:rPr>
            </w:pPr>
            <w:r w:rsidRPr="00181EF3">
              <w:rPr>
                <w:szCs w:val="18"/>
              </w:rPr>
              <w:t>2,841</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80DE2B7" w14:textId="77777777" w:rsidR="00F51523" w:rsidRPr="00181EF3" w:rsidRDefault="00F51523" w:rsidP="00F51523">
            <w:pPr>
              <w:pStyle w:val="TableText"/>
              <w:tabs>
                <w:tab w:val="decimal" w:pos="765"/>
              </w:tabs>
              <w:rPr>
                <w:szCs w:val="18"/>
              </w:rPr>
            </w:pPr>
            <w:r w:rsidRPr="00181EF3">
              <w:rPr>
                <w:szCs w:val="18"/>
              </w:rPr>
              <w:t>30,720</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7BF55D4" w14:textId="77777777" w:rsidR="00F51523" w:rsidRPr="00181EF3" w:rsidRDefault="00F51523" w:rsidP="00F51523">
            <w:pPr>
              <w:pStyle w:val="TableText"/>
              <w:tabs>
                <w:tab w:val="decimal" w:pos="765"/>
              </w:tabs>
              <w:rPr>
                <w:szCs w:val="18"/>
              </w:rPr>
            </w:pPr>
            <w:r w:rsidRPr="00181EF3">
              <w:rPr>
                <w:szCs w:val="18"/>
              </w:rPr>
              <w:t>789</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24C8D91" w14:textId="77777777" w:rsidR="00F51523" w:rsidRPr="00181EF3" w:rsidRDefault="00F51523" w:rsidP="00F51523">
            <w:pPr>
              <w:pStyle w:val="TableText"/>
              <w:tabs>
                <w:tab w:val="decimal" w:pos="765"/>
              </w:tabs>
              <w:rPr>
                <w:szCs w:val="18"/>
              </w:rPr>
            </w:pPr>
            <w:r w:rsidRPr="00181EF3">
              <w:rPr>
                <w:szCs w:val="18"/>
              </w:rPr>
              <w:t>20,079</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DDFCE90" w14:textId="77777777" w:rsidR="00F51523" w:rsidRPr="00181EF3" w:rsidRDefault="00F51523" w:rsidP="00F51523">
            <w:pPr>
              <w:pStyle w:val="TableText"/>
              <w:tabs>
                <w:tab w:val="decimal" w:pos="765"/>
              </w:tabs>
              <w:rPr>
                <w:szCs w:val="18"/>
              </w:rPr>
            </w:pPr>
            <w:r w:rsidRPr="00181EF3">
              <w:rPr>
                <w:szCs w:val="18"/>
              </w:rPr>
              <w:t>23,553</w:t>
            </w:r>
          </w:p>
        </w:tc>
        <w:tc>
          <w:tcPr>
            <w:tcW w:w="1064" w:type="dxa"/>
            <w:tcBorders>
              <w:top w:val="single" w:sz="4" w:space="0" w:color="A6A6A6" w:themeColor="background1" w:themeShade="A6"/>
              <w:bottom w:val="single" w:sz="4" w:space="0" w:color="A6A6A6" w:themeColor="background1" w:themeShade="A6"/>
            </w:tcBorders>
          </w:tcPr>
          <w:p w14:paraId="4E0450D0" w14:textId="77777777" w:rsidR="00F51523" w:rsidRPr="00181EF3" w:rsidRDefault="00F51523" w:rsidP="00F51523">
            <w:pPr>
              <w:pStyle w:val="TableText"/>
              <w:tabs>
                <w:tab w:val="decimal" w:pos="765"/>
              </w:tabs>
              <w:rPr>
                <w:szCs w:val="18"/>
              </w:rPr>
            </w:pPr>
            <w:r w:rsidRPr="00181EF3">
              <w:rPr>
                <w:szCs w:val="18"/>
              </w:rPr>
              <w:t>131,232</w:t>
            </w:r>
          </w:p>
        </w:tc>
      </w:tr>
      <w:tr w:rsidR="00F51523" w:rsidRPr="00181EF3" w14:paraId="34EF38DB" w14:textId="77777777" w:rsidTr="00F51523">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613C205" w14:textId="77777777" w:rsidR="00F51523" w:rsidRPr="00181EF3" w:rsidRDefault="00F51523" w:rsidP="00F51523">
            <w:pPr>
              <w:pStyle w:val="TableText"/>
            </w:pPr>
            <w:r w:rsidRPr="00181EF3">
              <w:t>Hutt Valley</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F06FAA1" w14:textId="77777777" w:rsidR="00F51523" w:rsidRPr="00181EF3" w:rsidRDefault="00F51523" w:rsidP="00F51523">
            <w:pPr>
              <w:pStyle w:val="TableText"/>
              <w:tabs>
                <w:tab w:val="decimal" w:pos="765"/>
              </w:tabs>
              <w:rPr>
                <w:szCs w:val="18"/>
              </w:rPr>
            </w:pPr>
            <w:r w:rsidRPr="00181EF3">
              <w:rPr>
                <w:szCs w:val="18"/>
              </w:rPr>
              <w:t>7,275</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9C9D0E6" w14:textId="77777777" w:rsidR="00F51523" w:rsidRPr="00181EF3" w:rsidRDefault="00F51523" w:rsidP="00F51523">
            <w:pPr>
              <w:pStyle w:val="TableText"/>
              <w:tabs>
                <w:tab w:val="decimal" w:pos="765"/>
              </w:tabs>
              <w:rPr>
                <w:szCs w:val="18"/>
              </w:rPr>
            </w:pPr>
            <w:r w:rsidRPr="00181EF3">
              <w:rPr>
                <w:szCs w:val="18"/>
              </w:rPr>
              <w:t>24,117</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E5FDC4D" w14:textId="77777777" w:rsidR="00F51523" w:rsidRPr="00181EF3" w:rsidRDefault="00F51523" w:rsidP="00F51523">
            <w:pPr>
              <w:pStyle w:val="TableText"/>
              <w:tabs>
                <w:tab w:val="decimal" w:pos="765"/>
              </w:tabs>
              <w:rPr>
                <w:szCs w:val="18"/>
              </w:rPr>
            </w:pPr>
            <w:r w:rsidRPr="00181EF3">
              <w:rPr>
                <w:szCs w:val="18"/>
              </w:rPr>
              <w:t>3,609</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E933A27" w14:textId="77777777" w:rsidR="00F51523" w:rsidRPr="00181EF3" w:rsidRDefault="00F51523" w:rsidP="00F51523">
            <w:pPr>
              <w:pStyle w:val="TableText"/>
              <w:tabs>
                <w:tab w:val="decimal" w:pos="765"/>
              </w:tabs>
              <w:rPr>
                <w:szCs w:val="18"/>
              </w:rPr>
            </w:pPr>
            <w:r w:rsidRPr="00181EF3">
              <w:rPr>
                <w:szCs w:val="18"/>
              </w:rPr>
              <w:t>13,695</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12AF59B" w14:textId="77777777" w:rsidR="00F51523" w:rsidRPr="00181EF3" w:rsidRDefault="00F51523" w:rsidP="00F51523">
            <w:pPr>
              <w:pStyle w:val="TableText"/>
              <w:tabs>
                <w:tab w:val="decimal" w:pos="765"/>
              </w:tabs>
              <w:rPr>
                <w:szCs w:val="18"/>
              </w:rPr>
            </w:pPr>
            <w:r w:rsidRPr="00181EF3">
              <w:rPr>
                <w:szCs w:val="18"/>
              </w:rPr>
              <w:t>5,871</w:t>
            </w:r>
          </w:p>
        </w:tc>
        <w:tc>
          <w:tcPr>
            <w:tcW w:w="106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81D3CDD" w14:textId="77777777" w:rsidR="00F51523" w:rsidRPr="00181EF3" w:rsidRDefault="00F51523" w:rsidP="00F51523">
            <w:pPr>
              <w:pStyle w:val="TableText"/>
              <w:tabs>
                <w:tab w:val="decimal" w:pos="765"/>
              </w:tabs>
              <w:rPr>
                <w:szCs w:val="18"/>
              </w:rPr>
            </w:pPr>
            <w:r w:rsidRPr="00181EF3">
              <w:rPr>
                <w:szCs w:val="18"/>
              </w:rPr>
              <w:t>34,542</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4B4A002" w14:textId="77777777" w:rsidR="00F51523" w:rsidRPr="00181EF3" w:rsidRDefault="00F51523" w:rsidP="00F51523">
            <w:pPr>
              <w:pStyle w:val="TableText"/>
              <w:tabs>
                <w:tab w:val="decimal" w:pos="765"/>
              </w:tabs>
              <w:rPr>
                <w:szCs w:val="18"/>
              </w:rPr>
            </w:pPr>
            <w:r w:rsidRPr="00181EF3">
              <w:rPr>
                <w:szCs w:val="18"/>
              </w:rPr>
              <w:t>2,400</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06B4FA3" w14:textId="77777777" w:rsidR="00F51523" w:rsidRPr="00181EF3" w:rsidRDefault="00F51523" w:rsidP="00F51523">
            <w:pPr>
              <w:pStyle w:val="TableText"/>
              <w:tabs>
                <w:tab w:val="decimal" w:pos="765"/>
              </w:tabs>
              <w:rPr>
                <w:szCs w:val="18"/>
              </w:rPr>
            </w:pPr>
            <w:r w:rsidRPr="00181EF3">
              <w:rPr>
                <w:szCs w:val="18"/>
              </w:rPr>
              <w:t>25,881</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FDACAB2" w14:textId="77777777" w:rsidR="00F51523" w:rsidRPr="00181EF3" w:rsidRDefault="00F51523" w:rsidP="00F51523">
            <w:pPr>
              <w:pStyle w:val="TableText"/>
              <w:tabs>
                <w:tab w:val="decimal" w:pos="765"/>
              </w:tabs>
              <w:rPr>
                <w:szCs w:val="18"/>
              </w:rPr>
            </w:pPr>
            <w:r w:rsidRPr="00181EF3">
              <w:rPr>
                <w:szCs w:val="18"/>
              </w:rPr>
              <w:t>432</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79F0E7F" w14:textId="77777777" w:rsidR="00F51523" w:rsidRPr="00181EF3" w:rsidRDefault="00F51523" w:rsidP="00F51523">
            <w:pPr>
              <w:pStyle w:val="TableText"/>
              <w:tabs>
                <w:tab w:val="decimal" w:pos="765"/>
              </w:tabs>
              <w:rPr>
                <w:szCs w:val="18"/>
              </w:rPr>
            </w:pPr>
            <w:r w:rsidRPr="00181EF3">
              <w:rPr>
                <w:szCs w:val="18"/>
              </w:rPr>
              <w:t>13,986</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BFBCD1D" w14:textId="77777777" w:rsidR="00F51523" w:rsidRPr="00181EF3" w:rsidRDefault="00F51523" w:rsidP="00F51523">
            <w:pPr>
              <w:pStyle w:val="TableText"/>
              <w:tabs>
                <w:tab w:val="decimal" w:pos="765"/>
              </w:tabs>
              <w:rPr>
                <w:szCs w:val="18"/>
              </w:rPr>
            </w:pPr>
            <w:r w:rsidRPr="00181EF3">
              <w:rPr>
                <w:szCs w:val="18"/>
              </w:rPr>
              <w:t>19,587</w:t>
            </w:r>
          </w:p>
        </w:tc>
        <w:tc>
          <w:tcPr>
            <w:tcW w:w="1064" w:type="dxa"/>
            <w:tcBorders>
              <w:top w:val="single" w:sz="4" w:space="0" w:color="A6A6A6" w:themeColor="background1" w:themeShade="A6"/>
              <w:bottom w:val="single" w:sz="4" w:space="0" w:color="A6A6A6" w:themeColor="background1" w:themeShade="A6"/>
            </w:tcBorders>
          </w:tcPr>
          <w:p w14:paraId="05F8CD78" w14:textId="77777777" w:rsidR="00F51523" w:rsidRPr="00181EF3" w:rsidRDefault="00F51523" w:rsidP="00F51523">
            <w:pPr>
              <w:pStyle w:val="TableText"/>
              <w:tabs>
                <w:tab w:val="decimal" w:pos="765"/>
              </w:tabs>
              <w:rPr>
                <w:szCs w:val="18"/>
              </w:rPr>
            </w:pPr>
            <w:r w:rsidRPr="00181EF3">
              <w:rPr>
                <w:szCs w:val="18"/>
              </w:rPr>
              <w:t>112,221</w:t>
            </w:r>
          </w:p>
        </w:tc>
      </w:tr>
      <w:tr w:rsidR="00F51523" w:rsidRPr="00181EF3" w14:paraId="52D16B56" w14:textId="77777777" w:rsidTr="00F51523">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864EF3E" w14:textId="77777777" w:rsidR="00F51523" w:rsidRPr="00181EF3" w:rsidRDefault="00F51523" w:rsidP="00F51523">
            <w:pPr>
              <w:pStyle w:val="TableText"/>
            </w:pPr>
            <w:r w:rsidRPr="00181EF3">
              <w:t>Capital and Coast</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33AF484" w14:textId="77777777" w:rsidR="00F51523" w:rsidRPr="00181EF3" w:rsidRDefault="00F51523" w:rsidP="00F51523">
            <w:pPr>
              <w:pStyle w:val="TableText"/>
              <w:tabs>
                <w:tab w:val="decimal" w:pos="765"/>
              </w:tabs>
              <w:rPr>
                <w:szCs w:val="18"/>
              </w:rPr>
            </w:pPr>
            <w:r w:rsidRPr="00181EF3">
              <w:rPr>
                <w:szCs w:val="18"/>
              </w:rPr>
              <w:t>8,442</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7C3415E" w14:textId="77777777" w:rsidR="00F51523" w:rsidRPr="00181EF3" w:rsidRDefault="00F51523" w:rsidP="00F51523">
            <w:pPr>
              <w:pStyle w:val="TableText"/>
              <w:tabs>
                <w:tab w:val="decimal" w:pos="765"/>
              </w:tabs>
              <w:rPr>
                <w:szCs w:val="18"/>
              </w:rPr>
            </w:pPr>
            <w:r w:rsidRPr="00181EF3">
              <w:rPr>
                <w:szCs w:val="18"/>
              </w:rPr>
              <w:t>42,372</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8AFB60D" w14:textId="77777777" w:rsidR="00F51523" w:rsidRPr="00181EF3" w:rsidRDefault="00F51523" w:rsidP="00F51523">
            <w:pPr>
              <w:pStyle w:val="TableText"/>
              <w:tabs>
                <w:tab w:val="decimal" w:pos="765"/>
              </w:tabs>
              <w:rPr>
                <w:szCs w:val="18"/>
              </w:rPr>
            </w:pPr>
            <w:r w:rsidRPr="00181EF3">
              <w:rPr>
                <w:szCs w:val="18"/>
              </w:rPr>
              <w:t>4,533</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7E7D0CA" w14:textId="77777777" w:rsidR="00F51523" w:rsidRPr="00181EF3" w:rsidRDefault="00F51523" w:rsidP="00F51523">
            <w:pPr>
              <w:pStyle w:val="TableText"/>
              <w:tabs>
                <w:tab w:val="decimal" w:pos="765"/>
              </w:tabs>
              <w:rPr>
                <w:szCs w:val="18"/>
              </w:rPr>
            </w:pPr>
            <w:r w:rsidRPr="00181EF3">
              <w:rPr>
                <w:szCs w:val="18"/>
              </w:rPr>
              <w:t>31,830</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341947A" w14:textId="77777777" w:rsidR="00F51523" w:rsidRPr="00181EF3" w:rsidRDefault="00F51523" w:rsidP="00F51523">
            <w:pPr>
              <w:pStyle w:val="TableText"/>
              <w:tabs>
                <w:tab w:val="decimal" w:pos="765"/>
              </w:tabs>
              <w:rPr>
                <w:szCs w:val="18"/>
              </w:rPr>
            </w:pPr>
            <w:r w:rsidRPr="00181EF3">
              <w:rPr>
                <w:szCs w:val="18"/>
              </w:rPr>
              <w:t>7,758</w:t>
            </w:r>
          </w:p>
        </w:tc>
        <w:tc>
          <w:tcPr>
            <w:tcW w:w="106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5E9BD8D" w14:textId="77777777" w:rsidR="00F51523" w:rsidRPr="00181EF3" w:rsidRDefault="00F51523" w:rsidP="00F51523">
            <w:pPr>
              <w:pStyle w:val="TableText"/>
              <w:tabs>
                <w:tab w:val="decimal" w:pos="765"/>
              </w:tabs>
              <w:rPr>
                <w:szCs w:val="18"/>
              </w:rPr>
            </w:pPr>
            <w:r w:rsidRPr="00181EF3">
              <w:rPr>
                <w:szCs w:val="18"/>
              </w:rPr>
              <w:t>74,373</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3198AA9" w14:textId="77777777" w:rsidR="00F51523" w:rsidRPr="00181EF3" w:rsidRDefault="00F51523" w:rsidP="00F51523">
            <w:pPr>
              <w:pStyle w:val="TableText"/>
              <w:tabs>
                <w:tab w:val="decimal" w:pos="765"/>
              </w:tabs>
              <w:rPr>
                <w:szCs w:val="18"/>
              </w:rPr>
            </w:pPr>
            <w:r w:rsidRPr="00181EF3">
              <w:rPr>
                <w:szCs w:val="18"/>
              </w:rPr>
              <w:t>3,048</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5E96E52" w14:textId="77777777" w:rsidR="00F51523" w:rsidRPr="00181EF3" w:rsidRDefault="00F51523" w:rsidP="00F51523">
            <w:pPr>
              <w:pStyle w:val="TableText"/>
              <w:tabs>
                <w:tab w:val="decimal" w:pos="765"/>
              </w:tabs>
              <w:rPr>
                <w:szCs w:val="18"/>
              </w:rPr>
            </w:pPr>
            <w:r w:rsidRPr="00181EF3">
              <w:rPr>
                <w:szCs w:val="18"/>
              </w:rPr>
              <w:t>48,327</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73A10EF" w14:textId="77777777" w:rsidR="00F51523" w:rsidRPr="00181EF3" w:rsidRDefault="00F51523" w:rsidP="00F51523">
            <w:pPr>
              <w:pStyle w:val="TableText"/>
              <w:tabs>
                <w:tab w:val="decimal" w:pos="765"/>
              </w:tabs>
              <w:rPr>
                <w:szCs w:val="18"/>
              </w:rPr>
            </w:pPr>
            <w:r w:rsidRPr="00181EF3">
              <w:rPr>
                <w:szCs w:val="18"/>
              </w:rPr>
              <w:t>549</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9A89629" w14:textId="77777777" w:rsidR="00F51523" w:rsidRPr="00181EF3" w:rsidRDefault="00F51523" w:rsidP="00F51523">
            <w:pPr>
              <w:pStyle w:val="TableText"/>
              <w:tabs>
                <w:tab w:val="decimal" w:pos="765"/>
              </w:tabs>
              <w:rPr>
                <w:szCs w:val="18"/>
              </w:rPr>
            </w:pPr>
            <w:r w:rsidRPr="00181EF3">
              <w:rPr>
                <w:szCs w:val="18"/>
              </w:rPr>
              <w:t>24,684</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3958DF9" w14:textId="77777777" w:rsidR="00F51523" w:rsidRPr="00181EF3" w:rsidRDefault="00F51523" w:rsidP="00F51523">
            <w:pPr>
              <w:pStyle w:val="TableText"/>
              <w:tabs>
                <w:tab w:val="decimal" w:pos="765"/>
              </w:tabs>
              <w:rPr>
                <w:szCs w:val="18"/>
              </w:rPr>
            </w:pPr>
            <w:r w:rsidRPr="00181EF3">
              <w:rPr>
                <w:szCs w:val="18"/>
              </w:rPr>
              <w:t>24,330</w:t>
            </w:r>
          </w:p>
        </w:tc>
        <w:tc>
          <w:tcPr>
            <w:tcW w:w="1064" w:type="dxa"/>
            <w:tcBorders>
              <w:top w:val="single" w:sz="4" w:space="0" w:color="A6A6A6" w:themeColor="background1" w:themeShade="A6"/>
              <w:bottom w:val="single" w:sz="4" w:space="0" w:color="A6A6A6" w:themeColor="background1" w:themeShade="A6"/>
            </w:tcBorders>
          </w:tcPr>
          <w:p w14:paraId="1B742C3A" w14:textId="77777777" w:rsidR="00F51523" w:rsidRPr="00181EF3" w:rsidRDefault="00F51523" w:rsidP="00F51523">
            <w:pPr>
              <w:pStyle w:val="TableText"/>
              <w:tabs>
                <w:tab w:val="decimal" w:pos="765"/>
              </w:tabs>
              <w:rPr>
                <w:szCs w:val="18"/>
              </w:rPr>
            </w:pPr>
            <w:r w:rsidRPr="00181EF3">
              <w:rPr>
                <w:szCs w:val="18"/>
              </w:rPr>
              <w:t>221,586</w:t>
            </w:r>
          </w:p>
        </w:tc>
      </w:tr>
      <w:tr w:rsidR="00F51523" w:rsidRPr="00181EF3" w14:paraId="61A080FA" w14:textId="77777777" w:rsidTr="00F51523">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70F99E8" w14:textId="77777777" w:rsidR="00F51523" w:rsidRPr="00181EF3" w:rsidRDefault="00F51523" w:rsidP="00F51523">
            <w:pPr>
              <w:pStyle w:val="TableText"/>
            </w:pPr>
            <w:r w:rsidRPr="00181EF3">
              <w:t>Wairarapa</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C90470D" w14:textId="77777777" w:rsidR="00F51523" w:rsidRPr="00181EF3" w:rsidRDefault="00F51523" w:rsidP="00F51523">
            <w:pPr>
              <w:pStyle w:val="TableText"/>
              <w:tabs>
                <w:tab w:val="decimal" w:pos="765"/>
              </w:tabs>
              <w:rPr>
                <w:szCs w:val="18"/>
              </w:rPr>
            </w:pPr>
            <w:r w:rsidRPr="00181EF3">
              <w:rPr>
                <w:szCs w:val="18"/>
              </w:rPr>
              <w:t>2,205</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6029B89" w14:textId="77777777" w:rsidR="00F51523" w:rsidRPr="00181EF3" w:rsidRDefault="00F51523" w:rsidP="00F51523">
            <w:pPr>
              <w:pStyle w:val="TableText"/>
              <w:tabs>
                <w:tab w:val="decimal" w:pos="765"/>
              </w:tabs>
              <w:rPr>
                <w:szCs w:val="18"/>
              </w:rPr>
            </w:pPr>
            <w:r w:rsidRPr="00181EF3">
              <w:rPr>
                <w:szCs w:val="18"/>
              </w:rPr>
              <w:t>6,612</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D159A22" w14:textId="77777777" w:rsidR="00F51523" w:rsidRPr="00181EF3" w:rsidRDefault="00F51523" w:rsidP="00F51523">
            <w:pPr>
              <w:pStyle w:val="TableText"/>
              <w:tabs>
                <w:tab w:val="decimal" w:pos="765"/>
              </w:tabs>
              <w:rPr>
                <w:szCs w:val="18"/>
              </w:rPr>
            </w:pPr>
            <w:r w:rsidRPr="00181EF3">
              <w:rPr>
                <w:szCs w:val="18"/>
              </w:rPr>
              <w:t>876</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0C6C925" w14:textId="77777777" w:rsidR="00F51523" w:rsidRPr="00181EF3" w:rsidRDefault="00F51523" w:rsidP="00F51523">
            <w:pPr>
              <w:pStyle w:val="TableText"/>
              <w:tabs>
                <w:tab w:val="decimal" w:pos="765"/>
              </w:tabs>
              <w:rPr>
                <w:szCs w:val="18"/>
              </w:rPr>
            </w:pPr>
            <w:r w:rsidRPr="00181EF3">
              <w:rPr>
                <w:szCs w:val="18"/>
              </w:rPr>
              <w:t>3,291</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51F4C29" w14:textId="77777777" w:rsidR="00F51523" w:rsidRPr="00181EF3" w:rsidRDefault="00F51523" w:rsidP="00F51523">
            <w:pPr>
              <w:pStyle w:val="TableText"/>
              <w:tabs>
                <w:tab w:val="decimal" w:pos="765"/>
              </w:tabs>
              <w:rPr>
                <w:szCs w:val="18"/>
              </w:rPr>
            </w:pPr>
            <w:r w:rsidRPr="00181EF3">
              <w:rPr>
                <w:szCs w:val="18"/>
              </w:rPr>
              <w:t>1,371</w:t>
            </w:r>
          </w:p>
        </w:tc>
        <w:tc>
          <w:tcPr>
            <w:tcW w:w="106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CB991D2" w14:textId="77777777" w:rsidR="00F51523" w:rsidRPr="00181EF3" w:rsidRDefault="00F51523" w:rsidP="00F51523">
            <w:pPr>
              <w:pStyle w:val="TableText"/>
              <w:tabs>
                <w:tab w:val="decimal" w:pos="765"/>
              </w:tabs>
              <w:rPr>
                <w:szCs w:val="18"/>
              </w:rPr>
            </w:pPr>
            <w:r w:rsidRPr="00181EF3">
              <w:rPr>
                <w:szCs w:val="18"/>
              </w:rPr>
              <w:t>8,556</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61BDF5B" w14:textId="77777777" w:rsidR="00F51523" w:rsidRPr="00181EF3" w:rsidRDefault="00F51523" w:rsidP="00F51523">
            <w:pPr>
              <w:pStyle w:val="TableText"/>
              <w:tabs>
                <w:tab w:val="decimal" w:pos="765"/>
              </w:tabs>
              <w:rPr>
                <w:szCs w:val="18"/>
              </w:rPr>
            </w:pPr>
            <w:r w:rsidRPr="00181EF3">
              <w:rPr>
                <w:szCs w:val="18"/>
              </w:rPr>
              <w:t>717</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6549D7E" w14:textId="77777777" w:rsidR="00F51523" w:rsidRPr="00181EF3" w:rsidRDefault="00F51523" w:rsidP="00F51523">
            <w:pPr>
              <w:pStyle w:val="TableText"/>
              <w:tabs>
                <w:tab w:val="decimal" w:pos="765"/>
              </w:tabs>
              <w:rPr>
                <w:szCs w:val="18"/>
              </w:rPr>
            </w:pPr>
            <w:r w:rsidRPr="00181EF3">
              <w:rPr>
                <w:szCs w:val="18"/>
              </w:rPr>
              <w:t>8,844</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72AD926" w14:textId="77777777" w:rsidR="00F51523" w:rsidRPr="00181EF3" w:rsidRDefault="00F51523" w:rsidP="00F51523">
            <w:pPr>
              <w:pStyle w:val="TableText"/>
              <w:tabs>
                <w:tab w:val="decimal" w:pos="765"/>
              </w:tabs>
              <w:rPr>
                <w:szCs w:val="18"/>
              </w:rPr>
            </w:pPr>
            <w:r w:rsidRPr="00181EF3">
              <w:rPr>
                <w:szCs w:val="18"/>
              </w:rPr>
              <w:t>216</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1D92946" w14:textId="77777777" w:rsidR="00F51523" w:rsidRPr="00181EF3" w:rsidRDefault="00F51523" w:rsidP="00F51523">
            <w:pPr>
              <w:pStyle w:val="TableText"/>
              <w:tabs>
                <w:tab w:val="decimal" w:pos="765"/>
              </w:tabs>
              <w:rPr>
                <w:szCs w:val="18"/>
              </w:rPr>
            </w:pPr>
            <w:r w:rsidRPr="00181EF3">
              <w:rPr>
                <w:szCs w:val="18"/>
              </w:rPr>
              <w:t>5,577</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3112B2F" w14:textId="77777777" w:rsidR="00F51523" w:rsidRPr="00181EF3" w:rsidRDefault="00F51523" w:rsidP="00F51523">
            <w:pPr>
              <w:pStyle w:val="TableText"/>
              <w:tabs>
                <w:tab w:val="decimal" w:pos="765"/>
              </w:tabs>
              <w:rPr>
                <w:szCs w:val="18"/>
              </w:rPr>
            </w:pPr>
            <w:r w:rsidRPr="00181EF3">
              <w:rPr>
                <w:szCs w:val="18"/>
              </w:rPr>
              <w:t>5,385</w:t>
            </w:r>
          </w:p>
        </w:tc>
        <w:tc>
          <w:tcPr>
            <w:tcW w:w="1064" w:type="dxa"/>
            <w:tcBorders>
              <w:top w:val="single" w:sz="4" w:space="0" w:color="A6A6A6" w:themeColor="background1" w:themeShade="A6"/>
              <w:bottom w:val="single" w:sz="4" w:space="0" w:color="A6A6A6" w:themeColor="background1" w:themeShade="A6"/>
            </w:tcBorders>
          </w:tcPr>
          <w:p w14:paraId="54B29239" w14:textId="77777777" w:rsidR="00F51523" w:rsidRPr="00181EF3" w:rsidRDefault="00F51523" w:rsidP="00F51523">
            <w:pPr>
              <w:pStyle w:val="TableText"/>
              <w:tabs>
                <w:tab w:val="decimal" w:pos="765"/>
              </w:tabs>
              <w:rPr>
                <w:szCs w:val="18"/>
              </w:rPr>
            </w:pPr>
            <w:r w:rsidRPr="00181EF3">
              <w:rPr>
                <w:szCs w:val="18"/>
              </w:rPr>
              <w:t>32,880</w:t>
            </w:r>
          </w:p>
        </w:tc>
      </w:tr>
      <w:tr w:rsidR="00F51523" w:rsidRPr="00181EF3" w14:paraId="55CE0F58" w14:textId="77777777" w:rsidTr="00F51523">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580E2B7" w14:textId="77777777" w:rsidR="00F51523" w:rsidRPr="00181EF3" w:rsidRDefault="00F51523" w:rsidP="00F51523">
            <w:pPr>
              <w:pStyle w:val="TableText"/>
            </w:pPr>
            <w:r w:rsidRPr="00181EF3">
              <w:t>Nelson/Marlborough</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C8675E7" w14:textId="77777777" w:rsidR="00F51523" w:rsidRPr="00181EF3" w:rsidRDefault="00F51523" w:rsidP="00F51523">
            <w:pPr>
              <w:pStyle w:val="TableText"/>
              <w:tabs>
                <w:tab w:val="decimal" w:pos="765"/>
              </w:tabs>
              <w:rPr>
                <w:szCs w:val="18"/>
              </w:rPr>
            </w:pPr>
            <w:r w:rsidRPr="00181EF3">
              <w:rPr>
                <w:szCs w:val="18"/>
              </w:rPr>
              <w:t>3,840</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D65D636" w14:textId="77777777" w:rsidR="00F51523" w:rsidRPr="00181EF3" w:rsidRDefault="00F51523" w:rsidP="00F51523">
            <w:pPr>
              <w:pStyle w:val="TableText"/>
              <w:tabs>
                <w:tab w:val="decimal" w:pos="765"/>
              </w:tabs>
              <w:rPr>
                <w:szCs w:val="18"/>
              </w:rPr>
            </w:pPr>
            <w:r w:rsidRPr="00181EF3">
              <w:rPr>
                <w:szCs w:val="18"/>
              </w:rPr>
              <w:t>22,554</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6D7D7C4" w14:textId="77777777" w:rsidR="00F51523" w:rsidRPr="00181EF3" w:rsidRDefault="00F51523" w:rsidP="00F51523">
            <w:pPr>
              <w:pStyle w:val="TableText"/>
              <w:tabs>
                <w:tab w:val="decimal" w:pos="765"/>
              </w:tabs>
              <w:rPr>
                <w:szCs w:val="18"/>
              </w:rPr>
            </w:pPr>
            <w:r w:rsidRPr="00181EF3">
              <w:rPr>
                <w:szCs w:val="18"/>
              </w:rPr>
              <w:t>1,605</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17D67AC" w14:textId="77777777" w:rsidR="00F51523" w:rsidRPr="00181EF3" w:rsidRDefault="00F51523" w:rsidP="00F51523">
            <w:pPr>
              <w:pStyle w:val="TableText"/>
              <w:tabs>
                <w:tab w:val="decimal" w:pos="765"/>
              </w:tabs>
              <w:rPr>
                <w:szCs w:val="18"/>
              </w:rPr>
            </w:pPr>
            <w:r w:rsidRPr="00181EF3">
              <w:rPr>
                <w:szCs w:val="18"/>
              </w:rPr>
              <w:t>11,994</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2FF19DC" w14:textId="77777777" w:rsidR="00F51523" w:rsidRPr="00181EF3" w:rsidRDefault="00F51523" w:rsidP="00F51523">
            <w:pPr>
              <w:pStyle w:val="TableText"/>
              <w:tabs>
                <w:tab w:val="decimal" w:pos="765"/>
              </w:tabs>
              <w:rPr>
                <w:szCs w:val="18"/>
              </w:rPr>
            </w:pPr>
            <w:r w:rsidRPr="00181EF3">
              <w:rPr>
                <w:szCs w:val="18"/>
              </w:rPr>
              <w:t>2,877</w:t>
            </w:r>
          </w:p>
        </w:tc>
        <w:tc>
          <w:tcPr>
            <w:tcW w:w="106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F8FE7BD" w14:textId="77777777" w:rsidR="00F51523" w:rsidRPr="00181EF3" w:rsidRDefault="00F51523" w:rsidP="00F51523">
            <w:pPr>
              <w:pStyle w:val="TableText"/>
              <w:tabs>
                <w:tab w:val="decimal" w:pos="765"/>
              </w:tabs>
              <w:rPr>
                <w:szCs w:val="18"/>
              </w:rPr>
            </w:pPr>
            <w:r w:rsidRPr="00181EF3">
              <w:rPr>
                <w:szCs w:val="18"/>
              </w:rPr>
              <w:t>31,977</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EB9F6D4" w14:textId="77777777" w:rsidR="00F51523" w:rsidRPr="00181EF3" w:rsidRDefault="00F51523" w:rsidP="00F51523">
            <w:pPr>
              <w:pStyle w:val="TableText"/>
              <w:tabs>
                <w:tab w:val="decimal" w:pos="765"/>
              </w:tabs>
              <w:rPr>
                <w:szCs w:val="18"/>
              </w:rPr>
            </w:pPr>
            <w:r w:rsidRPr="00181EF3">
              <w:rPr>
                <w:szCs w:val="18"/>
              </w:rPr>
              <w:t>1,278</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F3F138E" w14:textId="77777777" w:rsidR="00F51523" w:rsidRPr="00181EF3" w:rsidRDefault="00F51523" w:rsidP="00F51523">
            <w:pPr>
              <w:pStyle w:val="TableText"/>
              <w:tabs>
                <w:tab w:val="decimal" w:pos="765"/>
              </w:tabs>
              <w:rPr>
                <w:szCs w:val="18"/>
              </w:rPr>
            </w:pPr>
            <w:r w:rsidRPr="00181EF3">
              <w:rPr>
                <w:szCs w:val="18"/>
              </w:rPr>
              <w:t>28,749</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1DE2831" w14:textId="77777777" w:rsidR="00F51523" w:rsidRPr="00181EF3" w:rsidRDefault="00F51523" w:rsidP="00F51523">
            <w:pPr>
              <w:pStyle w:val="TableText"/>
              <w:tabs>
                <w:tab w:val="decimal" w:pos="765"/>
              </w:tabs>
              <w:rPr>
                <w:szCs w:val="18"/>
              </w:rPr>
            </w:pPr>
            <w:r w:rsidRPr="00181EF3">
              <w:rPr>
                <w:szCs w:val="18"/>
              </w:rPr>
              <w:t>276</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2B8D883" w14:textId="77777777" w:rsidR="00F51523" w:rsidRPr="00181EF3" w:rsidRDefault="00F51523" w:rsidP="00F51523">
            <w:pPr>
              <w:pStyle w:val="TableText"/>
              <w:tabs>
                <w:tab w:val="decimal" w:pos="765"/>
              </w:tabs>
              <w:rPr>
                <w:szCs w:val="18"/>
              </w:rPr>
            </w:pPr>
            <w:r w:rsidRPr="00181EF3">
              <w:rPr>
                <w:szCs w:val="18"/>
              </w:rPr>
              <w:t>17,184</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856E4F8" w14:textId="77777777" w:rsidR="00F51523" w:rsidRPr="00181EF3" w:rsidRDefault="00F51523" w:rsidP="00F51523">
            <w:pPr>
              <w:pStyle w:val="TableText"/>
              <w:tabs>
                <w:tab w:val="decimal" w:pos="765"/>
              </w:tabs>
              <w:rPr>
                <w:szCs w:val="18"/>
              </w:rPr>
            </w:pPr>
            <w:r w:rsidRPr="00181EF3">
              <w:rPr>
                <w:szCs w:val="18"/>
              </w:rPr>
              <w:t>9,876</w:t>
            </w:r>
          </w:p>
        </w:tc>
        <w:tc>
          <w:tcPr>
            <w:tcW w:w="1064" w:type="dxa"/>
            <w:tcBorders>
              <w:top w:val="single" w:sz="4" w:space="0" w:color="A6A6A6" w:themeColor="background1" w:themeShade="A6"/>
              <w:bottom w:val="single" w:sz="4" w:space="0" w:color="A6A6A6" w:themeColor="background1" w:themeShade="A6"/>
            </w:tcBorders>
          </w:tcPr>
          <w:p w14:paraId="289ACD98" w14:textId="77777777" w:rsidR="00F51523" w:rsidRPr="00181EF3" w:rsidRDefault="00F51523" w:rsidP="00F51523">
            <w:pPr>
              <w:pStyle w:val="TableText"/>
              <w:tabs>
                <w:tab w:val="decimal" w:pos="765"/>
              </w:tabs>
              <w:rPr>
                <w:szCs w:val="18"/>
              </w:rPr>
            </w:pPr>
            <w:r w:rsidRPr="00181EF3">
              <w:rPr>
                <w:szCs w:val="18"/>
              </w:rPr>
              <w:t>112,458</w:t>
            </w:r>
          </w:p>
        </w:tc>
      </w:tr>
      <w:tr w:rsidR="00F51523" w:rsidRPr="00181EF3" w14:paraId="60DF453E" w14:textId="77777777" w:rsidTr="00F51523">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D2F759D" w14:textId="77777777" w:rsidR="00F51523" w:rsidRPr="00181EF3" w:rsidRDefault="00F51523" w:rsidP="00F51523">
            <w:pPr>
              <w:pStyle w:val="TableText"/>
            </w:pPr>
            <w:r w:rsidRPr="00181EF3">
              <w:t>West Coast</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0BFEF4A" w14:textId="77777777" w:rsidR="00F51523" w:rsidRPr="00181EF3" w:rsidRDefault="00F51523" w:rsidP="00F51523">
            <w:pPr>
              <w:pStyle w:val="TableText"/>
              <w:tabs>
                <w:tab w:val="decimal" w:pos="765"/>
              </w:tabs>
              <w:rPr>
                <w:szCs w:val="18"/>
              </w:rPr>
            </w:pPr>
            <w:r w:rsidRPr="00181EF3">
              <w:rPr>
                <w:szCs w:val="18"/>
              </w:rPr>
              <w:t>1,065</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E4BA8E5" w14:textId="77777777" w:rsidR="00F51523" w:rsidRPr="00181EF3" w:rsidRDefault="00F51523" w:rsidP="00F51523">
            <w:pPr>
              <w:pStyle w:val="TableText"/>
              <w:tabs>
                <w:tab w:val="decimal" w:pos="765"/>
              </w:tabs>
              <w:rPr>
                <w:szCs w:val="18"/>
              </w:rPr>
            </w:pPr>
            <w:r w:rsidRPr="00181EF3">
              <w:rPr>
                <w:szCs w:val="18"/>
              </w:rPr>
              <w:t>5,712</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79B502E" w14:textId="77777777" w:rsidR="00F51523" w:rsidRPr="00181EF3" w:rsidRDefault="00F51523" w:rsidP="00F51523">
            <w:pPr>
              <w:pStyle w:val="TableText"/>
              <w:tabs>
                <w:tab w:val="decimal" w:pos="765"/>
              </w:tabs>
              <w:rPr>
                <w:szCs w:val="18"/>
              </w:rPr>
            </w:pPr>
            <w:r w:rsidRPr="00181EF3">
              <w:rPr>
                <w:szCs w:val="18"/>
              </w:rPr>
              <w:t>360</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C5FC4BC" w14:textId="77777777" w:rsidR="00F51523" w:rsidRPr="00181EF3" w:rsidRDefault="00F51523" w:rsidP="00F51523">
            <w:pPr>
              <w:pStyle w:val="TableText"/>
              <w:tabs>
                <w:tab w:val="decimal" w:pos="765"/>
              </w:tabs>
              <w:rPr>
                <w:szCs w:val="18"/>
              </w:rPr>
            </w:pPr>
            <w:r w:rsidRPr="00181EF3">
              <w:rPr>
                <w:szCs w:val="18"/>
              </w:rPr>
              <w:t>2,739</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10B39D6" w14:textId="77777777" w:rsidR="00F51523" w:rsidRPr="00181EF3" w:rsidRDefault="00F51523" w:rsidP="00F51523">
            <w:pPr>
              <w:pStyle w:val="TableText"/>
              <w:tabs>
                <w:tab w:val="decimal" w:pos="765"/>
              </w:tabs>
              <w:rPr>
                <w:szCs w:val="18"/>
              </w:rPr>
            </w:pPr>
            <w:r w:rsidRPr="00181EF3">
              <w:rPr>
                <w:szCs w:val="18"/>
              </w:rPr>
              <w:t>696</w:t>
            </w:r>
          </w:p>
        </w:tc>
        <w:tc>
          <w:tcPr>
            <w:tcW w:w="106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6B6A2E7" w14:textId="77777777" w:rsidR="00F51523" w:rsidRPr="00181EF3" w:rsidRDefault="00F51523" w:rsidP="00F51523">
            <w:pPr>
              <w:pStyle w:val="TableText"/>
              <w:tabs>
                <w:tab w:val="decimal" w:pos="765"/>
              </w:tabs>
              <w:rPr>
                <w:szCs w:val="18"/>
              </w:rPr>
            </w:pPr>
            <w:r w:rsidRPr="00181EF3">
              <w:rPr>
                <w:szCs w:val="18"/>
              </w:rPr>
              <w:t>8,040</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79461CC" w14:textId="77777777" w:rsidR="00F51523" w:rsidRPr="00181EF3" w:rsidRDefault="00F51523" w:rsidP="00F51523">
            <w:pPr>
              <w:pStyle w:val="TableText"/>
              <w:tabs>
                <w:tab w:val="decimal" w:pos="765"/>
              </w:tabs>
              <w:rPr>
                <w:szCs w:val="18"/>
              </w:rPr>
            </w:pPr>
            <w:r w:rsidRPr="00181EF3">
              <w:rPr>
                <w:szCs w:val="18"/>
              </w:rPr>
              <w:t>351</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2787579" w14:textId="77777777" w:rsidR="00F51523" w:rsidRPr="00181EF3" w:rsidRDefault="00F51523" w:rsidP="00F51523">
            <w:pPr>
              <w:pStyle w:val="TableText"/>
              <w:tabs>
                <w:tab w:val="decimal" w:pos="765"/>
              </w:tabs>
              <w:rPr>
                <w:szCs w:val="18"/>
              </w:rPr>
            </w:pPr>
            <w:r w:rsidRPr="00181EF3">
              <w:rPr>
                <w:szCs w:val="18"/>
              </w:rPr>
              <w:t>7,191</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23F7CCC" w14:textId="77777777" w:rsidR="00F51523" w:rsidRPr="00181EF3" w:rsidRDefault="00F51523" w:rsidP="00F51523">
            <w:pPr>
              <w:pStyle w:val="TableText"/>
              <w:tabs>
                <w:tab w:val="decimal" w:pos="765"/>
              </w:tabs>
              <w:rPr>
                <w:szCs w:val="18"/>
              </w:rPr>
            </w:pPr>
            <w:r w:rsidRPr="00181EF3">
              <w:rPr>
                <w:szCs w:val="18"/>
              </w:rPr>
              <w:t>84</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8A36FC9" w14:textId="77777777" w:rsidR="00F51523" w:rsidRPr="00181EF3" w:rsidRDefault="00F51523" w:rsidP="00F51523">
            <w:pPr>
              <w:pStyle w:val="TableText"/>
              <w:tabs>
                <w:tab w:val="decimal" w:pos="765"/>
              </w:tabs>
              <w:rPr>
                <w:szCs w:val="18"/>
              </w:rPr>
            </w:pPr>
            <w:r w:rsidRPr="00181EF3">
              <w:rPr>
                <w:szCs w:val="18"/>
              </w:rPr>
              <w:t>3,978</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104250C" w14:textId="77777777" w:rsidR="00F51523" w:rsidRPr="00181EF3" w:rsidRDefault="00F51523" w:rsidP="00F51523">
            <w:pPr>
              <w:pStyle w:val="TableText"/>
              <w:tabs>
                <w:tab w:val="decimal" w:pos="765"/>
              </w:tabs>
              <w:rPr>
                <w:szCs w:val="18"/>
              </w:rPr>
            </w:pPr>
            <w:r w:rsidRPr="00181EF3">
              <w:rPr>
                <w:szCs w:val="18"/>
              </w:rPr>
              <w:t>2,556</w:t>
            </w:r>
          </w:p>
        </w:tc>
        <w:tc>
          <w:tcPr>
            <w:tcW w:w="1064" w:type="dxa"/>
            <w:tcBorders>
              <w:top w:val="single" w:sz="4" w:space="0" w:color="A6A6A6" w:themeColor="background1" w:themeShade="A6"/>
              <w:bottom w:val="single" w:sz="4" w:space="0" w:color="A6A6A6" w:themeColor="background1" w:themeShade="A6"/>
            </w:tcBorders>
          </w:tcPr>
          <w:p w14:paraId="270E0B96" w14:textId="77777777" w:rsidR="00F51523" w:rsidRPr="00181EF3" w:rsidRDefault="00F51523" w:rsidP="00F51523">
            <w:pPr>
              <w:pStyle w:val="TableText"/>
              <w:tabs>
                <w:tab w:val="decimal" w:pos="765"/>
              </w:tabs>
              <w:rPr>
                <w:szCs w:val="18"/>
              </w:rPr>
            </w:pPr>
            <w:r w:rsidRPr="00181EF3">
              <w:rPr>
                <w:szCs w:val="18"/>
              </w:rPr>
              <w:t>27,660</w:t>
            </w:r>
          </w:p>
        </w:tc>
      </w:tr>
      <w:tr w:rsidR="00F51523" w:rsidRPr="00181EF3" w14:paraId="5912B090" w14:textId="77777777" w:rsidTr="00F51523">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0704DDD" w14:textId="77777777" w:rsidR="00F51523" w:rsidRPr="00181EF3" w:rsidRDefault="00F51523" w:rsidP="00F51523">
            <w:pPr>
              <w:pStyle w:val="TableText"/>
            </w:pPr>
            <w:r w:rsidRPr="00181EF3">
              <w:t>Canterbury</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F67F82B" w14:textId="77777777" w:rsidR="00F51523" w:rsidRPr="00181EF3" w:rsidRDefault="00F51523" w:rsidP="00F51523">
            <w:pPr>
              <w:pStyle w:val="TableText"/>
              <w:tabs>
                <w:tab w:val="decimal" w:pos="765"/>
              </w:tabs>
              <w:rPr>
                <w:szCs w:val="18"/>
              </w:rPr>
            </w:pPr>
            <w:r w:rsidRPr="00181EF3">
              <w:rPr>
                <w:szCs w:val="18"/>
              </w:rPr>
              <w:t>10,521</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2A85E36" w14:textId="77777777" w:rsidR="00F51523" w:rsidRPr="00181EF3" w:rsidRDefault="00F51523" w:rsidP="00F51523">
            <w:pPr>
              <w:pStyle w:val="TableText"/>
              <w:tabs>
                <w:tab w:val="decimal" w:pos="765"/>
              </w:tabs>
              <w:rPr>
                <w:szCs w:val="18"/>
              </w:rPr>
            </w:pPr>
            <w:r w:rsidRPr="00181EF3">
              <w:rPr>
                <w:szCs w:val="18"/>
              </w:rPr>
              <w:t>75,564</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0334098" w14:textId="77777777" w:rsidR="00F51523" w:rsidRPr="00181EF3" w:rsidRDefault="00F51523" w:rsidP="00F51523">
            <w:pPr>
              <w:pStyle w:val="TableText"/>
              <w:tabs>
                <w:tab w:val="decimal" w:pos="765"/>
              </w:tabs>
              <w:rPr>
                <w:szCs w:val="18"/>
              </w:rPr>
            </w:pPr>
            <w:r w:rsidRPr="00181EF3">
              <w:rPr>
                <w:szCs w:val="18"/>
              </w:rPr>
              <w:t>5,418</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941CE2E" w14:textId="77777777" w:rsidR="00F51523" w:rsidRPr="00181EF3" w:rsidRDefault="00F51523" w:rsidP="00F51523">
            <w:pPr>
              <w:pStyle w:val="TableText"/>
              <w:tabs>
                <w:tab w:val="decimal" w:pos="765"/>
              </w:tabs>
              <w:rPr>
                <w:szCs w:val="18"/>
              </w:rPr>
            </w:pPr>
            <w:r w:rsidRPr="00181EF3">
              <w:rPr>
                <w:szCs w:val="18"/>
              </w:rPr>
              <w:t>53,691</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C8F6EB6" w14:textId="77777777" w:rsidR="00F51523" w:rsidRPr="00181EF3" w:rsidRDefault="00F51523" w:rsidP="00F51523">
            <w:pPr>
              <w:pStyle w:val="TableText"/>
              <w:tabs>
                <w:tab w:val="decimal" w:pos="765"/>
              </w:tabs>
              <w:rPr>
                <w:szCs w:val="18"/>
              </w:rPr>
            </w:pPr>
            <w:r w:rsidRPr="00181EF3">
              <w:rPr>
                <w:szCs w:val="18"/>
              </w:rPr>
              <w:t>8,508</w:t>
            </w:r>
          </w:p>
        </w:tc>
        <w:tc>
          <w:tcPr>
            <w:tcW w:w="106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5971834" w14:textId="77777777" w:rsidR="00F51523" w:rsidRPr="00181EF3" w:rsidRDefault="00F51523" w:rsidP="00F51523">
            <w:pPr>
              <w:pStyle w:val="TableText"/>
              <w:tabs>
                <w:tab w:val="decimal" w:pos="765"/>
              </w:tabs>
              <w:rPr>
                <w:szCs w:val="18"/>
              </w:rPr>
            </w:pPr>
            <w:r w:rsidRPr="00181EF3">
              <w:rPr>
                <w:szCs w:val="18"/>
              </w:rPr>
              <w:t>119,073</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08865CB" w14:textId="77777777" w:rsidR="00F51523" w:rsidRPr="00181EF3" w:rsidRDefault="00F51523" w:rsidP="00F51523">
            <w:pPr>
              <w:pStyle w:val="TableText"/>
              <w:tabs>
                <w:tab w:val="decimal" w:pos="765"/>
              </w:tabs>
              <w:rPr>
                <w:szCs w:val="18"/>
              </w:rPr>
            </w:pPr>
            <w:r w:rsidRPr="00181EF3">
              <w:rPr>
                <w:szCs w:val="18"/>
              </w:rPr>
              <w:t>3,477</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BB613F5" w14:textId="77777777" w:rsidR="00F51523" w:rsidRPr="00181EF3" w:rsidRDefault="00F51523" w:rsidP="00F51523">
            <w:pPr>
              <w:pStyle w:val="TableText"/>
              <w:tabs>
                <w:tab w:val="decimal" w:pos="765"/>
              </w:tabs>
              <w:rPr>
                <w:szCs w:val="18"/>
              </w:rPr>
            </w:pPr>
            <w:r w:rsidRPr="00181EF3">
              <w:rPr>
                <w:szCs w:val="18"/>
              </w:rPr>
              <w:t>93,585</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328778B" w14:textId="77777777" w:rsidR="00F51523" w:rsidRPr="00181EF3" w:rsidRDefault="00F51523" w:rsidP="00F51523">
            <w:pPr>
              <w:pStyle w:val="TableText"/>
              <w:tabs>
                <w:tab w:val="decimal" w:pos="765"/>
              </w:tabs>
              <w:rPr>
                <w:szCs w:val="18"/>
              </w:rPr>
            </w:pPr>
            <w:r w:rsidRPr="00181EF3">
              <w:rPr>
                <w:szCs w:val="18"/>
              </w:rPr>
              <w:t>768</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27EEBA8" w14:textId="77777777" w:rsidR="00F51523" w:rsidRPr="00181EF3" w:rsidRDefault="00F51523" w:rsidP="00F51523">
            <w:pPr>
              <w:pStyle w:val="TableText"/>
              <w:tabs>
                <w:tab w:val="decimal" w:pos="765"/>
              </w:tabs>
              <w:rPr>
                <w:szCs w:val="18"/>
              </w:rPr>
            </w:pPr>
            <w:r w:rsidRPr="00181EF3">
              <w:rPr>
                <w:szCs w:val="18"/>
              </w:rPr>
              <w:t>56,505</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A2375E7" w14:textId="77777777" w:rsidR="00F51523" w:rsidRPr="00181EF3" w:rsidRDefault="00F51523" w:rsidP="00F51523">
            <w:pPr>
              <w:pStyle w:val="TableText"/>
              <w:tabs>
                <w:tab w:val="decimal" w:pos="765"/>
              </w:tabs>
              <w:rPr>
                <w:szCs w:val="18"/>
              </w:rPr>
            </w:pPr>
            <w:r w:rsidRPr="00181EF3">
              <w:rPr>
                <w:szCs w:val="18"/>
              </w:rPr>
              <w:t>28,692</w:t>
            </w:r>
          </w:p>
        </w:tc>
        <w:tc>
          <w:tcPr>
            <w:tcW w:w="1064" w:type="dxa"/>
            <w:tcBorders>
              <w:top w:val="single" w:sz="4" w:space="0" w:color="A6A6A6" w:themeColor="background1" w:themeShade="A6"/>
              <w:bottom w:val="single" w:sz="4" w:space="0" w:color="A6A6A6" w:themeColor="background1" w:themeShade="A6"/>
            </w:tcBorders>
          </w:tcPr>
          <w:p w14:paraId="6D6F1201" w14:textId="77777777" w:rsidR="00F51523" w:rsidRPr="00181EF3" w:rsidRDefault="00F51523" w:rsidP="00F51523">
            <w:pPr>
              <w:pStyle w:val="TableText"/>
              <w:tabs>
                <w:tab w:val="decimal" w:pos="765"/>
              </w:tabs>
              <w:rPr>
                <w:szCs w:val="18"/>
              </w:rPr>
            </w:pPr>
            <w:r w:rsidRPr="00181EF3">
              <w:rPr>
                <w:szCs w:val="18"/>
              </w:rPr>
              <w:t>398,418</w:t>
            </w:r>
          </w:p>
        </w:tc>
      </w:tr>
      <w:tr w:rsidR="00F51523" w:rsidRPr="00181EF3" w14:paraId="2221D543" w14:textId="77777777" w:rsidTr="00F51523">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D0C7C6C" w14:textId="77777777" w:rsidR="00F51523" w:rsidRPr="00181EF3" w:rsidRDefault="00F51523" w:rsidP="00F51523">
            <w:pPr>
              <w:pStyle w:val="TableText"/>
            </w:pPr>
            <w:r w:rsidRPr="00181EF3">
              <w:t>South Canterbury</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30E1B98" w14:textId="77777777" w:rsidR="00F51523" w:rsidRPr="00181EF3" w:rsidRDefault="00F51523" w:rsidP="00F51523">
            <w:pPr>
              <w:pStyle w:val="TableText"/>
              <w:tabs>
                <w:tab w:val="decimal" w:pos="765"/>
              </w:tabs>
              <w:rPr>
                <w:szCs w:val="18"/>
              </w:rPr>
            </w:pPr>
            <w:r w:rsidRPr="00181EF3">
              <w:rPr>
                <w:szCs w:val="18"/>
              </w:rPr>
              <w:t>1,098</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F456052" w14:textId="77777777" w:rsidR="00F51523" w:rsidRPr="00181EF3" w:rsidRDefault="00F51523" w:rsidP="00F51523">
            <w:pPr>
              <w:pStyle w:val="TableText"/>
              <w:tabs>
                <w:tab w:val="decimal" w:pos="765"/>
              </w:tabs>
              <w:rPr>
                <w:szCs w:val="18"/>
              </w:rPr>
            </w:pPr>
            <w:r w:rsidRPr="00181EF3">
              <w:rPr>
                <w:szCs w:val="18"/>
              </w:rPr>
              <w:t>9,948</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38D1C47" w14:textId="77777777" w:rsidR="00F51523" w:rsidRPr="00181EF3" w:rsidRDefault="00F51523" w:rsidP="00F51523">
            <w:pPr>
              <w:pStyle w:val="TableText"/>
              <w:tabs>
                <w:tab w:val="decimal" w:pos="765"/>
              </w:tabs>
              <w:rPr>
                <w:szCs w:val="18"/>
              </w:rPr>
            </w:pPr>
            <w:r w:rsidRPr="00181EF3">
              <w:rPr>
                <w:szCs w:val="18"/>
              </w:rPr>
              <w:t>504</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782BE9C" w14:textId="77777777" w:rsidR="00F51523" w:rsidRPr="00181EF3" w:rsidRDefault="00F51523" w:rsidP="00F51523">
            <w:pPr>
              <w:pStyle w:val="TableText"/>
              <w:tabs>
                <w:tab w:val="decimal" w:pos="765"/>
              </w:tabs>
              <w:rPr>
                <w:szCs w:val="18"/>
              </w:rPr>
            </w:pPr>
            <w:r w:rsidRPr="00181EF3">
              <w:rPr>
                <w:szCs w:val="18"/>
              </w:rPr>
              <w:t>4,986</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DD75951" w14:textId="77777777" w:rsidR="00F51523" w:rsidRPr="00181EF3" w:rsidRDefault="00F51523" w:rsidP="00F51523">
            <w:pPr>
              <w:pStyle w:val="TableText"/>
              <w:tabs>
                <w:tab w:val="decimal" w:pos="765"/>
              </w:tabs>
              <w:rPr>
                <w:szCs w:val="18"/>
              </w:rPr>
            </w:pPr>
            <w:r w:rsidRPr="00181EF3">
              <w:rPr>
                <w:szCs w:val="18"/>
              </w:rPr>
              <w:t>717</w:t>
            </w:r>
          </w:p>
        </w:tc>
        <w:tc>
          <w:tcPr>
            <w:tcW w:w="106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98A2874" w14:textId="77777777" w:rsidR="00F51523" w:rsidRPr="00181EF3" w:rsidRDefault="00F51523" w:rsidP="00F51523">
            <w:pPr>
              <w:pStyle w:val="TableText"/>
              <w:tabs>
                <w:tab w:val="decimal" w:pos="765"/>
              </w:tabs>
              <w:rPr>
                <w:szCs w:val="18"/>
              </w:rPr>
            </w:pPr>
            <w:r w:rsidRPr="00181EF3">
              <w:rPr>
                <w:szCs w:val="18"/>
              </w:rPr>
              <w:t>13,128</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43ED489" w14:textId="77777777" w:rsidR="00F51523" w:rsidRPr="00181EF3" w:rsidRDefault="00F51523" w:rsidP="00F51523">
            <w:pPr>
              <w:pStyle w:val="TableText"/>
              <w:tabs>
                <w:tab w:val="decimal" w:pos="765"/>
              </w:tabs>
              <w:rPr>
                <w:szCs w:val="18"/>
              </w:rPr>
            </w:pPr>
            <w:r w:rsidRPr="00181EF3">
              <w:rPr>
                <w:szCs w:val="18"/>
              </w:rPr>
              <w:t>426</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96C8947" w14:textId="77777777" w:rsidR="00F51523" w:rsidRPr="00181EF3" w:rsidRDefault="00F51523" w:rsidP="00F51523">
            <w:pPr>
              <w:pStyle w:val="TableText"/>
              <w:tabs>
                <w:tab w:val="decimal" w:pos="765"/>
              </w:tabs>
              <w:rPr>
                <w:szCs w:val="18"/>
              </w:rPr>
            </w:pPr>
            <w:r w:rsidRPr="00181EF3">
              <w:rPr>
                <w:szCs w:val="18"/>
              </w:rPr>
              <w:t>12,795</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3DB25DC" w14:textId="77777777" w:rsidR="00F51523" w:rsidRPr="00181EF3" w:rsidRDefault="00F51523" w:rsidP="00F51523">
            <w:pPr>
              <w:pStyle w:val="TableText"/>
              <w:tabs>
                <w:tab w:val="decimal" w:pos="765"/>
              </w:tabs>
              <w:rPr>
                <w:szCs w:val="18"/>
              </w:rPr>
            </w:pPr>
            <w:r w:rsidRPr="00181EF3">
              <w:rPr>
                <w:szCs w:val="18"/>
              </w:rPr>
              <w:t>111</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948442F" w14:textId="77777777" w:rsidR="00F51523" w:rsidRPr="00181EF3" w:rsidRDefault="00F51523" w:rsidP="00F51523">
            <w:pPr>
              <w:pStyle w:val="TableText"/>
              <w:tabs>
                <w:tab w:val="decimal" w:pos="765"/>
              </w:tabs>
              <w:rPr>
                <w:szCs w:val="18"/>
              </w:rPr>
            </w:pPr>
            <w:r w:rsidRPr="00181EF3">
              <w:rPr>
                <w:szCs w:val="18"/>
              </w:rPr>
              <w:t>9,048</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46CA20D" w14:textId="77777777" w:rsidR="00F51523" w:rsidRPr="00181EF3" w:rsidRDefault="00F51523" w:rsidP="00F51523">
            <w:pPr>
              <w:pStyle w:val="TableText"/>
              <w:tabs>
                <w:tab w:val="decimal" w:pos="765"/>
              </w:tabs>
              <w:rPr>
                <w:szCs w:val="18"/>
              </w:rPr>
            </w:pPr>
            <w:r w:rsidRPr="00181EF3">
              <w:rPr>
                <w:szCs w:val="18"/>
              </w:rPr>
              <w:t>2,856</w:t>
            </w:r>
          </w:p>
        </w:tc>
        <w:tc>
          <w:tcPr>
            <w:tcW w:w="1064" w:type="dxa"/>
            <w:tcBorders>
              <w:top w:val="single" w:sz="4" w:space="0" w:color="A6A6A6" w:themeColor="background1" w:themeShade="A6"/>
              <w:bottom w:val="single" w:sz="4" w:space="0" w:color="A6A6A6" w:themeColor="background1" w:themeShade="A6"/>
            </w:tcBorders>
          </w:tcPr>
          <w:p w14:paraId="0691CAE8" w14:textId="77777777" w:rsidR="00F51523" w:rsidRPr="00181EF3" w:rsidRDefault="00F51523" w:rsidP="00F51523">
            <w:pPr>
              <w:pStyle w:val="TableText"/>
              <w:tabs>
                <w:tab w:val="decimal" w:pos="765"/>
              </w:tabs>
              <w:rPr>
                <w:szCs w:val="18"/>
              </w:rPr>
            </w:pPr>
            <w:r w:rsidRPr="00181EF3">
              <w:rPr>
                <w:szCs w:val="18"/>
              </w:rPr>
              <w:t>49,905</w:t>
            </w:r>
          </w:p>
        </w:tc>
      </w:tr>
      <w:tr w:rsidR="00F51523" w:rsidRPr="00181EF3" w14:paraId="0E38CEFB" w14:textId="77777777" w:rsidTr="00F51523">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6FF40E9" w14:textId="77777777" w:rsidR="00F51523" w:rsidRPr="00181EF3" w:rsidRDefault="00F51523" w:rsidP="00F51523">
            <w:pPr>
              <w:pStyle w:val="TableText"/>
            </w:pPr>
            <w:r w:rsidRPr="00181EF3">
              <w:t>Otago</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969EEC2" w14:textId="77777777" w:rsidR="00F51523" w:rsidRPr="00181EF3" w:rsidRDefault="00F51523" w:rsidP="00F51523">
            <w:pPr>
              <w:pStyle w:val="TableText"/>
              <w:tabs>
                <w:tab w:val="decimal" w:pos="765"/>
              </w:tabs>
              <w:rPr>
                <w:szCs w:val="18"/>
              </w:rPr>
            </w:pPr>
            <w:r w:rsidRPr="00181EF3">
              <w:rPr>
                <w:szCs w:val="18"/>
              </w:rPr>
              <w:t>3,444</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FF94039" w14:textId="77777777" w:rsidR="00F51523" w:rsidRPr="00181EF3" w:rsidRDefault="00F51523" w:rsidP="00F51523">
            <w:pPr>
              <w:pStyle w:val="TableText"/>
              <w:tabs>
                <w:tab w:val="decimal" w:pos="765"/>
              </w:tabs>
              <w:rPr>
                <w:szCs w:val="18"/>
              </w:rPr>
            </w:pPr>
            <w:r w:rsidRPr="00181EF3">
              <w:rPr>
                <w:szCs w:val="18"/>
              </w:rPr>
              <w:t>29,295</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821A9F1" w14:textId="77777777" w:rsidR="00F51523" w:rsidRPr="00181EF3" w:rsidRDefault="00F51523" w:rsidP="00F51523">
            <w:pPr>
              <w:pStyle w:val="TableText"/>
              <w:tabs>
                <w:tab w:val="decimal" w:pos="765"/>
              </w:tabs>
              <w:rPr>
                <w:szCs w:val="18"/>
              </w:rPr>
            </w:pPr>
            <w:r w:rsidRPr="00181EF3">
              <w:rPr>
                <w:szCs w:val="18"/>
              </w:rPr>
              <w:t>2,292</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E815739" w14:textId="77777777" w:rsidR="00F51523" w:rsidRPr="00181EF3" w:rsidRDefault="00F51523" w:rsidP="00F51523">
            <w:pPr>
              <w:pStyle w:val="TableText"/>
              <w:tabs>
                <w:tab w:val="decimal" w:pos="765"/>
              </w:tabs>
              <w:rPr>
                <w:szCs w:val="18"/>
              </w:rPr>
            </w:pPr>
            <w:r w:rsidRPr="00181EF3">
              <w:rPr>
                <w:szCs w:val="18"/>
              </w:rPr>
              <w:t>25,695</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2FBE2EC" w14:textId="77777777" w:rsidR="00F51523" w:rsidRPr="00181EF3" w:rsidRDefault="00F51523" w:rsidP="00F51523">
            <w:pPr>
              <w:pStyle w:val="TableText"/>
              <w:tabs>
                <w:tab w:val="decimal" w:pos="765"/>
              </w:tabs>
              <w:rPr>
                <w:szCs w:val="18"/>
              </w:rPr>
            </w:pPr>
            <w:r w:rsidRPr="00181EF3">
              <w:rPr>
                <w:szCs w:val="18"/>
              </w:rPr>
              <w:t>2,595</w:t>
            </w:r>
          </w:p>
        </w:tc>
        <w:tc>
          <w:tcPr>
            <w:tcW w:w="106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43D60EE" w14:textId="77777777" w:rsidR="00F51523" w:rsidRPr="00181EF3" w:rsidRDefault="00F51523" w:rsidP="00F51523">
            <w:pPr>
              <w:pStyle w:val="TableText"/>
              <w:tabs>
                <w:tab w:val="decimal" w:pos="765"/>
              </w:tabs>
              <w:rPr>
                <w:szCs w:val="18"/>
              </w:rPr>
            </w:pPr>
            <w:r w:rsidRPr="00181EF3">
              <w:rPr>
                <w:szCs w:val="18"/>
              </w:rPr>
              <w:t>43,467</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1BC8B8F" w14:textId="77777777" w:rsidR="00F51523" w:rsidRPr="00181EF3" w:rsidRDefault="00F51523" w:rsidP="00F51523">
            <w:pPr>
              <w:pStyle w:val="TableText"/>
              <w:tabs>
                <w:tab w:val="decimal" w:pos="765"/>
              </w:tabs>
              <w:rPr>
                <w:szCs w:val="18"/>
              </w:rPr>
            </w:pPr>
            <w:r w:rsidRPr="00181EF3">
              <w:rPr>
                <w:szCs w:val="18"/>
              </w:rPr>
              <w:t>1,206</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942EBF3" w14:textId="77777777" w:rsidR="00F51523" w:rsidRPr="00181EF3" w:rsidRDefault="00F51523" w:rsidP="00F51523">
            <w:pPr>
              <w:pStyle w:val="TableText"/>
              <w:tabs>
                <w:tab w:val="decimal" w:pos="765"/>
              </w:tabs>
              <w:rPr>
                <w:szCs w:val="18"/>
              </w:rPr>
            </w:pPr>
            <w:r w:rsidRPr="00181EF3">
              <w:rPr>
                <w:szCs w:val="18"/>
              </w:rPr>
              <w:t>38,073</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762C4FC" w14:textId="77777777" w:rsidR="00F51523" w:rsidRPr="00181EF3" w:rsidRDefault="00F51523" w:rsidP="00F51523">
            <w:pPr>
              <w:pStyle w:val="TableText"/>
              <w:tabs>
                <w:tab w:val="decimal" w:pos="765"/>
              </w:tabs>
              <w:rPr>
                <w:szCs w:val="18"/>
              </w:rPr>
            </w:pPr>
            <w:r w:rsidRPr="00181EF3">
              <w:rPr>
                <w:szCs w:val="18"/>
              </w:rPr>
              <w:t>255</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32BCD1E" w14:textId="77777777" w:rsidR="00F51523" w:rsidRPr="00181EF3" w:rsidRDefault="00F51523" w:rsidP="00F51523">
            <w:pPr>
              <w:pStyle w:val="TableText"/>
              <w:tabs>
                <w:tab w:val="decimal" w:pos="765"/>
              </w:tabs>
              <w:rPr>
                <w:szCs w:val="18"/>
              </w:rPr>
            </w:pPr>
            <w:r w:rsidRPr="00181EF3">
              <w:rPr>
                <w:szCs w:val="18"/>
              </w:rPr>
              <w:t>24,414</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268BC02" w14:textId="77777777" w:rsidR="00F51523" w:rsidRPr="00181EF3" w:rsidRDefault="00F51523" w:rsidP="00F51523">
            <w:pPr>
              <w:pStyle w:val="TableText"/>
              <w:tabs>
                <w:tab w:val="decimal" w:pos="765"/>
              </w:tabs>
              <w:rPr>
                <w:szCs w:val="18"/>
              </w:rPr>
            </w:pPr>
            <w:r w:rsidRPr="00181EF3">
              <w:rPr>
                <w:szCs w:val="18"/>
              </w:rPr>
              <w:t>9,792</w:t>
            </w:r>
          </w:p>
        </w:tc>
        <w:tc>
          <w:tcPr>
            <w:tcW w:w="1064" w:type="dxa"/>
            <w:tcBorders>
              <w:top w:val="single" w:sz="4" w:space="0" w:color="A6A6A6" w:themeColor="background1" w:themeShade="A6"/>
              <w:bottom w:val="single" w:sz="4" w:space="0" w:color="A6A6A6" w:themeColor="background1" w:themeShade="A6"/>
            </w:tcBorders>
          </w:tcPr>
          <w:p w14:paraId="770176D5" w14:textId="77777777" w:rsidR="00F51523" w:rsidRPr="00181EF3" w:rsidRDefault="00F51523" w:rsidP="00F51523">
            <w:pPr>
              <w:pStyle w:val="TableText"/>
              <w:tabs>
                <w:tab w:val="decimal" w:pos="765"/>
              </w:tabs>
              <w:rPr>
                <w:szCs w:val="18"/>
              </w:rPr>
            </w:pPr>
            <w:r w:rsidRPr="00181EF3">
              <w:rPr>
                <w:szCs w:val="18"/>
              </w:rPr>
              <w:t>160,944</w:t>
            </w:r>
          </w:p>
        </w:tc>
      </w:tr>
      <w:tr w:rsidR="00F51523" w:rsidRPr="00181EF3" w14:paraId="6A3F64A1" w14:textId="77777777" w:rsidTr="00F51523">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4692191" w14:textId="77777777" w:rsidR="00F51523" w:rsidRPr="00181EF3" w:rsidRDefault="00F51523" w:rsidP="00F51523">
            <w:pPr>
              <w:pStyle w:val="TableText"/>
            </w:pPr>
            <w:r w:rsidRPr="00181EF3">
              <w:t>Southland</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0397BDC" w14:textId="77777777" w:rsidR="00F51523" w:rsidRPr="00181EF3" w:rsidRDefault="00F51523" w:rsidP="00F51523">
            <w:pPr>
              <w:pStyle w:val="TableText"/>
              <w:tabs>
                <w:tab w:val="decimal" w:pos="765"/>
              </w:tabs>
              <w:rPr>
                <w:szCs w:val="18"/>
              </w:rPr>
            </w:pPr>
            <w:r w:rsidRPr="00181EF3">
              <w:rPr>
                <w:szCs w:val="18"/>
              </w:rPr>
              <w:t>4,044</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8518BFF" w14:textId="77777777" w:rsidR="00F51523" w:rsidRPr="00181EF3" w:rsidRDefault="00F51523" w:rsidP="00F51523">
            <w:pPr>
              <w:pStyle w:val="TableText"/>
              <w:tabs>
                <w:tab w:val="decimal" w:pos="765"/>
              </w:tabs>
              <w:rPr>
                <w:szCs w:val="18"/>
              </w:rPr>
            </w:pPr>
            <w:r w:rsidRPr="00181EF3">
              <w:rPr>
                <w:szCs w:val="18"/>
              </w:rPr>
              <w:t>18,741</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B74B71C" w14:textId="77777777" w:rsidR="00F51523" w:rsidRPr="00181EF3" w:rsidRDefault="00F51523" w:rsidP="00F51523">
            <w:pPr>
              <w:pStyle w:val="TableText"/>
              <w:tabs>
                <w:tab w:val="decimal" w:pos="765"/>
              </w:tabs>
              <w:rPr>
                <w:szCs w:val="18"/>
              </w:rPr>
            </w:pPr>
            <w:r w:rsidRPr="00181EF3">
              <w:rPr>
                <w:szCs w:val="18"/>
              </w:rPr>
              <w:t>1,947</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7A1A893" w14:textId="77777777" w:rsidR="00F51523" w:rsidRPr="00181EF3" w:rsidRDefault="00F51523" w:rsidP="00F51523">
            <w:pPr>
              <w:pStyle w:val="TableText"/>
              <w:tabs>
                <w:tab w:val="decimal" w:pos="765"/>
              </w:tabs>
              <w:rPr>
                <w:szCs w:val="18"/>
              </w:rPr>
            </w:pPr>
            <w:r w:rsidRPr="00181EF3">
              <w:rPr>
                <w:szCs w:val="18"/>
              </w:rPr>
              <w:t>10,989</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FCD15E7" w14:textId="77777777" w:rsidR="00F51523" w:rsidRPr="00181EF3" w:rsidRDefault="00F51523" w:rsidP="00F51523">
            <w:pPr>
              <w:pStyle w:val="TableText"/>
              <w:tabs>
                <w:tab w:val="decimal" w:pos="765"/>
              </w:tabs>
              <w:rPr>
                <w:szCs w:val="18"/>
              </w:rPr>
            </w:pPr>
            <w:r w:rsidRPr="00181EF3">
              <w:rPr>
                <w:szCs w:val="18"/>
              </w:rPr>
              <w:t>2,922</w:t>
            </w:r>
          </w:p>
        </w:tc>
        <w:tc>
          <w:tcPr>
            <w:tcW w:w="106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9CDF431" w14:textId="77777777" w:rsidR="00F51523" w:rsidRPr="00181EF3" w:rsidRDefault="00F51523" w:rsidP="00F51523">
            <w:pPr>
              <w:pStyle w:val="TableText"/>
              <w:tabs>
                <w:tab w:val="decimal" w:pos="765"/>
              </w:tabs>
              <w:rPr>
                <w:szCs w:val="18"/>
              </w:rPr>
            </w:pPr>
            <w:r w:rsidRPr="00181EF3">
              <w:rPr>
                <w:szCs w:val="18"/>
              </w:rPr>
              <w:t>28,020</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D1DDB42" w14:textId="77777777" w:rsidR="00F51523" w:rsidRPr="00181EF3" w:rsidRDefault="00F51523" w:rsidP="00F51523">
            <w:pPr>
              <w:pStyle w:val="TableText"/>
              <w:tabs>
                <w:tab w:val="decimal" w:pos="765"/>
              </w:tabs>
              <w:rPr>
                <w:szCs w:val="18"/>
              </w:rPr>
            </w:pPr>
            <w:r w:rsidRPr="00181EF3">
              <w:rPr>
                <w:szCs w:val="18"/>
              </w:rPr>
              <w:t>1,494</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D715C8C" w14:textId="77777777" w:rsidR="00F51523" w:rsidRPr="00181EF3" w:rsidRDefault="00F51523" w:rsidP="00F51523">
            <w:pPr>
              <w:pStyle w:val="TableText"/>
              <w:tabs>
                <w:tab w:val="decimal" w:pos="765"/>
              </w:tabs>
              <w:rPr>
                <w:szCs w:val="18"/>
              </w:rPr>
            </w:pPr>
            <w:r w:rsidRPr="00181EF3">
              <w:rPr>
                <w:szCs w:val="18"/>
              </w:rPr>
              <w:t>22,152</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0F86485" w14:textId="77777777" w:rsidR="00F51523" w:rsidRPr="00181EF3" w:rsidRDefault="00F51523" w:rsidP="00F51523">
            <w:pPr>
              <w:pStyle w:val="TableText"/>
              <w:tabs>
                <w:tab w:val="decimal" w:pos="765"/>
              </w:tabs>
              <w:rPr>
                <w:szCs w:val="18"/>
              </w:rPr>
            </w:pPr>
            <w:r w:rsidRPr="00181EF3">
              <w:rPr>
                <w:szCs w:val="18"/>
              </w:rPr>
              <w:t>348</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434E6F5" w14:textId="77777777" w:rsidR="00F51523" w:rsidRPr="00181EF3" w:rsidRDefault="00F51523" w:rsidP="00F51523">
            <w:pPr>
              <w:pStyle w:val="TableText"/>
              <w:tabs>
                <w:tab w:val="decimal" w:pos="765"/>
              </w:tabs>
              <w:rPr>
                <w:szCs w:val="18"/>
              </w:rPr>
            </w:pPr>
            <w:r w:rsidRPr="00181EF3">
              <w:rPr>
                <w:szCs w:val="18"/>
              </w:rPr>
              <w:t>12,594</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C8D1807" w14:textId="77777777" w:rsidR="00F51523" w:rsidRPr="00181EF3" w:rsidRDefault="00F51523" w:rsidP="00F51523">
            <w:pPr>
              <w:pStyle w:val="TableText"/>
              <w:tabs>
                <w:tab w:val="decimal" w:pos="765"/>
              </w:tabs>
              <w:rPr>
                <w:szCs w:val="18"/>
              </w:rPr>
            </w:pPr>
            <w:r w:rsidRPr="00181EF3">
              <w:rPr>
                <w:szCs w:val="18"/>
              </w:rPr>
              <w:t>10,755</w:t>
            </w:r>
          </w:p>
        </w:tc>
        <w:tc>
          <w:tcPr>
            <w:tcW w:w="1064" w:type="dxa"/>
            <w:tcBorders>
              <w:top w:val="single" w:sz="4" w:space="0" w:color="A6A6A6" w:themeColor="background1" w:themeShade="A6"/>
              <w:bottom w:val="single" w:sz="4" w:space="0" w:color="A6A6A6" w:themeColor="background1" w:themeShade="A6"/>
            </w:tcBorders>
          </w:tcPr>
          <w:p w14:paraId="1BDF8D60" w14:textId="77777777" w:rsidR="00F51523" w:rsidRPr="00181EF3" w:rsidRDefault="00F51523" w:rsidP="00F51523">
            <w:pPr>
              <w:pStyle w:val="TableText"/>
              <w:tabs>
                <w:tab w:val="decimal" w:pos="765"/>
              </w:tabs>
              <w:rPr>
                <w:szCs w:val="18"/>
              </w:rPr>
            </w:pPr>
            <w:r w:rsidRPr="00181EF3">
              <w:rPr>
                <w:szCs w:val="18"/>
              </w:rPr>
              <w:t>92,496</w:t>
            </w:r>
          </w:p>
        </w:tc>
      </w:tr>
    </w:tbl>
    <w:p w14:paraId="1D045CA4" w14:textId="38DD118F" w:rsidR="00F51523" w:rsidRPr="00181EF3" w:rsidRDefault="00F51523" w:rsidP="00F51523">
      <w:pPr>
        <w:pStyle w:val="Source"/>
      </w:pPr>
      <w:r w:rsidRPr="00181EF3">
        <w:t xml:space="preserve">Source: </w:t>
      </w:r>
      <w:r w:rsidR="008F0248">
        <w:t>Stats NZ</w:t>
      </w:r>
    </w:p>
    <w:p w14:paraId="4B62C57C" w14:textId="77777777" w:rsidR="00F51523" w:rsidRPr="00181EF3" w:rsidRDefault="00F51523" w:rsidP="00F51523">
      <w:pPr>
        <w:pStyle w:val="Figure"/>
        <w:sectPr w:rsidR="00F51523" w:rsidRPr="00181EF3" w:rsidSect="00F51523">
          <w:headerReference w:type="first" r:id="rId30"/>
          <w:footerReference w:type="first" r:id="rId31"/>
          <w:pgSz w:w="16834" w:h="11907" w:orient="landscape" w:code="9"/>
          <w:pgMar w:top="1134" w:right="1134" w:bottom="1134" w:left="1134" w:header="425" w:footer="425" w:gutter="0"/>
          <w:cols w:space="720"/>
          <w:titlePg/>
          <w:docGrid w:linePitch="286"/>
        </w:sectPr>
      </w:pPr>
    </w:p>
    <w:p w14:paraId="273F11F2" w14:textId="77777777" w:rsidR="00F51523" w:rsidRPr="00181EF3" w:rsidRDefault="00F51523" w:rsidP="00F51523">
      <w:pPr>
        <w:pStyle w:val="Figure"/>
        <w:spacing w:before="0"/>
      </w:pPr>
      <w:bookmarkStart w:id="31" w:name="_Toc19101852"/>
      <w:r w:rsidRPr="00181EF3">
        <w:lastRenderedPageBreak/>
        <w:t>Figure 1: Proportion of DHB population that is Māori, 2001</w:t>
      </w:r>
      <w:bookmarkEnd w:id="31"/>
    </w:p>
    <w:p w14:paraId="39A039F8" w14:textId="77777777" w:rsidR="00F51523" w:rsidRPr="00181EF3" w:rsidRDefault="00F51523" w:rsidP="00F51523">
      <w:r w:rsidRPr="00181EF3">
        <w:rPr>
          <w:noProof/>
          <w:lang w:eastAsia="en-NZ"/>
        </w:rPr>
        <w:drawing>
          <wp:inline distT="0" distB="0" distL="0" distR="0" wp14:anchorId="3A9D9160" wp14:editId="787B83D6">
            <wp:extent cx="5112327" cy="7224999"/>
            <wp:effectExtent l="0" t="0" r="0" b="0"/>
            <wp:docPr id="368" name="Picture 368" descr="This map portrays the population proportion of Māori population based on the 2001 Census counts living within each of the 21 DHBs. The four DHBs on the east coast of the south island have the lowest proportion, at 5 to 8 percent, while Northland, Bay of Plenty, Tairawhiti and Lakes DHBs have the highest percentage of 24 to 44 percent." title="Māori Population Proportions by District Health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ori Population % by DHB1 200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12327" cy="7224999"/>
                    </a:xfrm>
                    <a:prstGeom prst="rect">
                      <a:avLst/>
                    </a:prstGeom>
                  </pic:spPr>
                </pic:pic>
              </a:graphicData>
            </a:graphic>
          </wp:inline>
        </w:drawing>
      </w:r>
    </w:p>
    <w:p w14:paraId="52DCBCC1" w14:textId="77777777" w:rsidR="00F51523" w:rsidRPr="00181EF3" w:rsidRDefault="00F51523" w:rsidP="00F51523"/>
    <w:p w14:paraId="794213E6" w14:textId="77777777" w:rsidR="00F51523" w:rsidRPr="00181EF3" w:rsidRDefault="00F51523" w:rsidP="00F51523">
      <w:pPr>
        <w:pStyle w:val="Table"/>
        <w:sectPr w:rsidR="00F51523" w:rsidRPr="00181EF3" w:rsidSect="00F51523">
          <w:headerReference w:type="first" r:id="rId33"/>
          <w:footerReference w:type="first" r:id="rId34"/>
          <w:pgSz w:w="11907" w:h="16834" w:code="9"/>
          <w:pgMar w:top="1418" w:right="1701" w:bottom="1134" w:left="1843" w:header="425" w:footer="425" w:gutter="284"/>
          <w:cols w:space="720"/>
          <w:titlePg/>
          <w:docGrid w:linePitch="286"/>
        </w:sectPr>
      </w:pPr>
    </w:p>
    <w:p w14:paraId="77024BF2" w14:textId="22EEA174" w:rsidR="00F51523" w:rsidRPr="00181EF3" w:rsidRDefault="00F51523" w:rsidP="00F51523">
      <w:pPr>
        <w:pStyle w:val="Table"/>
        <w:spacing w:before="0"/>
        <w:rPr>
          <w:i/>
        </w:rPr>
      </w:pPr>
      <w:bookmarkStart w:id="32" w:name="_Toc18594746"/>
      <w:r w:rsidRPr="00181EF3">
        <w:lastRenderedPageBreak/>
        <w:t xml:space="preserve">Table 6: District Health Board age distributions, Māori and </w:t>
      </w:r>
      <w:r w:rsidR="00EC03A3">
        <w:t>non</w:t>
      </w:r>
      <w:r w:rsidR="00EC03A3">
        <w:noBreakHyphen/>
        <w:t>M</w:t>
      </w:r>
      <w:r w:rsidRPr="00181EF3">
        <w:t>āori, 2006</w:t>
      </w:r>
      <w:bookmarkEnd w:id="32"/>
    </w:p>
    <w:tbl>
      <w:tblPr>
        <w:tblW w:w="14601" w:type="dxa"/>
        <w:tblInd w:w="57" w:type="dxa"/>
        <w:tblLayout w:type="fixed"/>
        <w:tblCellMar>
          <w:left w:w="57" w:type="dxa"/>
          <w:right w:w="57" w:type="dxa"/>
        </w:tblCellMar>
        <w:tblLook w:val="04A0" w:firstRow="1" w:lastRow="0" w:firstColumn="1" w:lastColumn="0" w:noHBand="0" w:noVBand="1"/>
      </w:tblPr>
      <w:tblGrid>
        <w:gridCol w:w="1843"/>
        <w:gridCol w:w="1063"/>
        <w:gridCol w:w="1063"/>
        <w:gridCol w:w="1063"/>
        <w:gridCol w:w="1063"/>
        <w:gridCol w:w="1063"/>
        <w:gridCol w:w="1064"/>
        <w:gridCol w:w="1063"/>
        <w:gridCol w:w="1063"/>
        <w:gridCol w:w="1063"/>
        <w:gridCol w:w="1063"/>
        <w:gridCol w:w="1063"/>
        <w:gridCol w:w="1064"/>
      </w:tblGrid>
      <w:tr w:rsidR="00F51523" w:rsidRPr="00181EF3" w14:paraId="5139CD89" w14:textId="77777777" w:rsidTr="00F51523">
        <w:trPr>
          <w:cantSplit/>
        </w:trPr>
        <w:tc>
          <w:tcPr>
            <w:tcW w:w="1843" w:type="dxa"/>
            <w:vMerge w:val="restart"/>
            <w:tcBorders>
              <w:right w:val="single" w:sz="4" w:space="0" w:color="A6A6A6" w:themeColor="background1" w:themeShade="A6"/>
            </w:tcBorders>
            <w:shd w:val="clear" w:color="auto" w:fill="D9D9D9" w:themeFill="background1" w:themeFillShade="D9"/>
          </w:tcPr>
          <w:p w14:paraId="2E288A9C" w14:textId="77777777" w:rsidR="00F51523" w:rsidRPr="00181EF3" w:rsidRDefault="00F51523" w:rsidP="00F51523">
            <w:pPr>
              <w:pStyle w:val="TableText"/>
              <w:rPr>
                <w:b/>
              </w:rPr>
            </w:pPr>
            <w:r w:rsidRPr="00181EF3">
              <w:rPr>
                <w:b/>
              </w:rPr>
              <w:t>DHB</w:t>
            </w:r>
          </w:p>
        </w:tc>
        <w:tc>
          <w:tcPr>
            <w:tcW w:w="2126" w:type="dxa"/>
            <w:gridSpan w:val="2"/>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645A5AB6" w14:textId="77777777" w:rsidR="00F51523" w:rsidRPr="00181EF3" w:rsidRDefault="00F51523" w:rsidP="00F51523">
            <w:pPr>
              <w:pStyle w:val="TableText"/>
              <w:jc w:val="center"/>
              <w:rPr>
                <w:b/>
              </w:rPr>
            </w:pPr>
            <w:r w:rsidRPr="00181EF3">
              <w:rPr>
                <w:b/>
              </w:rPr>
              <w:t>0–14 years</w:t>
            </w:r>
          </w:p>
        </w:tc>
        <w:tc>
          <w:tcPr>
            <w:tcW w:w="2126" w:type="dxa"/>
            <w:gridSpan w:val="2"/>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7956E25D" w14:textId="77777777" w:rsidR="00F51523" w:rsidRPr="00181EF3" w:rsidRDefault="00F51523" w:rsidP="00F51523">
            <w:pPr>
              <w:pStyle w:val="TableText"/>
              <w:jc w:val="center"/>
              <w:rPr>
                <w:b/>
              </w:rPr>
            </w:pPr>
            <w:r w:rsidRPr="00181EF3">
              <w:rPr>
                <w:b/>
              </w:rPr>
              <w:t>15–24 years</w:t>
            </w:r>
          </w:p>
        </w:tc>
        <w:tc>
          <w:tcPr>
            <w:tcW w:w="2127" w:type="dxa"/>
            <w:gridSpan w:val="2"/>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1536F95B" w14:textId="77777777" w:rsidR="00F51523" w:rsidRPr="00181EF3" w:rsidRDefault="00F51523" w:rsidP="00F51523">
            <w:pPr>
              <w:pStyle w:val="TableText"/>
              <w:jc w:val="center"/>
              <w:rPr>
                <w:b/>
              </w:rPr>
            </w:pPr>
            <w:r w:rsidRPr="00181EF3">
              <w:rPr>
                <w:b/>
              </w:rPr>
              <w:t>25–44 years</w:t>
            </w:r>
          </w:p>
        </w:tc>
        <w:tc>
          <w:tcPr>
            <w:tcW w:w="2126" w:type="dxa"/>
            <w:gridSpan w:val="2"/>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7908DD5D" w14:textId="77777777" w:rsidR="00F51523" w:rsidRPr="00181EF3" w:rsidRDefault="00F51523" w:rsidP="00F51523">
            <w:pPr>
              <w:pStyle w:val="TableText"/>
              <w:jc w:val="center"/>
              <w:rPr>
                <w:b/>
              </w:rPr>
            </w:pPr>
            <w:r w:rsidRPr="00181EF3">
              <w:rPr>
                <w:b/>
              </w:rPr>
              <w:t>45–64 years</w:t>
            </w:r>
          </w:p>
        </w:tc>
        <w:tc>
          <w:tcPr>
            <w:tcW w:w="2126" w:type="dxa"/>
            <w:gridSpan w:val="2"/>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642139A9" w14:textId="77777777" w:rsidR="00F51523" w:rsidRPr="00181EF3" w:rsidRDefault="00F51523" w:rsidP="00F51523">
            <w:pPr>
              <w:pStyle w:val="TableText"/>
              <w:jc w:val="center"/>
              <w:rPr>
                <w:b/>
              </w:rPr>
            </w:pPr>
            <w:r w:rsidRPr="00181EF3">
              <w:rPr>
                <w:b/>
              </w:rPr>
              <w:t>65+ years</w:t>
            </w:r>
          </w:p>
        </w:tc>
        <w:tc>
          <w:tcPr>
            <w:tcW w:w="2127" w:type="dxa"/>
            <w:gridSpan w:val="2"/>
            <w:tcBorders>
              <w:left w:val="single" w:sz="4" w:space="0" w:color="A6A6A6" w:themeColor="background1" w:themeShade="A6"/>
            </w:tcBorders>
            <w:shd w:val="clear" w:color="auto" w:fill="D9D9D9" w:themeFill="background1" w:themeFillShade="D9"/>
          </w:tcPr>
          <w:p w14:paraId="69ADF26A" w14:textId="77777777" w:rsidR="00F51523" w:rsidRPr="00181EF3" w:rsidRDefault="00F51523" w:rsidP="00F51523">
            <w:pPr>
              <w:pStyle w:val="TableText"/>
              <w:jc w:val="center"/>
              <w:rPr>
                <w:b/>
              </w:rPr>
            </w:pPr>
            <w:r w:rsidRPr="00181EF3">
              <w:rPr>
                <w:b/>
              </w:rPr>
              <w:t>Total</w:t>
            </w:r>
          </w:p>
        </w:tc>
      </w:tr>
      <w:tr w:rsidR="00F51523" w:rsidRPr="00181EF3" w14:paraId="698723C7" w14:textId="77777777" w:rsidTr="00F51523">
        <w:trPr>
          <w:cantSplit/>
        </w:trPr>
        <w:tc>
          <w:tcPr>
            <w:tcW w:w="1843" w:type="dxa"/>
            <w:vMerge/>
            <w:tcBorders>
              <w:right w:val="single" w:sz="4" w:space="0" w:color="A6A6A6" w:themeColor="background1" w:themeShade="A6"/>
            </w:tcBorders>
            <w:shd w:val="clear" w:color="auto" w:fill="D9D9D9" w:themeFill="background1" w:themeFillShade="D9"/>
          </w:tcPr>
          <w:p w14:paraId="318ED25E" w14:textId="77777777" w:rsidR="00F51523" w:rsidRPr="00181EF3" w:rsidRDefault="00F51523" w:rsidP="00F51523">
            <w:pPr>
              <w:pStyle w:val="TableText"/>
              <w:rPr>
                <w:b/>
              </w:rPr>
            </w:pPr>
          </w:p>
        </w:tc>
        <w:tc>
          <w:tcPr>
            <w:tcW w:w="1063" w:type="dxa"/>
            <w:tcBorders>
              <w:left w:val="single" w:sz="4" w:space="0" w:color="A6A6A6" w:themeColor="background1" w:themeShade="A6"/>
            </w:tcBorders>
            <w:shd w:val="clear" w:color="auto" w:fill="D9D9D9" w:themeFill="background1" w:themeFillShade="D9"/>
          </w:tcPr>
          <w:p w14:paraId="4F293292" w14:textId="77777777" w:rsidR="00F51523" w:rsidRPr="00181EF3" w:rsidRDefault="00F51523" w:rsidP="00F51523">
            <w:pPr>
              <w:pStyle w:val="TableText"/>
              <w:spacing w:before="0"/>
              <w:jc w:val="center"/>
              <w:rPr>
                <w:b/>
              </w:rPr>
            </w:pPr>
            <w:r w:rsidRPr="00181EF3">
              <w:rPr>
                <w:b/>
              </w:rPr>
              <w:t>Māori</w:t>
            </w:r>
          </w:p>
        </w:tc>
        <w:tc>
          <w:tcPr>
            <w:tcW w:w="1063" w:type="dxa"/>
            <w:tcBorders>
              <w:right w:val="single" w:sz="4" w:space="0" w:color="A6A6A6" w:themeColor="background1" w:themeShade="A6"/>
            </w:tcBorders>
            <w:shd w:val="clear" w:color="auto" w:fill="D9D9D9" w:themeFill="background1" w:themeFillShade="D9"/>
          </w:tcPr>
          <w:p w14:paraId="7A85DD62" w14:textId="28C7D0CB" w:rsidR="00F51523" w:rsidRPr="00181EF3" w:rsidRDefault="00EC03A3" w:rsidP="00F51523">
            <w:pPr>
              <w:pStyle w:val="TableText"/>
              <w:spacing w:before="0"/>
              <w:jc w:val="center"/>
              <w:rPr>
                <w:b/>
              </w:rPr>
            </w:pPr>
            <w:r>
              <w:rPr>
                <w:b/>
              </w:rPr>
              <w:t>Non</w:t>
            </w:r>
            <w:r>
              <w:rPr>
                <w:b/>
              </w:rPr>
              <w:noBreakHyphen/>
              <w:t>M</w:t>
            </w:r>
            <w:r w:rsidR="00F51523" w:rsidRPr="00181EF3">
              <w:rPr>
                <w:b/>
              </w:rPr>
              <w:t>āori</w:t>
            </w:r>
          </w:p>
        </w:tc>
        <w:tc>
          <w:tcPr>
            <w:tcW w:w="1063" w:type="dxa"/>
            <w:tcBorders>
              <w:left w:val="single" w:sz="4" w:space="0" w:color="A6A6A6" w:themeColor="background1" w:themeShade="A6"/>
            </w:tcBorders>
            <w:shd w:val="clear" w:color="auto" w:fill="D9D9D9" w:themeFill="background1" w:themeFillShade="D9"/>
          </w:tcPr>
          <w:p w14:paraId="7C8AEA57" w14:textId="77777777" w:rsidR="00F51523" w:rsidRPr="00181EF3" w:rsidRDefault="00F51523" w:rsidP="00F51523">
            <w:pPr>
              <w:pStyle w:val="TableText"/>
              <w:spacing w:before="0"/>
              <w:jc w:val="center"/>
              <w:rPr>
                <w:b/>
              </w:rPr>
            </w:pPr>
            <w:r w:rsidRPr="00181EF3">
              <w:rPr>
                <w:b/>
              </w:rPr>
              <w:t>Māori</w:t>
            </w:r>
          </w:p>
        </w:tc>
        <w:tc>
          <w:tcPr>
            <w:tcW w:w="1063" w:type="dxa"/>
            <w:tcBorders>
              <w:right w:val="single" w:sz="4" w:space="0" w:color="A6A6A6" w:themeColor="background1" w:themeShade="A6"/>
            </w:tcBorders>
            <w:shd w:val="clear" w:color="auto" w:fill="D9D9D9" w:themeFill="background1" w:themeFillShade="D9"/>
          </w:tcPr>
          <w:p w14:paraId="784D019D" w14:textId="1DE8000C" w:rsidR="00F51523" w:rsidRPr="00181EF3" w:rsidRDefault="00EC03A3" w:rsidP="00F51523">
            <w:pPr>
              <w:pStyle w:val="TableText"/>
              <w:spacing w:before="0"/>
              <w:jc w:val="center"/>
              <w:rPr>
                <w:b/>
              </w:rPr>
            </w:pPr>
            <w:r>
              <w:rPr>
                <w:b/>
              </w:rPr>
              <w:t>Non</w:t>
            </w:r>
            <w:r>
              <w:rPr>
                <w:b/>
              </w:rPr>
              <w:noBreakHyphen/>
              <w:t>M</w:t>
            </w:r>
            <w:r w:rsidR="00F51523" w:rsidRPr="00181EF3">
              <w:rPr>
                <w:b/>
              </w:rPr>
              <w:t>āori</w:t>
            </w:r>
          </w:p>
        </w:tc>
        <w:tc>
          <w:tcPr>
            <w:tcW w:w="1063" w:type="dxa"/>
            <w:tcBorders>
              <w:left w:val="single" w:sz="4" w:space="0" w:color="A6A6A6" w:themeColor="background1" w:themeShade="A6"/>
            </w:tcBorders>
            <w:shd w:val="clear" w:color="auto" w:fill="D9D9D9" w:themeFill="background1" w:themeFillShade="D9"/>
          </w:tcPr>
          <w:p w14:paraId="3D43E789" w14:textId="77777777" w:rsidR="00F51523" w:rsidRPr="00181EF3" w:rsidRDefault="00F51523" w:rsidP="00F51523">
            <w:pPr>
              <w:pStyle w:val="TableText"/>
              <w:spacing w:before="0"/>
              <w:jc w:val="center"/>
              <w:rPr>
                <w:b/>
              </w:rPr>
            </w:pPr>
            <w:r w:rsidRPr="00181EF3">
              <w:rPr>
                <w:b/>
              </w:rPr>
              <w:t>Māori</w:t>
            </w:r>
          </w:p>
        </w:tc>
        <w:tc>
          <w:tcPr>
            <w:tcW w:w="1064" w:type="dxa"/>
            <w:tcBorders>
              <w:right w:val="single" w:sz="4" w:space="0" w:color="A6A6A6" w:themeColor="background1" w:themeShade="A6"/>
            </w:tcBorders>
            <w:shd w:val="clear" w:color="auto" w:fill="D9D9D9" w:themeFill="background1" w:themeFillShade="D9"/>
          </w:tcPr>
          <w:p w14:paraId="71164437" w14:textId="5D4FD9ED" w:rsidR="00F51523" w:rsidRPr="00181EF3" w:rsidRDefault="00EC03A3" w:rsidP="00F51523">
            <w:pPr>
              <w:pStyle w:val="TableText"/>
              <w:spacing w:before="0"/>
              <w:jc w:val="center"/>
              <w:rPr>
                <w:b/>
              </w:rPr>
            </w:pPr>
            <w:r>
              <w:rPr>
                <w:b/>
              </w:rPr>
              <w:t>Non</w:t>
            </w:r>
            <w:r>
              <w:rPr>
                <w:b/>
              </w:rPr>
              <w:noBreakHyphen/>
              <w:t>M</w:t>
            </w:r>
            <w:r w:rsidR="00F51523" w:rsidRPr="00181EF3">
              <w:rPr>
                <w:b/>
              </w:rPr>
              <w:t>āori</w:t>
            </w:r>
          </w:p>
        </w:tc>
        <w:tc>
          <w:tcPr>
            <w:tcW w:w="1063" w:type="dxa"/>
            <w:tcBorders>
              <w:left w:val="single" w:sz="4" w:space="0" w:color="A6A6A6" w:themeColor="background1" w:themeShade="A6"/>
            </w:tcBorders>
            <w:shd w:val="clear" w:color="auto" w:fill="D9D9D9" w:themeFill="background1" w:themeFillShade="D9"/>
          </w:tcPr>
          <w:p w14:paraId="7E43DCD3" w14:textId="77777777" w:rsidR="00F51523" w:rsidRPr="00181EF3" w:rsidRDefault="00F51523" w:rsidP="00F51523">
            <w:pPr>
              <w:pStyle w:val="TableText"/>
              <w:spacing w:before="0"/>
              <w:jc w:val="center"/>
              <w:rPr>
                <w:b/>
              </w:rPr>
            </w:pPr>
            <w:r w:rsidRPr="00181EF3">
              <w:rPr>
                <w:b/>
              </w:rPr>
              <w:t>Māori</w:t>
            </w:r>
          </w:p>
        </w:tc>
        <w:tc>
          <w:tcPr>
            <w:tcW w:w="1063" w:type="dxa"/>
            <w:tcBorders>
              <w:right w:val="single" w:sz="4" w:space="0" w:color="A6A6A6" w:themeColor="background1" w:themeShade="A6"/>
            </w:tcBorders>
            <w:shd w:val="clear" w:color="auto" w:fill="D9D9D9" w:themeFill="background1" w:themeFillShade="D9"/>
          </w:tcPr>
          <w:p w14:paraId="0C7B8BC2" w14:textId="47AAB088" w:rsidR="00F51523" w:rsidRPr="00181EF3" w:rsidRDefault="00EC03A3" w:rsidP="00F51523">
            <w:pPr>
              <w:pStyle w:val="TableText"/>
              <w:spacing w:before="0"/>
              <w:jc w:val="center"/>
              <w:rPr>
                <w:b/>
              </w:rPr>
            </w:pPr>
            <w:r>
              <w:rPr>
                <w:b/>
              </w:rPr>
              <w:t>Non</w:t>
            </w:r>
            <w:r>
              <w:rPr>
                <w:b/>
              </w:rPr>
              <w:noBreakHyphen/>
              <w:t>M</w:t>
            </w:r>
            <w:r w:rsidR="00F51523" w:rsidRPr="00181EF3">
              <w:rPr>
                <w:b/>
              </w:rPr>
              <w:t>āori</w:t>
            </w:r>
          </w:p>
        </w:tc>
        <w:tc>
          <w:tcPr>
            <w:tcW w:w="1063" w:type="dxa"/>
            <w:tcBorders>
              <w:left w:val="single" w:sz="4" w:space="0" w:color="A6A6A6" w:themeColor="background1" w:themeShade="A6"/>
            </w:tcBorders>
            <w:shd w:val="clear" w:color="auto" w:fill="D9D9D9" w:themeFill="background1" w:themeFillShade="D9"/>
          </w:tcPr>
          <w:p w14:paraId="7AAD43C0" w14:textId="77777777" w:rsidR="00F51523" w:rsidRPr="00181EF3" w:rsidRDefault="00F51523" w:rsidP="00F51523">
            <w:pPr>
              <w:pStyle w:val="TableText"/>
              <w:spacing w:before="0"/>
              <w:jc w:val="center"/>
              <w:rPr>
                <w:b/>
              </w:rPr>
            </w:pPr>
            <w:r w:rsidRPr="00181EF3">
              <w:rPr>
                <w:b/>
              </w:rPr>
              <w:t>Māori</w:t>
            </w:r>
          </w:p>
        </w:tc>
        <w:tc>
          <w:tcPr>
            <w:tcW w:w="1063" w:type="dxa"/>
            <w:tcBorders>
              <w:right w:val="single" w:sz="4" w:space="0" w:color="A6A6A6" w:themeColor="background1" w:themeShade="A6"/>
            </w:tcBorders>
            <w:shd w:val="clear" w:color="auto" w:fill="D9D9D9" w:themeFill="background1" w:themeFillShade="D9"/>
          </w:tcPr>
          <w:p w14:paraId="640D1861" w14:textId="7E2F5DEF" w:rsidR="00F51523" w:rsidRPr="00181EF3" w:rsidRDefault="00EC03A3" w:rsidP="00F51523">
            <w:pPr>
              <w:pStyle w:val="TableText"/>
              <w:spacing w:before="0"/>
              <w:jc w:val="center"/>
              <w:rPr>
                <w:b/>
              </w:rPr>
            </w:pPr>
            <w:r>
              <w:rPr>
                <w:b/>
              </w:rPr>
              <w:t>Non</w:t>
            </w:r>
            <w:r>
              <w:rPr>
                <w:b/>
              </w:rPr>
              <w:noBreakHyphen/>
              <w:t>M</w:t>
            </w:r>
            <w:r w:rsidR="00F51523" w:rsidRPr="00181EF3">
              <w:rPr>
                <w:b/>
              </w:rPr>
              <w:t>āori</w:t>
            </w:r>
          </w:p>
        </w:tc>
        <w:tc>
          <w:tcPr>
            <w:tcW w:w="1063" w:type="dxa"/>
            <w:tcBorders>
              <w:left w:val="single" w:sz="4" w:space="0" w:color="A6A6A6" w:themeColor="background1" w:themeShade="A6"/>
            </w:tcBorders>
            <w:shd w:val="clear" w:color="auto" w:fill="D9D9D9" w:themeFill="background1" w:themeFillShade="D9"/>
          </w:tcPr>
          <w:p w14:paraId="656D3659" w14:textId="77777777" w:rsidR="00F51523" w:rsidRPr="00181EF3" w:rsidRDefault="00F51523" w:rsidP="00F51523">
            <w:pPr>
              <w:pStyle w:val="TableText"/>
              <w:spacing w:before="0"/>
              <w:jc w:val="center"/>
              <w:rPr>
                <w:b/>
              </w:rPr>
            </w:pPr>
            <w:r w:rsidRPr="00181EF3">
              <w:rPr>
                <w:b/>
              </w:rPr>
              <w:t>Māori</w:t>
            </w:r>
          </w:p>
        </w:tc>
        <w:tc>
          <w:tcPr>
            <w:tcW w:w="1064" w:type="dxa"/>
            <w:shd w:val="clear" w:color="auto" w:fill="D9D9D9" w:themeFill="background1" w:themeFillShade="D9"/>
          </w:tcPr>
          <w:p w14:paraId="29CAF0DD" w14:textId="288C1196" w:rsidR="00F51523" w:rsidRPr="00181EF3" w:rsidRDefault="00EC03A3" w:rsidP="00F51523">
            <w:pPr>
              <w:pStyle w:val="TableText"/>
              <w:spacing w:before="0"/>
              <w:jc w:val="center"/>
              <w:rPr>
                <w:b/>
              </w:rPr>
            </w:pPr>
            <w:r>
              <w:rPr>
                <w:b/>
              </w:rPr>
              <w:t>Non</w:t>
            </w:r>
            <w:r>
              <w:rPr>
                <w:b/>
              </w:rPr>
              <w:noBreakHyphen/>
              <w:t>M</w:t>
            </w:r>
            <w:r w:rsidR="00F51523" w:rsidRPr="00181EF3">
              <w:rPr>
                <w:b/>
              </w:rPr>
              <w:t>āori</w:t>
            </w:r>
          </w:p>
        </w:tc>
      </w:tr>
      <w:tr w:rsidR="00F51523" w:rsidRPr="00181EF3" w14:paraId="6AAA65A2" w14:textId="77777777" w:rsidTr="00F51523">
        <w:trPr>
          <w:cantSplit/>
        </w:trPr>
        <w:tc>
          <w:tcPr>
            <w:tcW w:w="1843" w:type="dxa"/>
            <w:tcBorders>
              <w:bottom w:val="single" w:sz="4" w:space="0" w:color="A6A6A6" w:themeColor="background1" w:themeShade="A6"/>
              <w:right w:val="single" w:sz="4" w:space="0" w:color="A6A6A6" w:themeColor="background1" w:themeShade="A6"/>
            </w:tcBorders>
          </w:tcPr>
          <w:p w14:paraId="00746CCD" w14:textId="77777777" w:rsidR="00F51523" w:rsidRPr="00181EF3" w:rsidRDefault="00F51523" w:rsidP="00F51523">
            <w:pPr>
              <w:pStyle w:val="TableText"/>
            </w:pPr>
            <w:r w:rsidRPr="00181EF3">
              <w:t>Northland</w:t>
            </w:r>
          </w:p>
        </w:tc>
        <w:tc>
          <w:tcPr>
            <w:tcW w:w="1063" w:type="dxa"/>
            <w:tcBorders>
              <w:left w:val="single" w:sz="4" w:space="0" w:color="A6A6A6" w:themeColor="background1" w:themeShade="A6"/>
              <w:bottom w:val="single" w:sz="4" w:space="0" w:color="A6A6A6" w:themeColor="background1" w:themeShade="A6"/>
            </w:tcBorders>
          </w:tcPr>
          <w:p w14:paraId="0D7EB058" w14:textId="77777777" w:rsidR="00F51523" w:rsidRPr="00181EF3" w:rsidRDefault="00F51523" w:rsidP="00F51523">
            <w:pPr>
              <w:pStyle w:val="TableText"/>
              <w:tabs>
                <w:tab w:val="decimal" w:pos="765"/>
              </w:tabs>
              <w:rPr>
                <w:szCs w:val="18"/>
              </w:rPr>
            </w:pPr>
            <w:r w:rsidRPr="00181EF3">
              <w:rPr>
                <w:szCs w:val="18"/>
              </w:rPr>
              <w:t>15,579</w:t>
            </w:r>
          </w:p>
        </w:tc>
        <w:tc>
          <w:tcPr>
            <w:tcW w:w="1063" w:type="dxa"/>
            <w:tcBorders>
              <w:bottom w:val="single" w:sz="4" w:space="0" w:color="A6A6A6" w:themeColor="background1" w:themeShade="A6"/>
              <w:right w:val="single" w:sz="4" w:space="0" w:color="A6A6A6" w:themeColor="background1" w:themeShade="A6"/>
            </w:tcBorders>
          </w:tcPr>
          <w:p w14:paraId="503FD877" w14:textId="77777777" w:rsidR="00F51523" w:rsidRPr="00181EF3" w:rsidRDefault="00F51523" w:rsidP="00F51523">
            <w:pPr>
              <w:pStyle w:val="TableText"/>
              <w:tabs>
                <w:tab w:val="decimal" w:pos="765"/>
              </w:tabs>
              <w:rPr>
                <w:szCs w:val="18"/>
              </w:rPr>
            </w:pPr>
            <w:r w:rsidRPr="00181EF3">
              <w:rPr>
                <w:szCs w:val="18"/>
              </w:rPr>
              <w:t>19,197</w:t>
            </w:r>
          </w:p>
        </w:tc>
        <w:tc>
          <w:tcPr>
            <w:tcW w:w="1063" w:type="dxa"/>
            <w:tcBorders>
              <w:left w:val="single" w:sz="4" w:space="0" w:color="A6A6A6" w:themeColor="background1" w:themeShade="A6"/>
              <w:bottom w:val="single" w:sz="4" w:space="0" w:color="A6A6A6" w:themeColor="background1" w:themeShade="A6"/>
            </w:tcBorders>
          </w:tcPr>
          <w:p w14:paraId="3C6030EC" w14:textId="77777777" w:rsidR="00F51523" w:rsidRPr="00181EF3" w:rsidRDefault="00F51523" w:rsidP="00F51523">
            <w:pPr>
              <w:pStyle w:val="TableText"/>
              <w:tabs>
                <w:tab w:val="decimal" w:pos="765"/>
              </w:tabs>
              <w:rPr>
                <w:szCs w:val="18"/>
              </w:rPr>
            </w:pPr>
            <w:r w:rsidRPr="00181EF3">
              <w:rPr>
                <w:szCs w:val="18"/>
              </w:rPr>
              <w:t>6,873</w:t>
            </w:r>
          </w:p>
        </w:tc>
        <w:tc>
          <w:tcPr>
            <w:tcW w:w="1063" w:type="dxa"/>
            <w:tcBorders>
              <w:bottom w:val="single" w:sz="4" w:space="0" w:color="A6A6A6" w:themeColor="background1" w:themeShade="A6"/>
              <w:right w:val="single" w:sz="4" w:space="0" w:color="A6A6A6" w:themeColor="background1" w:themeShade="A6"/>
            </w:tcBorders>
          </w:tcPr>
          <w:p w14:paraId="5141AE3E" w14:textId="77777777" w:rsidR="00F51523" w:rsidRPr="00181EF3" w:rsidRDefault="00F51523" w:rsidP="00F51523">
            <w:pPr>
              <w:pStyle w:val="TableText"/>
              <w:tabs>
                <w:tab w:val="decimal" w:pos="765"/>
              </w:tabs>
              <w:rPr>
                <w:szCs w:val="18"/>
              </w:rPr>
            </w:pPr>
            <w:r w:rsidRPr="00181EF3">
              <w:rPr>
                <w:szCs w:val="18"/>
              </w:rPr>
              <w:t>10,287</w:t>
            </w:r>
          </w:p>
        </w:tc>
        <w:tc>
          <w:tcPr>
            <w:tcW w:w="1063" w:type="dxa"/>
            <w:tcBorders>
              <w:left w:val="single" w:sz="4" w:space="0" w:color="A6A6A6" w:themeColor="background1" w:themeShade="A6"/>
              <w:bottom w:val="single" w:sz="4" w:space="0" w:color="A6A6A6" w:themeColor="background1" w:themeShade="A6"/>
            </w:tcBorders>
          </w:tcPr>
          <w:p w14:paraId="5FC65890" w14:textId="77777777" w:rsidR="00F51523" w:rsidRPr="00181EF3" w:rsidRDefault="00F51523" w:rsidP="00F51523">
            <w:pPr>
              <w:pStyle w:val="TableText"/>
              <w:tabs>
                <w:tab w:val="decimal" w:pos="765"/>
              </w:tabs>
              <w:rPr>
                <w:szCs w:val="18"/>
              </w:rPr>
            </w:pPr>
            <w:r w:rsidRPr="00181EF3">
              <w:rPr>
                <w:szCs w:val="18"/>
              </w:rPr>
              <w:t>10,827</w:t>
            </w:r>
          </w:p>
        </w:tc>
        <w:tc>
          <w:tcPr>
            <w:tcW w:w="1064" w:type="dxa"/>
            <w:tcBorders>
              <w:bottom w:val="single" w:sz="4" w:space="0" w:color="A6A6A6" w:themeColor="background1" w:themeShade="A6"/>
              <w:right w:val="single" w:sz="4" w:space="0" w:color="A6A6A6" w:themeColor="background1" w:themeShade="A6"/>
            </w:tcBorders>
          </w:tcPr>
          <w:p w14:paraId="5740768F" w14:textId="77777777" w:rsidR="00F51523" w:rsidRPr="00181EF3" w:rsidRDefault="00F51523" w:rsidP="00F51523">
            <w:pPr>
              <w:pStyle w:val="TableText"/>
              <w:tabs>
                <w:tab w:val="decimal" w:pos="765"/>
              </w:tabs>
              <w:rPr>
                <w:szCs w:val="18"/>
              </w:rPr>
            </w:pPr>
            <w:r w:rsidRPr="00181EF3">
              <w:rPr>
                <w:szCs w:val="18"/>
              </w:rPr>
              <w:t>24,864</w:t>
            </w:r>
          </w:p>
        </w:tc>
        <w:tc>
          <w:tcPr>
            <w:tcW w:w="1063" w:type="dxa"/>
            <w:tcBorders>
              <w:left w:val="single" w:sz="4" w:space="0" w:color="A6A6A6" w:themeColor="background1" w:themeShade="A6"/>
              <w:bottom w:val="single" w:sz="4" w:space="0" w:color="A6A6A6" w:themeColor="background1" w:themeShade="A6"/>
            </w:tcBorders>
          </w:tcPr>
          <w:p w14:paraId="5F113B84" w14:textId="77777777" w:rsidR="00F51523" w:rsidRPr="00181EF3" w:rsidRDefault="00F51523" w:rsidP="00F51523">
            <w:pPr>
              <w:pStyle w:val="TableText"/>
              <w:tabs>
                <w:tab w:val="decimal" w:pos="765"/>
              </w:tabs>
              <w:rPr>
                <w:szCs w:val="18"/>
              </w:rPr>
            </w:pPr>
            <w:r w:rsidRPr="00181EF3">
              <w:rPr>
                <w:szCs w:val="18"/>
              </w:rPr>
              <w:t>7,575</w:t>
            </w:r>
          </w:p>
        </w:tc>
        <w:tc>
          <w:tcPr>
            <w:tcW w:w="1063" w:type="dxa"/>
            <w:tcBorders>
              <w:bottom w:val="single" w:sz="4" w:space="0" w:color="A6A6A6" w:themeColor="background1" w:themeShade="A6"/>
              <w:right w:val="single" w:sz="4" w:space="0" w:color="A6A6A6" w:themeColor="background1" w:themeShade="A6"/>
            </w:tcBorders>
          </w:tcPr>
          <w:p w14:paraId="3325228D" w14:textId="77777777" w:rsidR="00F51523" w:rsidRPr="00181EF3" w:rsidRDefault="00F51523" w:rsidP="00F51523">
            <w:pPr>
              <w:pStyle w:val="TableText"/>
              <w:tabs>
                <w:tab w:val="decimal" w:pos="765"/>
              </w:tabs>
              <w:rPr>
                <w:szCs w:val="18"/>
              </w:rPr>
            </w:pPr>
            <w:r w:rsidRPr="00181EF3">
              <w:rPr>
                <w:szCs w:val="18"/>
              </w:rPr>
              <w:t>31,785</w:t>
            </w:r>
          </w:p>
        </w:tc>
        <w:tc>
          <w:tcPr>
            <w:tcW w:w="1063" w:type="dxa"/>
            <w:tcBorders>
              <w:left w:val="single" w:sz="4" w:space="0" w:color="A6A6A6" w:themeColor="background1" w:themeShade="A6"/>
              <w:bottom w:val="single" w:sz="4" w:space="0" w:color="A6A6A6" w:themeColor="background1" w:themeShade="A6"/>
            </w:tcBorders>
          </w:tcPr>
          <w:p w14:paraId="32AB4EC5" w14:textId="77777777" w:rsidR="00F51523" w:rsidRPr="00181EF3" w:rsidRDefault="00F51523" w:rsidP="00F51523">
            <w:pPr>
              <w:pStyle w:val="TableText"/>
              <w:tabs>
                <w:tab w:val="decimal" w:pos="765"/>
              </w:tabs>
              <w:rPr>
                <w:szCs w:val="18"/>
              </w:rPr>
            </w:pPr>
            <w:r w:rsidRPr="00181EF3">
              <w:rPr>
                <w:szCs w:val="18"/>
              </w:rPr>
              <w:t>2,670</w:t>
            </w:r>
          </w:p>
        </w:tc>
        <w:tc>
          <w:tcPr>
            <w:tcW w:w="1063" w:type="dxa"/>
            <w:tcBorders>
              <w:bottom w:val="single" w:sz="4" w:space="0" w:color="A6A6A6" w:themeColor="background1" w:themeShade="A6"/>
              <w:right w:val="single" w:sz="4" w:space="0" w:color="A6A6A6" w:themeColor="background1" w:themeShade="A6"/>
            </w:tcBorders>
          </w:tcPr>
          <w:p w14:paraId="70F9A358" w14:textId="77777777" w:rsidR="00F51523" w:rsidRPr="00181EF3" w:rsidRDefault="00F51523" w:rsidP="00F51523">
            <w:pPr>
              <w:pStyle w:val="TableText"/>
              <w:tabs>
                <w:tab w:val="decimal" w:pos="765"/>
              </w:tabs>
              <w:rPr>
                <w:szCs w:val="18"/>
              </w:rPr>
            </w:pPr>
            <w:r w:rsidRPr="00181EF3">
              <w:rPr>
                <w:szCs w:val="18"/>
              </w:rPr>
              <w:t>18,789</w:t>
            </w:r>
          </w:p>
        </w:tc>
        <w:tc>
          <w:tcPr>
            <w:tcW w:w="1063" w:type="dxa"/>
            <w:tcBorders>
              <w:left w:val="single" w:sz="4" w:space="0" w:color="A6A6A6" w:themeColor="background1" w:themeShade="A6"/>
              <w:bottom w:val="single" w:sz="4" w:space="0" w:color="A6A6A6" w:themeColor="background1" w:themeShade="A6"/>
            </w:tcBorders>
          </w:tcPr>
          <w:p w14:paraId="33FC679F" w14:textId="77777777" w:rsidR="00F51523" w:rsidRPr="00181EF3" w:rsidRDefault="00F51523" w:rsidP="00F51523">
            <w:pPr>
              <w:pStyle w:val="TableText"/>
              <w:tabs>
                <w:tab w:val="decimal" w:pos="765"/>
              </w:tabs>
              <w:rPr>
                <w:szCs w:val="18"/>
              </w:rPr>
            </w:pPr>
            <w:r w:rsidRPr="00181EF3">
              <w:rPr>
                <w:szCs w:val="18"/>
              </w:rPr>
              <w:t>43,527</w:t>
            </w:r>
          </w:p>
        </w:tc>
        <w:tc>
          <w:tcPr>
            <w:tcW w:w="1064" w:type="dxa"/>
            <w:tcBorders>
              <w:bottom w:val="single" w:sz="4" w:space="0" w:color="A6A6A6" w:themeColor="background1" w:themeShade="A6"/>
            </w:tcBorders>
          </w:tcPr>
          <w:p w14:paraId="752013F4" w14:textId="77777777" w:rsidR="00F51523" w:rsidRPr="00181EF3" w:rsidRDefault="00F51523" w:rsidP="00F51523">
            <w:pPr>
              <w:pStyle w:val="TableText"/>
              <w:tabs>
                <w:tab w:val="decimal" w:pos="765"/>
              </w:tabs>
              <w:rPr>
                <w:szCs w:val="18"/>
              </w:rPr>
            </w:pPr>
            <w:r w:rsidRPr="00181EF3">
              <w:rPr>
                <w:szCs w:val="18"/>
              </w:rPr>
              <w:t>104,913</w:t>
            </w:r>
          </w:p>
        </w:tc>
      </w:tr>
      <w:tr w:rsidR="00F51523" w:rsidRPr="00181EF3" w14:paraId="0BF5BF11" w14:textId="77777777" w:rsidTr="00F51523">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609EA92" w14:textId="77777777" w:rsidR="00F51523" w:rsidRPr="00181EF3" w:rsidRDefault="00F51523" w:rsidP="00F51523">
            <w:pPr>
              <w:pStyle w:val="TableText"/>
            </w:pPr>
            <w:r w:rsidRPr="00181EF3">
              <w:t>Waitemata</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5789A09" w14:textId="77777777" w:rsidR="00F51523" w:rsidRPr="00181EF3" w:rsidRDefault="00F51523" w:rsidP="00F51523">
            <w:pPr>
              <w:pStyle w:val="TableText"/>
              <w:tabs>
                <w:tab w:val="decimal" w:pos="765"/>
              </w:tabs>
              <w:rPr>
                <w:szCs w:val="18"/>
              </w:rPr>
            </w:pPr>
            <w:r w:rsidRPr="00181EF3">
              <w:rPr>
                <w:szCs w:val="18"/>
              </w:rPr>
              <w:t>15,312</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EBA318C" w14:textId="77777777" w:rsidR="00F51523" w:rsidRPr="00181EF3" w:rsidRDefault="00F51523" w:rsidP="00F51523">
            <w:pPr>
              <w:pStyle w:val="TableText"/>
              <w:tabs>
                <w:tab w:val="decimal" w:pos="765"/>
              </w:tabs>
              <w:rPr>
                <w:szCs w:val="18"/>
              </w:rPr>
            </w:pPr>
            <w:r w:rsidRPr="00181EF3">
              <w:rPr>
                <w:szCs w:val="18"/>
              </w:rPr>
              <w:t>89,244</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80B9F61" w14:textId="77777777" w:rsidR="00F51523" w:rsidRPr="00181EF3" w:rsidRDefault="00F51523" w:rsidP="00F51523">
            <w:pPr>
              <w:pStyle w:val="TableText"/>
              <w:tabs>
                <w:tab w:val="decimal" w:pos="765"/>
              </w:tabs>
              <w:rPr>
                <w:szCs w:val="18"/>
              </w:rPr>
            </w:pPr>
            <w:r w:rsidRPr="00181EF3">
              <w:rPr>
                <w:szCs w:val="18"/>
              </w:rPr>
              <w:t>7,875</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0EE05B5" w14:textId="77777777" w:rsidR="00F51523" w:rsidRPr="00181EF3" w:rsidRDefault="00F51523" w:rsidP="00F51523">
            <w:pPr>
              <w:pStyle w:val="TableText"/>
              <w:tabs>
                <w:tab w:val="decimal" w:pos="765"/>
              </w:tabs>
              <w:rPr>
                <w:szCs w:val="18"/>
              </w:rPr>
            </w:pPr>
            <w:r w:rsidRPr="00181EF3">
              <w:rPr>
                <w:szCs w:val="18"/>
              </w:rPr>
              <w:t>59,835</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65DD6CF" w14:textId="77777777" w:rsidR="00F51523" w:rsidRPr="00181EF3" w:rsidRDefault="00F51523" w:rsidP="00F51523">
            <w:pPr>
              <w:pStyle w:val="TableText"/>
              <w:tabs>
                <w:tab w:val="decimal" w:pos="765"/>
              </w:tabs>
              <w:rPr>
                <w:szCs w:val="18"/>
              </w:rPr>
            </w:pPr>
            <w:r w:rsidRPr="00181EF3">
              <w:rPr>
                <w:szCs w:val="18"/>
              </w:rPr>
              <w:t>12,300</w:t>
            </w:r>
          </w:p>
        </w:tc>
        <w:tc>
          <w:tcPr>
            <w:tcW w:w="106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90685CF" w14:textId="77777777" w:rsidR="00F51523" w:rsidRPr="00181EF3" w:rsidRDefault="00F51523" w:rsidP="00F51523">
            <w:pPr>
              <w:pStyle w:val="TableText"/>
              <w:tabs>
                <w:tab w:val="decimal" w:pos="765"/>
              </w:tabs>
              <w:rPr>
                <w:szCs w:val="18"/>
              </w:rPr>
            </w:pPr>
            <w:r w:rsidRPr="00181EF3">
              <w:rPr>
                <w:szCs w:val="18"/>
              </w:rPr>
              <w:t>130,815</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A484266" w14:textId="77777777" w:rsidR="00F51523" w:rsidRPr="00181EF3" w:rsidRDefault="00F51523" w:rsidP="00F51523">
            <w:pPr>
              <w:pStyle w:val="TableText"/>
              <w:tabs>
                <w:tab w:val="decimal" w:pos="765"/>
              </w:tabs>
              <w:rPr>
                <w:szCs w:val="18"/>
              </w:rPr>
            </w:pPr>
            <w:r w:rsidRPr="00181EF3">
              <w:rPr>
                <w:szCs w:val="18"/>
              </w:rPr>
              <w:t>6,138</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128019F" w14:textId="77777777" w:rsidR="00F51523" w:rsidRPr="00181EF3" w:rsidRDefault="00F51523" w:rsidP="00F51523">
            <w:pPr>
              <w:pStyle w:val="TableText"/>
              <w:tabs>
                <w:tab w:val="decimal" w:pos="765"/>
              </w:tabs>
              <w:rPr>
                <w:szCs w:val="18"/>
              </w:rPr>
            </w:pPr>
            <w:r w:rsidRPr="00181EF3">
              <w:rPr>
                <w:szCs w:val="18"/>
              </w:rPr>
              <w:t>107,154</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6D2FDF0" w14:textId="77777777" w:rsidR="00F51523" w:rsidRPr="00181EF3" w:rsidRDefault="00F51523" w:rsidP="00F51523">
            <w:pPr>
              <w:pStyle w:val="TableText"/>
              <w:tabs>
                <w:tab w:val="decimal" w:pos="765"/>
              </w:tabs>
              <w:rPr>
                <w:szCs w:val="18"/>
              </w:rPr>
            </w:pPr>
            <w:r w:rsidRPr="00181EF3">
              <w:rPr>
                <w:szCs w:val="18"/>
              </w:rPr>
              <w:t>1,251</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764BD7A" w14:textId="77777777" w:rsidR="00F51523" w:rsidRPr="00181EF3" w:rsidRDefault="00F51523" w:rsidP="00F51523">
            <w:pPr>
              <w:pStyle w:val="TableText"/>
              <w:tabs>
                <w:tab w:val="decimal" w:pos="765"/>
              </w:tabs>
              <w:rPr>
                <w:szCs w:val="18"/>
              </w:rPr>
            </w:pPr>
            <w:r w:rsidRPr="00181EF3">
              <w:rPr>
                <w:szCs w:val="18"/>
              </w:rPr>
              <w:t>51,690</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EC5AA44" w14:textId="77777777" w:rsidR="00F51523" w:rsidRPr="00181EF3" w:rsidRDefault="00F51523" w:rsidP="00F51523">
            <w:pPr>
              <w:pStyle w:val="TableText"/>
              <w:tabs>
                <w:tab w:val="decimal" w:pos="765"/>
              </w:tabs>
              <w:rPr>
                <w:szCs w:val="18"/>
              </w:rPr>
            </w:pPr>
            <w:r w:rsidRPr="00181EF3">
              <w:rPr>
                <w:szCs w:val="18"/>
              </w:rPr>
              <w:t>42,876</w:t>
            </w:r>
          </w:p>
        </w:tc>
        <w:tc>
          <w:tcPr>
            <w:tcW w:w="1064" w:type="dxa"/>
            <w:tcBorders>
              <w:top w:val="single" w:sz="4" w:space="0" w:color="A6A6A6" w:themeColor="background1" w:themeShade="A6"/>
              <w:bottom w:val="single" w:sz="4" w:space="0" w:color="A6A6A6" w:themeColor="background1" w:themeShade="A6"/>
            </w:tcBorders>
          </w:tcPr>
          <w:p w14:paraId="6021CE57" w14:textId="77777777" w:rsidR="00F51523" w:rsidRPr="00181EF3" w:rsidRDefault="00F51523" w:rsidP="00F51523">
            <w:pPr>
              <w:pStyle w:val="TableText"/>
              <w:tabs>
                <w:tab w:val="decimal" w:pos="765"/>
              </w:tabs>
              <w:rPr>
                <w:szCs w:val="18"/>
              </w:rPr>
            </w:pPr>
            <w:r w:rsidRPr="00181EF3">
              <w:rPr>
                <w:szCs w:val="18"/>
              </w:rPr>
              <w:t>438,735</w:t>
            </w:r>
          </w:p>
        </w:tc>
      </w:tr>
      <w:tr w:rsidR="00F51523" w:rsidRPr="00181EF3" w14:paraId="2A634D88" w14:textId="77777777" w:rsidTr="00F51523">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DAFB262" w14:textId="77777777" w:rsidR="00F51523" w:rsidRPr="00181EF3" w:rsidRDefault="00F51523" w:rsidP="00F51523">
            <w:pPr>
              <w:pStyle w:val="TableText"/>
            </w:pPr>
            <w:r w:rsidRPr="00181EF3">
              <w:t>Auckland</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85B572F" w14:textId="77777777" w:rsidR="00F51523" w:rsidRPr="00181EF3" w:rsidRDefault="00F51523" w:rsidP="00F51523">
            <w:pPr>
              <w:pStyle w:val="TableText"/>
              <w:tabs>
                <w:tab w:val="decimal" w:pos="765"/>
              </w:tabs>
              <w:rPr>
                <w:szCs w:val="18"/>
              </w:rPr>
            </w:pPr>
            <w:r w:rsidRPr="00181EF3">
              <w:rPr>
                <w:szCs w:val="18"/>
              </w:rPr>
              <w:t>8,736</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32C6A09" w14:textId="77777777" w:rsidR="00F51523" w:rsidRPr="00181EF3" w:rsidRDefault="00F51523" w:rsidP="00F51523">
            <w:pPr>
              <w:pStyle w:val="TableText"/>
              <w:tabs>
                <w:tab w:val="decimal" w:pos="765"/>
              </w:tabs>
              <w:rPr>
                <w:szCs w:val="18"/>
              </w:rPr>
            </w:pPr>
            <w:r w:rsidRPr="00181EF3">
              <w:rPr>
                <w:szCs w:val="18"/>
              </w:rPr>
              <w:t>67,359</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9ECAB71" w14:textId="77777777" w:rsidR="00F51523" w:rsidRPr="00181EF3" w:rsidRDefault="00F51523" w:rsidP="00F51523">
            <w:pPr>
              <w:pStyle w:val="TableText"/>
              <w:tabs>
                <w:tab w:val="decimal" w:pos="765"/>
              </w:tabs>
              <w:rPr>
                <w:szCs w:val="18"/>
              </w:rPr>
            </w:pPr>
            <w:r w:rsidRPr="00181EF3">
              <w:rPr>
                <w:szCs w:val="18"/>
              </w:rPr>
              <w:t>5,736</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779F588" w14:textId="77777777" w:rsidR="00F51523" w:rsidRPr="00181EF3" w:rsidRDefault="00F51523" w:rsidP="00F51523">
            <w:pPr>
              <w:pStyle w:val="TableText"/>
              <w:tabs>
                <w:tab w:val="decimal" w:pos="765"/>
              </w:tabs>
              <w:rPr>
                <w:szCs w:val="18"/>
              </w:rPr>
            </w:pPr>
            <w:r w:rsidRPr="00181EF3">
              <w:rPr>
                <w:szCs w:val="18"/>
              </w:rPr>
              <w:t>61,515</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CCD0FF7" w14:textId="77777777" w:rsidR="00F51523" w:rsidRPr="00181EF3" w:rsidRDefault="00F51523" w:rsidP="00F51523">
            <w:pPr>
              <w:pStyle w:val="TableText"/>
              <w:tabs>
                <w:tab w:val="decimal" w:pos="765"/>
              </w:tabs>
              <w:rPr>
                <w:szCs w:val="18"/>
              </w:rPr>
            </w:pPr>
            <w:r w:rsidRPr="00181EF3">
              <w:rPr>
                <w:szCs w:val="18"/>
              </w:rPr>
              <w:t>9,423</w:t>
            </w:r>
          </w:p>
        </w:tc>
        <w:tc>
          <w:tcPr>
            <w:tcW w:w="106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1EA3AFE" w14:textId="77777777" w:rsidR="00F51523" w:rsidRPr="00181EF3" w:rsidRDefault="00F51523" w:rsidP="00F51523">
            <w:pPr>
              <w:pStyle w:val="TableText"/>
              <w:tabs>
                <w:tab w:val="decimal" w:pos="765"/>
              </w:tabs>
              <w:rPr>
                <w:szCs w:val="18"/>
              </w:rPr>
            </w:pPr>
            <w:r w:rsidRPr="00181EF3">
              <w:rPr>
                <w:szCs w:val="18"/>
              </w:rPr>
              <w:t>126,759</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1E5E7F5" w14:textId="77777777" w:rsidR="00F51523" w:rsidRPr="00181EF3" w:rsidRDefault="00F51523" w:rsidP="00F51523">
            <w:pPr>
              <w:pStyle w:val="TableText"/>
              <w:tabs>
                <w:tab w:val="decimal" w:pos="765"/>
              </w:tabs>
              <w:rPr>
                <w:szCs w:val="18"/>
              </w:rPr>
            </w:pPr>
            <w:r w:rsidRPr="00181EF3">
              <w:rPr>
                <w:szCs w:val="18"/>
              </w:rPr>
              <w:t>4,785</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C0078FF" w14:textId="77777777" w:rsidR="00F51523" w:rsidRPr="00181EF3" w:rsidRDefault="00F51523" w:rsidP="00F51523">
            <w:pPr>
              <w:pStyle w:val="TableText"/>
              <w:tabs>
                <w:tab w:val="decimal" w:pos="765"/>
              </w:tabs>
              <w:rPr>
                <w:szCs w:val="18"/>
              </w:rPr>
            </w:pPr>
            <w:r w:rsidRPr="00181EF3">
              <w:rPr>
                <w:szCs w:val="18"/>
              </w:rPr>
              <w:t>81,537</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92EA40F" w14:textId="77777777" w:rsidR="00F51523" w:rsidRPr="00181EF3" w:rsidRDefault="00F51523" w:rsidP="00F51523">
            <w:pPr>
              <w:pStyle w:val="TableText"/>
              <w:tabs>
                <w:tab w:val="decimal" w:pos="765"/>
              </w:tabs>
              <w:rPr>
                <w:szCs w:val="18"/>
              </w:rPr>
            </w:pPr>
            <w:r w:rsidRPr="00181EF3">
              <w:rPr>
                <w:szCs w:val="18"/>
              </w:rPr>
              <w:t>1,167</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D5889A0" w14:textId="77777777" w:rsidR="00F51523" w:rsidRPr="00181EF3" w:rsidRDefault="00F51523" w:rsidP="00F51523">
            <w:pPr>
              <w:pStyle w:val="TableText"/>
              <w:tabs>
                <w:tab w:val="decimal" w:pos="765"/>
              </w:tabs>
              <w:rPr>
                <w:szCs w:val="18"/>
              </w:rPr>
            </w:pPr>
            <w:r w:rsidRPr="00181EF3">
              <w:rPr>
                <w:szCs w:val="18"/>
              </w:rPr>
              <w:t>37,602</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8A47F1D" w14:textId="77777777" w:rsidR="00F51523" w:rsidRPr="00181EF3" w:rsidRDefault="00F51523" w:rsidP="00F51523">
            <w:pPr>
              <w:pStyle w:val="TableText"/>
              <w:tabs>
                <w:tab w:val="decimal" w:pos="765"/>
              </w:tabs>
              <w:rPr>
                <w:szCs w:val="18"/>
              </w:rPr>
            </w:pPr>
            <w:r w:rsidRPr="00181EF3">
              <w:rPr>
                <w:szCs w:val="18"/>
              </w:rPr>
              <w:t>29,847</w:t>
            </w:r>
          </w:p>
        </w:tc>
        <w:tc>
          <w:tcPr>
            <w:tcW w:w="1064" w:type="dxa"/>
            <w:tcBorders>
              <w:top w:val="single" w:sz="4" w:space="0" w:color="A6A6A6" w:themeColor="background1" w:themeShade="A6"/>
              <w:bottom w:val="single" w:sz="4" w:space="0" w:color="A6A6A6" w:themeColor="background1" w:themeShade="A6"/>
            </w:tcBorders>
          </w:tcPr>
          <w:p w14:paraId="19AD5A06" w14:textId="77777777" w:rsidR="00F51523" w:rsidRPr="00181EF3" w:rsidRDefault="00F51523" w:rsidP="00F51523">
            <w:pPr>
              <w:pStyle w:val="TableText"/>
              <w:tabs>
                <w:tab w:val="decimal" w:pos="765"/>
              </w:tabs>
              <w:rPr>
                <w:szCs w:val="18"/>
              </w:rPr>
            </w:pPr>
            <w:r w:rsidRPr="00181EF3">
              <w:rPr>
                <w:szCs w:val="18"/>
              </w:rPr>
              <w:t>374,772</w:t>
            </w:r>
          </w:p>
        </w:tc>
      </w:tr>
      <w:tr w:rsidR="00F51523" w:rsidRPr="00181EF3" w14:paraId="0EE66637" w14:textId="77777777" w:rsidTr="00F51523">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EA21A78" w14:textId="77777777" w:rsidR="00F51523" w:rsidRPr="00181EF3" w:rsidRDefault="00F51523" w:rsidP="00F51523">
            <w:pPr>
              <w:pStyle w:val="TableText"/>
            </w:pPr>
            <w:r w:rsidRPr="00181EF3">
              <w:t>Counties Manukau</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BDE530B" w14:textId="77777777" w:rsidR="00F51523" w:rsidRPr="00181EF3" w:rsidRDefault="00F51523" w:rsidP="00F51523">
            <w:pPr>
              <w:pStyle w:val="TableText"/>
              <w:tabs>
                <w:tab w:val="decimal" w:pos="765"/>
              </w:tabs>
              <w:rPr>
                <w:szCs w:val="18"/>
              </w:rPr>
            </w:pPr>
            <w:r w:rsidRPr="00181EF3">
              <w:rPr>
                <w:szCs w:val="18"/>
              </w:rPr>
              <w:t>25,365</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B24CAF3" w14:textId="77777777" w:rsidR="00F51523" w:rsidRPr="00181EF3" w:rsidRDefault="00F51523" w:rsidP="00F51523">
            <w:pPr>
              <w:pStyle w:val="TableText"/>
              <w:tabs>
                <w:tab w:val="decimal" w:pos="765"/>
              </w:tabs>
              <w:rPr>
                <w:szCs w:val="18"/>
              </w:rPr>
            </w:pPr>
            <w:r w:rsidRPr="00181EF3">
              <w:rPr>
                <w:szCs w:val="18"/>
              </w:rPr>
              <w:t>86,745</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D8AB327" w14:textId="77777777" w:rsidR="00F51523" w:rsidRPr="00181EF3" w:rsidRDefault="00F51523" w:rsidP="00F51523">
            <w:pPr>
              <w:pStyle w:val="TableText"/>
              <w:tabs>
                <w:tab w:val="decimal" w:pos="765"/>
              </w:tabs>
              <w:rPr>
                <w:szCs w:val="18"/>
              </w:rPr>
            </w:pPr>
            <w:r w:rsidRPr="00181EF3">
              <w:rPr>
                <w:szCs w:val="18"/>
              </w:rPr>
              <w:t>12,096</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D07C812" w14:textId="77777777" w:rsidR="00F51523" w:rsidRPr="00181EF3" w:rsidRDefault="00F51523" w:rsidP="00F51523">
            <w:pPr>
              <w:pStyle w:val="TableText"/>
              <w:tabs>
                <w:tab w:val="decimal" w:pos="765"/>
              </w:tabs>
              <w:rPr>
                <w:szCs w:val="18"/>
              </w:rPr>
            </w:pPr>
            <w:r w:rsidRPr="00181EF3">
              <w:rPr>
                <w:szCs w:val="18"/>
              </w:rPr>
              <w:t>53,019</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E931968" w14:textId="77777777" w:rsidR="00F51523" w:rsidRPr="00181EF3" w:rsidRDefault="00F51523" w:rsidP="00F51523">
            <w:pPr>
              <w:pStyle w:val="TableText"/>
              <w:tabs>
                <w:tab w:val="decimal" w:pos="765"/>
              </w:tabs>
              <w:rPr>
                <w:szCs w:val="18"/>
              </w:rPr>
            </w:pPr>
            <w:r w:rsidRPr="00181EF3">
              <w:rPr>
                <w:szCs w:val="18"/>
              </w:rPr>
              <w:t>18,288</w:t>
            </w:r>
          </w:p>
        </w:tc>
        <w:tc>
          <w:tcPr>
            <w:tcW w:w="106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C426D79" w14:textId="77777777" w:rsidR="00F51523" w:rsidRPr="00181EF3" w:rsidRDefault="00F51523" w:rsidP="00F51523">
            <w:pPr>
              <w:pStyle w:val="TableText"/>
              <w:tabs>
                <w:tab w:val="decimal" w:pos="765"/>
              </w:tabs>
              <w:rPr>
                <w:szCs w:val="18"/>
              </w:rPr>
            </w:pPr>
            <w:r w:rsidRPr="00181EF3">
              <w:rPr>
                <w:szCs w:val="18"/>
              </w:rPr>
              <w:t>105,777</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B6E6165" w14:textId="77777777" w:rsidR="00F51523" w:rsidRPr="00181EF3" w:rsidRDefault="00F51523" w:rsidP="00F51523">
            <w:pPr>
              <w:pStyle w:val="TableText"/>
              <w:tabs>
                <w:tab w:val="decimal" w:pos="765"/>
              </w:tabs>
              <w:rPr>
                <w:szCs w:val="18"/>
              </w:rPr>
            </w:pPr>
            <w:r w:rsidRPr="00181EF3">
              <w:rPr>
                <w:szCs w:val="18"/>
              </w:rPr>
              <w:t>9,558</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49B4081" w14:textId="77777777" w:rsidR="00F51523" w:rsidRPr="00181EF3" w:rsidRDefault="00F51523" w:rsidP="00F51523">
            <w:pPr>
              <w:pStyle w:val="TableText"/>
              <w:tabs>
                <w:tab w:val="decimal" w:pos="765"/>
              </w:tabs>
              <w:rPr>
                <w:szCs w:val="18"/>
              </w:rPr>
            </w:pPr>
            <w:r w:rsidRPr="00181EF3">
              <w:rPr>
                <w:szCs w:val="18"/>
              </w:rPr>
              <w:t>84,090</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3063C0D" w14:textId="77777777" w:rsidR="00F51523" w:rsidRPr="00181EF3" w:rsidRDefault="00F51523" w:rsidP="00F51523">
            <w:pPr>
              <w:pStyle w:val="TableText"/>
              <w:tabs>
                <w:tab w:val="decimal" w:pos="765"/>
              </w:tabs>
              <w:rPr>
                <w:szCs w:val="18"/>
              </w:rPr>
            </w:pPr>
            <w:r w:rsidRPr="00181EF3">
              <w:rPr>
                <w:szCs w:val="18"/>
              </w:rPr>
              <w:t>1,944</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13A987D" w14:textId="77777777" w:rsidR="00F51523" w:rsidRPr="00181EF3" w:rsidRDefault="00F51523" w:rsidP="00F51523">
            <w:pPr>
              <w:pStyle w:val="TableText"/>
              <w:tabs>
                <w:tab w:val="decimal" w:pos="765"/>
              </w:tabs>
              <w:rPr>
                <w:szCs w:val="18"/>
              </w:rPr>
            </w:pPr>
            <w:r w:rsidRPr="00181EF3">
              <w:rPr>
                <w:szCs w:val="18"/>
              </w:rPr>
              <w:t>36,204</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FF8BE1D" w14:textId="77777777" w:rsidR="00F51523" w:rsidRPr="00181EF3" w:rsidRDefault="00F51523" w:rsidP="00F51523">
            <w:pPr>
              <w:pStyle w:val="TableText"/>
              <w:tabs>
                <w:tab w:val="decimal" w:pos="765"/>
              </w:tabs>
              <w:rPr>
                <w:szCs w:val="18"/>
              </w:rPr>
            </w:pPr>
            <w:r w:rsidRPr="00181EF3">
              <w:rPr>
                <w:szCs w:val="18"/>
              </w:rPr>
              <w:t>67,248</w:t>
            </w:r>
          </w:p>
        </w:tc>
        <w:tc>
          <w:tcPr>
            <w:tcW w:w="1064" w:type="dxa"/>
            <w:tcBorders>
              <w:top w:val="single" w:sz="4" w:space="0" w:color="A6A6A6" w:themeColor="background1" w:themeShade="A6"/>
              <w:bottom w:val="single" w:sz="4" w:space="0" w:color="A6A6A6" w:themeColor="background1" w:themeShade="A6"/>
            </w:tcBorders>
          </w:tcPr>
          <w:p w14:paraId="74A23C0B" w14:textId="77777777" w:rsidR="00F51523" w:rsidRPr="00181EF3" w:rsidRDefault="00F51523" w:rsidP="00F51523">
            <w:pPr>
              <w:pStyle w:val="TableText"/>
              <w:tabs>
                <w:tab w:val="decimal" w:pos="765"/>
              </w:tabs>
              <w:rPr>
                <w:szCs w:val="18"/>
              </w:rPr>
            </w:pPr>
            <w:r w:rsidRPr="00181EF3">
              <w:rPr>
                <w:szCs w:val="18"/>
              </w:rPr>
              <w:t>365,838</w:t>
            </w:r>
          </w:p>
        </w:tc>
      </w:tr>
      <w:tr w:rsidR="00F51523" w:rsidRPr="00181EF3" w14:paraId="28C1CE87" w14:textId="77777777" w:rsidTr="00F51523">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7EBF4F8" w14:textId="77777777" w:rsidR="00F51523" w:rsidRPr="00181EF3" w:rsidRDefault="00F51523" w:rsidP="00F51523">
            <w:pPr>
              <w:pStyle w:val="TableText"/>
            </w:pPr>
            <w:r w:rsidRPr="00181EF3">
              <w:t>Waikato</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2218F47" w14:textId="77777777" w:rsidR="00F51523" w:rsidRPr="00181EF3" w:rsidRDefault="00F51523" w:rsidP="00F51523">
            <w:pPr>
              <w:pStyle w:val="TableText"/>
              <w:tabs>
                <w:tab w:val="decimal" w:pos="765"/>
              </w:tabs>
              <w:rPr>
                <w:szCs w:val="18"/>
              </w:rPr>
            </w:pPr>
            <w:r w:rsidRPr="00181EF3">
              <w:rPr>
                <w:szCs w:val="18"/>
              </w:rPr>
              <w:t>24,027</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C82980C" w14:textId="77777777" w:rsidR="00F51523" w:rsidRPr="00181EF3" w:rsidRDefault="00F51523" w:rsidP="00F51523">
            <w:pPr>
              <w:pStyle w:val="TableText"/>
              <w:tabs>
                <w:tab w:val="decimal" w:pos="765"/>
              </w:tabs>
              <w:rPr>
                <w:szCs w:val="18"/>
              </w:rPr>
            </w:pPr>
            <w:r w:rsidRPr="00181EF3">
              <w:rPr>
                <w:szCs w:val="18"/>
              </w:rPr>
              <w:t>53,337</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90FC494" w14:textId="77777777" w:rsidR="00F51523" w:rsidRPr="00181EF3" w:rsidRDefault="00F51523" w:rsidP="00F51523">
            <w:pPr>
              <w:pStyle w:val="TableText"/>
              <w:tabs>
                <w:tab w:val="decimal" w:pos="765"/>
              </w:tabs>
              <w:rPr>
                <w:szCs w:val="18"/>
              </w:rPr>
            </w:pPr>
            <w:r w:rsidRPr="00181EF3">
              <w:rPr>
                <w:szCs w:val="18"/>
              </w:rPr>
              <w:t>12,426</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CF5086E" w14:textId="77777777" w:rsidR="00F51523" w:rsidRPr="00181EF3" w:rsidRDefault="00F51523" w:rsidP="00F51523">
            <w:pPr>
              <w:pStyle w:val="TableText"/>
              <w:tabs>
                <w:tab w:val="decimal" w:pos="765"/>
              </w:tabs>
              <w:rPr>
                <w:szCs w:val="18"/>
              </w:rPr>
            </w:pPr>
            <w:r w:rsidRPr="00181EF3">
              <w:rPr>
                <w:szCs w:val="18"/>
              </w:rPr>
              <w:t>36,498</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F513350" w14:textId="77777777" w:rsidR="00F51523" w:rsidRPr="00181EF3" w:rsidRDefault="00F51523" w:rsidP="00F51523">
            <w:pPr>
              <w:pStyle w:val="TableText"/>
              <w:tabs>
                <w:tab w:val="decimal" w:pos="765"/>
              </w:tabs>
              <w:rPr>
                <w:szCs w:val="18"/>
              </w:rPr>
            </w:pPr>
            <w:r w:rsidRPr="00181EF3">
              <w:rPr>
                <w:szCs w:val="18"/>
              </w:rPr>
              <w:t>17,871</w:t>
            </w:r>
          </w:p>
        </w:tc>
        <w:tc>
          <w:tcPr>
            <w:tcW w:w="106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92A4541" w14:textId="77777777" w:rsidR="00F51523" w:rsidRPr="00181EF3" w:rsidRDefault="00F51523" w:rsidP="00F51523">
            <w:pPr>
              <w:pStyle w:val="TableText"/>
              <w:tabs>
                <w:tab w:val="decimal" w:pos="765"/>
              </w:tabs>
              <w:rPr>
                <w:szCs w:val="18"/>
              </w:rPr>
            </w:pPr>
            <w:r w:rsidRPr="00181EF3">
              <w:rPr>
                <w:szCs w:val="18"/>
              </w:rPr>
              <w:t>72,279</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5AF8324" w14:textId="77777777" w:rsidR="00F51523" w:rsidRPr="00181EF3" w:rsidRDefault="00F51523" w:rsidP="00F51523">
            <w:pPr>
              <w:pStyle w:val="TableText"/>
              <w:tabs>
                <w:tab w:val="decimal" w:pos="765"/>
              </w:tabs>
              <w:rPr>
                <w:szCs w:val="18"/>
              </w:rPr>
            </w:pPr>
            <w:r w:rsidRPr="00181EF3">
              <w:rPr>
                <w:szCs w:val="18"/>
              </w:rPr>
              <w:t>10,332</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946BC38" w14:textId="77777777" w:rsidR="00F51523" w:rsidRPr="00181EF3" w:rsidRDefault="00F51523" w:rsidP="00F51523">
            <w:pPr>
              <w:pStyle w:val="TableText"/>
              <w:tabs>
                <w:tab w:val="decimal" w:pos="765"/>
              </w:tabs>
              <w:rPr>
                <w:szCs w:val="18"/>
              </w:rPr>
            </w:pPr>
            <w:r w:rsidRPr="00181EF3">
              <w:rPr>
                <w:szCs w:val="18"/>
              </w:rPr>
              <w:t>69,711</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9AF7668" w14:textId="77777777" w:rsidR="00F51523" w:rsidRPr="00181EF3" w:rsidRDefault="00F51523" w:rsidP="00F51523">
            <w:pPr>
              <w:pStyle w:val="TableText"/>
              <w:tabs>
                <w:tab w:val="decimal" w:pos="765"/>
              </w:tabs>
              <w:rPr>
                <w:szCs w:val="18"/>
              </w:rPr>
            </w:pPr>
            <w:r w:rsidRPr="00181EF3">
              <w:rPr>
                <w:szCs w:val="18"/>
              </w:rPr>
              <w:t>2,820</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B5E20E3" w14:textId="77777777" w:rsidR="00F51523" w:rsidRPr="00181EF3" w:rsidRDefault="00F51523" w:rsidP="00F51523">
            <w:pPr>
              <w:pStyle w:val="TableText"/>
              <w:tabs>
                <w:tab w:val="decimal" w:pos="765"/>
              </w:tabs>
              <w:rPr>
                <w:szCs w:val="18"/>
              </w:rPr>
            </w:pPr>
            <w:r w:rsidRPr="00181EF3">
              <w:rPr>
                <w:szCs w:val="18"/>
              </w:rPr>
              <w:t>39,900</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5208BA4" w14:textId="77777777" w:rsidR="00F51523" w:rsidRPr="00181EF3" w:rsidRDefault="00F51523" w:rsidP="00F51523">
            <w:pPr>
              <w:pStyle w:val="TableText"/>
              <w:tabs>
                <w:tab w:val="decimal" w:pos="765"/>
              </w:tabs>
              <w:rPr>
                <w:szCs w:val="18"/>
              </w:rPr>
            </w:pPr>
            <w:r w:rsidRPr="00181EF3">
              <w:rPr>
                <w:szCs w:val="18"/>
              </w:rPr>
              <w:t>67,476</w:t>
            </w:r>
          </w:p>
        </w:tc>
        <w:tc>
          <w:tcPr>
            <w:tcW w:w="1064" w:type="dxa"/>
            <w:tcBorders>
              <w:top w:val="single" w:sz="4" w:space="0" w:color="A6A6A6" w:themeColor="background1" w:themeShade="A6"/>
              <w:bottom w:val="single" w:sz="4" w:space="0" w:color="A6A6A6" w:themeColor="background1" w:themeShade="A6"/>
            </w:tcBorders>
          </w:tcPr>
          <w:p w14:paraId="2C99F110" w14:textId="77777777" w:rsidR="00F51523" w:rsidRPr="00181EF3" w:rsidRDefault="00F51523" w:rsidP="00F51523">
            <w:pPr>
              <w:pStyle w:val="TableText"/>
              <w:tabs>
                <w:tab w:val="decimal" w:pos="765"/>
              </w:tabs>
              <w:rPr>
                <w:szCs w:val="18"/>
              </w:rPr>
            </w:pPr>
            <w:r w:rsidRPr="00181EF3">
              <w:rPr>
                <w:szCs w:val="18"/>
              </w:rPr>
              <w:t>271,716</w:t>
            </w:r>
          </w:p>
        </w:tc>
      </w:tr>
      <w:tr w:rsidR="00F51523" w:rsidRPr="00181EF3" w14:paraId="0426A855" w14:textId="77777777" w:rsidTr="00F51523">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E1CD11C" w14:textId="77777777" w:rsidR="00F51523" w:rsidRPr="00181EF3" w:rsidRDefault="00F51523" w:rsidP="00F51523">
            <w:pPr>
              <w:pStyle w:val="TableText"/>
            </w:pPr>
            <w:r w:rsidRPr="00181EF3">
              <w:t>Lakes</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28EDE43" w14:textId="77777777" w:rsidR="00F51523" w:rsidRPr="00181EF3" w:rsidRDefault="00F51523" w:rsidP="00F51523">
            <w:pPr>
              <w:pStyle w:val="TableText"/>
              <w:tabs>
                <w:tab w:val="decimal" w:pos="765"/>
              </w:tabs>
              <w:rPr>
                <w:szCs w:val="18"/>
              </w:rPr>
            </w:pPr>
            <w:r w:rsidRPr="00181EF3">
              <w:rPr>
                <w:szCs w:val="18"/>
              </w:rPr>
              <w:t>11,028</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DF187EE" w14:textId="77777777" w:rsidR="00F51523" w:rsidRPr="00181EF3" w:rsidRDefault="00F51523" w:rsidP="00F51523">
            <w:pPr>
              <w:pStyle w:val="TableText"/>
              <w:tabs>
                <w:tab w:val="decimal" w:pos="765"/>
              </w:tabs>
              <w:rPr>
                <w:szCs w:val="18"/>
              </w:rPr>
            </w:pPr>
            <w:r w:rsidRPr="00181EF3">
              <w:rPr>
                <w:szCs w:val="18"/>
              </w:rPr>
              <w:t>12,837</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5F89C44" w14:textId="77777777" w:rsidR="00F51523" w:rsidRPr="00181EF3" w:rsidRDefault="00F51523" w:rsidP="00F51523">
            <w:pPr>
              <w:pStyle w:val="TableText"/>
              <w:tabs>
                <w:tab w:val="decimal" w:pos="765"/>
              </w:tabs>
              <w:rPr>
                <w:szCs w:val="18"/>
              </w:rPr>
            </w:pPr>
            <w:r w:rsidRPr="00181EF3">
              <w:rPr>
                <w:szCs w:val="18"/>
              </w:rPr>
              <w:t>5,304</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D8F9845" w14:textId="77777777" w:rsidR="00F51523" w:rsidRPr="00181EF3" w:rsidRDefault="00F51523" w:rsidP="00F51523">
            <w:pPr>
              <w:pStyle w:val="TableText"/>
              <w:tabs>
                <w:tab w:val="decimal" w:pos="765"/>
              </w:tabs>
              <w:rPr>
                <w:szCs w:val="18"/>
              </w:rPr>
            </w:pPr>
            <w:r w:rsidRPr="00181EF3">
              <w:rPr>
                <w:szCs w:val="18"/>
              </w:rPr>
              <w:t>7,155</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8D1786B" w14:textId="77777777" w:rsidR="00F51523" w:rsidRPr="00181EF3" w:rsidRDefault="00F51523" w:rsidP="00F51523">
            <w:pPr>
              <w:pStyle w:val="TableText"/>
              <w:tabs>
                <w:tab w:val="decimal" w:pos="765"/>
              </w:tabs>
              <w:rPr>
                <w:szCs w:val="18"/>
              </w:rPr>
            </w:pPr>
            <w:r w:rsidRPr="00181EF3">
              <w:rPr>
                <w:szCs w:val="18"/>
              </w:rPr>
              <w:t>8,457</w:t>
            </w:r>
          </w:p>
        </w:tc>
        <w:tc>
          <w:tcPr>
            <w:tcW w:w="106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7056355" w14:textId="77777777" w:rsidR="00F51523" w:rsidRPr="00181EF3" w:rsidRDefault="00F51523" w:rsidP="00F51523">
            <w:pPr>
              <w:pStyle w:val="TableText"/>
              <w:tabs>
                <w:tab w:val="decimal" w:pos="765"/>
              </w:tabs>
              <w:rPr>
                <w:szCs w:val="18"/>
              </w:rPr>
            </w:pPr>
            <w:r w:rsidRPr="00181EF3">
              <w:rPr>
                <w:szCs w:val="18"/>
              </w:rPr>
              <w:t>18,228</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4C09223" w14:textId="77777777" w:rsidR="00F51523" w:rsidRPr="00181EF3" w:rsidRDefault="00F51523" w:rsidP="00F51523">
            <w:pPr>
              <w:pStyle w:val="TableText"/>
              <w:tabs>
                <w:tab w:val="decimal" w:pos="765"/>
              </w:tabs>
              <w:rPr>
                <w:szCs w:val="18"/>
              </w:rPr>
            </w:pPr>
            <w:r w:rsidRPr="00181EF3">
              <w:rPr>
                <w:szCs w:val="18"/>
              </w:rPr>
              <w:t>5,133</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AB335E2" w14:textId="77777777" w:rsidR="00F51523" w:rsidRPr="00181EF3" w:rsidRDefault="00F51523" w:rsidP="00F51523">
            <w:pPr>
              <w:pStyle w:val="TableText"/>
              <w:tabs>
                <w:tab w:val="decimal" w:pos="765"/>
              </w:tabs>
              <w:rPr>
                <w:szCs w:val="18"/>
              </w:rPr>
            </w:pPr>
            <w:r w:rsidRPr="00181EF3">
              <w:rPr>
                <w:szCs w:val="18"/>
              </w:rPr>
              <w:t>18,468</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82711E4" w14:textId="77777777" w:rsidR="00F51523" w:rsidRPr="00181EF3" w:rsidRDefault="00F51523" w:rsidP="00F51523">
            <w:pPr>
              <w:pStyle w:val="TableText"/>
              <w:tabs>
                <w:tab w:val="decimal" w:pos="765"/>
              </w:tabs>
              <w:rPr>
                <w:szCs w:val="18"/>
              </w:rPr>
            </w:pPr>
            <w:r w:rsidRPr="00181EF3">
              <w:rPr>
                <w:szCs w:val="18"/>
              </w:rPr>
              <w:t>1,458</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DE63C29" w14:textId="77777777" w:rsidR="00F51523" w:rsidRPr="00181EF3" w:rsidRDefault="00F51523" w:rsidP="00F51523">
            <w:pPr>
              <w:pStyle w:val="TableText"/>
              <w:tabs>
                <w:tab w:val="decimal" w:pos="765"/>
              </w:tabs>
              <w:rPr>
                <w:szCs w:val="18"/>
              </w:rPr>
            </w:pPr>
            <w:r w:rsidRPr="00181EF3">
              <w:rPr>
                <w:szCs w:val="18"/>
              </w:rPr>
              <w:t>10,251</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49EACB0" w14:textId="77777777" w:rsidR="00F51523" w:rsidRPr="00181EF3" w:rsidRDefault="00F51523" w:rsidP="00F51523">
            <w:pPr>
              <w:pStyle w:val="TableText"/>
              <w:tabs>
                <w:tab w:val="decimal" w:pos="765"/>
              </w:tabs>
              <w:rPr>
                <w:szCs w:val="18"/>
              </w:rPr>
            </w:pPr>
            <w:r w:rsidRPr="00181EF3">
              <w:rPr>
                <w:szCs w:val="18"/>
              </w:rPr>
              <w:t>31,377</w:t>
            </w:r>
          </w:p>
        </w:tc>
        <w:tc>
          <w:tcPr>
            <w:tcW w:w="1064" w:type="dxa"/>
            <w:tcBorders>
              <w:top w:val="single" w:sz="4" w:space="0" w:color="A6A6A6" w:themeColor="background1" w:themeShade="A6"/>
              <w:bottom w:val="single" w:sz="4" w:space="0" w:color="A6A6A6" w:themeColor="background1" w:themeShade="A6"/>
            </w:tcBorders>
          </w:tcPr>
          <w:p w14:paraId="7653B3D3" w14:textId="77777777" w:rsidR="00F51523" w:rsidRPr="00181EF3" w:rsidRDefault="00F51523" w:rsidP="00F51523">
            <w:pPr>
              <w:pStyle w:val="TableText"/>
              <w:tabs>
                <w:tab w:val="decimal" w:pos="765"/>
              </w:tabs>
              <w:rPr>
                <w:szCs w:val="18"/>
              </w:rPr>
            </w:pPr>
            <w:r w:rsidRPr="00181EF3">
              <w:rPr>
                <w:szCs w:val="18"/>
              </w:rPr>
              <w:t>66,942</w:t>
            </w:r>
          </w:p>
        </w:tc>
      </w:tr>
      <w:tr w:rsidR="00F51523" w:rsidRPr="00181EF3" w14:paraId="2A632641" w14:textId="77777777" w:rsidTr="00F51523">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A146FF6" w14:textId="77777777" w:rsidR="00F51523" w:rsidRPr="00181EF3" w:rsidRDefault="00F51523" w:rsidP="00F51523">
            <w:pPr>
              <w:pStyle w:val="TableText"/>
            </w:pPr>
            <w:r w:rsidRPr="00181EF3">
              <w:t>Bay of Plenty</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D181B37" w14:textId="77777777" w:rsidR="00F51523" w:rsidRPr="00181EF3" w:rsidRDefault="00F51523" w:rsidP="00F51523">
            <w:pPr>
              <w:pStyle w:val="TableText"/>
              <w:tabs>
                <w:tab w:val="decimal" w:pos="765"/>
              </w:tabs>
              <w:rPr>
                <w:szCs w:val="18"/>
              </w:rPr>
            </w:pPr>
            <w:r w:rsidRPr="00181EF3">
              <w:rPr>
                <w:szCs w:val="18"/>
              </w:rPr>
              <w:t>16,305</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0D8E793" w14:textId="77777777" w:rsidR="00F51523" w:rsidRPr="00181EF3" w:rsidRDefault="00F51523" w:rsidP="00F51523">
            <w:pPr>
              <w:pStyle w:val="TableText"/>
              <w:tabs>
                <w:tab w:val="decimal" w:pos="765"/>
              </w:tabs>
              <w:rPr>
                <w:szCs w:val="18"/>
              </w:rPr>
            </w:pPr>
            <w:r w:rsidRPr="00181EF3">
              <w:rPr>
                <w:szCs w:val="18"/>
              </w:rPr>
              <w:t>27,306</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C3896AC" w14:textId="77777777" w:rsidR="00F51523" w:rsidRPr="00181EF3" w:rsidRDefault="00F51523" w:rsidP="00F51523">
            <w:pPr>
              <w:pStyle w:val="TableText"/>
              <w:tabs>
                <w:tab w:val="decimal" w:pos="765"/>
              </w:tabs>
              <w:rPr>
                <w:szCs w:val="18"/>
              </w:rPr>
            </w:pPr>
            <w:r w:rsidRPr="00181EF3">
              <w:rPr>
                <w:szCs w:val="18"/>
              </w:rPr>
              <w:t>7,329</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1F8F4AA" w14:textId="77777777" w:rsidR="00F51523" w:rsidRPr="00181EF3" w:rsidRDefault="00F51523" w:rsidP="00F51523">
            <w:pPr>
              <w:pStyle w:val="TableText"/>
              <w:tabs>
                <w:tab w:val="decimal" w:pos="765"/>
              </w:tabs>
              <w:rPr>
                <w:szCs w:val="18"/>
              </w:rPr>
            </w:pPr>
            <w:r w:rsidRPr="00181EF3">
              <w:rPr>
                <w:szCs w:val="18"/>
              </w:rPr>
              <w:t>15,282</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6CEFB3C" w14:textId="77777777" w:rsidR="00F51523" w:rsidRPr="00181EF3" w:rsidRDefault="00F51523" w:rsidP="00F51523">
            <w:pPr>
              <w:pStyle w:val="TableText"/>
              <w:tabs>
                <w:tab w:val="decimal" w:pos="765"/>
              </w:tabs>
              <w:rPr>
                <w:szCs w:val="18"/>
              </w:rPr>
            </w:pPr>
            <w:r w:rsidRPr="00181EF3">
              <w:rPr>
                <w:szCs w:val="18"/>
              </w:rPr>
              <w:t>11,913</w:t>
            </w:r>
          </w:p>
        </w:tc>
        <w:tc>
          <w:tcPr>
            <w:tcW w:w="106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D88E3F2" w14:textId="77777777" w:rsidR="00F51523" w:rsidRPr="00181EF3" w:rsidRDefault="00F51523" w:rsidP="00F51523">
            <w:pPr>
              <w:pStyle w:val="TableText"/>
              <w:tabs>
                <w:tab w:val="decimal" w:pos="765"/>
              </w:tabs>
              <w:rPr>
                <w:szCs w:val="18"/>
              </w:rPr>
            </w:pPr>
            <w:r w:rsidRPr="00181EF3">
              <w:rPr>
                <w:szCs w:val="18"/>
              </w:rPr>
              <w:t>36,927</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79D88C4" w14:textId="77777777" w:rsidR="00F51523" w:rsidRPr="00181EF3" w:rsidRDefault="00F51523" w:rsidP="00F51523">
            <w:pPr>
              <w:pStyle w:val="TableText"/>
              <w:tabs>
                <w:tab w:val="decimal" w:pos="765"/>
              </w:tabs>
              <w:rPr>
                <w:szCs w:val="18"/>
              </w:rPr>
            </w:pPr>
            <w:r w:rsidRPr="00181EF3">
              <w:rPr>
                <w:szCs w:val="18"/>
              </w:rPr>
              <w:t>7,758</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194967B" w14:textId="77777777" w:rsidR="00F51523" w:rsidRPr="00181EF3" w:rsidRDefault="00F51523" w:rsidP="00F51523">
            <w:pPr>
              <w:pStyle w:val="TableText"/>
              <w:tabs>
                <w:tab w:val="decimal" w:pos="765"/>
              </w:tabs>
              <w:rPr>
                <w:szCs w:val="18"/>
              </w:rPr>
            </w:pPr>
            <w:r w:rsidRPr="00181EF3">
              <w:rPr>
                <w:szCs w:val="18"/>
              </w:rPr>
              <w:t>41,211</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C5DA6E8" w14:textId="77777777" w:rsidR="00F51523" w:rsidRPr="00181EF3" w:rsidRDefault="00F51523" w:rsidP="00F51523">
            <w:pPr>
              <w:pStyle w:val="TableText"/>
              <w:tabs>
                <w:tab w:val="decimal" w:pos="765"/>
              </w:tabs>
              <w:rPr>
                <w:szCs w:val="18"/>
              </w:rPr>
            </w:pPr>
            <w:r w:rsidRPr="00181EF3">
              <w:rPr>
                <w:szCs w:val="18"/>
              </w:rPr>
              <w:t>2,346</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FD8CAEC" w14:textId="77777777" w:rsidR="00F51523" w:rsidRPr="00181EF3" w:rsidRDefault="00F51523" w:rsidP="00F51523">
            <w:pPr>
              <w:pStyle w:val="TableText"/>
              <w:tabs>
                <w:tab w:val="decimal" w:pos="765"/>
              </w:tabs>
              <w:rPr>
                <w:szCs w:val="18"/>
              </w:rPr>
            </w:pPr>
            <w:r w:rsidRPr="00181EF3">
              <w:rPr>
                <w:szCs w:val="18"/>
              </w:rPr>
              <w:t>28,554</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AEDCC3A" w14:textId="77777777" w:rsidR="00F51523" w:rsidRPr="00181EF3" w:rsidRDefault="00F51523" w:rsidP="00F51523">
            <w:pPr>
              <w:pStyle w:val="TableText"/>
              <w:tabs>
                <w:tab w:val="decimal" w:pos="765"/>
              </w:tabs>
              <w:rPr>
                <w:szCs w:val="18"/>
              </w:rPr>
            </w:pPr>
            <w:r w:rsidRPr="00181EF3">
              <w:rPr>
                <w:szCs w:val="18"/>
              </w:rPr>
              <w:t>45,642</w:t>
            </w:r>
          </w:p>
        </w:tc>
        <w:tc>
          <w:tcPr>
            <w:tcW w:w="1064" w:type="dxa"/>
            <w:tcBorders>
              <w:top w:val="single" w:sz="4" w:space="0" w:color="A6A6A6" w:themeColor="background1" w:themeShade="A6"/>
              <w:bottom w:val="single" w:sz="4" w:space="0" w:color="A6A6A6" w:themeColor="background1" w:themeShade="A6"/>
            </w:tcBorders>
          </w:tcPr>
          <w:p w14:paraId="4FC096B9" w14:textId="77777777" w:rsidR="00F51523" w:rsidRPr="00181EF3" w:rsidRDefault="00F51523" w:rsidP="00F51523">
            <w:pPr>
              <w:pStyle w:val="TableText"/>
              <w:tabs>
                <w:tab w:val="decimal" w:pos="765"/>
              </w:tabs>
              <w:rPr>
                <w:szCs w:val="18"/>
              </w:rPr>
            </w:pPr>
            <w:r w:rsidRPr="00181EF3">
              <w:rPr>
                <w:szCs w:val="18"/>
              </w:rPr>
              <w:t>149,289</w:t>
            </w:r>
          </w:p>
        </w:tc>
      </w:tr>
      <w:tr w:rsidR="00F51523" w:rsidRPr="00181EF3" w14:paraId="0172F88D" w14:textId="77777777" w:rsidTr="00F51523">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8BF466F" w14:textId="77777777" w:rsidR="00F51523" w:rsidRPr="00181EF3" w:rsidRDefault="00F51523" w:rsidP="00F51523">
            <w:pPr>
              <w:pStyle w:val="TableText"/>
            </w:pPr>
            <w:r w:rsidRPr="00181EF3">
              <w:t>Tairāwhiti</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CFDDA5B" w14:textId="77777777" w:rsidR="00F51523" w:rsidRPr="00181EF3" w:rsidRDefault="00F51523" w:rsidP="00F51523">
            <w:pPr>
              <w:pStyle w:val="TableText"/>
              <w:tabs>
                <w:tab w:val="decimal" w:pos="765"/>
              </w:tabs>
              <w:rPr>
                <w:szCs w:val="18"/>
              </w:rPr>
            </w:pPr>
            <w:r w:rsidRPr="00181EF3">
              <w:rPr>
                <w:szCs w:val="18"/>
              </w:rPr>
              <w:t>6,807</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1AE9A37" w14:textId="77777777" w:rsidR="00F51523" w:rsidRPr="00181EF3" w:rsidRDefault="00F51523" w:rsidP="00F51523">
            <w:pPr>
              <w:pStyle w:val="TableText"/>
              <w:tabs>
                <w:tab w:val="decimal" w:pos="765"/>
              </w:tabs>
              <w:rPr>
                <w:szCs w:val="18"/>
              </w:rPr>
            </w:pPr>
            <w:r w:rsidRPr="00181EF3">
              <w:rPr>
                <w:szCs w:val="18"/>
              </w:rPr>
              <w:t>4,842</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25F22EC" w14:textId="77777777" w:rsidR="00F51523" w:rsidRPr="00181EF3" w:rsidRDefault="00F51523" w:rsidP="00F51523">
            <w:pPr>
              <w:pStyle w:val="TableText"/>
              <w:tabs>
                <w:tab w:val="decimal" w:pos="765"/>
              </w:tabs>
              <w:rPr>
                <w:szCs w:val="18"/>
              </w:rPr>
            </w:pPr>
            <w:r w:rsidRPr="00181EF3">
              <w:rPr>
                <w:szCs w:val="18"/>
              </w:rPr>
              <w:t>3,138</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6CB83A4" w14:textId="77777777" w:rsidR="00F51523" w:rsidRPr="00181EF3" w:rsidRDefault="00F51523" w:rsidP="00F51523">
            <w:pPr>
              <w:pStyle w:val="TableText"/>
              <w:tabs>
                <w:tab w:val="decimal" w:pos="765"/>
              </w:tabs>
              <w:rPr>
                <w:szCs w:val="18"/>
              </w:rPr>
            </w:pPr>
            <w:r w:rsidRPr="00181EF3">
              <w:rPr>
                <w:szCs w:val="18"/>
              </w:rPr>
              <w:t>2,616</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885DE21" w14:textId="77777777" w:rsidR="00F51523" w:rsidRPr="00181EF3" w:rsidRDefault="00F51523" w:rsidP="00F51523">
            <w:pPr>
              <w:pStyle w:val="TableText"/>
              <w:tabs>
                <w:tab w:val="decimal" w:pos="765"/>
              </w:tabs>
              <w:rPr>
                <w:szCs w:val="18"/>
              </w:rPr>
            </w:pPr>
            <w:r w:rsidRPr="00181EF3">
              <w:rPr>
                <w:szCs w:val="18"/>
              </w:rPr>
              <w:t>5,103</w:t>
            </w:r>
          </w:p>
        </w:tc>
        <w:tc>
          <w:tcPr>
            <w:tcW w:w="106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2A770A1" w14:textId="77777777" w:rsidR="00F51523" w:rsidRPr="00181EF3" w:rsidRDefault="00F51523" w:rsidP="00F51523">
            <w:pPr>
              <w:pStyle w:val="TableText"/>
              <w:tabs>
                <w:tab w:val="decimal" w:pos="765"/>
              </w:tabs>
              <w:rPr>
                <w:szCs w:val="18"/>
              </w:rPr>
            </w:pPr>
            <w:r w:rsidRPr="00181EF3">
              <w:rPr>
                <w:szCs w:val="18"/>
              </w:rPr>
              <w:t>6,096</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C98A5C1" w14:textId="77777777" w:rsidR="00F51523" w:rsidRPr="00181EF3" w:rsidRDefault="00F51523" w:rsidP="00F51523">
            <w:pPr>
              <w:pStyle w:val="TableText"/>
              <w:tabs>
                <w:tab w:val="decimal" w:pos="765"/>
              </w:tabs>
              <w:rPr>
                <w:szCs w:val="18"/>
              </w:rPr>
            </w:pPr>
            <w:r w:rsidRPr="00181EF3">
              <w:rPr>
                <w:szCs w:val="18"/>
              </w:rPr>
              <w:t>3,540</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71BD215" w14:textId="77777777" w:rsidR="00F51523" w:rsidRPr="00181EF3" w:rsidRDefault="00F51523" w:rsidP="00F51523">
            <w:pPr>
              <w:pStyle w:val="TableText"/>
              <w:tabs>
                <w:tab w:val="decimal" w:pos="765"/>
              </w:tabs>
              <w:rPr>
                <w:szCs w:val="18"/>
              </w:rPr>
            </w:pPr>
            <w:r w:rsidRPr="00181EF3">
              <w:rPr>
                <w:szCs w:val="18"/>
              </w:rPr>
              <w:t>6,981</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1571192" w14:textId="77777777" w:rsidR="00F51523" w:rsidRPr="00181EF3" w:rsidRDefault="00F51523" w:rsidP="00F51523">
            <w:pPr>
              <w:pStyle w:val="TableText"/>
              <w:tabs>
                <w:tab w:val="decimal" w:pos="765"/>
              </w:tabs>
              <w:rPr>
                <w:szCs w:val="18"/>
              </w:rPr>
            </w:pPr>
            <w:r w:rsidRPr="00181EF3">
              <w:rPr>
                <w:szCs w:val="18"/>
              </w:rPr>
              <w:t>1,176</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449F2BF" w14:textId="77777777" w:rsidR="00F51523" w:rsidRPr="00181EF3" w:rsidRDefault="00F51523" w:rsidP="00F51523">
            <w:pPr>
              <w:pStyle w:val="TableText"/>
              <w:tabs>
                <w:tab w:val="decimal" w:pos="765"/>
              </w:tabs>
              <w:rPr>
                <w:szCs w:val="18"/>
              </w:rPr>
            </w:pPr>
            <w:r w:rsidRPr="00181EF3">
              <w:rPr>
                <w:szCs w:val="18"/>
              </w:rPr>
              <w:t>4,158</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3F241A8" w14:textId="77777777" w:rsidR="00F51523" w:rsidRPr="00181EF3" w:rsidRDefault="00F51523" w:rsidP="00F51523">
            <w:pPr>
              <w:pStyle w:val="TableText"/>
              <w:tabs>
                <w:tab w:val="decimal" w:pos="765"/>
              </w:tabs>
              <w:rPr>
                <w:szCs w:val="18"/>
              </w:rPr>
            </w:pPr>
            <w:r w:rsidRPr="00181EF3">
              <w:rPr>
                <w:szCs w:val="18"/>
              </w:rPr>
              <w:t>19,758</w:t>
            </w:r>
          </w:p>
        </w:tc>
        <w:tc>
          <w:tcPr>
            <w:tcW w:w="1064" w:type="dxa"/>
            <w:tcBorders>
              <w:top w:val="single" w:sz="4" w:space="0" w:color="A6A6A6" w:themeColor="background1" w:themeShade="A6"/>
              <w:bottom w:val="single" w:sz="4" w:space="0" w:color="A6A6A6" w:themeColor="background1" w:themeShade="A6"/>
            </w:tcBorders>
          </w:tcPr>
          <w:p w14:paraId="2FCDB3AE" w14:textId="77777777" w:rsidR="00F51523" w:rsidRPr="00181EF3" w:rsidRDefault="00F51523" w:rsidP="00F51523">
            <w:pPr>
              <w:pStyle w:val="TableText"/>
              <w:tabs>
                <w:tab w:val="decimal" w:pos="765"/>
              </w:tabs>
              <w:rPr>
                <w:szCs w:val="18"/>
              </w:rPr>
            </w:pPr>
            <w:r w:rsidRPr="00181EF3">
              <w:rPr>
                <w:szCs w:val="18"/>
              </w:rPr>
              <w:t>24,705</w:t>
            </w:r>
          </w:p>
        </w:tc>
      </w:tr>
      <w:tr w:rsidR="00F51523" w:rsidRPr="00181EF3" w14:paraId="70243919" w14:textId="77777777" w:rsidTr="00F51523">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2B5E0A3" w14:textId="77777777" w:rsidR="00F51523" w:rsidRPr="00181EF3" w:rsidRDefault="00F51523" w:rsidP="00F51523">
            <w:pPr>
              <w:pStyle w:val="TableText"/>
            </w:pPr>
            <w:r w:rsidRPr="00181EF3">
              <w:t>Taranaki</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6779587" w14:textId="77777777" w:rsidR="00F51523" w:rsidRPr="00181EF3" w:rsidRDefault="00F51523" w:rsidP="00F51523">
            <w:pPr>
              <w:pStyle w:val="TableText"/>
              <w:tabs>
                <w:tab w:val="decimal" w:pos="765"/>
              </w:tabs>
              <w:rPr>
                <w:szCs w:val="18"/>
              </w:rPr>
            </w:pPr>
            <w:r w:rsidRPr="00181EF3">
              <w:rPr>
                <w:szCs w:val="18"/>
              </w:rPr>
              <w:t>5,679</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4AFFF86" w14:textId="77777777" w:rsidR="00F51523" w:rsidRPr="00181EF3" w:rsidRDefault="00F51523" w:rsidP="00F51523">
            <w:pPr>
              <w:pStyle w:val="TableText"/>
              <w:tabs>
                <w:tab w:val="decimal" w:pos="765"/>
              </w:tabs>
              <w:rPr>
                <w:szCs w:val="18"/>
              </w:rPr>
            </w:pPr>
            <w:r w:rsidRPr="00181EF3">
              <w:rPr>
                <w:szCs w:val="18"/>
              </w:rPr>
              <w:t>17,037</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EEA7E99" w14:textId="77777777" w:rsidR="00F51523" w:rsidRPr="00181EF3" w:rsidRDefault="00F51523" w:rsidP="00F51523">
            <w:pPr>
              <w:pStyle w:val="TableText"/>
              <w:tabs>
                <w:tab w:val="decimal" w:pos="765"/>
              </w:tabs>
              <w:rPr>
                <w:szCs w:val="18"/>
              </w:rPr>
            </w:pPr>
            <w:r w:rsidRPr="00181EF3">
              <w:rPr>
                <w:szCs w:val="18"/>
              </w:rPr>
              <w:t>2,817</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5079DA4" w14:textId="77777777" w:rsidR="00F51523" w:rsidRPr="00181EF3" w:rsidRDefault="00F51523" w:rsidP="00F51523">
            <w:pPr>
              <w:pStyle w:val="TableText"/>
              <w:tabs>
                <w:tab w:val="decimal" w:pos="765"/>
              </w:tabs>
              <w:rPr>
                <w:szCs w:val="18"/>
              </w:rPr>
            </w:pPr>
            <w:r w:rsidRPr="00181EF3">
              <w:rPr>
                <w:szCs w:val="18"/>
              </w:rPr>
              <w:t>10,266</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0378DDE" w14:textId="77777777" w:rsidR="00F51523" w:rsidRPr="00181EF3" w:rsidRDefault="00F51523" w:rsidP="00F51523">
            <w:pPr>
              <w:pStyle w:val="TableText"/>
              <w:tabs>
                <w:tab w:val="decimal" w:pos="765"/>
              </w:tabs>
              <w:rPr>
                <w:szCs w:val="18"/>
              </w:rPr>
            </w:pPr>
            <w:r w:rsidRPr="00181EF3">
              <w:rPr>
                <w:szCs w:val="18"/>
              </w:rPr>
              <w:t>4,158</w:t>
            </w:r>
          </w:p>
        </w:tc>
        <w:tc>
          <w:tcPr>
            <w:tcW w:w="106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E4A7011" w14:textId="77777777" w:rsidR="00F51523" w:rsidRPr="00181EF3" w:rsidRDefault="00F51523" w:rsidP="00F51523">
            <w:pPr>
              <w:pStyle w:val="TableText"/>
              <w:tabs>
                <w:tab w:val="decimal" w:pos="765"/>
              </w:tabs>
              <w:rPr>
                <w:szCs w:val="18"/>
              </w:rPr>
            </w:pPr>
            <w:r w:rsidRPr="00181EF3">
              <w:rPr>
                <w:szCs w:val="18"/>
              </w:rPr>
              <w:t>23,013</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8B9FDBD" w14:textId="77777777" w:rsidR="00F51523" w:rsidRPr="00181EF3" w:rsidRDefault="00F51523" w:rsidP="00F51523">
            <w:pPr>
              <w:pStyle w:val="TableText"/>
              <w:tabs>
                <w:tab w:val="decimal" w:pos="765"/>
              </w:tabs>
              <w:rPr>
                <w:szCs w:val="18"/>
              </w:rPr>
            </w:pPr>
            <w:r w:rsidRPr="00181EF3">
              <w:rPr>
                <w:szCs w:val="18"/>
              </w:rPr>
              <w:t>2,421</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2481308" w14:textId="77777777" w:rsidR="00F51523" w:rsidRPr="00181EF3" w:rsidRDefault="00F51523" w:rsidP="00F51523">
            <w:pPr>
              <w:pStyle w:val="TableText"/>
              <w:tabs>
                <w:tab w:val="decimal" w:pos="765"/>
              </w:tabs>
              <w:rPr>
                <w:szCs w:val="18"/>
              </w:rPr>
            </w:pPr>
            <w:r w:rsidRPr="00181EF3">
              <w:rPr>
                <w:szCs w:val="18"/>
              </w:rPr>
              <w:t>23,460</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20EC571" w14:textId="77777777" w:rsidR="00F51523" w:rsidRPr="00181EF3" w:rsidRDefault="00F51523" w:rsidP="00F51523">
            <w:pPr>
              <w:pStyle w:val="TableText"/>
              <w:tabs>
                <w:tab w:val="decimal" w:pos="765"/>
              </w:tabs>
              <w:rPr>
                <w:szCs w:val="18"/>
              </w:rPr>
            </w:pPr>
            <w:r w:rsidRPr="00181EF3">
              <w:rPr>
                <w:szCs w:val="18"/>
              </w:rPr>
              <w:t>738</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BB947FC" w14:textId="77777777" w:rsidR="00F51523" w:rsidRPr="00181EF3" w:rsidRDefault="00F51523" w:rsidP="00F51523">
            <w:pPr>
              <w:pStyle w:val="TableText"/>
              <w:tabs>
                <w:tab w:val="decimal" w:pos="765"/>
              </w:tabs>
              <w:rPr>
                <w:szCs w:val="18"/>
              </w:rPr>
            </w:pPr>
            <w:r w:rsidRPr="00181EF3">
              <w:rPr>
                <w:szCs w:val="18"/>
              </w:rPr>
              <w:t>14,697</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E0B6769" w14:textId="77777777" w:rsidR="00F51523" w:rsidRPr="00181EF3" w:rsidRDefault="00F51523" w:rsidP="00F51523">
            <w:pPr>
              <w:pStyle w:val="TableText"/>
              <w:tabs>
                <w:tab w:val="decimal" w:pos="765"/>
              </w:tabs>
              <w:rPr>
                <w:szCs w:val="18"/>
              </w:rPr>
            </w:pPr>
            <w:r w:rsidRPr="00181EF3">
              <w:rPr>
                <w:szCs w:val="18"/>
              </w:rPr>
              <w:t>15,819</w:t>
            </w:r>
          </w:p>
        </w:tc>
        <w:tc>
          <w:tcPr>
            <w:tcW w:w="1064" w:type="dxa"/>
            <w:tcBorders>
              <w:top w:val="single" w:sz="4" w:space="0" w:color="A6A6A6" w:themeColor="background1" w:themeShade="A6"/>
              <w:bottom w:val="single" w:sz="4" w:space="0" w:color="A6A6A6" w:themeColor="background1" w:themeShade="A6"/>
            </w:tcBorders>
          </w:tcPr>
          <w:p w14:paraId="168B1152" w14:textId="77777777" w:rsidR="00F51523" w:rsidRPr="00181EF3" w:rsidRDefault="00F51523" w:rsidP="00F51523">
            <w:pPr>
              <w:pStyle w:val="TableText"/>
              <w:tabs>
                <w:tab w:val="decimal" w:pos="765"/>
              </w:tabs>
              <w:rPr>
                <w:szCs w:val="18"/>
              </w:rPr>
            </w:pPr>
            <w:r w:rsidRPr="00181EF3">
              <w:rPr>
                <w:szCs w:val="18"/>
              </w:rPr>
              <w:t>88,458</w:t>
            </w:r>
          </w:p>
        </w:tc>
      </w:tr>
      <w:tr w:rsidR="00F51523" w:rsidRPr="00181EF3" w14:paraId="742A2312" w14:textId="77777777" w:rsidTr="00F51523">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8AF6AC5" w14:textId="77777777" w:rsidR="00F51523" w:rsidRPr="00181EF3" w:rsidRDefault="00F51523" w:rsidP="00F51523">
            <w:pPr>
              <w:pStyle w:val="TableText"/>
            </w:pPr>
            <w:r w:rsidRPr="00181EF3">
              <w:t>Hawkes Bay</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C9FD69E" w14:textId="77777777" w:rsidR="00F51523" w:rsidRPr="00181EF3" w:rsidRDefault="00F51523" w:rsidP="00F51523">
            <w:pPr>
              <w:pStyle w:val="TableText"/>
              <w:tabs>
                <w:tab w:val="decimal" w:pos="765"/>
              </w:tabs>
              <w:rPr>
                <w:szCs w:val="18"/>
              </w:rPr>
            </w:pPr>
            <w:r w:rsidRPr="00181EF3">
              <w:rPr>
                <w:szCs w:val="18"/>
              </w:rPr>
              <w:t>12,174</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AF93713" w14:textId="77777777" w:rsidR="00F51523" w:rsidRPr="00181EF3" w:rsidRDefault="00F51523" w:rsidP="00F51523">
            <w:pPr>
              <w:pStyle w:val="TableText"/>
              <w:tabs>
                <w:tab w:val="decimal" w:pos="765"/>
              </w:tabs>
              <w:rPr>
                <w:szCs w:val="18"/>
              </w:rPr>
            </w:pPr>
            <w:r w:rsidRPr="00181EF3">
              <w:rPr>
                <w:szCs w:val="18"/>
              </w:rPr>
              <w:t>21,921</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5C2BF47" w14:textId="77777777" w:rsidR="00F51523" w:rsidRPr="00181EF3" w:rsidRDefault="00F51523" w:rsidP="00F51523">
            <w:pPr>
              <w:pStyle w:val="TableText"/>
              <w:tabs>
                <w:tab w:val="decimal" w:pos="765"/>
              </w:tabs>
              <w:rPr>
                <w:szCs w:val="18"/>
              </w:rPr>
            </w:pPr>
            <w:r w:rsidRPr="00181EF3">
              <w:rPr>
                <w:szCs w:val="18"/>
              </w:rPr>
              <w:t>5,742</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B30C56F" w14:textId="77777777" w:rsidR="00F51523" w:rsidRPr="00181EF3" w:rsidRDefault="00F51523" w:rsidP="00F51523">
            <w:pPr>
              <w:pStyle w:val="TableText"/>
              <w:tabs>
                <w:tab w:val="decimal" w:pos="765"/>
              </w:tabs>
              <w:rPr>
                <w:szCs w:val="18"/>
              </w:rPr>
            </w:pPr>
            <w:r w:rsidRPr="00181EF3">
              <w:rPr>
                <w:szCs w:val="18"/>
              </w:rPr>
              <w:t>12,471</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9130778" w14:textId="77777777" w:rsidR="00F51523" w:rsidRPr="00181EF3" w:rsidRDefault="00F51523" w:rsidP="00F51523">
            <w:pPr>
              <w:pStyle w:val="TableText"/>
              <w:tabs>
                <w:tab w:val="decimal" w:pos="765"/>
              </w:tabs>
              <w:rPr>
                <w:szCs w:val="18"/>
              </w:rPr>
            </w:pPr>
            <w:r w:rsidRPr="00181EF3">
              <w:rPr>
                <w:szCs w:val="18"/>
              </w:rPr>
              <w:t>8,913</w:t>
            </w:r>
          </w:p>
        </w:tc>
        <w:tc>
          <w:tcPr>
            <w:tcW w:w="106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A125FC2" w14:textId="77777777" w:rsidR="00F51523" w:rsidRPr="00181EF3" w:rsidRDefault="00F51523" w:rsidP="00F51523">
            <w:pPr>
              <w:pStyle w:val="TableText"/>
              <w:tabs>
                <w:tab w:val="decimal" w:pos="765"/>
              </w:tabs>
              <w:rPr>
                <w:szCs w:val="18"/>
              </w:rPr>
            </w:pPr>
            <w:r w:rsidRPr="00181EF3">
              <w:rPr>
                <w:szCs w:val="18"/>
              </w:rPr>
              <w:t>29,145</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DF07529" w14:textId="77777777" w:rsidR="00F51523" w:rsidRPr="00181EF3" w:rsidRDefault="00F51523" w:rsidP="00F51523">
            <w:pPr>
              <w:pStyle w:val="TableText"/>
              <w:tabs>
                <w:tab w:val="decimal" w:pos="765"/>
              </w:tabs>
              <w:rPr>
                <w:szCs w:val="18"/>
              </w:rPr>
            </w:pPr>
            <w:r w:rsidRPr="00181EF3">
              <w:rPr>
                <w:szCs w:val="18"/>
              </w:rPr>
              <w:t>5,544</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CCB7E02" w14:textId="77777777" w:rsidR="00F51523" w:rsidRPr="00181EF3" w:rsidRDefault="00F51523" w:rsidP="00F51523">
            <w:pPr>
              <w:pStyle w:val="TableText"/>
              <w:tabs>
                <w:tab w:val="decimal" w:pos="765"/>
              </w:tabs>
              <w:rPr>
                <w:szCs w:val="18"/>
              </w:rPr>
            </w:pPr>
            <w:r w:rsidRPr="00181EF3">
              <w:rPr>
                <w:szCs w:val="18"/>
              </w:rPr>
              <w:t>31,800</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5AE03F2" w14:textId="77777777" w:rsidR="00F51523" w:rsidRPr="00181EF3" w:rsidRDefault="00F51523" w:rsidP="00F51523">
            <w:pPr>
              <w:pStyle w:val="TableText"/>
              <w:tabs>
                <w:tab w:val="decimal" w:pos="765"/>
              </w:tabs>
              <w:rPr>
                <w:szCs w:val="18"/>
              </w:rPr>
            </w:pPr>
            <w:r w:rsidRPr="00181EF3">
              <w:rPr>
                <w:szCs w:val="18"/>
              </w:rPr>
              <w:t>1,533</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FDA1FFF" w14:textId="77777777" w:rsidR="00F51523" w:rsidRPr="00181EF3" w:rsidRDefault="00F51523" w:rsidP="00F51523">
            <w:pPr>
              <w:pStyle w:val="TableText"/>
              <w:tabs>
                <w:tab w:val="decimal" w:pos="765"/>
              </w:tabs>
              <w:rPr>
                <w:szCs w:val="18"/>
              </w:rPr>
            </w:pPr>
            <w:r w:rsidRPr="00181EF3">
              <w:rPr>
                <w:szCs w:val="18"/>
              </w:rPr>
              <w:t>19,005</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E0A659C" w14:textId="77777777" w:rsidR="00F51523" w:rsidRPr="00181EF3" w:rsidRDefault="00F51523" w:rsidP="00F51523">
            <w:pPr>
              <w:pStyle w:val="TableText"/>
              <w:tabs>
                <w:tab w:val="decimal" w:pos="765"/>
              </w:tabs>
              <w:rPr>
                <w:szCs w:val="18"/>
              </w:rPr>
            </w:pPr>
            <w:r w:rsidRPr="00181EF3">
              <w:rPr>
                <w:szCs w:val="18"/>
              </w:rPr>
              <w:t>33,903</w:t>
            </w:r>
          </w:p>
        </w:tc>
        <w:tc>
          <w:tcPr>
            <w:tcW w:w="1064" w:type="dxa"/>
            <w:tcBorders>
              <w:top w:val="single" w:sz="4" w:space="0" w:color="A6A6A6" w:themeColor="background1" w:themeShade="A6"/>
              <w:bottom w:val="single" w:sz="4" w:space="0" w:color="A6A6A6" w:themeColor="background1" w:themeShade="A6"/>
            </w:tcBorders>
          </w:tcPr>
          <w:p w14:paraId="0FE8E1C6" w14:textId="77777777" w:rsidR="00F51523" w:rsidRPr="00181EF3" w:rsidRDefault="00F51523" w:rsidP="00F51523">
            <w:pPr>
              <w:pStyle w:val="TableText"/>
              <w:tabs>
                <w:tab w:val="decimal" w:pos="765"/>
              </w:tabs>
              <w:rPr>
                <w:szCs w:val="18"/>
              </w:rPr>
            </w:pPr>
            <w:r w:rsidRPr="00181EF3">
              <w:rPr>
                <w:szCs w:val="18"/>
              </w:rPr>
              <w:t>114,345</w:t>
            </w:r>
          </w:p>
        </w:tc>
      </w:tr>
      <w:tr w:rsidR="00F51523" w:rsidRPr="00181EF3" w14:paraId="24CCB338" w14:textId="77777777" w:rsidTr="00F51523">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F9067F2" w14:textId="77777777" w:rsidR="00F51523" w:rsidRPr="00181EF3" w:rsidRDefault="00F51523" w:rsidP="00F51523">
            <w:pPr>
              <w:pStyle w:val="TableText"/>
            </w:pPr>
            <w:r w:rsidRPr="00181EF3">
              <w:t>Whanganui</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1F072E0" w14:textId="77777777" w:rsidR="00F51523" w:rsidRPr="00181EF3" w:rsidRDefault="00F51523" w:rsidP="00F51523">
            <w:pPr>
              <w:pStyle w:val="TableText"/>
              <w:tabs>
                <w:tab w:val="decimal" w:pos="765"/>
              </w:tabs>
              <w:rPr>
                <w:szCs w:val="18"/>
              </w:rPr>
            </w:pPr>
            <w:r w:rsidRPr="00181EF3">
              <w:rPr>
                <w:szCs w:val="18"/>
              </w:rPr>
              <w:t>5,112</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073CB8C" w14:textId="77777777" w:rsidR="00F51523" w:rsidRPr="00181EF3" w:rsidRDefault="00F51523" w:rsidP="00F51523">
            <w:pPr>
              <w:pStyle w:val="TableText"/>
              <w:tabs>
                <w:tab w:val="decimal" w:pos="765"/>
              </w:tabs>
              <w:rPr>
                <w:szCs w:val="18"/>
              </w:rPr>
            </w:pPr>
            <w:r w:rsidRPr="00181EF3">
              <w:rPr>
                <w:szCs w:val="18"/>
              </w:rPr>
              <w:t>8,685</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554A156" w14:textId="77777777" w:rsidR="00F51523" w:rsidRPr="00181EF3" w:rsidRDefault="00F51523" w:rsidP="00F51523">
            <w:pPr>
              <w:pStyle w:val="TableText"/>
              <w:tabs>
                <w:tab w:val="decimal" w:pos="765"/>
              </w:tabs>
              <w:rPr>
                <w:szCs w:val="18"/>
              </w:rPr>
            </w:pPr>
            <w:r w:rsidRPr="00181EF3">
              <w:rPr>
                <w:szCs w:val="18"/>
              </w:rPr>
              <w:t>2,514</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ABE343D" w14:textId="77777777" w:rsidR="00F51523" w:rsidRPr="00181EF3" w:rsidRDefault="00F51523" w:rsidP="00F51523">
            <w:pPr>
              <w:pStyle w:val="TableText"/>
              <w:tabs>
                <w:tab w:val="decimal" w:pos="765"/>
              </w:tabs>
              <w:rPr>
                <w:szCs w:val="18"/>
              </w:rPr>
            </w:pPr>
            <w:r w:rsidRPr="00181EF3">
              <w:rPr>
                <w:szCs w:val="18"/>
              </w:rPr>
              <w:t>5,337</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DE6D364" w14:textId="77777777" w:rsidR="00F51523" w:rsidRPr="00181EF3" w:rsidRDefault="00F51523" w:rsidP="00F51523">
            <w:pPr>
              <w:pStyle w:val="TableText"/>
              <w:tabs>
                <w:tab w:val="decimal" w:pos="765"/>
              </w:tabs>
              <w:rPr>
                <w:szCs w:val="18"/>
              </w:rPr>
            </w:pPr>
            <w:r w:rsidRPr="00181EF3">
              <w:rPr>
                <w:szCs w:val="18"/>
              </w:rPr>
              <w:t>3,732</w:t>
            </w:r>
          </w:p>
        </w:tc>
        <w:tc>
          <w:tcPr>
            <w:tcW w:w="106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B4864E5" w14:textId="77777777" w:rsidR="00F51523" w:rsidRPr="00181EF3" w:rsidRDefault="00F51523" w:rsidP="00F51523">
            <w:pPr>
              <w:pStyle w:val="TableText"/>
              <w:tabs>
                <w:tab w:val="decimal" w:pos="765"/>
              </w:tabs>
              <w:rPr>
                <w:szCs w:val="18"/>
              </w:rPr>
            </w:pPr>
            <w:r w:rsidRPr="00181EF3">
              <w:rPr>
                <w:szCs w:val="18"/>
              </w:rPr>
              <w:t>11,487</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3535631" w14:textId="77777777" w:rsidR="00F51523" w:rsidRPr="00181EF3" w:rsidRDefault="00F51523" w:rsidP="00F51523">
            <w:pPr>
              <w:pStyle w:val="TableText"/>
              <w:tabs>
                <w:tab w:val="decimal" w:pos="765"/>
              </w:tabs>
              <w:rPr>
                <w:szCs w:val="18"/>
              </w:rPr>
            </w:pPr>
            <w:r w:rsidRPr="00181EF3">
              <w:rPr>
                <w:szCs w:val="18"/>
              </w:rPr>
              <w:t>2,343</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F1E8E0F" w14:textId="77777777" w:rsidR="00F51523" w:rsidRPr="00181EF3" w:rsidRDefault="00F51523" w:rsidP="00F51523">
            <w:pPr>
              <w:pStyle w:val="TableText"/>
              <w:tabs>
                <w:tab w:val="decimal" w:pos="765"/>
              </w:tabs>
              <w:rPr>
                <w:szCs w:val="18"/>
              </w:rPr>
            </w:pPr>
            <w:r w:rsidRPr="00181EF3">
              <w:rPr>
                <w:szCs w:val="18"/>
              </w:rPr>
              <w:t>13,212</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23CC3D2" w14:textId="77777777" w:rsidR="00F51523" w:rsidRPr="00181EF3" w:rsidRDefault="00F51523" w:rsidP="00F51523">
            <w:pPr>
              <w:pStyle w:val="TableText"/>
              <w:tabs>
                <w:tab w:val="decimal" w:pos="765"/>
              </w:tabs>
              <w:rPr>
                <w:szCs w:val="18"/>
              </w:rPr>
            </w:pPr>
            <w:r w:rsidRPr="00181EF3">
              <w:rPr>
                <w:szCs w:val="18"/>
              </w:rPr>
              <w:t>720</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031181E" w14:textId="77777777" w:rsidR="00F51523" w:rsidRPr="00181EF3" w:rsidRDefault="00F51523" w:rsidP="00F51523">
            <w:pPr>
              <w:pStyle w:val="TableText"/>
              <w:tabs>
                <w:tab w:val="decimal" w:pos="765"/>
              </w:tabs>
              <w:rPr>
                <w:szCs w:val="18"/>
              </w:rPr>
            </w:pPr>
            <w:r w:rsidRPr="00181EF3">
              <w:rPr>
                <w:szCs w:val="18"/>
              </w:rPr>
              <w:t>9,069</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6772604" w14:textId="77777777" w:rsidR="00F51523" w:rsidRPr="00181EF3" w:rsidRDefault="00F51523" w:rsidP="00F51523">
            <w:pPr>
              <w:pStyle w:val="TableText"/>
              <w:tabs>
                <w:tab w:val="decimal" w:pos="765"/>
              </w:tabs>
              <w:rPr>
                <w:szCs w:val="18"/>
              </w:rPr>
            </w:pPr>
            <w:r w:rsidRPr="00181EF3">
              <w:rPr>
                <w:szCs w:val="18"/>
              </w:rPr>
              <w:t>14,424</w:t>
            </w:r>
          </w:p>
        </w:tc>
        <w:tc>
          <w:tcPr>
            <w:tcW w:w="1064" w:type="dxa"/>
            <w:tcBorders>
              <w:top w:val="single" w:sz="4" w:space="0" w:color="A6A6A6" w:themeColor="background1" w:themeShade="A6"/>
              <w:bottom w:val="single" w:sz="4" w:space="0" w:color="A6A6A6" w:themeColor="background1" w:themeShade="A6"/>
            </w:tcBorders>
          </w:tcPr>
          <w:p w14:paraId="33FA4F9B" w14:textId="77777777" w:rsidR="00F51523" w:rsidRPr="00181EF3" w:rsidRDefault="00F51523" w:rsidP="00F51523">
            <w:pPr>
              <w:pStyle w:val="TableText"/>
              <w:tabs>
                <w:tab w:val="decimal" w:pos="765"/>
              </w:tabs>
              <w:rPr>
                <w:szCs w:val="18"/>
              </w:rPr>
            </w:pPr>
            <w:r w:rsidRPr="00181EF3">
              <w:rPr>
                <w:szCs w:val="18"/>
              </w:rPr>
              <w:t>47,787</w:t>
            </w:r>
          </w:p>
        </w:tc>
      </w:tr>
      <w:tr w:rsidR="00F51523" w:rsidRPr="00181EF3" w14:paraId="6C8783E5" w14:textId="77777777" w:rsidTr="00F51523">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C0430E0" w14:textId="77777777" w:rsidR="00F51523" w:rsidRPr="00181EF3" w:rsidRDefault="00F51523" w:rsidP="00F51523">
            <w:pPr>
              <w:pStyle w:val="TableText"/>
            </w:pPr>
            <w:r w:rsidRPr="00181EF3">
              <w:t>MidCentral</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7D3F0CC" w14:textId="77777777" w:rsidR="00F51523" w:rsidRPr="00181EF3" w:rsidRDefault="00F51523" w:rsidP="00F51523">
            <w:pPr>
              <w:pStyle w:val="TableText"/>
              <w:tabs>
                <w:tab w:val="decimal" w:pos="765"/>
              </w:tabs>
              <w:rPr>
                <w:szCs w:val="18"/>
              </w:rPr>
            </w:pPr>
            <w:r w:rsidRPr="00181EF3">
              <w:rPr>
                <w:szCs w:val="18"/>
              </w:rPr>
              <w:t>9,858</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8C97969" w14:textId="77777777" w:rsidR="00F51523" w:rsidRPr="00181EF3" w:rsidRDefault="00F51523" w:rsidP="00F51523">
            <w:pPr>
              <w:pStyle w:val="TableText"/>
              <w:tabs>
                <w:tab w:val="decimal" w:pos="765"/>
              </w:tabs>
              <w:rPr>
                <w:szCs w:val="18"/>
              </w:rPr>
            </w:pPr>
            <w:r w:rsidRPr="00181EF3">
              <w:rPr>
                <w:szCs w:val="18"/>
              </w:rPr>
              <w:t>24,072</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4436692" w14:textId="77777777" w:rsidR="00F51523" w:rsidRPr="00181EF3" w:rsidRDefault="00F51523" w:rsidP="00F51523">
            <w:pPr>
              <w:pStyle w:val="TableText"/>
              <w:tabs>
                <w:tab w:val="decimal" w:pos="765"/>
              </w:tabs>
              <w:rPr>
                <w:szCs w:val="18"/>
              </w:rPr>
            </w:pPr>
            <w:r w:rsidRPr="00181EF3">
              <w:rPr>
                <w:szCs w:val="18"/>
              </w:rPr>
              <w:t>5,091</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8C2B613" w14:textId="77777777" w:rsidR="00F51523" w:rsidRPr="00181EF3" w:rsidRDefault="00F51523" w:rsidP="00F51523">
            <w:pPr>
              <w:pStyle w:val="TableText"/>
              <w:tabs>
                <w:tab w:val="decimal" w:pos="765"/>
              </w:tabs>
              <w:rPr>
                <w:szCs w:val="18"/>
              </w:rPr>
            </w:pPr>
            <w:r w:rsidRPr="00181EF3">
              <w:rPr>
                <w:szCs w:val="18"/>
              </w:rPr>
              <w:t>18,999</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0CFB1E0" w14:textId="77777777" w:rsidR="00F51523" w:rsidRPr="00181EF3" w:rsidRDefault="00F51523" w:rsidP="00F51523">
            <w:pPr>
              <w:pStyle w:val="TableText"/>
              <w:tabs>
                <w:tab w:val="decimal" w:pos="765"/>
              </w:tabs>
              <w:rPr>
                <w:szCs w:val="18"/>
              </w:rPr>
            </w:pPr>
            <w:r w:rsidRPr="00181EF3">
              <w:rPr>
                <w:szCs w:val="18"/>
              </w:rPr>
              <w:t>7,059</w:t>
            </w:r>
          </w:p>
        </w:tc>
        <w:tc>
          <w:tcPr>
            <w:tcW w:w="106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AE78FFA" w14:textId="77777777" w:rsidR="00F51523" w:rsidRPr="00181EF3" w:rsidRDefault="00F51523" w:rsidP="00F51523">
            <w:pPr>
              <w:pStyle w:val="TableText"/>
              <w:tabs>
                <w:tab w:val="decimal" w:pos="765"/>
              </w:tabs>
              <w:rPr>
                <w:szCs w:val="18"/>
              </w:rPr>
            </w:pPr>
            <w:r w:rsidRPr="00181EF3">
              <w:rPr>
                <w:szCs w:val="18"/>
              </w:rPr>
              <w:t>33,840</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08B4D1A" w14:textId="77777777" w:rsidR="00F51523" w:rsidRPr="00181EF3" w:rsidRDefault="00F51523" w:rsidP="00F51523">
            <w:pPr>
              <w:pStyle w:val="TableText"/>
              <w:tabs>
                <w:tab w:val="decimal" w:pos="765"/>
              </w:tabs>
              <w:rPr>
                <w:szCs w:val="18"/>
              </w:rPr>
            </w:pPr>
            <w:r w:rsidRPr="00181EF3">
              <w:rPr>
                <w:szCs w:val="18"/>
              </w:rPr>
              <w:t>3,690</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B19B73C" w14:textId="77777777" w:rsidR="00F51523" w:rsidRPr="00181EF3" w:rsidRDefault="00F51523" w:rsidP="00F51523">
            <w:pPr>
              <w:pStyle w:val="TableText"/>
              <w:tabs>
                <w:tab w:val="decimal" w:pos="765"/>
              </w:tabs>
              <w:rPr>
                <w:szCs w:val="18"/>
              </w:rPr>
            </w:pPr>
            <w:r w:rsidRPr="00181EF3">
              <w:rPr>
                <w:szCs w:val="18"/>
              </w:rPr>
              <w:t>33,888</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4975C02" w14:textId="77777777" w:rsidR="00F51523" w:rsidRPr="00181EF3" w:rsidRDefault="00F51523" w:rsidP="00F51523">
            <w:pPr>
              <w:pStyle w:val="TableText"/>
              <w:tabs>
                <w:tab w:val="decimal" w:pos="765"/>
              </w:tabs>
              <w:rPr>
                <w:szCs w:val="18"/>
              </w:rPr>
            </w:pPr>
            <w:r w:rsidRPr="00181EF3">
              <w:rPr>
                <w:szCs w:val="18"/>
              </w:rPr>
              <w:t>1,008</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DB158B9" w14:textId="77777777" w:rsidR="00F51523" w:rsidRPr="00181EF3" w:rsidRDefault="00F51523" w:rsidP="00F51523">
            <w:pPr>
              <w:pStyle w:val="TableText"/>
              <w:tabs>
                <w:tab w:val="decimal" w:pos="765"/>
              </w:tabs>
              <w:rPr>
                <w:szCs w:val="18"/>
              </w:rPr>
            </w:pPr>
            <w:r w:rsidRPr="00181EF3">
              <w:rPr>
                <w:szCs w:val="18"/>
              </w:rPr>
              <w:t>21,336</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7A57A30" w14:textId="77777777" w:rsidR="00F51523" w:rsidRPr="00181EF3" w:rsidRDefault="00F51523" w:rsidP="00F51523">
            <w:pPr>
              <w:pStyle w:val="TableText"/>
              <w:tabs>
                <w:tab w:val="decimal" w:pos="765"/>
              </w:tabs>
              <w:rPr>
                <w:szCs w:val="18"/>
              </w:rPr>
            </w:pPr>
            <w:r w:rsidRPr="00181EF3">
              <w:rPr>
                <w:szCs w:val="18"/>
              </w:rPr>
              <w:t>26,712</w:t>
            </w:r>
          </w:p>
        </w:tc>
        <w:tc>
          <w:tcPr>
            <w:tcW w:w="1064" w:type="dxa"/>
            <w:tcBorders>
              <w:top w:val="single" w:sz="4" w:space="0" w:color="A6A6A6" w:themeColor="background1" w:themeShade="A6"/>
              <w:bottom w:val="single" w:sz="4" w:space="0" w:color="A6A6A6" w:themeColor="background1" w:themeShade="A6"/>
            </w:tcBorders>
          </w:tcPr>
          <w:p w14:paraId="024D5A22" w14:textId="77777777" w:rsidR="00F51523" w:rsidRPr="00181EF3" w:rsidRDefault="00F51523" w:rsidP="00F51523">
            <w:pPr>
              <w:pStyle w:val="TableText"/>
              <w:tabs>
                <w:tab w:val="decimal" w:pos="765"/>
              </w:tabs>
              <w:rPr>
                <w:szCs w:val="18"/>
              </w:rPr>
            </w:pPr>
            <w:r w:rsidRPr="00181EF3">
              <w:rPr>
                <w:szCs w:val="18"/>
              </w:rPr>
              <w:t>132,129</w:t>
            </w:r>
          </w:p>
        </w:tc>
      </w:tr>
      <w:tr w:rsidR="00F51523" w:rsidRPr="00181EF3" w14:paraId="07DA61B4" w14:textId="77777777" w:rsidTr="00F51523">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5DBD537" w14:textId="77777777" w:rsidR="00F51523" w:rsidRPr="00181EF3" w:rsidRDefault="00F51523" w:rsidP="00F51523">
            <w:pPr>
              <w:pStyle w:val="TableText"/>
            </w:pPr>
            <w:r w:rsidRPr="00181EF3">
              <w:t>Hutt</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D8F7478" w14:textId="77777777" w:rsidR="00F51523" w:rsidRPr="00181EF3" w:rsidRDefault="00F51523" w:rsidP="00F51523">
            <w:pPr>
              <w:pStyle w:val="TableText"/>
              <w:tabs>
                <w:tab w:val="decimal" w:pos="765"/>
              </w:tabs>
              <w:rPr>
                <w:szCs w:val="18"/>
              </w:rPr>
            </w:pPr>
            <w:r w:rsidRPr="00181EF3">
              <w:rPr>
                <w:szCs w:val="18"/>
              </w:rPr>
              <w:t>7,701</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3742977" w14:textId="77777777" w:rsidR="00F51523" w:rsidRPr="00181EF3" w:rsidRDefault="00F51523" w:rsidP="00F51523">
            <w:pPr>
              <w:pStyle w:val="TableText"/>
              <w:tabs>
                <w:tab w:val="decimal" w:pos="765"/>
              </w:tabs>
              <w:rPr>
                <w:szCs w:val="18"/>
              </w:rPr>
            </w:pPr>
            <w:r w:rsidRPr="00181EF3">
              <w:rPr>
                <w:szCs w:val="18"/>
              </w:rPr>
              <w:t>23,136</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A67761A" w14:textId="77777777" w:rsidR="00F51523" w:rsidRPr="00181EF3" w:rsidRDefault="00F51523" w:rsidP="00F51523">
            <w:pPr>
              <w:pStyle w:val="TableText"/>
              <w:tabs>
                <w:tab w:val="decimal" w:pos="765"/>
              </w:tabs>
              <w:rPr>
                <w:szCs w:val="18"/>
              </w:rPr>
            </w:pPr>
            <w:r w:rsidRPr="00181EF3">
              <w:rPr>
                <w:szCs w:val="18"/>
              </w:rPr>
              <w:t>3,900</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E2A7BF2" w14:textId="77777777" w:rsidR="00F51523" w:rsidRPr="00181EF3" w:rsidRDefault="00F51523" w:rsidP="00F51523">
            <w:pPr>
              <w:pStyle w:val="TableText"/>
              <w:tabs>
                <w:tab w:val="decimal" w:pos="765"/>
              </w:tabs>
              <w:rPr>
                <w:szCs w:val="18"/>
              </w:rPr>
            </w:pPr>
            <w:r w:rsidRPr="00181EF3">
              <w:rPr>
                <w:szCs w:val="18"/>
              </w:rPr>
              <w:t>14,580</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EE1A4BF" w14:textId="77777777" w:rsidR="00F51523" w:rsidRPr="00181EF3" w:rsidRDefault="00F51523" w:rsidP="00F51523">
            <w:pPr>
              <w:pStyle w:val="TableText"/>
              <w:tabs>
                <w:tab w:val="decimal" w:pos="765"/>
              </w:tabs>
              <w:rPr>
                <w:szCs w:val="18"/>
              </w:rPr>
            </w:pPr>
            <w:r w:rsidRPr="00181EF3">
              <w:rPr>
                <w:szCs w:val="18"/>
              </w:rPr>
              <w:t>6,126</w:t>
            </w:r>
          </w:p>
        </w:tc>
        <w:tc>
          <w:tcPr>
            <w:tcW w:w="106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179DED9" w14:textId="77777777" w:rsidR="00F51523" w:rsidRPr="00181EF3" w:rsidRDefault="00F51523" w:rsidP="00F51523">
            <w:pPr>
              <w:pStyle w:val="TableText"/>
              <w:tabs>
                <w:tab w:val="decimal" w:pos="765"/>
              </w:tabs>
              <w:rPr>
                <w:szCs w:val="18"/>
              </w:rPr>
            </w:pPr>
            <w:r w:rsidRPr="00181EF3">
              <w:rPr>
                <w:szCs w:val="18"/>
              </w:rPr>
              <w:t>32.964</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B66EBCC" w14:textId="77777777" w:rsidR="00F51523" w:rsidRPr="00181EF3" w:rsidRDefault="00F51523" w:rsidP="00F51523">
            <w:pPr>
              <w:pStyle w:val="TableText"/>
              <w:tabs>
                <w:tab w:val="decimal" w:pos="765"/>
              </w:tabs>
              <w:rPr>
                <w:szCs w:val="18"/>
              </w:rPr>
            </w:pPr>
            <w:r w:rsidRPr="00181EF3">
              <w:rPr>
                <w:szCs w:val="18"/>
              </w:rPr>
              <w:t>3,162</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670B717" w14:textId="77777777" w:rsidR="00F51523" w:rsidRPr="00181EF3" w:rsidRDefault="00F51523" w:rsidP="00F51523">
            <w:pPr>
              <w:pStyle w:val="TableText"/>
              <w:tabs>
                <w:tab w:val="decimal" w:pos="765"/>
              </w:tabs>
              <w:rPr>
                <w:szCs w:val="18"/>
              </w:rPr>
            </w:pPr>
            <w:r w:rsidRPr="00181EF3">
              <w:rPr>
                <w:szCs w:val="18"/>
              </w:rPr>
              <w:t>29,079</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D2CEBAF" w14:textId="77777777" w:rsidR="00F51523" w:rsidRPr="00181EF3" w:rsidRDefault="00F51523" w:rsidP="00F51523">
            <w:pPr>
              <w:pStyle w:val="TableText"/>
              <w:tabs>
                <w:tab w:val="decimal" w:pos="765"/>
              </w:tabs>
              <w:rPr>
                <w:szCs w:val="18"/>
              </w:rPr>
            </w:pPr>
            <w:r w:rsidRPr="00181EF3">
              <w:rPr>
                <w:szCs w:val="18"/>
              </w:rPr>
              <w:t>597</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F5A7C02" w14:textId="77777777" w:rsidR="00F51523" w:rsidRPr="00181EF3" w:rsidRDefault="00F51523" w:rsidP="00F51523">
            <w:pPr>
              <w:pStyle w:val="TableText"/>
              <w:tabs>
                <w:tab w:val="decimal" w:pos="765"/>
              </w:tabs>
              <w:rPr>
                <w:szCs w:val="18"/>
              </w:rPr>
            </w:pPr>
            <w:r w:rsidRPr="00181EF3">
              <w:rPr>
                <w:szCs w:val="18"/>
              </w:rPr>
              <w:t>14,853</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D540DA0" w14:textId="77777777" w:rsidR="00F51523" w:rsidRPr="00181EF3" w:rsidRDefault="00F51523" w:rsidP="00F51523">
            <w:pPr>
              <w:pStyle w:val="TableText"/>
              <w:tabs>
                <w:tab w:val="decimal" w:pos="765"/>
              </w:tabs>
              <w:rPr>
                <w:szCs w:val="18"/>
              </w:rPr>
            </w:pPr>
            <w:r w:rsidRPr="00181EF3">
              <w:rPr>
                <w:szCs w:val="18"/>
              </w:rPr>
              <w:t>21,480</w:t>
            </w:r>
          </w:p>
        </w:tc>
        <w:tc>
          <w:tcPr>
            <w:tcW w:w="1064" w:type="dxa"/>
            <w:tcBorders>
              <w:top w:val="single" w:sz="4" w:space="0" w:color="A6A6A6" w:themeColor="background1" w:themeShade="A6"/>
              <w:bottom w:val="single" w:sz="4" w:space="0" w:color="A6A6A6" w:themeColor="background1" w:themeShade="A6"/>
            </w:tcBorders>
          </w:tcPr>
          <w:p w14:paraId="4C9B961B" w14:textId="77777777" w:rsidR="00F51523" w:rsidRPr="00181EF3" w:rsidRDefault="00F51523" w:rsidP="00F51523">
            <w:pPr>
              <w:pStyle w:val="TableText"/>
              <w:tabs>
                <w:tab w:val="decimal" w:pos="765"/>
              </w:tabs>
              <w:rPr>
                <w:szCs w:val="18"/>
              </w:rPr>
            </w:pPr>
            <w:r w:rsidRPr="00181EF3">
              <w:rPr>
                <w:szCs w:val="18"/>
              </w:rPr>
              <w:t>114,621</w:t>
            </w:r>
          </w:p>
        </w:tc>
      </w:tr>
      <w:tr w:rsidR="00F51523" w:rsidRPr="00181EF3" w14:paraId="1E97167F" w14:textId="77777777" w:rsidTr="00F51523">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FE2EC56" w14:textId="77777777" w:rsidR="00F51523" w:rsidRPr="00181EF3" w:rsidRDefault="00F51523" w:rsidP="00F51523">
            <w:pPr>
              <w:pStyle w:val="TableText"/>
            </w:pPr>
            <w:r w:rsidRPr="00181EF3">
              <w:t>Capital and Coast</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F91970E" w14:textId="77777777" w:rsidR="00F51523" w:rsidRPr="00181EF3" w:rsidRDefault="00F51523" w:rsidP="00F51523">
            <w:pPr>
              <w:pStyle w:val="TableText"/>
              <w:tabs>
                <w:tab w:val="decimal" w:pos="765"/>
              </w:tabs>
              <w:rPr>
                <w:szCs w:val="18"/>
              </w:rPr>
            </w:pPr>
            <w:r w:rsidRPr="00181EF3">
              <w:rPr>
                <w:szCs w:val="18"/>
              </w:rPr>
              <w:t>8,583</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F5CB892" w14:textId="77777777" w:rsidR="00F51523" w:rsidRPr="00181EF3" w:rsidRDefault="00F51523" w:rsidP="00F51523">
            <w:pPr>
              <w:pStyle w:val="TableText"/>
              <w:tabs>
                <w:tab w:val="decimal" w:pos="765"/>
              </w:tabs>
              <w:rPr>
                <w:szCs w:val="18"/>
              </w:rPr>
            </w:pPr>
            <w:r w:rsidRPr="00181EF3">
              <w:rPr>
                <w:szCs w:val="18"/>
              </w:rPr>
              <w:t>43,332</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32193A1" w14:textId="77777777" w:rsidR="00F51523" w:rsidRPr="00181EF3" w:rsidRDefault="00F51523" w:rsidP="00F51523">
            <w:pPr>
              <w:pStyle w:val="TableText"/>
              <w:tabs>
                <w:tab w:val="decimal" w:pos="765"/>
              </w:tabs>
              <w:rPr>
                <w:szCs w:val="18"/>
              </w:rPr>
            </w:pPr>
            <w:r w:rsidRPr="00181EF3">
              <w:rPr>
                <w:szCs w:val="18"/>
              </w:rPr>
              <w:t>5,226</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A29521F" w14:textId="77777777" w:rsidR="00F51523" w:rsidRPr="00181EF3" w:rsidRDefault="00F51523" w:rsidP="00F51523">
            <w:pPr>
              <w:pStyle w:val="TableText"/>
              <w:tabs>
                <w:tab w:val="decimal" w:pos="765"/>
              </w:tabs>
              <w:rPr>
                <w:szCs w:val="18"/>
              </w:rPr>
            </w:pPr>
            <w:r w:rsidRPr="00181EF3">
              <w:rPr>
                <w:szCs w:val="18"/>
              </w:rPr>
              <w:t>37,134</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E401F70" w14:textId="77777777" w:rsidR="00F51523" w:rsidRPr="00181EF3" w:rsidRDefault="00F51523" w:rsidP="00F51523">
            <w:pPr>
              <w:pStyle w:val="TableText"/>
              <w:tabs>
                <w:tab w:val="decimal" w:pos="765"/>
              </w:tabs>
              <w:rPr>
                <w:szCs w:val="18"/>
              </w:rPr>
            </w:pPr>
            <w:r w:rsidRPr="00181EF3">
              <w:rPr>
                <w:szCs w:val="18"/>
              </w:rPr>
              <w:t>8,079</w:t>
            </w:r>
          </w:p>
        </w:tc>
        <w:tc>
          <w:tcPr>
            <w:tcW w:w="106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D030406" w14:textId="77777777" w:rsidR="00F51523" w:rsidRPr="00181EF3" w:rsidRDefault="00F51523" w:rsidP="00F51523">
            <w:pPr>
              <w:pStyle w:val="TableText"/>
              <w:tabs>
                <w:tab w:val="decimal" w:pos="765"/>
              </w:tabs>
              <w:rPr>
                <w:szCs w:val="18"/>
              </w:rPr>
            </w:pPr>
            <w:r w:rsidRPr="00181EF3">
              <w:rPr>
                <w:szCs w:val="18"/>
              </w:rPr>
              <w:t>77,208</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7BE293A" w14:textId="77777777" w:rsidR="00F51523" w:rsidRPr="00181EF3" w:rsidRDefault="00F51523" w:rsidP="00F51523">
            <w:pPr>
              <w:pStyle w:val="TableText"/>
              <w:tabs>
                <w:tab w:val="decimal" w:pos="765"/>
              </w:tabs>
              <w:rPr>
                <w:szCs w:val="18"/>
              </w:rPr>
            </w:pPr>
            <w:r w:rsidRPr="00181EF3">
              <w:rPr>
                <w:szCs w:val="18"/>
              </w:rPr>
              <w:t>3,804</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540881D" w14:textId="77777777" w:rsidR="00F51523" w:rsidRPr="00181EF3" w:rsidRDefault="00F51523" w:rsidP="00F51523">
            <w:pPr>
              <w:pStyle w:val="TableText"/>
              <w:tabs>
                <w:tab w:val="decimal" w:pos="765"/>
              </w:tabs>
              <w:rPr>
                <w:szCs w:val="18"/>
              </w:rPr>
            </w:pPr>
            <w:r w:rsidRPr="00181EF3">
              <w:rPr>
                <w:szCs w:val="18"/>
              </w:rPr>
              <w:t>55,179</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7B2858C" w14:textId="77777777" w:rsidR="00F51523" w:rsidRPr="00181EF3" w:rsidRDefault="00F51523" w:rsidP="00F51523">
            <w:pPr>
              <w:pStyle w:val="TableText"/>
              <w:tabs>
                <w:tab w:val="decimal" w:pos="765"/>
              </w:tabs>
              <w:rPr>
                <w:szCs w:val="18"/>
              </w:rPr>
            </w:pPr>
            <w:r w:rsidRPr="00181EF3">
              <w:rPr>
                <w:szCs w:val="18"/>
              </w:rPr>
              <w:t>810</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6BA0A80" w14:textId="77777777" w:rsidR="00F51523" w:rsidRPr="00181EF3" w:rsidRDefault="00F51523" w:rsidP="00F51523">
            <w:pPr>
              <w:pStyle w:val="TableText"/>
              <w:tabs>
                <w:tab w:val="decimal" w:pos="765"/>
              </w:tabs>
              <w:rPr>
                <w:szCs w:val="18"/>
              </w:rPr>
            </w:pPr>
            <w:r w:rsidRPr="00181EF3">
              <w:rPr>
                <w:szCs w:val="18"/>
              </w:rPr>
              <w:t>27,294</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A31A4A6" w14:textId="77777777" w:rsidR="00F51523" w:rsidRPr="00181EF3" w:rsidRDefault="00F51523" w:rsidP="00F51523">
            <w:pPr>
              <w:pStyle w:val="TableText"/>
              <w:tabs>
                <w:tab w:val="decimal" w:pos="765"/>
              </w:tabs>
              <w:rPr>
                <w:szCs w:val="18"/>
              </w:rPr>
            </w:pPr>
            <w:r w:rsidRPr="00181EF3">
              <w:rPr>
                <w:szCs w:val="18"/>
              </w:rPr>
              <w:t>26,496</w:t>
            </w:r>
          </w:p>
        </w:tc>
        <w:tc>
          <w:tcPr>
            <w:tcW w:w="1064" w:type="dxa"/>
            <w:tcBorders>
              <w:top w:val="single" w:sz="4" w:space="0" w:color="A6A6A6" w:themeColor="background1" w:themeShade="A6"/>
              <w:bottom w:val="single" w:sz="4" w:space="0" w:color="A6A6A6" w:themeColor="background1" w:themeShade="A6"/>
            </w:tcBorders>
          </w:tcPr>
          <w:p w14:paraId="7D86271A" w14:textId="77777777" w:rsidR="00F51523" w:rsidRPr="00181EF3" w:rsidRDefault="00F51523" w:rsidP="00F51523">
            <w:pPr>
              <w:pStyle w:val="TableText"/>
              <w:tabs>
                <w:tab w:val="decimal" w:pos="765"/>
              </w:tabs>
              <w:rPr>
                <w:szCs w:val="18"/>
              </w:rPr>
            </w:pPr>
            <w:r w:rsidRPr="00181EF3">
              <w:rPr>
                <w:szCs w:val="18"/>
              </w:rPr>
              <w:t>240,162</w:t>
            </w:r>
          </w:p>
        </w:tc>
      </w:tr>
      <w:tr w:rsidR="00F51523" w:rsidRPr="00181EF3" w14:paraId="419533AA" w14:textId="77777777" w:rsidTr="00F51523">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546B7F7" w14:textId="77777777" w:rsidR="00F51523" w:rsidRPr="00181EF3" w:rsidRDefault="00F51523" w:rsidP="00F51523">
            <w:pPr>
              <w:pStyle w:val="TableText"/>
            </w:pPr>
            <w:r w:rsidRPr="00181EF3">
              <w:t>Wairarapa</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50C508E" w14:textId="77777777" w:rsidR="00F51523" w:rsidRPr="00181EF3" w:rsidRDefault="00F51523" w:rsidP="00F51523">
            <w:pPr>
              <w:pStyle w:val="TableText"/>
              <w:tabs>
                <w:tab w:val="decimal" w:pos="765"/>
              </w:tabs>
              <w:rPr>
                <w:szCs w:val="18"/>
              </w:rPr>
            </w:pPr>
            <w:r w:rsidRPr="00181EF3">
              <w:rPr>
                <w:szCs w:val="18"/>
              </w:rPr>
              <w:t>2,055</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47B188C" w14:textId="77777777" w:rsidR="00F51523" w:rsidRPr="00181EF3" w:rsidRDefault="00F51523" w:rsidP="00F51523">
            <w:pPr>
              <w:pStyle w:val="TableText"/>
              <w:tabs>
                <w:tab w:val="decimal" w:pos="765"/>
              </w:tabs>
              <w:rPr>
                <w:szCs w:val="18"/>
              </w:rPr>
            </w:pPr>
            <w:r w:rsidRPr="00181EF3">
              <w:rPr>
                <w:szCs w:val="18"/>
              </w:rPr>
              <w:t>6,096</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1699F34" w14:textId="77777777" w:rsidR="00F51523" w:rsidRPr="00181EF3" w:rsidRDefault="00F51523" w:rsidP="00F51523">
            <w:pPr>
              <w:pStyle w:val="TableText"/>
              <w:tabs>
                <w:tab w:val="decimal" w:pos="765"/>
              </w:tabs>
              <w:rPr>
                <w:szCs w:val="18"/>
              </w:rPr>
            </w:pPr>
            <w:r w:rsidRPr="00181EF3">
              <w:rPr>
                <w:szCs w:val="18"/>
              </w:rPr>
              <w:t>912</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C0D80C2" w14:textId="77777777" w:rsidR="00F51523" w:rsidRPr="00181EF3" w:rsidRDefault="00F51523" w:rsidP="00F51523">
            <w:pPr>
              <w:pStyle w:val="TableText"/>
              <w:tabs>
                <w:tab w:val="decimal" w:pos="765"/>
              </w:tabs>
              <w:rPr>
                <w:szCs w:val="18"/>
              </w:rPr>
            </w:pPr>
            <w:r w:rsidRPr="00181EF3">
              <w:rPr>
                <w:szCs w:val="18"/>
              </w:rPr>
              <w:t>3,309</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D11576A" w14:textId="77777777" w:rsidR="00F51523" w:rsidRPr="00181EF3" w:rsidRDefault="00F51523" w:rsidP="00F51523">
            <w:pPr>
              <w:pStyle w:val="TableText"/>
              <w:tabs>
                <w:tab w:val="decimal" w:pos="765"/>
              </w:tabs>
              <w:rPr>
                <w:szCs w:val="18"/>
              </w:rPr>
            </w:pPr>
            <w:r w:rsidRPr="00181EF3">
              <w:rPr>
                <w:szCs w:val="18"/>
              </w:rPr>
              <w:t>1,356</w:t>
            </w:r>
          </w:p>
        </w:tc>
        <w:tc>
          <w:tcPr>
            <w:tcW w:w="106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D53352E" w14:textId="77777777" w:rsidR="00F51523" w:rsidRPr="00181EF3" w:rsidRDefault="00F51523" w:rsidP="00F51523">
            <w:pPr>
              <w:pStyle w:val="TableText"/>
              <w:tabs>
                <w:tab w:val="decimal" w:pos="765"/>
              </w:tabs>
              <w:rPr>
                <w:szCs w:val="18"/>
              </w:rPr>
            </w:pPr>
            <w:r w:rsidRPr="00181EF3">
              <w:rPr>
                <w:szCs w:val="18"/>
              </w:rPr>
              <w:t>7,734</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C2BFDFA" w14:textId="77777777" w:rsidR="00F51523" w:rsidRPr="00181EF3" w:rsidRDefault="00F51523" w:rsidP="00F51523">
            <w:pPr>
              <w:pStyle w:val="TableText"/>
              <w:tabs>
                <w:tab w:val="decimal" w:pos="765"/>
              </w:tabs>
              <w:rPr>
                <w:szCs w:val="18"/>
              </w:rPr>
            </w:pPr>
            <w:r w:rsidRPr="00181EF3">
              <w:rPr>
                <w:szCs w:val="18"/>
              </w:rPr>
              <w:t>894</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EBB389B" w14:textId="77777777" w:rsidR="00F51523" w:rsidRPr="00181EF3" w:rsidRDefault="00F51523" w:rsidP="00F51523">
            <w:pPr>
              <w:pStyle w:val="TableText"/>
              <w:tabs>
                <w:tab w:val="decimal" w:pos="765"/>
              </w:tabs>
              <w:rPr>
                <w:szCs w:val="18"/>
              </w:rPr>
            </w:pPr>
            <w:r w:rsidRPr="00181EF3">
              <w:rPr>
                <w:szCs w:val="18"/>
              </w:rPr>
              <w:t>9,933</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F779BE0" w14:textId="77777777" w:rsidR="00F51523" w:rsidRPr="00181EF3" w:rsidRDefault="00F51523" w:rsidP="00F51523">
            <w:pPr>
              <w:pStyle w:val="TableText"/>
              <w:tabs>
                <w:tab w:val="decimal" w:pos="765"/>
              </w:tabs>
              <w:rPr>
                <w:szCs w:val="18"/>
              </w:rPr>
            </w:pPr>
            <w:r w:rsidRPr="00181EF3">
              <w:rPr>
                <w:szCs w:val="18"/>
              </w:rPr>
              <w:t>276</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AA3CD18" w14:textId="77777777" w:rsidR="00F51523" w:rsidRPr="00181EF3" w:rsidRDefault="00F51523" w:rsidP="00F51523">
            <w:pPr>
              <w:pStyle w:val="TableText"/>
              <w:tabs>
                <w:tab w:val="decimal" w:pos="765"/>
              </w:tabs>
              <w:rPr>
                <w:szCs w:val="18"/>
              </w:rPr>
            </w:pPr>
            <w:r w:rsidRPr="00181EF3">
              <w:rPr>
                <w:szCs w:val="18"/>
              </w:rPr>
              <w:t>6,048</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9000123" w14:textId="77777777" w:rsidR="00F51523" w:rsidRPr="00181EF3" w:rsidRDefault="00F51523" w:rsidP="00F51523">
            <w:pPr>
              <w:pStyle w:val="TableText"/>
              <w:tabs>
                <w:tab w:val="decimal" w:pos="765"/>
              </w:tabs>
              <w:rPr>
                <w:szCs w:val="18"/>
              </w:rPr>
            </w:pPr>
            <w:r w:rsidRPr="00181EF3">
              <w:rPr>
                <w:szCs w:val="18"/>
              </w:rPr>
              <w:t>5,493</w:t>
            </w:r>
          </w:p>
        </w:tc>
        <w:tc>
          <w:tcPr>
            <w:tcW w:w="1064" w:type="dxa"/>
            <w:tcBorders>
              <w:top w:val="single" w:sz="4" w:space="0" w:color="A6A6A6" w:themeColor="background1" w:themeShade="A6"/>
              <w:bottom w:val="single" w:sz="4" w:space="0" w:color="A6A6A6" w:themeColor="background1" w:themeShade="A6"/>
            </w:tcBorders>
          </w:tcPr>
          <w:p w14:paraId="7038795F" w14:textId="77777777" w:rsidR="00F51523" w:rsidRPr="00181EF3" w:rsidRDefault="00F51523" w:rsidP="00F51523">
            <w:pPr>
              <w:pStyle w:val="TableText"/>
              <w:tabs>
                <w:tab w:val="decimal" w:pos="765"/>
              </w:tabs>
              <w:rPr>
                <w:szCs w:val="18"/>
              </w:rPr>
            </w:pPr>
            <w:r w:rsidRPr="00181EF3">
              <w:rPr>
                <w:szCs w:val="18"/>
              </w:rPr>
              <w:t>33,120</w:t>
            </w:r>
          </w:p>
        </w:tc>
      </w:tr>
      <w:tr w:rsidR="00F51523" w:rsidRPr="00181EF3" w14:paraId="3D7BF348" w14:textId="77777777" w:rsidTr="00F51523">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3EBC7DE" w14:textId="77777777" w:rsidR="00F51523" w:rsidRPr="00181EF3" w:rsidRDefault="00F51523" w:rsidP="00F51523">
            <w:pPr>
              <w:pStyle w:val="TableText"/>
            </w:pPr>
            <w:r w:rsidRPr="00181EF3">
              <w:t>Nelson/Marlborough</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75F5196" w14:textId="77777777" w:rsidR="00F51523" w:rsidRPr="00181EF3" w:rsidRDefault="00F51523" w:rsidP="00F51523">
            <w:pPr>
              <w:pStyle w:val="TableText"/>
              <w:tabs>
                <w:tab w:val="decimal" w:pos="765"/>
              </w:tabs>
              <w:rPr>
                <w:szCs w:val="18"/>
              </w:rPr>
            </w:pPr>
            <w:r w:rsidRPr="00181EF3">
              <w:rPr>
                <w:szCs w:val="18"/>
              </w:rPr>
              <w:t>3,813</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EC9BB55" w14:textId="77777777" w:rsidR="00F51523" w:rsidRPr="00181EF3" w:rsidRDefault="00F51523" w:rsidP="00F51523">
            <w:pPr>
              <w:pStyle w:val="TableText"/>
              <w:tabs>
                <w:tab w:val="decimal" w:pos="765"/>
              </w:tabs>
              <w:rPr>
                <w:szCs w:val="18"/>
              </w:rPr>
            </w:pPr>
            <w:r w:rsidRPr="00181EF3">
              <w:rPr>
                <w:szCs w:val="18"/>
              </w:rPr>
              <w:t>21,960</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C24B5E6" w14:textId="77777777" w:rsidR="00F51523" w:rsidRPr="00181EF3" w:rsidRDefault="00F51523" w:rsidP="00F51523">
            <w:pPr>
              <w:pStyle w:val="TableText"/>
              <w:tabs>
                <w:tab w:val="decimal" w:pos="765"/>
              </w:tabs>
              <w:rPr>
                <w:szCs w:val="18"/>
              </w:rPr>
            </w:pPr>
            <w:r w:rsidRPr="00181EF3">
              <w:rPr>
                <w:szCs w:val="18"/>
              </w:rPr>
              <w:t>1,947</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7630282" w14:textId="77777777" w:rsidR="00F51523" w:rsidRPr="00181EF3" w:rsidRDefault="00F51523" w:rsidP="00F51523">
            <w:pPr>
              <w:pStyle w:val="TableText"/>
              <w:tabs>
                <w:tab w:val="decimal" w:pos="765"/>
              </w:tabs>
              <w:rPr>
                <w:szCs w:val="18"/>
              </w:rPr>
            </w:pPr>
            <w:r w:rsidRPr="00181EF3">
              <w:rPr>
                <w:szCs w:val="18"/>
              </w:rPr>
              <w:t>12,744</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C6419C8" w14:textId="77777777" w:rsidR="00F51523" w:rsidRPr="00181EF3" w:rsidRDefault="00F51523" w:rsidP="00F51523">
            <w:pPr>
              <w:pStyle w:val="TableText"/>
              <w:tabs>
                <w:tab w:val="decimal" w:pos="765"/>
              </w:tabs>
              <w:rPr>
                <w:szCs w:val="18"/>
              </w:rPr>
            </w:pPr>
            <w:r w:rsidRPr="00181EF3">
              <w:rPr>
                <w:szCs w:val="18"/>
              </w:rPr>
              <w:t>2,982</w:t>
            </w:r>
          </w:p>
        </w:tc>
        <w:tc>
          <w:tcPr>
            <w:tcW w:w="106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73DDE5A" w14:textId="77777777" w:rsidR="00F51523" w:rsidRPr="00181EF3" w:rsidRDefault="00F51523" w:rsidP="00F51523">
            <w:pPr>
              <w:pStyle w:val="TableText"/>
              <w:tabs>
                <w:tab w:val="decimal" w:pos="765"/>
              </w:tabs>
              <w:rPr>
                <w:szCs w:val="18"/>
              </w:rPr>
            </w:pPr>
            <w:r w:rsidRPr="00181EF3">
              <w:rPr>
                <w:szCs w:val="18"/>
              </w:rPr>
              <w:t>31,104</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B881496" w14:textId="77777777" w:rsidR="00F51523" w:rsidRPr="00181EF3" w:rsidRDefault="00F51523" w:rsidP="00F51523">
            <w:pPr>
              <w:pStyle w:val="TableText"/>
              <w:tabs>
                <w:tab w:val="decimal" w:pos="765"/>
              </w:tabs>
              <w:rPr>
                <w:szCs w:val="18"/>
              </w:rPr>
            </w:pPr>
            <w:r w:rsidRPr="00181EF3">
              <w:rPr>
                <w:szCs w:val="18"/>
              </w:rPr>
              <w:t>1,785</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E8A9BEE" w14:textId="77777777" w:rsidR="00F51523" w:rsidRPr="00181EF3" w:rsidRDefault="00F51523" w:rsidP="00F51523">
            <w:pPr>
              <w:pStyle w:val="TableText"/>
              <w:tabs>
                <w:tab w:val="decimal" w:pos="765"/>
              </w:tabs>
              <w:rPr>
                <w:szCs w:val="18"/>
              </w:rPr>
            </w:pPr>
            <w:r w:rsidRPr="00181EF3">
              <w:rPr>
                <w:szCs w:val="18"/>
              </w:rPr>
              <w:t>34,548</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68CC057" w14:textId="77777777" w:rsidR="00F51523" w:rsidRPr="00181EF3" w:rsidRDefault="00F51523" w:rsidP="00F51523">
            <w:pPr>
              <w:pStyle w:val="TableText"/>
              <w:tabs>
                <w:tab w:val="decimal" w:pos="765"/>
              </w:tabs>
              <w:rPr>
                <w:szCs w:val="18"/>
              </w:rPr>
            </w:pPr>
            <w:r w:rsidRPr="00181EF3">
              <w:rPr>
                <w:szCs w:val="18"/>
              </w:rPr>
              <w:t>426</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0BBC35D" w14:textId="77777777" w:rsidR="00F51523" w:rsidRPr="00181EF3" w:rsidRDefault="00F51523" w:rsidP="00F51523">
            <w:pPr>
              <w:pStyle w:val="TableText"/>
              <w:tabs>
                <w:tab w:val="decimal" w:pos="765"/>
              </w:tabs>
              <w:rPr>
                <w:szCs w:val="18"/>
              </w:rPr>
            </w:pPr>
            <w:r w:rsidRPr="00181EF3">
              <w:rPr>
                <w:szCs w:val="18"/>
              </w:rPr>
              <w:t>18,756</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E42A6FD" w14:textId="77777777" w:rsidR="00F51523" w:rsidRPr="00181EF3" w:rsidRDefault="00F51523" w:rsidP="00F51523">
            <w:pPr>
              <w:pStyle w:val="TableText"/>
              <w:tabs>
                <w:tab w:val="decimal" w:pos="765"/>
              </w:tabs>
              <w:rPr>
                <w:szCs w:val="18"/>
              </w:rPr>
            </w:pPr>
            <w:r w:rsidRPr="00181EF3">
              <w:rPr>
                <w:szCs w:val="18"/>
              </w:rPr>
              <w:t>10,953</w:t>
            </w:r>
          </w:p>
        </w:tc>
        <w:tc>
          <w:tcPr>
            <w:tcW w:w="1064" w:type="dxa"/>
            <w:tcBorders>
              <w:top w:val="single" w:sz="4" w:space="0" w:color="A6A6A6" w:themeColor="background1" w:themeShade="A6"/>
              <w:bottom w:val="single" w:sz="4" w:space="0" w:color="A6A6A6" w:themeColor="background1" w:themeShade="A6"/>
            </w:tcBorders>
          </w:tcPr>
          <w:p w14:paraId="5E0D40CD" w14:textId="77777777" w:rsidR="00F51523" w:rsidRPr="00181EF3" w:rsidRDefault="00F51523" w:rsidP="00F51523">
            <w:pPr>
              <w:pStyle w:val="TableText"/>
              <w:tabs>
                <w:tab w:val="decimal" w:pos="765"/>
              </w:tabs>
              <w:rPr>
                <w:szCs w:val="18"/>
              </w:rPr>
            </w:pPr>
            <w:r w:rsidRPr="00181EF3">
              <w:rPr>
                <w:szCs w:val="18"/>
              </w:rPr>
              <w:t>119,109</w:t>
            </w:r>
          </w:p>
        </w:tc>
      </w:tr>
      <w:tr w:rsidR="00F51523" w:rsidRPr="00181EF3" w14:paraId="79D99299" w14:textId="77777777" w:rsidTr="00F51523">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730DFD4" w14:textId="77777777" w:rsidR="00F51523" w:rsidRPr="00181EF3" w:rsidRDefault="00F51523" w:rsidP="00F51523">
            <w:pPr>
              <w:pStyle w:val="TableText"/>
            </w:pPr>
            <w:r w:rsidRPr="00181EF3">
              <w:t>West Coast</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907BD95" w14:textId="77777777" w:rsidR="00F51523" w:rsidRPr="00181EF3" w:rsidRDefault="00F51523" w:rsidP="00F51523">
            <w:pPr>
              <w:pStyle w:val="TableText"/>
              <w:tabs>
                <w:tab w:val="decimal" w:pos="765"/>
              </w:tabs>
              <w:rPr>
                <w:szCs w:val="18"/>
              </w:rPr>
            </w:pPr>
            <w:r w:rsidRPr="00181EF3">
              <w:rPr>
                <w:szCs w:val="18"/>
              </w:rPr>
              <w:t>1,092</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900B062" w14:textId="77777777" w:rsidR="00F51523" w:rsidRPr="00181EF3" w:rsidRDefault="00F51523" w:rsidP="00F51523">
            <w:pPr>
              <w:pStyle w:val="TableText"/>
              <w:tabs>
                <w:tab w:val="decimal" w:pos="765"/>
              </w:tabs>
              <w:rPr>
                <w:szCs w:val="18"/>
              </w:rPr>
            </w:pPr>
            <w:r w:rsidRPr="00181EF3">
              <w:rPr>
                <w:szCs w:val="18"/>
              </w:rPr>
              <w:t>5,304</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A7B5C5D" w14:textId="77777777" w:rsidR="00F51523" w:rsidRPr="00181EF3" w:rsidRDefault="00F51523" w:rsidP="00F51523">
            <w:pPr>
              <w:pStyle w:val="TableText"/>
              <w:tabs>
                <w:tab w:val="decimal" w:pos="765"/>
              </w:tabs>
              <w:rPr>
                <w:szCs w:val="18"/>
              </w:rPr>
            </w:pPr>
            <w:r w:rsidRPr="00181EF3">
              <w:rPr>
                <w:szCs w:val="18"/>
              </w:rPr>
              <w:t>471</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99367E6" w14:textId="77777777" w:rsidR="00F51523" w:rsidRPr="00181EF3" w:rsidRDefault="00F51523" w:rsidP="00F51523">
            <w:pPr>
              <w:pStyle w:val="TableText"/>
              <w:tabs>
                <w:tab w:val="decimal" w:pos="765"/>
              </w:tabs>
              <w:rPr>
                <w:szCs w:val="18"/>
              </w:rPr>
            </w:pPr>
            <w:r w:rsidRPr="00181EF3">
              <w:rPr>
                <w:szCs w:val="18"/>
              </w:rPr>
              <w:t>2,919</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705D62B" w14:textId="77777777" w:rsidR="00F51523" w:rsidRPr="00181EF3" w:rsidRDefault="00F51523" w:rsidP="00F51523">
            <w:pPr>
              <w:pStyle w:val="TableText"/>
              <w:tabs>
                <w:tab w:val="decimal" w:pos="765"/>
              </w:tabs>
              <w:rPr>
                <w:szCs w:val="18"/>
              </w:rPr>
            </w:pPr>
            <w:r w:rsidRPr="00181EF3">
              <w:rPr>
                <w:szCs w:val="18"/>
              </w:rPr>
              <w:t>756</w:t>
            </w:r>
          </w:p>
        </w:tc>
        <w:tc>
          <w:tcPr>
            <w:tcW w:w="106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5F613E1" w14:textId="77777777" w:rsidR="00F51523" w:rsidRPr="00181EF3" w:rsidRDefault="00F51523" w:rsidP="00F51523">
            <w:pPr>
              <w:pStyle w:val="TableText"/>
              <w:tabs>
                <w:tab w:val="decimal" w:pos="765"/>
              </w:tabs>
              <w:rPr>
                <w:szCs w:val="18"/>
              </w:rPr>
            </w:pPr>
            <w:r w:rsidRPr="00181EF3">
              <w:rPr>
                <w:szCs w:val="18"/>
              </w:rPr>
              <w:t>7,629</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C655391" w14:textId="77777777" w:rsidR="00F51523" w:rsidRPr="00181EF3" w:rsidRDefault="00F51523" w:rsidP="00F51523">
            <w:pPr>
              <w:pStyle w:val="TableText"/>
              <w:tabs>
                <w:tab w:val="decimal" w:pos="765"/>
              </w:tabs>
              <w:rPr>
                <w:szCs w:val="18"/>
              </w:rPr>
            </w:pPr>
            <w:r w:rsidRPr="00181EF3">
              <w:rPr>
                <w:szCs w:val="18"/>
              </w:rPr>
              <w:t>471</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6439752" w14:textId="77777777" w:rsidR="00F51523" w:rsidRPr="00181EF3" w:rsidRDefault="00F51523" w:rsidP="00F51523">
            <w:pPr>
              <w:pStyle w:val="TableText"/>
              <w:tabs>
                <w:tab w:val="decimal" w:pos="765"/>
              </w:tabs>
              <w:rPr>
                <w:szCs w:val="18"/>
              </w:rPr>
            </w:pPr>
            <w:r w:rsidRPr="00181EF3">
              <w:rPr>
                <w:szCs w:val="18"/>
              </w:rPr>
              <w:t>8,349</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A112718" w14:textId="77777777" w:rsidR="00F51523" w:rsidRPr="00181EF3" w:rsidRDefault="00F51523" w:rsidP="00F51523">
            <w:pPr>
              <w:pStyle w:val="TableText"/>
              <w:tabs>
                <w:tab w:val="decimal" w:pos="765"/>
              </w:tabs>
              <w:rPr>
                <w:szCs w:val="18"/>
              </w:rPr>
            </w:pPr>
            <w:r w:rsidRPr="00181EF3">
              <w:rPr>
                <w:szCs w:val="18"/>
              </w:rPr>
              <w:t>120</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F157267" w14:textId="77777777" w:rsidR="00F51523" w:rsidRPr="00181EF3" w:rsidRDefault="00F51523" w:rsidP="00F51523">
            <w:pPr>
              <w:pStyle w:val="TableText"/>
              <w:tabs>
                <w:tab w:val="decimal" w:pos="765"/>
              </w:tabs>
              <w:rPr>
                <w:szCs w:val="18"/>
              </w:rPr>
            </w:pPr>
            <w:r w:rsidRPr="00181EF3">
              <w:rPr>
                <w:szCs w:val="18"/>
              </w:rPr>
              <w:t>4,215</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4D2931E" w14:textId="77777777" w:rsidR="00F51523" w:rsidRPr="00181EF3" w:rsidRDefault="00F51523" w:rsidP="00F51523">
            <w:pPr>
              <w:pStyle w:val="TableText"/>
              <w:tabs>
                <w:tab w:val="decimal" w:pos="765"/>
              </w:tabs>
              <w:rPr>
                <w:szCs w:val="18"/>
              </w:rPr>
            </w:pPr>
            <w:r w:rsidRPr="00181EF3">
              <w:rPr>
                <w:szCs w:val="18"/>
              </w:rPr>
              <w:t>2,916</w:t>
            </w:r>
          </w:p>
        </w:tc>
        <w:tc>
          <w:tcPr>
            <w:tcW w:w="1064" w:type="dxa"/>
            <w:tcBorders>
              <w:top w:val="single" w:sz="4" w:space="0" w:color="A6A6A6" w:themeColor="background1" w:themeShade="A6"/>
              <w:bottom w:val="single" w:sz="4" w:space="0" w:color="A6A6A6" w:themeColor="background1" w:themeShade="A6"/>
            </w:tcBorders>
          </w:tcPr>
          <w:p w14:paraId="6D629420" w14:textId="77777777" w:rsidR="00F51523" w:rsidRPr="00181EF3" w:rsidRDefault="00F51523" w:rsidP="00F51523">
            <w:pPr>
              <w:pStyle w:val="TableText"/>
              <w:tabs>
                <w:tab w:val="decimal" w:pos="765"/>
              </w:tabs>
              <w:rPr>
                <w:szCs w:val="18"/>
              </w:rPr>
            </w:pPr>
            <w:r w:rsidRPr="00181EF3">
              <w:rPr>
                <w:szCs w:val="18"/>
              </w:rPr>
              <w:t>28,410</w:t>
            </w:r>
          </w:p>
        </w:tc>
      </w:tr>
      <w:tr w:rsidR="00F51523" w:rsidRPr="00181EF3" w14:paraId="4198B7F4" w14:textId="77777777" w:rsidTr="00F51523">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AD9E4E7" w14:textId="77777777" w:rsidR="00F51523" w:rsidRPr="00181EF3" w:rsidRDefault="00F51523" w:rsidP="00F51523">
            <w:pPr>
              <w:pStyle w:val="TableText"/>
            </w:pPr>
            <w:r w:rsidRPr="00181EF3">
              <w:t>Canterbury</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42F4C5C" w14:textId="77777777" w:rsidR="00F51523" w:rsidRPr="00181EF3" w:rsidRDefault="00F51523" w:rsidP="00F51523">
            <w:pPr>
              <w:pStyle w:val="TableText"/>
              <w:tabs>
                <w:tab w:val="decimal" w:pos="765"/>
              </w:tabs>
              <w:rPr>
                <w:szCs w:val="18"/>
              </w:rPr>
            </w:pPr>
            <w:r w:rsidRPr="00181EF3">
              <w:rPr>
                <w:szCs w:val="18"/>
              </w:rPr>
              <w:t>11,817</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591221E" w14:textId="77777777" w:rsidR="00F51523" w:rsidRPr="00181EF3" w:rsidRDefault="00F51523" w:rsidP="00F51523">
            <w:pPr>
              <w:pStyle w:val="TableText"/>
              <w:tabs>
                <w:tab w:val="decimal" w:pos="765"/>
              </w:tabs>
              <w:rPr>
                <w:szCs w:val="18"/>
              </w:rPr>
            </w:pPr>
            <w:r w:rsidRPr="00181EF3">
              <w:rPr>
                <w:szCs w:val="18"/>
              </w:rPr>
              <w:t>79,872</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BD69152" w14:textId="77777777" w:rsidR="00F51523" w:rsidRPr="00181EF3" w:rsidRDefault="00F51523" w:rsidP="00F51523">
            <w:pPr>
              <w:pStyle w:val="TableText"/>
              <w:tabs>
                <w:tab w:val="decimal" w:pos="765"/>
              </w:tabs>
              <w:rPr>
                <w:szCs w:val="18"/>
              </w:rPr>
            </w:pPr>
            <w:r w:rsidRPr="00181EF3">
              <w:rPr>
                <w:szCs w:val="18"/>
              </w:rPr>
              <w:t>6,411</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191C804" w14:textId="77777777" w:rsidR="00F51523" w:rsidRPr="00181EF3" w:rsidRDefault="00F51523" w:rsidP="00F51523">
            <w:pPr>
              <w:pStyle w:val="TableText"/>
              <w:tabs>
                <w:tab w:val="decimal" w:pos="765"/>
              </w:tabs>
              <w:rPr>
                <w:szCs w:val="18"/>
              </w:rPr>
            </w:pPr>
            <w:r w:rsidRPr="00181EF3">
              <w:rPr>
                <w:szCs w:val="18"/>
              </w:rPr>
              <w:t>60,099</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0B2F108" w14:textId="77777777" w:rsidR="00F51523" w:rsidRPr="00181EF3" w:rsidRDefault="00F51523" w:rsidP="00F51523">
            <w:pPr>
              <w:pStyle w:val="TableText"/>
              <w:tabs>
                <w:tab w:val="decimal" w:pos="765"/>
              </w:tabs>
              <w:rPr>
                <w:szCs w:val="18"/>
              </w:rPr>
            </w:pPr>
            <w:r w:rsidRPr="00181EF3">
              <w:rPr>
                <w:szCs w:val="18"/>
              </w:rPr>
              <w:t>9,291</w:t>
            </w:r>
          </w:p>
        </w:tc>
        <w:tc>
          <w:tcPr>
            <w:tcW w:w="106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BD5A6DB" w14:textId="77777777" w:rsidR="00F51523" w:rsidRPr="00181EF3" w:rsidRDefault="00F51523" w:rsidP="00F51523">
            <w:pPr>
              <w:pStyle w:val="TableText"/>
              <w:tabs>
                <w:tab w:val="decimal" w:pos="765"/>
              </w:tabs>
              <w:rPr>
                <w:szCs w:val="18"/>
              </w:rPr>
            </w:pPr>
            <w:r w:rsidRPr="00181EF3">
              <w:rPr>
                <w:szCs w:val="18"/>
              </w:rPr>
              <w:t>122,382</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E6F1AE4" w14:textId="77777777" w:rsidR="00F51523" w:rsidRPr="00181EF3" w:rsidRDefault="00F51523" w:rsidP="00F51523">
            <w:pPr>
              <w:pStyle w:val="TableText"/>
              <w:tabs>
                <w:tab w:val="decimal" w:pos="765"/>
              </w:tabs>
              <w:rPr>
                <w:szCs w:val="18"/>
              </w:rPr>
            </w:pPr>
            <w:r w:rsidRPr="00181EF3">
              <w:rPr>
                <w:szCs w:val="18"/>
              </w:rPr>
              <w:t>4,818</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7677612" w14:textId="77777777" w:rsidR="00F51523" w:rsidRPr="00181EF3" w:rsidRDefault="00F51523" w:rsidP="00F51523">
            <w:pPr>
              <w:pStyle w:val="TableText"/>
              <w:tabs>
                <w:tab w:val="decimal" w:pos="765"/>
              </w:tabs>
              <w:rPr>
                <w:szCs w:val="18"/>
              </w:rPr>
            </w:pPr>
            <w:r w:rsidRPr="00181EF3">
              <w:rPr>
                <w:szCs w:val="18"/>
              </w:rPr>
              <w:t>109,032</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72950D3" w14:textId="77777777" w:rsidR="00F51523" w:rsidRPr="00181EF3" w:rsidRDefault="00F51523" w:rsidP="00F51523">
            <w:pPr>
              <w:pStyle w:val="TableText"/>
              <w:tabs>
                <w:tab w:val="decimal" w:pos="765"/>
              </w:tabs>
              <w:rPr>
                <w:szCs w:val="18"/>
              </w:rPr>
            </w:pPr>
            <w:r w:rsidRPr="00181EF3">
              <w:rPr>
                <w:szCs w:val="18"/>
              </w:rPr>
              <w:t>1,071</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70EA904" w14:textId="77777777" w:rsidR="00F51523" w:rsidRPr="00181EF3" w:rsidRDefault="00F51523" w:rsidP="00F51523">
            <w:pPr>
              <w:pStyle w:val="TableText"/>
              <w:tabs>
                <w:tab w:val="decimal" w:pos="765"/>
              </w:tabs>
              <w:rPr>
                <w:szCs w:val="18"/>
              </w:rPr>
            </w:pPr>
            <w:r w:rsidRPr="00181EF3">
              <w:rPr>
                <w:szCs w:val="18"/>
              </w:rPr>
              <w:t>61,617</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876A364" w14:textId="77777777" w:rsidR="00F51523" w:rsidRPr="00181EF3" w:rsidRDefault="00F51523" w:rsidP="00F51523">
            <w:pPr>
              <w:pStyle w:val="TableText"/>
              <w:tabs>
                <w:tab w:val="decimal" w:pos="765"/>
              </w:tabs>
              <w:rPr>
                <w:szCs w:val="18"/>
              </w:rPr>
            </w:pPr>
            <w:r w:rsidRPr="00181EF3">
              <w:rPr>
                <w:szCs w:val="18"/>
              </w:rPr>
              <w:t>33,417</w:t>
            </w:r>
          </w:p>
        </w:tc>
        <w:tc>
          <w:tcPr>
            <w:tcW w:w="1064" w:type="dxa"/>
            <w:tcBorders>
              <w:top w:val="single" w:sz="4" w:space="0" w:color="A6A6A6" w:themeColor="background1" w:themeShade="A6"/>
              <w:bottom w:val="single" w:sz="4" w:space="0" w:color="A6A6A6" w:themeColor="background1" w:themeShade="A6"/>
            </w:tcBorders>
          </w:tcPr>
          <w:p w14:paraId="5A672239" w14:textId="77777777" w:rsidR="00F51523" w:rsidRPr="00181EF3" w:rsidRDefault="00F51523" w:rsidP="00F51523">
            <w:pPr>
              <w:pStyle w:val="TableText"/>
              <w:tabs>
                <w:tab w:val="decimal" w:pos="765"/>
              </w:tabs>
              <w:rPr>
                <w:szCs w:val="18"/>
              </w:rPr>
            </w:pPr>
            <w:r w:rsidRPr="00181EF3">
              <w:rPr>
                <w:szCs w:val="18"/>
              </w:rPr>
              <w:t>432,990</w:t>
            </w:r>
          </w:p>
        </w:tc>
      </w:tr>
      <w:tr w:rsidR="00F51523" w:rsidRPr="00181EF3" w14:paraId="245DC0CD" w14:textId="77777777" w:rsidTr="00F51523">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AD5DDEA" w14:textId="77777777" w:rsidR="00F51523" w:rsidRPr="00181EF3" w:rsidRDefault="00F51523" w:rsidP="00F51523">
            <w:pPr>
              <w:pStyle w:val="TableText"/>
            </w:pPr>
            <w:r w:rsidRPr="00181EF3">
              <w:t>South Canterbury</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9AF1E6C" w14:textId="77777777" w:rsidR="00F51523" w:rsidRPr="00181EF3" w:rsidRDefault="00F51523" w:rsidP="00F51523">
            <w:pPr>
              <w:pStyle w:val="TableText"/>
              <w:tabs>
                <w:tab w:val="decimal" w:pos="765"/>
              </w:tabs>
              <w:rPr>
                <w:szCs w:val="18"/>
              </w:rPr>
            </w:pPr>
            <w:r w:rsidRPr="00181EF3">
              <w:rPr>
                <w:szCs w:val="18"/>
              </w:rPr>
              <w:t>1,164</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E2EC27D" w14:textId="77777777" w:rsidR="00F51523" w:rsidRPr="00181EF3" w:rsidRDefault="00F51523" w:rsidP="00F51523">
            <w:pPr>
              <w:pStyle w:val="TableText"/>
              <w:tabs>
                <w:tab w:val="decimal" w:pos="765"/>
              </w:tabs>
              <w:rPr>
                <w:szCs w:val="18"/>
              </w:rPr>
            </w:pPr>
            <w:r w:rsidRPr="00181EF3">
              <w:rPr>
                <w:szCs w:val="18"/>
              </w:rPr>
              <w:t>9,336</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2E82A87" w14:textId="77777777" w:rsidR="00F51523" w:rsidRPr="00181EF3" w:rsidRDefault="00F51523" w:rsidP="00F51523">
            <w:pPr>
              <w:pStyle w:val="TableText"/>
              <w:tabs>
                <w:tab w:val="decimal" w:pos="765"/>
              </w:tabs>
              <w:rPr>
                <w:szCs w:val="18"/>
              </w:rPr>
            </w:pPr>
            <w:r w:rsidRPr="00181EF3">
              <w:rPr>
                <w:szCs w:val="18"/>
              </w:rPr>
              <w:t>594</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FB42CEB" w14:textId="77777777" w:rsidR="00F51523" w:rsidRPr="00181EF3" w:rsidRDefault="00F51523" w:rsidP="00F51523">
            <w:pPr>
              <w:pStyle w:val="TableText"/>
              <w:tabs>
                <w:tab w:val="decimal" w:pos="765"/>
              </w:tabs>
              <w:rPr>
                <w:szCs w:val="18"/>
              </w:rPr>
            </w:pPr>
            <w:r w:rsidRPr="00181EF3">
              <w:rPr>
                <w:szCs w:val="18"/>
              </w:rPr>
              <w:t>5,208</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E2C3632" w14:textId="77777777" w:rsidR="00F51523" w:rsidRPr="00181EF3" w:rsidRDefault="00F51523" w:rsidP="00F51523">
            <w:pPr>
              <w:pStyle w:val="TableText"/>
              <w:tabs>
                <w:tab w:val="decimal" w:pos="765"/>
              </w:tabs>
              <w:rPr>
                <w:szCs w:val="18"/>
              </w:rPr>
            </w:pPr>
            <w:r w:rsidRPr="00181EF3">
              <w:rPr>
                <w:szCs w:val="18"/>
              </w:rPr>
              <w:t>786</w:t>
            </w:r>
          </w:p>
        </w:tc>
        <w:tc>
          <w:tcPr>
            <w:tcW w:w="106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127FBB3" w14:textId="77777777" w:rsidR="00F51523" w:rsidRPr="00181EF3" w:rsidRDefault="00F51523" w:rsidP="00F51523">
            <w:pPr>
              <w:pStyle w:val="TableText"/>
              <w:tabs>
                <w:tab w:val="decimal" w:pos="765"/>
              </w:tabs>
              <w:rPr>
                <w:szCs w:val="18"/>
              </w:rPr>
            </w:pPr>
            <w:r w:rsidRPr="00181EF3">
              <w:rPr>
                <w:szCs w:val="18"/>
              </w:rPr>
              <w:t>12,204</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5EFCC47" w14:textId="77777777" w:rsidR="00F51523" w:rsidRPr="00181EF3" w:rsidRDefault="00F51523" w:rsidP="00F51523">
            <w:pPr>
              <w:pStyle w:val="TableText"/>
              <w:tabs>
                <w:tab w:val="decimal" w:pos="765"/>
              </w:tabs>
              <w:rPr>
                <w:szCs w:val="18"/>
              </w:rPr>
            </w:pPr>
            <w:r w:rsidRPr="00181EF3">
              <w:rPr>
                <w:szCs w:val="18"/>
              </w:rPr>
              <w:t>483</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B7CC038" w14:textId="77777777" w:rsidR="00F51523" w:rsidRPr="00181EF3" w:rsidRDefault="00F51523" w:rsidP="00F51523">
            <w:pPr>
              <w:pStyle w:val="TableText"/>
              <w:tabs>
                <w:tab w:val="decimal" w:pos="765"/>
              </w:tabs>
              <w:rPr>
                <w:szCs w:val="18"/>
              </w:rPr>
            </w:pPr>
            <w:r w:rsidRPr="00181EF3">
              <w:rPr>
                <w:szCs w:val="18"/>
              </w:rPr>
              <w:t>14,382</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BE70AEC" w14:textId="77777777" w:rsidR="00F51523" w:rsidRPr="00181EF3" w:rsidRDefault="00F51523" w:rsidP="00F51523">
            <w:pPr>
              <w:pStyle w:val="TableText"/>
              <w:tabs>
                <w:tab w:val="decimal" w:pos="765"/>
              </w:tabs>
              <w:rPr>
                <w:szCs w:val="18"/>
              </w:rPr>
            </w:pPr>
            <w:r w:rsidRPr="00181EF3">
              <w:rPr>
                <w:szCs w:val="18"/>
              </w:rPr>
              <w:t>135</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99ACCC3" w14:textId="77777777" w:rsidR="00F51523" w:rsidRPr="00181EF3" w:rsidRDefault="00F51523" w:rsidP="00F51523">
            <w:pPr>
              <w:pStyle w:val="TableText"/>
              <w:tabs>
                <w:tab w:val="decimal" w:pos="765"/>
              </w:tabs>
              <w:rPr>
                <w:szCs w:val="18"/>
              </w:rPr>
            </w:pPr>
            <w:r w:rsidRPr="00181EF3">
              <w:rPr>
                <w:szCs w:val="18"/>
              </w:rPr>
              <w:t>9,582</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2AE2431" w14:textId="77777777" w:rsidR="00F51523" w:rsidRPr="00181EF3" w:rsidRDefault="00F51523" w:rsidP="00F51523">
            <w:pPr>
              <w:pStyle w:val="TableText"/>
              <w:tabs>
                <w:tab w:val="decimal" w:pos="765"/>
              </w:tabs>
              <w:rPr>
                <w:szCs w:val="18"/>
              </w:rPr>
            </w:pPr>
            <w:r w:rsidRPr="00181EF3">
              <w:rPr>
                <w:szCs w:val="18"/>
              </w:rPr>
              <w:t>3,159</w:t>
            </w:r>
          </w:p>
        </w:tc>
        <w:tc>
          <w:tcPr>
            <w:tcW w:w="1064" w:type="dxa"/>
            <w:tcBorders>
              <w:top w:val="single" w:sz="4" w:space="0" w:color="A6A6A6" w:themeColor="background1" w:themeShade="A6"/>
              <w:bottom w:val="single" w:sz="4" w:space="0" w:color="A6A6A6" w:themeColor="background1" w:themeShade="A6"/>
            </w:tcBorders>
          </w:tcPr>
          <w:p w14:paraId="5DAF2CFD" w14:textId="77777777" w:rsidR="00F51523" w:rsidRPr="00181EF3" w:rsidRDefault="00F51523" w:rsidP="00F51523">
            <w:pPr>
              <w:pStyle w:val="TableText"/>
              <w:tabs>
                <w:tab w:val="decimal" w:pos="765"/>
              </w:tabs>
              <w:rPr>
                <w:szCs w:val="18"/>
              </w:rPr>
            </w:pPr>
            <w:r w:rsidRPr="00181EF3">
              <w:rPr>
                <w:szCs w:val="18"/>
              </w:rPr>
              <w:t>50,718</w:t>
            </w:r>
          </w:p>
        </w:tc>
      </w:tr>
      <w:tr w:rsidR="00F51523" w:rsidRPr="00181EF3" w14:paraId="16ABC15E" w14:textId="77777777" w:rsidTr="00F51523">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BBA389D" w14:textId="77777777" w:rsidR="00F51523" w:rsidRPr="00181EF3" w:rsidRDefault="00F51523" w:rsidP="00F51523">
            <w:pPr>
              <w:pStyle w:val="TableText"/>
            </w:pPr>
            <w:r w:rsidRPr="00181EF3">
              <w:t>Otago</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21AA517" w14:textId="77777777" w:rsidR="00F51523" w:rsidRPr="00181EF3" w:rsidRDefault="00F51523" w:rsidP="00F51523">
            <w:pPr>
              <w:pStyle w:val="TableText"/>
              <w:tabs>
                <w:tab w:val="decimal" w:pos="765"/>
              </w:tabs>
              <w:rPr>
                <w:szCs w:val="18"/>
              </w:rPr>
            </w:pPr>
            <w:r w:rsidRPr="00181EF3">
              <w:rPr>
                <w:szCs w:val="18"/>
              </w:rPr>
              <w:t>3,783</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33C5D31" w14:textId="77777777" w:rsidR="00F51523" w:rsidRPr="00181EF3" w:rsidRDefault="00F51523" w:rsidP="00F51523">
            <w:pPr>
              <w:pStyle w:val="TableText"/>
              <w:tabs>
                <w:tab w:val="decimal" w:pos="765"/>
              </w:tabs>
              <w:rPr>
                <w:szCs w:val="18"/>
              </w:rPr>
            </w:pPr>
            <w:r w:rsidRPr="00181EF3">
              <w:rPr>
                <w:szCs w:val="18"/>
              </w:rPr>
              <w:t>28,128</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DCFE1C4" w14:textId="77777777" w:rsidR="00F51523" w:rsidRPr="00181EF3" w:rsidRDefault="00F51523" w:rsidP="00F51523">
            <w:pPr>
              <w:pStyle w:val="TableText"/>
              <w:tabs>
                <w:tab w:val="decimal" w:pos="765"/>
              </w:tabs>
              <w:rPr>
                <w:szCs w:val="18"/>
              </w:rPr>
            </w:pPr>
            <w:r w:rsidRPr="00181EF3">
              <w:rPr>
                <w:szCs w:val="18"/>
              </w:rPr>
              <w:t>2,742</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B14E230" w14:textId="77777777" w:rsidR="00F51523" w:rsidRPr="00181EF3" w:rsidRDefault="00F51523" w:rsidP="00F51523">
            <w:pPr>
              <w:pStyle w:val="TableText"/>
              <w:tabs>
                <w:tab w:val="decimal" w:pos="765"/>
              </w:tabs>
              <w:rPr>
                <w:szCs w:val="18"/>
              </w:rPr>
            </w:pPr>
            <w:r w:rsidRPr="00181EF3">
              <w:rPr>
                <w:szCs w:val="18"/>
              </w:rPr>
              <w:t>28,983</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B362EF2" w14:textId="77777777" w:rsidR="00F51523" w:rsidRPr="00181EF3" w:rsidRDefault="00F51523" w:rsidP="00F51523">
            <w:pPr>
              <w:pStyle w:val="TableText"/>
              <w:tabs>
                <w:tab w:val="decimal" w:pos="765"/>
              </w:tabs>
              <w:rPr>
                <w:szCs w:val="18"/>
              </w:rPr>
            </w:pPr>
            <w:r w:rsidRPr="00181EF3">
              <w:rPr>
                <w:szCs w:val="18"/>
              </w:rPr>
              <w:t>2,973</w:t>
            </w:r>
          </w:p>
        </w:tc>
        <w:tc>
          <w:tcPr>
            <w:tcW w:w="106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8B3B5C9" w14:textId="77777777" w:rsidR="00F51523" w:rsidRPr="00181EF3" w:rsidRDefault="00F51523" w:rsidP="00F51523">
            <w:pPr>
              <w:pStyle w:val="TableText"/>
              <w:tabs>
                <w:tab w:val="decimal" w:pos="765"/>
              </w:tabs>
              <w:rPr>
                <w:szCs w:val="18"/>
              </w:rPr>
            </w:pPr>
            <w:r w:rsidRPr="00181EF3">
              <w:rPr>
                <w:szCs w:val="18"/>
              </w:rPr>
              <w:t>42,177</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1519883" w14:textId="77777777" w:rsidR="00F51523" w:rsidRPr="00181EF3" w:rsidRDefault="00F51523" w:rsidP="00F51523">
            <w:pPr>
              <w:pStyle w:val="TableText"/>
              <w:tabs>
                <w:tab w:val="decimal" w:pos="765"/>
              </w:tabs>
              <w:rPr>
                <w:szCs w:val="18"/>
              </w:rPr>
            </w:pPr>
            <w:r w:rsidRPr="00181EF3">
              <w:rPr>
                <w:szCs w:val="18"/>
              </w:rPr>
              <w:t>1,593</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254D824" w14:textId="77777777" w:rsidR="00F51523" w:rsidRPr="00181EF3" w:rsidRDefault="00F51523" w:rsidP="00F51523">
            <w:pPr>
              <w:pStyle w:val="TableText"/>
              <w:tabs>
                <w:tab w:val="decimal" w:pos="765"/>
              </w:tabs>
              <w:rPr>
                <w:szCs w:val="18"/>
              </w:rPr>
            </w:pPr>
            <w:r w:rsidRPr="00181EF3">
              <w:rPr>
                <w:szCs w:val="18"/>
              </w:rPr>
              <w:t>43,149</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BF4D556" w14:textId="77777777" w:rsidR="00F51523" w:rsidRPr="00181EF3" w:rsidRDefault="00F51523" w:rsidP="00F51523">
            <w:pPr>
              <w:pStyle w:val="TableText"/>
              <w:tabs>
                <w:tab w:val="decimal" w:pos="765"/>
              </w:tabs>
              <w:rPr>
                <w:szCs w:val="18"/>
              </w:rPr>
            </w:pPr>
            <w:r w:rsidRPr="00181EF3">
              <w:rPr>
                <w:szCs w:val="18"/>
              </w:rPr>
              <w:t>375</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AA9328A" w14:textId="77777777" w:rsidR="00F51523" w:rsidRPr="00181EF3" w:rsidRDefault="00F51523" w:rsidP="00F51523">
            <w:pPr>
              <w:pStyle w:val="TableText"/>
              <w:tabs>
                <w:tab w:val="decimal" w:pos="765"/>
              </w:tabs>
              <w:rPr>
                <w:szCs w:val="18"/>
              </w:rPr>
            </w:pPr>
            <w:r w:rsidRPr="00181EF3">
              <w:rPr>
                <w:szCs w:val="18"/>
              </w:rPr>
              <w:t>25,491</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80499FF" w14:textId="77777777" w:rsidR="00F51523" w:rsidRPr="00181EF3" w:rsidRDefault="00F51523" w:rsidP="00F51523">
            <w:pPr>
              <w:pStyle w:val="TableText"/>
              <w:tabs>
                <w:tab w:val="decimal" w:pos="765"/>
              </w:tabs>
              <w:rPr>
                <w:szCs w:val="18"/>
              </w:rPr>
            </w:pPr>
            <w:r w:rsidRPr="00181EF3">
              <w:rPr>
                <w:szCs w:val="18"/>
              </w:rPr>
              <w:t>11,466</w:t>
            </w:r>
          </w:p>
        </w:tc>
        <w:tc>
          <w:tcPr>
            <w:tcW w:w="1064" w:type="dxa"/>
            <w:tcBorders>
              <w:top w:val="single" w:sz="4" w:space="0" w:color="A6A6A6" w:themeColor="background1" w:themeShade="A6"/>
              <w:bottom w:val="single" w:sz="4" w:space="0" w:color="A6A6A6" w:themeColor="background1" w:themeShade="A6"/>
            </w:tcBorders>
          </w:tcPr>
          <w:p w14:paraId="23949884" w14:textId="77777777" w:rsidR="00F51523" w:rsidRPr="00181EF3" w:rsidRDefault="00F51523" w:rsidP="00F51523">
            <w:pPr>
              <w:pStyle w:val="TableText"/>
              <w:tabs>
                <w:tab w:val="decimal" w:pos="765"/>
              </w:tabs>
              <w:rPr>
                <w:szCs w:val="18"/>
              </w:rPr>
            </w:pPr>
            <w:r w:rsidRPr="00181EF3">
              <w:rPr>
                <w:szCs w:val="18"/>
              </w:rPr>
              <w:t>167,931</w:t>
            </w:r>
          </w:p>
        </w:tc>
      </w:tr>
      <w:tr w:rsidR="00F51523" w:rsidRPr="00181EF3" w14:paraId="4AED6A54" w14:textId="77777777" w:rsidTr="00F51523">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625FC94" w14:textId="77777777" w:rsidR="00F51523" w:rsidRPr="00181EF3" w:rsidRDefault="00F51523" w:rsidP="00F51523">
            <w:pPr>
              <w:pStyle w:val="TableText"/>
            </w:pPr>
            <w:r w:rsidRPr="00181EF3">
              <w:t>Southland</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A5793E8" w14:textId="77777777" w:rsidR="00F51523" w:rsidRPr="00181EF3" w:rsidRDefault="00F51523" w:rsidP="00F51523">
            <w:pPr>
              <w:pStyle w:val="TableText"/>
              <w:tabs>
                <w:tab w:val="decimal" w:pos="765"/>
              </w:tabs>
              <w:rPr>
                <w:szCs w:val="18"/>
              </w:rPr>
            </w:pPr>
            <w:r w:rsidRPr="00181EF3">
              <w:rPr>
                <w:szCs w:val="18"/>
              </w:rPr>
              <w:t>3,939</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CD1F276" w14:textId="77777777" w:rsidR="00F51523" w:rsidRPr="00181EF3" w:rsidRDefault="00F51523" w:rsidP="00F51523">
            <w:pPr>
              <w:pStyle w:val="TableText"/>
              <w:tabs>
                <w:tab w:val="decimal" w:pos="765"/>
              </w:tabs>
              <w:rPr>
                <w:szCs w:val="18"/>
              </w:rPr>
            </w:pPr>
            <w:r w:rsidRPr="00181EF3">
              <w:rPr>
                <w:szCs w:val="18"/>
              </w:rPr>
              <w:t>17,874</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D4F8822" w14:textId="77777777" w:rsidR="00F51523" w:rsidRPr="00181EF3" w:rsidRDefault="00F51523" w:rsidP="00F51523">
            <w:pPr>
              <w:pStyle w:val="TableText"/>
              <w:tabs>
                <w:tab w:val="decimal" w:pos="765"/>
              </w:tabs>
              <w:rPr>
                <w:szCs w:val="18"/>
              </w:rPr>
            </w:pPr>
            <w:r w:rsidRPr="00181EF3">
              <w:rPr>
                <w:szCs w:val="18"/>
              </w:rPr>
              <w:t>2,151</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F267670" w14:textId="77777777" w:rsidR="00F51523" w:rsidRPr="00181EF3" w:rsidRDefault="00F51523" w:rsidP="00F51523">
            <w:pPr>
              <w:pStyle w:val="TableText"/>
              <w:tabs>
                <w:tab w:val="decimal" w:pos="765"/>
              </w:tabs>
              <w:rPr>
                <w:szCs w:val="18"/>
              </w:rPr>
            </w:pPr>
            <w:r w:rsidRPr="00181EF3">
              <w:rPr>
                <w:szCs w:val="18"/>
              </w:rPr>
              <w:t>11,589</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19A8AB8" w14:textId="77777777" w:rsidR="00F51523" w:rsidRPr="00181EF3" w:rsidRDefault="00F51523" w:rsidP="00F51523">
            <w:pPr>
              <w:pStyle w:val="TableText"/>
              <w:tabs>
                <w:tab w:val="decimal" w:pos="765"/>
              </w:tabs>
              <w:rPr>
                <w:szCs w:val="18"/>
              </w:rPr>
            </w:pPr>
            <w:r w:rsidRPr="00181EF3">
              <w:rPr>
                <w:szCs w:val="18"/>
              </w:rPr>
              <w:t>3,021</w:t>
            </w:r>
          </w:p>
        </w:tc>
        <w:tc>
          <w:tcPr>
            <w:tcW w:w="106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0C87B34" w14:textId="77777777" w:rsidR="00F51523" w:rsidRPr="00181EF3" w:rsidRDefault="00F51523" w:rsidP="00F51523">
            <w:pPr>
              <w:pStyle w:val="TableText"/>
              <w:tabs>
                <w:tab w:val="decimal" w:pos="765"/>
              </w:tabs>
              <w:rPr>
                <w:szCs w:val="18"/>
              </w:rPr>
            </w:pPr>
            <w:r w:rsidRPr="00181EF3">
              <w:rPr>
                <w:szCs w:val="18"/>
              </w:rPr>
              <w:t>28,107</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62B42DE" w14:textId="77777777" w:rsidR="00F51523" w:rsidRPr="00181EF3" w:rsidRDefault="00F51523" w:rsidP="00F51523">
            <w:pPr>
              <w:pStyle w:val="TableText"/>
              <w:tabs>
                <w:tab w:val="decimal" w:pos="765"/>
              </w:tabs>
              <w:rPr>
                <w:szCs w:val="18"/>
              </w:rPr>
            </w:pPr>
            <w:r w:rsidRPr="00181EF3">
              <w:rPr>
                <w:szCs w:val="18"/>
              </w:rPr>
              <w:t>1,707</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4B13BB3" w14:textId="77777777" w:rsidR="00F51523" w:rsidRPr="00181EF3" w:rsidRDefault="00F51523" w:rsidP="00F51523">
            <w:pPr>
              <w:pStyle w:val="TableText"/>
              <w:tabs>
                <w:tab w:val="decimal" w:pos="765"/>
              </w:tabs>
              <w:rPr>
                <w:szCs w:val="18"/>
              </w:rPr>
            </w:pPr>
            <w:r w:rsidRPr="00181EF3">
              <w:rPr>
                <w:szCs w:val="18"/>
              </w:rPr>
              <w:t>24,642</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E4C4860" w14:textId="77777777" w:rsidR="00F51523" w:rsidRPr="00181EF3" w:rsidRDefault="00F51523" w:rsidP="00F51523">
            <w:pPr>
              <w:pStyle w:val="TableText"/>
              <w:tabs>
                <w:tab w:val="decimal" w:pos="765"/>
              </w:tabs>
              <w:rPr>
                <w:szCs w:val="18"/>
              </w:rPr>
            </w:pPr>
            <w:r w:rsidRPr="00181EF3">
              <w:rPr>
                <w:szCs w:val="18"/>
              </w:rPr>
              <w:t>504</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F815893" w14:textId="77777777" w:rsidR="00F51523" w:rsidRPr="00181EF3" w:rsidRDefault="00F51523" w:rsidP="00F51523">
            <w:pPr>
              <w:pStyle w:val="TableText"/>
              <w:tabs>
                <w:tab w:val="decimal" w:pos="765"/>
              </w:tabs>
              <w:rPr>
                <w:szCs w:val="18"/>
              </w:rPr>
            </w:pPr>
            <w:r w:rsidRPr="00181EF3">
              <w:rPr>
                <w:szCs w:val="18"/>
              </w:rPr>
              <w:t>13,296</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02FE71B" w14:textId="77777777" w:rsidR="00F51523" w:rsidRPr="00181EF3" w:rsidRDefault="00F51523" w:rsidP="00F51523">
            <w:pPr>
              <w:pStyle w:val="TableText"/>
              <w:tabs>
                <w:tab w:val="decimal" w:pos="765"/>
              </w:tabs>
              <w:rPr>
                <w:szCs w:val="18"/>
              </w:rPr>
            </w:pPr>
            <w:r w:rsidRPr="00181EF3">
              <w:rPr>
                <w:szCs w:val="18"/>
              </w:rPr>
              <w:t>11,319</w:t>
            </w:r>
          </w:p>
        </w:tc>
        <w:tc>
          <w:tcPr>
            <w:tcW w:w="1064" w:type="dxa"/>
            <w:tcBorders>
              <w:top w:val="single" w:sz="4" w:space="0" w:color="A6A6A6" w:themeColor="background1" w:themeShade="A6"/>
              <w:bottom w:val="single" w:sz="4" w:space="0" w:color="A6A6A6" w:themeColor="background1" w:themeShade="A6"/>
            </w:tcBorders>
          </w:tcPr>
          <w:p w14:paraId="48C1B945" w14:textId="77777777" w:rsidR="00F51523" w:rsidRPr="00181EF3" w:rsidRDefault="00F51523" w:rsidP="00F51523">
            <w:pPr>
              <w:pStyle w:val="TableText"/>
              <w:tabs>
                <w:tab w:val="decimal" w:pos="765"/>
              </w:tabs>
              <w:rPr>
                <w:szCs w:val="18"/>
              </w:rPr>
            </w:pPr>
            <w:r w:rsidRPr="00181EF3">
              <w:rPr>
                <w:szCs w:val="18"/>
              </w:rPr>
              <w:t>95,508</w:t>
            </w:r>
          </w:p>
        </w:tc>
      </w:tr>
    </w:tbl>
    <w:p w14:paraId="1114EDB6" w14:textId="13F77457" w:rsidR="00F51523" w:rsidRPr="00181EF3" w:rsidRDefault="00F51523" w:rsidP="00F51523">
      <w:pPr>
        <w:pStyle w:val="Source"/>
      </w:pPr>
      <w:r w:rsidRPr="00181EF3">
        <w:t xml:space="preserve">Source: </w:t>
      </w:r>
      <w:r w:rsidR="008F0248">
        <w:t>Stats NZ</w:t>
      </w:r>
    </w:p>
    <w:p w14:paraId="6AF026BF" w14:textId="77777777" w:rsidR="00F51523" w:rsidRPr="00181EF3" w:rsidRDefault="00F51523" w:rsidP="00F51523">
      <w:pPr>
        <w:pStyle w:val="Figure"/>
        <w:sectPr w:rsidR="00F51523" w:rsidRPr="00181EF3" w:rsidSect="00F51523">
          <w:headerReference w:type="first" r:id="rId35"/>
          <w:footerReference w:type="first" r:id="rId36"/>
          <w:pgSz w:w="16834" w:h="11907" w:orient="landscape" w:code="9"/>
          <w:pgMar w:top="1134" w:right="1134" w:bottom="1134" w:left="1134" w:header="425" w:footer="425" w:gutter="0"/>
          <w:cols w:space="720"/>
          <w:titlePg/>
          <w:docGrid w:linePitch="286"/>
        </w:sectPr>
      </w:pPr>
    </w:p>
    <w:p w14:paraId="1A0B601B" w14:textId="77777777" w:rsidR="00F51523" w:rsidRPr="00181EF3" w:rsidRDefault="00F51523" w:rsidP="00F51523">
      <w:pPr>
        <w:pStyle w:val="Figure"/>
        <w:spacing w:before="0"/>
        <w:rPr>
          <w:i/>
        </w:rPr>
      </w:pPr>
      <w:bookmarkStart w:id="33" w:name="_Toc19101853"/>
      <w:r w:rsidRPr="00181EF3">
        <w:lastRenderedPageBreak/>
        <w:t>Figure 2: Proportion of DHB population that is Māori, 2006</w:t>
      </w:r>
      <w:bookmarkEnd w:id="33"/>
    </w:p>
    <w:p w14:paraId="4172A2E2" w14:textId="77777777" w:rsidR="00F51523" w:rsidRPr="00181EF3" w:rsidRDefault="00F51523" w:rsidP="00F51523">
      <w:r w:rsidRPr="00181EF3">
        <w:rPr>
          <w:noProof/>
          <w:lang w:eastAsia="en-NZ"/>
        </w:rPr>
        <w:drawing>
          <wp:inline distT="0" distB="0" distL="0" distR="0" wp14:anchorId="08BB9784" wp14:editId="032570D4">
            <wp:extent cx="5137265" cy="7196800"/>
            <wp:effectExtent l="0" t="0" r="6350" b="4445"/>
            <wp:docPr id="369" name="Picture 369" descr="This map shows the proportion of the population within each DHB that are Māori based on the 2006 census. Canterbury, South Canterbury and Otago had the lowest percentage of Māori population at 5 to 8 percent while the Northland, Bay of Plenty, Tairawhiti, Lakes and Whanganui DHBs had the highest proportion at 24 to 44 percent." title="Figure 2: Proportion of DHB population that is Māori,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_Maori_DHB_2006_v6.jpg"/>
                    <pic:cNvPicPr/>
                  </pic:nvPicPr>
                  <pic:blipFill rotWithShape="1">
                    <a:blip r:embed="rId37" cstate="print">
                      <a:extLst>
                        <a:ext uri="{28A0092B-C50C-407E-A947-70E740481C1C}">
                          <a14:useLocalDpi xmlns:a14="http://schemas.microsoft.com/office/drawing/2010/main" val="0"/>
                        </a:ext>
                      </a:extLst>
                    </a:blip>
                    <a:srcRect l="2178" t="1949" r="1161" b="2317"/>
                    <a:stretch/>
                  </pic:blipFill>
                  <pic:spPr bwMode="auto">
                    <a:xfrm>
                      <a:off x="0" y="0"/>
                      <a:ext cx="5140890" cy="7201878"/>
                    </a:xfrm>
                    <a:prstGeom prst="rect">
                      <a:avLst/>
                    </a:prstGeom>
                    <a:ln>
                      <a:noFill/>
                    </a:ln>
                    <a:extLst>
                      <a:ext uri="{53640926-AAD7-44D8-BBD7-CCE9431645EC}">
                        <a14:shadowObscured xmlns:a14="http://schemas.microsoft.com/office/drawing/2010/main"/>
                      </a:ext>
                    </a:extLst>
                  </pic:spPr>
                </pic:pic>
              </a:graphicData>
            </a:graphic>
          </wp:inline>
        </w:drawing>
      </w:r>
    </w:p>
    <w:p w14:paraId="65DF7EFB" w14:textId="77777777" w:rsidR="00F51523" w:rsidRPr="00181EF3" w:rsidRDefault="00F51523" w:rsidP="00F51523"/>
    <w:p w14:paraId="4A175CF1" w14:textId="77777777" w:rsidR="00F51523" w:rsidRPr="00181EF3" w:rsidRDefault="00F51523" w:rsidP="00F51523">
      <w:pPr>
        <w:pStyle w:val="Table"/>
        <w:sectPr w:rsidR="00F51523" w:rsidRPr="00181EF3" w:rsidSect="00F51523">
          <w:headerReference w:type="first" r:id="rId38"/>
          <w:footerReference w:type="first" r:id="rId39"/>
          <w:pgSz w:w="11907" w:h="16834" w:code="9"/>
          <w:pgMar w:top="1418" w:right="1701" w:bottom="1134" w:left="1843" w:header="425" w:footer="425" w:gutter="284"/>
          <w:cols w:space="720"/>
          <w:titlePg/>
          <w:docGrid w:linePitch="286"/>
        </w:sectPr>
      </w:pPr>
    </w:p>
    <w:p w14:paraId="7D5569C1" w14:textId="25528A1B" w:rsidR="00F51523" w:rsidRPr="00181EF3" w:rsidRDefault="00F51523" w:rsidP="00F51523">
      <w:pPr>
        <w:pStyle w:val="Table"/>
        <w:spacing w:before="0"/>
        <w:rPr>
          <w:i/>
        </w:rPr>
      </w:pPr>
      <w:bookmarkStart w:id="34" w:name="_Toc18594747"/>
      <w:r w:rsidRPr="00181EF3">
        <w:lastRenderedPageBreak/>
        <w:t xml:space="preserve">Table 7: District Health Board age distributions, Māori and </w:t>
      </w:r>
      <w:r w:rsidR="00EC03A3">
        <w:t>non</w:t>
      </w:r>
      <w:r w:rsidR="00EC03A3">
        <w:noBreakHyphen/>
        <w:t>M</w:t>
      </w:r>
      <w:r w:rsidRPr="00181EF3">
        <w:t>āori, 2013</w:t>
      </w:r>
      <w:bookmarkEnd w:id="34"/>
    </w:p>
    <w:tbl>
      <w:tblPr>
        <w:tblW w:w="14601" w:type="dxa"/>
        <w:tblInd w:w="57" w:type="dxa"/>
        <w:tblLayout w:type="fixed"/>
        <w:tblCellMar>
          <w:left w:w="57" w:type="dxa"/>
          <w:right w:w="57" w:type="dxa"/>
        </w:tblCellMar>
        <w:tblLook w:val="04A0" w:firstRow="1" w:lastRow="0" w:firstColumn="1" w:lastColumn="0" w:noHBand="0" w:noVBand="1"/>
      </w:tblPr>
      <w:tblGrid>
        <w:gridCol w:w="1843"/>
        <w:gridCol w:w="1063"/>
        <w:gridCol w:w="1063"/>
        <w:gridCol w:w="1063"/>
        <w:gridCol w:w="1063"/>
        <w:gridCol w:w="1063"/>
        <w:gridCol w:w="1064"/>
        <w:gridCol w:w="1063"/>
        <w:gridCol w:w="1063"/>
        <w:gridCol w:w="1063"/>
        <w:gridCol w:w="1063"/>
        <w:gridCol w:w="1063"/>
        <w:gridCol w:w="1064"/>
      </w:tblGrid>
      <w:tr w:rsidR="00F51523" w:rsidRPr="00181EF3" w14:paraId="79B0FF5B" w14:textId="77777777" w:rsidTr="00F51523">
        <w:trPr>
          <w:cantSplit/>
        </w:trPr>
        <w:tc>
          <w:tcPr>
            <w:tcW w:w="1843" w:type="dxa"/>
            <w:vMerge w:val="restart"/>
            <w:tcBorders>
              <w:right w:val="single" w:sz="4" w:space="0" w:color="A6A6A6" w:themeColor="background1" w:themeShade="A6"/>
            </w:tcBorders>
            <w:shd w:val="clear" w:color="auto" w:fill="D9D9D9" w:themeFill="background1" w:themeFillShade="D9"/>
          </w:tcPr>
          <w:p w14:paraId="50C71A02" w14:textId="77777777" w:rsidR="00F51523" w:rsidRPr="00181EF3" w:rsidRDefault="00F51523" w:rsidP="00F51523">
            <w:pPr>
              <w:pStyle w:val="TableText"/>
              <w:rPr>
                <w:b/>
              </w:rPr>
            </w:pPr>
            <w:r w:rsidRPr="00181EF3">
              <w:rPr>
                <w:b/>
              </w:rPr>
              <w:t>DHB</w:t>
            </w:r>
          </w:p>
        </w:tc>
        <w:tc>
          <w:tcPr>
            <w:tcW w:w="2126" w:type="dxa"/>
            <w:gridSpan w:val="2"/>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013D932D" w14:textId="77777777" w:rsidR="00F51523" w:rsidRPr="00181EF3" w:rsidRDefault="00F51523" w:rsidP="00F51523">
            <w:pPr>
              <w:pStyle w:val="TableText"/>
              <w:jc w:val="center"/>
              <w:rPr>
                <w:b/>
              </w:rPr>
            </w:pPr>
            <w:r w:rsidRPr="00181EF3">
              <w:rPr>
                <w:b/>
              </w:rPr>
              <w:t>0–14 years</w:t>
            </w:r>
          </w:p>
        </w:tc>
        <w:tc>
          <w:tcPr>
            <w:tcW w:w="2126" w:type="dxa"/>
            <w:gridSpan w:val="2"/>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3243CDA9" w14:textId="77777777" w:rsidR="00F51523" w:rsidRPr="00181EF3" w:rsidRDefault="00F51523" w:rsidP="00F51523">
            <w:pPr>
              <w:pStyle w:val="TableText"/>
              <w:jc w:val="center"/>
              <w:rPr>
                <w:b/>
              </w:rPr>
            </w:pPr>
            <w:r w:rsidRPr="00181EF3">
              <w:rPr>
                <w:b/>
              </w:rPr>
              <w:t>15–24 years</w:t>
            </w:r>
          </w:p>
        </w:tc>
        <w:tc>
          <w:tcPr>
            <w:tcW w:w="2127" w:type="dxa"/>
            <w:gridSpan w:val="2"/>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6E359B98" w14:textId="77777777" w:rsidR="00F51523" w:rsidRPr="00181EF3" w:rsidRDefault="00F51523" w:rsidP="00F51523">
            <w:pPr>
              <w:pStyle w:val="TableText"/>
              <w:jc w:val="center"/>
              <w:rPr>
                <w:b/>
              </w:rPr>
            </w:pPr>
            <w:r w:rsidRPr="00181EF3">
              <w:rPr>
                <w:b/>
              </w:rPr>
              <w:t>25–44 years</w:t>
            </w:r>
          </w:p>
        </w:tc>
        <w:tc>
          <w:tcPr>
            <w:tcW w:w="2126" w:type="dxa"/>
            <w:gridSpan w:val="2"/>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199EFB56" w14:textId="77777777" w:rsidR="00F51523" w:rsidRPr="00181EF3" w:rsidRDefault="00F51523" w:rsidP="00F51523">
            <w:pPr>
              <w:pStyle w:val="TableText"/>
              <w:jc w:val="center"/>
              <w:rPr>
                <w:b/>
              </w:rPr>
            </w:pPr>
            <w:r w:rsidRPr="00181EF3">
              <w:rPr>
                <w:b/>
              </w:rPr>
              <w:t>45–64 years</w:t>
            </w:r>
          </w:p>
        </w:tc>
        <w:tc>
          <w:tcPr>
            <w:tcW w:w="2126" w:type="dxa"/>
            <w:gridSpan w:val="2"/>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031CDDB3" w14:textId="77777777" w:rsidR="00F51523" w:rsidRPr="00181EF3" w:rsidRDefault="00F51523" w:rsidP="00F51523">
            <w:pPr>
              <w:pStyle w:val="TableText"/>
              <w:jc w:val="center"/>
              <w:rPr>
                <w:b/>
              </w:rPr>
            </w:pPr>
            <w:r w:rsidRPr="00181EF3">
              <w:rPr>
                <w:b/>
              </w:rPr>
              <w:t>65+ years</w:t>
            </w:r>
          </w:p>
        </w:tc>
        <w:tc>
          <w:tcPr>
            <w:tcW w:w="2127" w:type="dxa"/>
            <w:gridSpan w:val="2"/>
            <w:tcBorders>
              <w:left w:val="single" w:sz="4" w:space="0" w:color="A6A6A6" w:themeColor="background1" w:themeShade="A6"/>
            </w:tcBorders>
            <w:shd w:val="clear" w:color="auto" w:fill="D9D9D9" w:themeFill="background1" w:themeFillShade="D9"/>
          </w:tcPr>
          <w:p w14:paraId="0571CC23" w14:textId="77777777" w:rsidR="00F51523" w:rsidRPr="00181EF3" w:rsidRDefault="00F51523" w:rsidP="00F51523">
            <w:pPr>
              <w:pStyle w:val="TableText"/>
              <w:jc w:val="center"/>
              <w:rPr>
                <w:b/>
              </w:rPr>
            </w:pPr>
            <w:r w:rsidRPr="00181EF3">
              <w:rPr>
                <w:b/>
              </w:rPr>
              <w:t>Total</w:t>
            </w:r>
          </w:p>
        </w:tc>
      </w:tr>
      <w:tr w:rsidR="00F51523" w:rsidRPr="00181EF3" w14:paraId="5174F597" w14:textId="77777777" w:rsidTr="00F51523">
        <w:trPr>
          <w:cantSplit/>
        </w:trPr>
        <w:tc>
          <w:tcPr>
            <w:tcW w:w="1843" w:type="dxa"/>
            <w:vMerge/>
            <w:tcBorders>
              <w:right w:val="single" w:sz="4" w:space="0" w:color="A6A6A6" w:themeColor="background1" w:themeShade="A6"/>
            </w:tcBorders>
            <w:shd w:val="clear" w:color="auto" w:fill="D9D9D9" w:themeFill="background1" w:themeFillShade="D9"/>
          </w:tcPr>
          <w:p w14:paraId="16413013" w14:textId="77777777" w:rsidR="00F51523" w:rsidRPr="00181EF3" w:rsidRDefault="00F51523" w:rsidP="00F51523">
            <w:pPr>
              <w:pStyle w:val="TableText"/>
              <w:rPr>
                <w:b/>
              </w:rPr>
            </w:pPr>
          </w:p>
        </w:tc>
        <w:tc>
          <w:tcPr>
            <w:tcW w:w="1063" w:type="dxa"/>
            <w:tcBorders>
              <w:left w:val="single" w:sz="4" w:space="0" w:color="A6A6A6" w:themeColor="background1" w:themeShade="A6"/>
            </w:tcBorders>
            <w:shd w:val="clear" w:color="auto" w:fill="D9D9D9" w:themeFill="background1" w:themeFillShade="D9"/>
          </w:tcPr>
          <w:p w14:paraId="5DDE145B" w14:textId="77777777" w:rsidR="00F51523" w:rsidRPr="00181EF3" w:rsidRDefault="00F51523" w:rsidP="00F51523">
            <w:pPr>
              <w:pStyle w:val="TableText"/>
              <w:spacing w:before="0"/>
              <w:jc w:val="center"/>
              <w:rPr>
                <w:b/>
              </w:rPr>
            </w:pPr>
            <w:r w:rsidRPr="00181EF3">
              <w:rPr>
                <w:b/>
              </w:rPr>
              <w:t>Māori</w:t>
            </w:r>
          </w:p>
        </w:tc>
        <w:tc>
          <w:tcPr>
            <w:tcW w:w="1063" w:type="dxa"/>
            <w:tcBorders>
              <w:right w:val="single" w:sz="4" w:space="0" w:color="A6A6A6" w:themeColor="background1" w:themeShade="A6"/>
            </w:tcBorders>
            <w:shd w:val="clear" w:color="auto" w:fill="D9D9D9" w:themeFill="background1" w:themeFillShade="D9"/>
          </w:tcPr>
          <w:p w14:paraId="2BBFBD87" w14:textId="1E97DD79" w:rsidR="00F51523" w:rsidRPr="00181EF3" w:rsidRDefault="00EC03A3" w:rsidP="00F51523">
            <w:pPr>
              <w:pStyle w:val="TableText"/>
              <w:spacing w:before="0"/>
              <w:jc w:val="center"/>
              <w:rPr>
                <w:b/>
              </w:rPr>
            </w:pPr>
            <w:r>
              <w:rPr>
                <w:b/>
              </w:rPr>
              <w:t>Non</w:t>
            </w:r>
            <w:r>
              <w:rPr>
                <w:b/>
              </w:rPr>
              <w:noBreakHyphen/>
              <w:t>M</w:t>
            </w:r>
            <w:r w:rsidR="00F51523" w:rsidRPr="00181EF3">
              <w:rPr>
                <w:b/>
              </w:rPr>
              <w:t>āori</w:t>
            </w:r>
          </w:p>
        </w:tc>
        <w:tc>
          <w:tcPr>
            <w:tcW w:w="1063" w:type="dxa"/>
            <w:tcBorders>
              <w:left w:val="single" w:sz="4" w:space="0" w:color="A6A6A6" w:themeColor="background1" w:themeShade="A6"/>
            </w:tcBorders>
            <w:shd w:val="clear" w:color="auto" w:fill="D9D9D9" w:themeFill="background1" w:themeFillShade="D9"/>
          </w:tcPr>
          <w:p w14:paraId="75D6AF0B" w14:textId="77777777" w:rsidR="00F51523" w:rsidRPr="00181EF3" w:rsidRDefault="00F51523" w:rsidP="00F51523">
            <w:pPr>
              <w:pStyle w:val="TableText"/>
              <w:spacing w:before="0"/>
              <w:jc w:val="center"/>
              <w:rPr>
                <w:b/>
              </w:rPr>
            </w:pPr>
            <w:r w:rsidRPr="00181EF3">
              <w:rPr>
                <w:b/>
              </w:rPr>
              <w:t>Māori</w:t>
            </w:r>
          </w:p>
        </w:tc>
        <w:tc>
          <w:tcPr>
            <w:tcW w:w="1063" w:type="dxa"/>
            <w:tcBorders>
              <w:right w:val="single" w:sz="4" w:space="0" w:color="A6A6A6" w:themeColor="background1" w:themeShade="A6"/>
            </w:tcBorders>
            <w:shd w:val="clear" w:color="auto" w:fill="D9D9D9" w:themeFill="background1" w:themeFillShade="D9"/>
          </w:tcPr>
          <w:p w14:paraId="48063261" w14:textId="11EF3BFF" w:rsidR="00F51523" w:rsidRPr="00181EF3" w:rsidRDefault="00EC03A3" w:rsidP="00F51523">
            <w:pPr>
              <w:pStyle w:val="TableText"/>
              <w:spacing w:before="0"/>
              <w:jc w:val="center"/>
              <w:rPr>
                <w:b/>
              </w:rPr>
            </w:pPr>
            <w:r>
              <w:rPr>
                <w:b/>
              </w:rPr>
              <w:t>Non</w:t>
            </w:r>
            <w:r>
              <w:rPr>
                <w:b/>
              </w:rPr>
              <w:noBreakHyphen/>
              <w:t>M</w:t>
            </w:r>
            <w:r w:rsidR="00F51523" w:rsidRPr="00181EF3">
              <w:rPr>
                <w:b/>
              </w:rPr>
              <w:t>āori</w:t>
            </w:r>
          </w:p>
        </w:tc>
        <w:tc>
          <w:tcPr>
            <w:tcW w:w="1063" w:type="dxa"/>
            <w:tcBorders>
              <w:left w:val="single" w:sz="4" w:space="0" w:color="A6A6A6" w:themeColor="background1" w:themeShade="A6"/>
            </w:tcBorders>
            <w:shd w:val="clear" w:color="auto" w:fill="D9D9D9" w:themeFill="background1" w:themeFillShade="D9"/>
          </w:tcPr>
          <w:p w14:paraId="30C796F8" w14:textId="77777777" w:rsidR="00F51523" w:rsidRPr="00181EF3" w:rsidRDefault="00F51523" w:rsidP="00F51523">
            <w:pPr>
              <w:pStyle w:val="TableText"/>
              <w:spacing w:before="0"/>
              <w:jc w:val="center"/>
              <w:rPr>
                <w:b/>
              </w:rPr>
            </w:pPr>
            <w:r w:rsidRPr="00181EF3">
              <w:rPr>
                <w:b/>
              </w:rPr>
              <w:t>Māori</w:t>
            </w:r>
          </w:p>
        </w:tc>
        <w:tc>
          <w:tcPr>
            <w:tcW w:w="1064" w:type="dxa"/>
            <w:tcBorders>
              <w:right w:val="single" w:sz="4" w:space="0" w:color="A6A6A6" w:themeColor="background1" w:themeShade="A6"/>
            </w:tcBorders>
            <w:shd w:val="clear" w:color="auto" w:fill="D9D9D9" w:themeFill="background1" w:themeFillShade="D9"/>
          </w:tcPr>
          <w:p w14:paraId="73F778DD" w14:textId="44123ACF" w:rsidR="00F51523" w:rsidRPr="00181EF3" w:rsidRDefault="00EC03A3" w:rsidP="00F51523">
            <w:pPr>
              <w:pStyle w:val="TableText"/>
              <w:spacing w:before="0"/>
              <w:jc w:val="center"/>
              <w:rPr>
                <w:b/>
              </w:rPr>
            </w:pPr>
            <w:r>
              <w:rPr>
                <w:b/>
              </w:rPr>
              <w:t>Non</w:t>
            </w:r>
            <w:r>
              <w:rPr>
                <w:b/>
              </w:rPr>
              <w:noBreakHyphen/>
              <w:t>M</w:t>
            </w:r>
            <w:r w:rsidR="00F51523" w:rsidRPr="00181EF3">
              <w:rPr>
                <w:b/>
              </w:rPr>
              <w:t>āori</w:t>
            </w:r>
          </w:p>
        </w:tc>
        <w:tc>
          <w:tcPr>
            <w:tcW w:w="1063" w:type="dxa"/>
            <w:tcBorders>
              <w:left w:val="single" w:sz="4" w:space="0" w:color="A6A6A6" w:themeColor="background1" w:themeShade="A6"/>
            </w:tcBorders>
            <w:shd w:val="clear" w:color="auto" w:fill="D9D9D9" w:themeFill="background1" w:themeFillShade="D9"/>
          </w:tcPr>
          <w:p w14:paraId="77E4AF24" w14:textId="77777777" w:rsidR="00F51523" w:rsidRPr="00181EF3" w:rsidRDefault="00F51523" w:rsidP="00F51523">
            <w:pPr>
              <w:pStyle w:val="TableText"/>
              <w:spacing w:before="0"/>
              <w:jc w:val="center"/>
              <w:rPr>
                <w:b/>
              </w:rPr>
            </w:pPr>
            <w:r w:rsidRPr="00181EF3">
              <w:rPr>
                <w:b/>
              </w:rPr>
              <w:t>Māori</w:t>
            </w:r>
          </w:p>
        </w:tc>
        <w:tc>
          <w:tcPr>
            <w:tcW w:w="1063" w:type="dxa"/>
            <w:tcBorders>
              <w:right w:val="single" w:sz="4" w:space="0" w:color="A6A6A6" w:themeColor="background1" w:themeShade="A6"/>
            </w:tcBorders>
            <w:shd w:val="clear" w:color="auto" w:fill="D9D9D9" w:themeFill="background1" w:themeFillShade="D9"/>
          </w:tcPr>
          <w:p w14:paraId="1B1FF7D5" w14:textId="2C284810" w:rsidR="00F51523" w:rsidRPr="00181EF3" w:rsidRDefault="00EC03A3" w:rsidP="00F51523">
            <w:pPr>
              <w:pStyle w:val="TableText"/>
              <w:spacing w:before="0"/>
              <w:jc w:val="center"/>
              <w:rPr>
                <w:b/>
              </w:rPr>
            </w:pPr>
            <w:r>
              <w:rPr>
                <w:b/>
              </w:rPr>
              <w:t>Non</w:t>
            </w:r>
            <w:r>
              <w:rPr>
                <w:b/>
              </w:rPr>
              <w:noBreakHyphen/>
              <w:t>M</w:t>
            </w:r>
            <w:r w:rsidR="00F51523" w:rsidRPr="00181EF3">
              <w:rPr>
                <w:b/>
              </w:rPr>
              <w:t>āori</w:t>
            </w:r>
          </w:p>
        </w:tc>
        <w:tc>
          <w:tcPr>
            <w:tcW w:w="1063" w:type="dxa"/>
            <w:tcBorders>
              <w:left w:val="single" w:sz="4" w:space="0" w:color="A6A6A6" w:themeColor="background1" w:themeShade="A6"/>
            </w:tcBorders>
            <w:shd w:val="clear" w:color="auto" w:fill="D9D9D9" w:themeFill="background1" w:themeFillShade="D9"/>
          </w:tcPr>
          <w:p w14:paraId="347374AE" w14:textId="77777777" w:rsidR="00F51523" w:rsidRPr="00181EF3" w:rsidRDefault="00F51523" w:rsidP="00F51523">
            <w:pPr>
              <w:pStyle w:val="TableText"/>
              <w:spacing w:before="0"/>
              <w:jc w:val="center"/>
              <w:rPr>
                <w:b/>
              </w:rPr>
            </w:pPr>
            <w:r w:rsidRPr="00181EF3">
              <w:rPr>
                <w:b/>
              </w:rPr>
              <w:t>Māori</w:t>
            </w:r>
          </w:p>
        </w:tc>
        <w:tc>
          <w:tcPr>
            <w:tcW w:w="1063" w:type="dxa"/>
            <w:tcBorders>
              <w:right w:val="single" w:sz="4" w:space="0" w:color="A6A6A6" w:themeColor="background1" w:themeShade="A6"/>
            </w:tcBorders>
            <w:shd w:val="clear" w:color="auto" w:fill="D9D9D9" w:themeFill="background1" w:themeFillShade="D9"/>
          </w:tcPr>
          <w:p w14:paraId="4C5009EE" w14:textId="5103A3AC" w:rsidR="00F51523" w:rsidRPr="00181EF3" w:rsidRDefault="00EC03A3" w:rsidP="00F51523">
            <w:pPr>
              <w:pStyle w:val="TableText"/>
              <w:spacing w:before="0"/>
              <w:jc w:val="center"/>
              <w:rPr>
                <w:b/>
              </w:rPr>
            </w:pPr>
            <w:r>
              <w:rPr>
                <w:b/>
              </w:rPr>
              <w:t>Non</w:t>
            </w:r>
            <w:r>
              <w:rPr>
                <w:b/>
              </w:rPr>
              <w:noBreakHyphen/>
              <w:t>M</w:t>
            </w:r>
            <w:r w:rsidR="00F51523" w:rsidRPr="00181EF3">
              <w:rPr>
                <w:b/>
              </w:rPr>
              <w:t>āori</w:t>
            </w:r>
          </w:p>
        </w:tc>
        <w:tc>
          <w:tcPr>
            <w:tcW w:w="1063" w:type="dxa"/>
            <w:tcBorders>
              <w:left w:val="single" w:sz="4" w:space="0" w:color="A6A6A6" w:themeColor="background1" w:themeShade="A6"/>
            </w:tcBorders>
            <w:shd w:val="clear" w:color="auto" w:fill="D9D9D9" w:themeFill="background1" w:themeFillShade="D9"/>
          </w:tcPr>
          <w:p w14:paraId="3599DDAE" w14:textId="77777777" w:rsidR="00F51523" w:rsidRPr="00181EF3" w:rsidRDefault="00F51523" w:rsidP="00F51523">
            <w:pPr>
              <w:pStyle w:val="TableText"/>
              <w:spacing w:before="0"/>
              <w:jc w:val="center"/>
              <w:rPr>
                <w:b/>
              </w:rPr>
            </w:pPr>
            <w:r w:rsidRPr="00181EF3">
              <w:rPr>
                <w:b/>
              </w:rPr>
              <w:t>Māori</w:t>
            </w:r>
          </w:p>
        </w:tc>
        <w:tc>
          <w:tcPr>
            <w:tcW w:w="1064" w:type="dxa"/>
            <w:shd w:val="clear" w:color="auto" w:fill="D9D9D9" w:themeFill="background1" w:themeFillShade="D9"/>
          </w:tcPr>
          <w:p w14:paraId="6ADA3D77" w14:textId="1B2D672C" w:rsidR="00F51523" w:rsidRPr="00181EF3" w:rsidRDefault="00EC03A3" w:rsidP="00F51523">
            <w:pPr>
              <w:pStyle w:val="TableText"/>
              <w:spacing w:before="0"/>
              <w:jc w:val="center"/>
              <w:rPr>
                <w:b/>
              </w:rPr>
            </w:pPr>
            <w:r>
              <w:rPr>
                <w:b/>
              </w:rPr>
              <w:t>Non</w:t>
            </w:r>
            <w:r>
              <w:rPr>
                <w:b/>
              </w:rPr>
              <w:noBreakHyphen/>
              <w:t>M</w:t>
            </w:r>
            <w:r w:rsidR="00F51523" w:rsidRPr="00181EF3">
              <w:rPr>
                <w:b/>
              </w:rPr>
              <w:t>āori</w:t>
            </w:r>
          </w:p>
        </w:tc>
      </w:tr>
      <w:tr w:rsidR="00F51523" w:rsidRPr="00181EF3" w14:paraId="2AC0F28B" w14:textId="77777777" w:rsidTr="00F51523">
        <w:trPr>
          <w:cantSplit/>
        </w:trPr>
        <w:tc>
          <w:tcPr>
            <w:tcW w:w="1843" w:type="dxa"/>
            <w:tcBorders>
              <w:bottom w:val="single" w:sz="4" w:space="0" w:color="A6A6A6" w:themeColor="background1" w:themeShade="A6"/>
              <w:right w:val="single" w:sz="4" w:space="0" w:color="A6A6A6" w:themeColor="background1" w:themeShade="A6"/>
            </w:tcBorders>
          </w:tcPr>
          <w:p w14:paraId="0EFE8956" w14:textId="77777777" w:rsidR="00F51523" w:rsidRPr="00181EF3" w:rsidRDefault="00F51523" w:rsidP="00F51523">
            <w:pPr>
              <w:pStyle w:val="TableText"/>
            </w:pPr>
            <w:r w:rsidRPr="00181EF3">
              <w:t>Northland</w:t>
            </w:r>
          </w:p>
        </w:tc>
        <w:tc>
          <w:tcPr>
            <w:tcW w:w="1063" w:type="dxa"/>
            <w:tcBorders>
              <w:left w:val="single" w:sz="4" w:space="0" w:color="A6A6A6" w:themeColor="background1" w:themeShade="A6"/>
              <w:bottom w:val="single" w:sz="4" w:space="0" w:color="A6A6A6" w:themeColor="background1" w:themeShade="A6"/>
            </w:tcBorders>
          </w:tcPr>
          <w:p w14:paraId="55E755CC" w14:textId="77777777" w:rsidR="00F51523" w:rsidRPr="00181EF3" w:rsidRDefault="00F51523" w:rsidP="00F51523">
            <w:pPr>
              <w:pStyle w:val="TableText"/>
              <w:tabs>
                <w:tab w:val="decimal" w:pos="765"/>
              </w:tabs>
              <w:rPr>
                <w:szCs w:val="18"/>
              </w:rPr>
            </w:pPr>
            <w:r w:rsidRPr="00181EF3">
              <w:rPr>
                <w:szCs w:val="18"/>
              </w:rPr>
              <w:t>15,138</w:t>
            </w:r>
          </w:p>
        </w:tc>
        <w:tc>
          <w:tcPr>
            <w:tcW w:w="1063" w:type="dxa"/>
            <w:tcBorders>
              <w:bottom w:val="single" w:sz="4" w:space="0" w:color="A6A6A6" w:themeColor="background1" w:themeShade="A6"/>
              <w:right w:val="single" w:sz="4" w:space="0" w:color="A6A6A6" w:themeColor="background1" w:themeShade="A6"/>
            </w:tcBorders>
          </w:tcPr>
          <w:p w14:paraId="26D35DBC" w14:textId="77777777" w:rsidR="00F51523" w:rsidRPr="00181EF3" w:rsidRDefault="00F51523" w:rsidP="00F51523">
            <w:pPr>
              <w:pStyle w:val="TableText"/>
              <w:tabs>
                <w:tab w:val="decimal" w:pos="765"/>
              </w:tabs>
              <w:rPr>
                <w:szCs w:val="18"/>
              </w:rPr>
            </w:pPr>
            <w:r w:rsidRPr="00181EF3">
              <w:rPr>
                <w:szCs w:val="18"/>
              </w:rPr>
              <w:t>17,610</w:t>
            </w:r>
          </w:p>
        </w:tc>
        <w:tc>
          <w:tcPr>
            <w:tcW w:w="1063" w:type="dxa"/>
            <w:tcBorders>
              <w:left w:val="single" w:sz="4" w:space="0" w:color="A6A6A6" w:themeColor="background1" w:themeShade="A6"/>
              <w:bottom w:val="single" w:sz="4" w:space="0" w:color="A6A6A6" w:themeColor="background1" w:themeShade="A6"/>
            </w:tcBorders>
          </w:tcPr>
          <w:p w14:paraId="15BFBAFC" w14:textId="77777777" w:rsidR="00F51523" w:rsidRPr="00181EF3" w:rsidRDefault="00F51523" w:rsidP="00F51523">
            <w:pPr>
              <w:pStyle w:val="TableText"/>
              <w:tabs>
                <w:tab w:val="decimal" w:pos="765"/>
              </w:tabs>
              <w:rPr>
                <w:szCs w:val="18"/>
              </w:rPr>
            </w:pPr>
            <w:r w:rsidRPr="00181EF3">
              <w:rPr>
                <w:szCs w:val="18"/>
              </w:rPr>
              <w:t>6,888</w:t>
            </w:r>
          </w:p>
        </w:tc>
        <w:tc>
          <w:tcPr>
            <w:tcW w:w="1063" w:type="dxa"/>
            <w:tcBorders>
              <w:bottom w:val="single" w:sz="4" w:space="0" w:color="A6A6A6" w:themeColor="background1" w:themeShade="A6"/>
              <w:right w:val="single" w:sz="4" w:space="0" w:color="A6A6A6" w:themeColor="background1" w:themeShade="A6"/>
            </w:tcBorders>
          </w:tcPr>
          <w:p w14:paraId="7775062C" w14:textId="77777777" w:rsidR="00F51523" w:rsidRPr="00181EF3" w:rsidRDefault="00F51523" w:rsidP="00F51523">
            <w:pPr>
              <w:pStyle w:val="TableText"/>
              <w:tabs>
                <w:tab w:val="decimal" w:pos="765"/>
              </w:tabs>
              <w:rPr>
                <w:szCs w:val="18"/>
              </w:rPr>
            </w:pPr>
            <w:r w:rsidRPr="00181EF3">
              <w:rPr>
                <w:szCs w:val="18"/>
              </w:rPr>
              <w:t>9,795</w:t>
            </w:r>
          </w:p>
        </w:tc>
        <w:tc>
          <w:tcPr>
            <w:tcW w:w="1063" w:type="dxa"/>
            <w:tcBorders>
              <w:left w:val="single" w:sz="4" w:space="0" w:color="A6A6A6" w:themeColor="background1" w:themeShade="A6"/>
              <w:bottom w:val="single" w:sz="4" w:space="0" w:color="A6A6A6" w:themeColor="background1" w:themeShade="A6"/>
            </w:tcBorders>
          </w:tcPr>
          <w:p w14:paraId="5F7AC1C4" w14:textId="77777777" w:rsidR="00F51523" w:rsidRPr="00181EF3" w:rsidRDefault="00F51523" w:rsidP="00F51523">
            <w:pPr>
              <w:pStyle w:val="TableText"/>
              <w:tabs>
                <w:tab w:val="decimal" w:pos="765"/>
              </w:tabs>
              <w:rPr>
                <w:szCs w:val="18"/>
              </w:rPr>
            </w:pPr>
            <w:r w:rsidRPr="00181EF3">
              <w:rPr>
                <w:szCs w:val="18"/>
              </w:rPr>
              <w:t>9,723</w:t>
            </w:r>
          </w:p>
        </w:tc>
        <w:tc>
          <w:tcPr>
            <w:tcW w:w="1064" w:type="dxa"/>
            <w:tcBorders>
              <w:bottom w:val="single" w:sz="4" w:space="0" w:color="A6A6A6" w:themeColor="background1" w:themeShade="A6"/>
              <w:right w:val="single" w:sz="4" w:space="0" w:color="A6A6A6" w:themeColor="background1" w:themeShade="A6"/>
            </w:tcBorders>
          </w:tcPr>
          <w:p w14:paraId="036858BE" w14:textId="77777777" w:rsidR="00F51523" w:rsidRPr="00181EF3" w:rsidRDefault="00F51523" w:rsidP="00F51523">
            <w:pPr>
              <w:pStyle w:val="TableText"/>
              <w:tabs>
                <w:tab w:val="decimal" w:pos="765"/>
              </w:tabs>
              <w:rPr>
                <w:szCs w:val="18"/>
              </w:rPr>
            </w:pPr>
            <w:r w:rsidRPr="00181EF3">
              <w:rPr>
                <w:szCs w:val="18"/>
              </w:rPr>
              <w:t>21,258</w:t>
            </w:r>
          </w:p>
        </w:tc>
        <w:tc>
          <w:tcPr>
            <w:tcW w:w="1063" w:type="dxa"/>
            <w:tcBorders>
              <w:left w:val="single" w:sz="4" w:space="0" w:color="A6A6A6" w:themeColor="background1" w:themeShade="A6"/>
              <w:bottom w:val="single" w:sz="4" w:space="0" w:color="A6A6A6" w:themeColor="background1" w:themeShade="A6"/>
            </w:tcBorders>
          </w:tcPr>
          <w:p w14:paraId="55213103" w14:textId="77777777" w:rsidR="00F51523" w:rsidRPr="00181EF3" w:rsidRDefault="00F51523" w:rsidP="00F51523">
            <w:pPr>
              <w:pStyle w:val="TableText"/>
              <w:tabs>
                <w:tab w:val="decimal" w:pos="765"/>
              </w:tabs>
              <w:rPr>
                <w:szCs w:val="18"/>
              </w:rPr>
            </w:pPr>
            <w:r w:rsidRPr="00181EF3">
              <w:rPr>
                <w:szCs w:val="18"/>
              </w:rPr>
              <w:t>9,738</w:t>
            </w:r>
          </w:p>
        </w:tc>
        <w:tc>
          <w:tcPr>
            <w:tcW w:w="1063" w:type="dxa"/>
            <w:tcBorders>
              <w:bottom w:val="single" w:sz="4" w:space="0" w:color="A6A6A6" w:themeColor="background1" w:themeShade="A6"/>
              <w:right w:val="single" w:sz="4" w:space="0" w:color="A6A6A6" w:themeColor="background1" w:themeShade="A6"/>
            </w:tcBorders>
          </w:tcPr>
          <w:p w14:paraId="75621E92" w14:textId="77777777" w:rsidR="00F51523" w:rsidRPr="00181EF3" w:rsidRDefault="00F51523" w:rsidP="00F51523">
            <w:pPr>
              <w:pStyle w:val="TableText"/>
              <w:tabs>
                <w:tab w:val="decimal" w:pos="765"/>
              </w:tabs>
              <w:rPr>
                <w:szCs w:val="18"/>
              </w:rPr>
            </w:pPr>
            <w:r w:rsidRPr="00181EF3">
              <w:rPr>
                <w:szCs w:val="18"/>
              </w:rPr>
              <w:t>33,774</w:t>
            </w:r>
          </w:p>
        </w:tc>
        <w:tc>
          <w:tcPr>
            <w:tcW w:w="1063" w:type="dxa"/>
            <w:tcBorders>
              <w:left w:val="single" w:sz="4" w:space="0" w:color="A6A6A6" w:themeColor="background1" w:themeShade="A6"/>
              <w:bottom w:val="single" w:sz="4" w:space="0" w:color="A6A6A6" w:themeColor="background1" w:themeShade="A6"/>
            </w:tcBorders>
          </w:tcPr>
          <w:p w14:paraId="503BC91D" w14:textId="77777777" w:rsidR="00F51523" w:rsidRPr="00181EF3" w:rsidRDefault="00F51523" w:rsidP="00F51523">
            <w:pPr>
              <w:pStyle w:val="TableText"/>
              <w:tabs>
                <w:tab w:val="decimal" w:pos="765"/>
              </w:tabs>
              <w:rPr>
                <w:szCs w:val="18"/>
              </w:rPr>
            </w:pPr>
            <w:r w:rsidRPr="00181EF3">
              <w:rPr>
                <w:szCs w:val="18"/>
              </w:rPr>
              <w:t>3,441</w:t>
            </w:r>
          </w:p>
        </w:tc>
        <w:tc>
          <w:tcPr>
            <w:tcW w:w="1063" w:type="dxa"/>
            <w:tcBorders>
              <w:bottom w:val="single" w:sz="4" w:space="0" w:color="A6A6A6" w:themeColor="background1" w:themeShade="A6"/>
              <w:right w:val="single" w:sz="4" w:space="0" w:color="A6A6A6" w:themeColor="background1" w:themeShade="A6"/>
            </w:tcBorders>
          </w:tcPr>
          <w:p w14:paraId="209F43F7" w14:textId="77777777" w:rsidR="00F51523" w:rsidRPr="00181EF3" w:rsidRDefault="00F51523" w:rsidP="00F51523">
            <w:pPr>
              <w:pStyle w:val="TableText"/>
              <w:tabs>
                <w:tab w:val="decimal" w:pos="765"/>
              </w:tabs>
              <w:rPr>
                <w:szCs w:val="18"/>
              </w:rPr>
            </w:pPr>
            <w:r w:rsidRPr="00181EF3">
              <w:rPr>
                <w:szCs w:val="18"/>
              </w:rPr>
              <w:t>24,324</w:t>
            </w:r>
          </w:p>
        </w:tc>
        <w:tc>
          <w:tcPr>
            <w:tcW w:w="1063" w:type="dxa"/>
            <w:tcBorders>
              <w:left w:val="single" w:sz="4" w:space="0" w:color="A6A6A6" w:themeColor="background1" w:themeShade="A6"/>
              <w:bottom w:val="single" w:sz="4" w:space="0" w:color="A6A6A6" w:themeColor="background1" w:themeShade="A6"/>
            </w:tcBorders>
          </w:tcPr>
          <w:p w14:paraId="18FF19D3" w14:textId="77777777" w:rsidR="00F51523" w:rsidRPr="00181EF3" w:rsidRDefault="00F51523" w:rsidP="00F51523">
            <w:pPr>
              <w:pStyle w:val="TableText"/>
              <w:tabs>
                <w:tab w:val="decimal" w:pos="765"/>
              </w:tabs>
              <w:rPr>
                <w:szCs w:val="18"/>
              </w:rPr>
            </w:pPr>
            <w:r w:rsidRPr="00181EF3">
              <w:rPr>
                <w:szCs w:val="18"/>
              </w:rPr>
              <w:t>44,928</w:t>
            </w:r>
          </w:p>
        </w:tc>
        <w:tc>
          <w:tcPr>
            <w:tcW w:w="1064" w:type="dxa"/>
            <w:tcBorders>
              <w:bottom w:val="single" w:sz="4" w:space="0" w:color="A6A6A6" w:themeColor="background1" w:themeShade="A6"/>
            </w:tcBorders>
          </w:tcPr>
          <w:p w14:paraId="0D8E64E2" w14:textId="77777777" w:rsidR="00F51523" w:rsidRPr="00181EF3" w:rsidRDefault="00F51523" w:rsidP="00F51523">
            <w:pPr>
              <w:pStyle w:val="TableText"/>
              <w:tabs>
                <w:tab w:val="decimal" w:pos="765"/>
              </w:tabs>
              <w:rPr>
                <w:szCs w:val="18"/>
              </w:rPr>
            </w:pPr>
            <w:r w:rsidRPr="00181EF3">
              <w:rPr>
                <w:szCs w:val="18"/>
              </w:rPr>
              <w:t>106,764</w:t>
            </w:r>
          </w:p>
        </w:tc>
      </w:tr>
      <w:tr w:rsidR="00F51523" w:rsidRPr="00181EF3" w14:paraId="0E43B474" w14:textId="77777777" w:rsidTr="00F51523">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7257A10" w14:textId="77777777" w:rsidR="00F51523" w:rsidRPr="00181EF3" w:rsidRDefault="00F51523" w:rsidP="00F51523">
            <w:pPr>
              <w:pStyle w:val="TableText"/>
            </w:pPr>
            <w:r w:rsidRPr="00181EF3">
              <w:t>Waitemata</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3C8A12A" w14:textId="77777777" w:rsidR="00F51523" w:rsidRPr="00181EF3" w:rsidRDefault="00F51523" w:rsidP="00F51523">
            <w:pPr>
              <w:pStyle w:val="TableText"/>
              <w:tabs>
                <w:tab w:val="decimal" w:pos="765"/>
              </w:tabs>
              <w:rPr>
                <w:szCs w:val="18"/>
              </w:rPr>
            </w:pPr>
            <w:r w:rsidRPr="00181EF3">
              <w:rPr>
                <w:szCs w:val="18"/>
              </w:rPr>
              <w:t>15,942</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2DB8A92" w14:textId="77777777" w:rsidR="00F51523" w:rsidRPr="00181EF3" w:rsidRDefault="00F51523" w:rsidP="00F51523">
            <w:pPr>
              <w:pStyle w:val="TableText"/>
              <w:tabs>
                <w:tab w:val="decimal" w:pos="765"/>
              </w:tabs>
              <w:rPr>
                <w:szCs w:val="18"/>
              </w:rPr>
            </w:pPr>
            <w:r w:rsidRPr="00181EF3">
              <w:rPr>
                <w:szCs w:val="18"/>
              </w:rPr>
              <w:t>92,049</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B5FD35C" w14:textId="77777777" w:rsidR="00F51523" w:rsidRPr="00181EF3" w:rsidRDefault="00F51523" w:rsidP="00F51523">
            <w:pPr>
              <w:pStyle w:val="TableText"/>
              <w:tabs>
                <w:tab w:val="decimal" w:pos="765"/>
              </w:tabs>
              <w:rPr>
                <w:szCs w:val="18"/>
              </w:rPr>
            </w:pPr>
            <w:r w:rsidRPr="00181EF3">
              <w:rPr>
                <w:szCs w:val="18"/>
              </w:rPr>
              <w:t>8,634</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63C65D6" w14:textId="77777777" w:rsidR="00F51523" w:rsidRPr="00181EF3" w:rsidRDefault="00F51523" w:rsidP="00F51523">
            <w:pPr>
              <w:pStyle w:val="TableText"/>
              <w:tabs>
                <w:tab w:val="decimal" w:pos="765"/>
              </w:tabs>
              <w:rPr>
                <w:szCs w:val="18"/>
              </w:rPr>
            </w:pPr>
            <w:r w:rsidRPr="00181EF3">
              <w:rPr>
                <w:szCs w:val="18"/>
              </w:rPr>
              <w:t>63,111</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61B8E7E" w14:textId="77777777" w:rsidR="00F51523" w:rsidRPr="00181EF3" w:rsidRDefault="00F51523" w:rsidP="00F51523">
            <w:pPr>
              <w:pStyle w:val="TableText"/>
              <w:tabs>
                <w:tab w:val="decimal" w:pos="765"/>
              </w:tabs>
              <w:rPr>
                <w:szCs w:val="18"/>
              </w:rPr>
            </w:pPr>
            <w:r w:rsidRPr="00181EF3">
              <w:rPr>
                <w:szCs w:val="18"/>
              </w:rPr>
              <w:t>11,613</w:t>
            </w:r>
          </w:p>
        </w:tc>
        <w:tc>
          <w:tcPr>
            <w:tcW w:w="106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A366A1E" w14:textId="77777777" w:rsidR="00F51523" w:rsidRPr="00181EF3" w:rsidRDefault="00F51523" w:rsidP="00F51523">
            <w:pPr>
              <w:pStyle w:val="TableText"/>
              <w:tabs>
                <w:tab w:val="decimal" w:pos="765"/>
              </w:tabs>
              <w:rPr>
                <w:szCs w:val="18"/>
              </w:rPr>
            </w:pPr>
            <w:r w:rsidRPr="00181EF3">
              <w:rPr>
                <w:szCs w:val="18"/>
              </w:rPr>
              <w:t>130,923</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491BB91" w14:textId="77777777" w:rsidR="00F51523" w:rsidRPr="00181EF3" w:rsidRDefault="00F51523" w:rsidP="00F51523">
            <w:pPr>
              <w:pStyle w:val="TableText"/>
              <w:tabs>
                <w:tab w:val="decimal" w:pos="765"/>
              </w:tabs>
              <w:rPr>
                <w:szCs w:val="18"/>
              </w:rPr>
            </w:pPr>
            <w:r w:rsidRPr="00181EF3">
              <w:rPr>
                <w:szCs w:val="18"/>
              </w:rPr>
              <w:t>8,238</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5D58C21" w14:textId="77777777" w:rsidR="00F51523" w:rsidRPr="00181EF3" w:rsidRDefault="00F51523" w:rsidP="00F51523">
            <w:pPr>
              <w:pStyle w:val="TableText"/>
              <w:tabs>
                <w:tab w:val="decimal" w:pos="765"/>
              </w:tabs>
              <w:rPr>
                <w:szCs w:val="18"/>
              </w:rPr>
            </w:pPr>
            <w:r w:rsidRPr="00181EF3">
              <w:rPr>
                <w:szCs w:val="18"/>
              </w:rPr>
              <w:t>126,564</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C6DC1C0" w14:textId="77777777" w:rsidR="00F51523" w:rsidRPr="00181EF3" w:rsidRDefault="00F51523" w:rsidP="00F51523">
            <w:pPr>
              <w:pStyle w:val="TableText"/>
              <w:tabs>
                <w:tab w:val="decimal" w:pos="765"/>
              </w:tabs>
              <w:rPr>
                <w:szCs w:val="18"/>
              </w:rPr>
            </w:pPr>
            <w:r w:rsidRPr="00181EF3">
              <w:rPr>
                <w:szCs w:val="18"/>
              </w:rPr>
              <w:t>1,875</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9AED4F2" w14:textId="77777777" w:rsidR="00F51523" w:rsidRPr="00181EF3" w:rsidRDefault="00F51523" w:rsidP="00F51523">
            <w:pPr>
              <w:pStyle w:val="TableText"/>
              <w:tabs>
                <w:tab w:val="decimal" w:pos="765"/>
              </w:tabs>
              <w:rPr>
                <w:szCs w:val="18"/>
              </w:rPr>
            </w:pPr>
            <w:r w:rsidRPr="00181EF3">
              <w:rPr>
                <w:szCs w:val="18"/>
              </w:rPr>
              <w:t>66,609</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32BF47F" w14:textId="77777777" w:rsidR="00F51523" w:rsidRPr="00181EF3" w:rsidRDefault="00F51523" w:rsidP="00F51523">
            <w:pPr>
              <w:pStyle w:val="TableText"/>
              <w:tabs>
                <w:tab w:val="decimal" w:pos="765"/>
              </w:tabs>
              <w:rPr>
                <w:szCs w:val="18"/>
              </w:rPr>
            </w:pPr>
            <w:r w:rsidRPr="00181EF3">
              <w:rPr>
                <w:szCs w:val="18"/>
              </w:rPr>
              <w:t>46,302</w:t>
            </w:r>
          </w:p>
        </w:tc>
        <w:tc>
          <w:tcPr>
            <w:tcW w:w="1064" w:type="dxa"/>
            <w:tcBorders>
              <w:top w:val="single" w:sz="4" w:space="0" w:color="A6A6A6" w:themeColor="background1" w:themeShade="A6"/>
              <w:bottom w:val="single" w:sz="4" w:space="0" w:color="A6A6A6" w:themeColor="background1" w:themeShade="A6"/>
            </w:tcBorders>
          </w:tcPr>
          <w:p w14:paraId="284F88E6" w14:textId="77777777" w:rsidR="00F51523" w:rsidRPr="00181EF3" w:rsidRDefault="00F51523" w:rsidP="00F51523">
            <w:pPr>
              <w:pStyle w:val="TableText"/>
              <w:tabs>
                <w:tab w:val="decimal" w:pos="765"/>
              </w:tabs>
              <w:rPr>
                <w:szCs w:val="18"/>
              </w:rPr>
            </w:pPr>
            <w:r w:rsidRPr="00181EF3">
              <w:rPr>
                <w:szCs w:val="18"/>
              </w:rPr>
              <w:t>479,256</w:t>
            </w:r>
          </w:p>
        </w:tc>
      </w:tr>
      <w:tr w:rsidR="00F51523" w:rsidRPr="00181EF3" w14:paraId="3AB26747" w14:textId="77777777" w:rsidTr="00F51523">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66E71E6" w14:textId="77777777" w:rsidR="00F51523" w:rsidRPr="00181EF3" w:rsidRDefault="00F51523" w:rsidP="00F51523">
            <w:pPr>
              <w:pStyle w:val="TableText"/>
            </w:pPr>
            <w:r w:rsidRPr="00181EF3">
              <w:t>Auckland</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6146164" w14:textId="77777777" w:rsidR="00F51523" w:rsidRPr="00181EF3" w:rsidRDefault="00F51523" w:rsidP="00F51523">
            <w:pPr>
              <w:pStyle w:val="TableText"/>
              <w:tabs>
                <w:tab w:val="decimal" w:pos="765"/>
              </w:tabs>
              <w:rPr>
                <w:szCs w:val="18"/>
              </w:rPr>
            </w:pPr>
            <w:r w:rsidRPr="00181EF3">
              <w:rPr>
                <w:szCs w:val="18"/>
              </w:rPr>
              <w:t>8,820</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6E91531" w14:textId="77777777" w:rsidR="00F51523" w:rsidRPr="00181EF3" w:rsidRDefault="00F51523" w:rsidP="00F51523">
            <w:pPr>
              <w:pStyle w:val="TableText"/>
              <w:tabs>
                <w:tab w:val="decimal" w:pos="765"/>
              </w:tabs>
              <w:rPr>
                <w:szCs w:val="18"/>
              </w:rPr>
            </w:pPr>
            <w:r w:rsidRPr="00181EF3">
              <w:rPr>
                <w:szCs w:val="18"/>
              </w:rPr>
              <w:t>70,182</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6DEC6CE" w14:textId="77777777" w:rsidR="00F51523" w:rsidRPr="00181EF3" w:rsidRDefault="00F51523" w:rsidP="00F51523">
            <w:pPr>
              <w:pStyle w:val="TableText"/>
              <w:tabs>
                <w:tab w:val="decimal" w:pos="765"/>
              </w:tabs>
              <w:rPr>
                <w:szCs w:val="18"/>
              </w:rPr>
            </w:pPr>
            <w:r w:rsidRPr="00181EF3">
              <w:rPr>
                <w:szCs w:val="18"/>
              </w:rPr>
              <w:t>6,255</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B7D83AF" w14:textId="77777777" w:rsidR="00F51523" w:rsidRPr="00181EF3" w:rsidRDefault="00F51523" w:rsidP="00F51523">
            <w:pPr>
              <w:pStyle w:val="TableText"/>
              <w:tabs>
                <w:tab w:val="decimal" w:pos="765"/>
              </w:tabs>
              <w:rPr>
                <w:szCs w:val="18"/>
              </w:rPr>
            </w:pPr>
            <w:r w:rsidRPr="00181EF3">
              <w:rPr>
                <w:szCs w:val="18"/>
              </w:rPr>
              <w:t>64,059</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931A8EB" w14:textId="77777777" w:rsidR="00F51523" w:rsidRPr="00181EF3" w:rsidRDefault="00F51523" w:rsidP="00F51523">
            <w:pPr>
              <w:pStyle w:val="TableText"/>
              <w:tabs>
                <w:tab w:val="decimal" w:pos="765"/>
              </w:tabs>
              <w:rPr>
                <w:szCs w:val="18"/>
              </w:rPr>
            </w:pPr>
            <w:r w:rsidRPr="00181EF3">
              <w:rPr>
                <w:szCs w:val="18"/>
              </w:rPr>
              <w:t>8,751</w:t>
            </w:r>
          </w:p>
        </w:tc>
        <w:tc>
          <w:tcPr>
            <w:tcW w:w="106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129F8C3" w14:textId="77777777" w:rsidR="00F51523" w:rsidRPr="00181EF3" w:rsidRDefault="00F51523" w:rsidP="00F51523">
            <w:pPr>
              <w:pStyle w:val="TableText"/>
              <w:tabs>
                <w:tab w:val="decimal" w:pos="765"/>
              </w:tabs>
              <w:rPr>
                <w:szCs w:val="18"/>
              </w:rPr>
            </w:pPr>
            <w:r w:rsidRPr="00181EF3">
              <w:rPr>
                <w:szCs w:val="18"/>
              </w:rPr>
              <w:t>129,363</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2395649" w14:textId="77777777" w:rsidR="00F51523" w:rsidRPr="00181EF3" w:rsidRDefault="00F51523" w:rsidP="00F51523">
            <w:pPr>
              <w:pStyle w:val="TableText"/>
              <w:tabs>
                <w:tab w:val="decimal" w:pos="765"/>
              </w:tabs>
              <w:rPr>
                <w:szCs w:val="18"/>
              </w:rPr>
            </w:pPr>
            <w:r w:rsidRPr="00181EF3">
              <w:rPr>
                <w:szCs w:val="18"/>
              </w:rPr>
              <w:t>6,159</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CB01BB1" w14:textId="77777777" w:rsidR="00F51523" w:rsidRPr="00181EF3" w:rsidRDefault="00F51523" w:rsidP="00F51523">
            <w:pPr>
              <w:pStyle w:val="TableText"/>
              <w:tabs>
                <w:tab w:val="decimal" w:pos="765"/>
              </w:tabs>
              <w:rPr>
                <w:szCs w:val="18"/>
              </w:rPr>
            </w:pPr>
            <w:r w:rsidRPr="00181EF3">
              <w:rPr>
                <w:szCs w:val="18"/>
              </w:rPr>
              <w:t>96,465</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B2321CE" w14:textId="77777777" w:rsidR="00F51523" w:rsidRPr="00181EF3" w:rsidRDefault="00F51523" w:rsidP="00F51523">
            <w:pPr>
              <w:pStyle w:val="TableText"/>
              <w:tabs>
                <w:tab w:val="decimal" w:pos="765"/>
              </w:tabs>
              <w:rPr>
                <w:szCs w:val="18"/>
              </w:rPr>
            </w:pPr>
            <w:r w:rsidRPr="00181EF3">
              <w:rPr>
                <w:szCs w:val="18"/>
              </w:rPr>
              <w:t>1,554</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DD4A0C4" w14:textId="77777777" w:rsidR="00F51523" w:rsidRPr="00181EF3" w:rsidRDefault="00F51523" w:rsidP="00F51523">
            <w:pPr>
              <w:pStyle w:val="TableText"/>
              <w:tabs>
                <w:tab w:val="decimal" w:pos="765"/>
              </w:tabs>
              <w:rPr>
                <w:szCs w:val="18"/>
              </w:rPr>
            </w:pPr>
            <w:r w:rsidRPr="00181EF3">
              <w:rPr>
                <w:szCs w:val="18"/>
              </w:rPr>
              <w:t>44,736</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128839A" w14:textId="77777777" w:rsidR="00F51523" w:rsidRPr="00181EF3" w:rsidRDefault="00F51523" w:rsidP="00F51523">
            <w:pPr>
              <w:pStyle w:val="TableText"/>
              <w:tabs>
                <w:tab w:val="decimal" w:pos="765"/>
              </w:tabs>
              <w:rPr>
                <w:szCs w:val="18"/>
              </w:rPr>
            </w:pPr>
            <w:r w:rsidRPr="00181EF3">
              <w:rPr>
                <w:szCs w:val="18"/>
              </w:rPr>
              <w:t>31,542</w:t>
            </w:r>
          </w:p>
        </w:tc>
        <w:tc>
          <w:tcPr>
            <w:tcW w:w="1064" w:type="dxa"/>
            <w:tcBorders>
              <w:top w:val="single" w:sz="4" w:space="0" w:color="A6A6A6" w:themeColor="background1" w:themeShade="A6"/>
              <w:bottom w:val="single" w:sz="4" w:space="0" w:color="A6A6A6" w:themeColor="background1" w:themeShade="A6"/>
            </w:tcBorders>
          </w:tcPr>
          <w:p w14:paraId="6A4D8349" w14:textId="77777777" w:rsidR="00F51523" w:rsidRPr="00181EF3" w:rsidRDefault="00F51523" w:rsidP="00F51523">
            <w:pPr>
              <w:pStyle w:val="TableText"/>
              <w:tabs>
                <w:tab w:val="decimal" w:pos="765"/>
              </w:tabs>
              <w:rPr>
                <w:szCs w:val="18"/>
              </w:rPr>
            </w:pPr>
            <w:r w:rsidRPr="00181EF3">
              <w:rPr>
                <w:szCs w:val="18"/>
              </w:rPr>
              <w:t>404,802</w:t>
            </w:r>
          </w:p>
        </w:tc>
      </w:tr>
      <w:tr w:rsidR="00F51523" w:rsidRPr="00181EF3" w14:paraId="7426DF60" w14:textId="77777777" w:rsidTr="00F51523">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930EDE0" w14:textId="77777777" w:rsidR="00F51523" w:rsidRPr="00181EF3" w:rsidRDefault="00F51523" w:rsidP="00F51523">
            <w:pPr>
              <w:pStyle w:val="TableText"/>
            </w:pPr>
            <w:r w:rsidRPr="00181EF3">
              <w:t>Counties Manukau</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5229779" w14:textId="77777777" w:rsidR="00F51523" w:rsidRPr="00181EF3" w:rsidRDefault="00F51523" w:rsidP="00F51523">
            <w:pPr>
              <w:pStyle w:val="TableText"/>
              <w:tabs>
                <w:tab w:val="decimal" w:pos="765"/>
              </w:tabs>
              <w:rPr>
                <w:szCs w:val="18"/>
              </w:rPr>
            </w:pPr>
            <w:r w:rsidRPr="00181EF3">
              <w:rPr>
                <w:szCs w:val="18"/>
              </w:rPr>
              <w:t>24,408</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B19C26A" w14:textId="77777777" w:rsidR="00F51523" w:rsidRPr="00181EF3" w:rsidRDefault="00F51523" w:rsidP="00F51523">
            <w:pPr>
              <w:pStyle w:val="TableText"/>
              <w:tabs>
                <w:tab w:val="decimal" w:pos="765"/>
              </w:tabs>
              <w:rPr>
                <w:szCs w:val="18"/>
              </w:rPr>
            </w:pPr>
            <w:r w:rsidRPr="00181EF3">
              <w:rPr>
                <w:szCs w:val="18"/>
              </w:rPr>
              <w:t>88,698</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64444F5" w14:textId="77777777" w:rsidR="00F51523" w:rsidRPr="00181EF3" w:rsidRDefault="00F51523" w:rsidP="00F51523">
            <w:pPr>
              <w:pStyle w:val="TableText"/>
              <w:tabs>
                <w:tab w:val="decimal" w:pos="765"/>
              </w:tabs>
              <w:rPr>
                <w:szCs w:val="18"/>
              </w:rPr>
            </w:pPr>
            <w:r w:rsidRPr="00181EF3">
              <w:rPr>
                <w:szCs w:val="18"/>
              </w:rPr>
              <w:t>12,399</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4164CF0" w14:textId="77777777" w:rsidR="00F51523" w:rsidRPr="00181EF3" w:rsidRDefault="00F51523" w:rsidP="00F51523">
            <w:pPr>
              <w:pStyle w:val="TableText"/>
              <w:tabs>
                <w:tab w:val="decimal" w:pos="765"/>
              </w:tabs>
              <w:rPr>
                <w:szCs w:val="18"/>
              </w:rPr>
            </w:pPr>
            <w:r w:rsidRPr="00181EF3">
              <w:rPr>
                <w:szCs w:val="18"/>
              </w:rPr>
              <w:t>58,455</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692562D" w14:textId="77777777" w:rsidR="00F51523" w:rsidRPr="00181EF3" w:rsidRDefault="00F51523" w:rsidP="00F51523">
            <w:pPr>
              <w:pStyle w:val="TableText"/>
              <w:tabs>
                <w:tab w:val="decimal" w:pos="765"/>
              </w:tabs>
              <w:rPr>
                <w:szCs w:val="18"/>
              </w:rPr>
            </w:pPr>
            <w:r w:rsidRPr="00181EF3">
              <w:rPr>
                <w:szCs w:val="18"/>
              </w:rPr>
              <w:t>16,317</w:t>
            </w:r>
          </w:p>
        </w:tc>
        <w:tc>
          <w:tcPr>
            <w:tcW w:w="106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700BEA9" w14:textId="77777777" w:rsidR="00F51523" w:rsidRPr="00181EF3" w:rsidRDefault="00F51523" w:rsidP="00F51523">
            <w:pPr>
              <w:pStyle w:val="TableText"/>
              <w:tabs>
                <w:tab w:val="decimal" w:pos="765"/>
              </w:tabs>
              <w:rPr>
                <w:szCs w:val="18"/>
              </w:rPr>
            </w:pPr>
            <w:r w:rsidRPr="00181EF3">
              <w:rPr>
                <w:szCs w:val="18"/>
              </w:rPr>
              <w:t>107,019</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29F29B7" w14:textId="77777777" w:rsidR="00F51523" w:rsidRPr="00181EF3" w:rsidRDefault="00F51523" w:rsidP="00F51523">
            <w:pPr>
              <w:pStyle w:val="TableText"/>
              <w:tabs>
                <w:tab w:val="decimal" w:pos="765"/>
              </w:tabs>
              <w:rPr>
                <w:szCs w:val="18"/>
              </w:rPr>
            </w:pPr>
            <w:r w:rsidRPr="00181EF3">
              <w:rPr>
                <w:szCs w:val="18"/>
              </w:rPr>
              <w:t>11,799</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F1046E5" w14:textId="77777777" w:rsidR="00F51523" w:rsidRPr="00181EF3" w:rsidRDefault="00F51523" w:rsidP="00F51523">
            <w:pPr>
              <w:pStyle w:val="TableText"/>
              <w:tabs>
                <w:tab w:val="decimal" w:pos="765"/>
              </w:tabs>
              <w:rPr>
                <w:szCs w:val="18"/>
              </w:rPr>
            </w:pPr>
            <w:r w:rsidRPr="00181EF3">
              <w:rPr>
                <w:szCs w:val="18"/>
              </w:rPr>
              <w:t>99,945</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E7C8ADE" w14:textId="77777777" w:rsidR="00F51523" w:rsidRPr="00181EF3" w:rsidRDefault="00F51523" w:rsidP="00F51523">
            <w:pPr>
              <w:pStyle w:val="TableText"/>
              <w:tabs>
                <w:tab w:val="decimal" w:pos="765"/>
              </w:tabs>
              <w:rPr>
                <w:szCs w:val="18"/>
              </w:rPr>
            </w:pPr>
            <w:r w:rsidRPr="00181EF3">
              <w:rPr>
                <w:szCs w:val="18"/>
              </w:rPr>
              <w:t>3,009</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AE85206" w14:textId="77777777" w:rsidR="00F51523" w:rsidRPr="00181EF3" w:rsidRDefault="00F51523" w:rsidP="00F51523">
            <w:pPr>
              <w:pStyle w:val="TableText"/>
              <w:tabs>
                <w:tab w:val="decimal" w:pos="765"/>
              </w:tabs>
              <w:rPr>
                <w:szCs w:val="18"/>
              </w:rPr>
            </w:pPr>
            <w:r w:rsidRPr="00181EF3">
              <w:rPr>
                <w:szCs w:val="18"/>
              </w:rPr>
              <w:t>47,235</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D9F6EE6" w14:textId="77777777" w:rsidR="00F51523" w:rsidRPr="00181EF3" w:rsidRDefault="00F51523" w:rsidP="00F51523">
            <w:pPr>
              <w:pStyle w:val="TableText"/>
              <w:tabs>
                <w:tab w:val="decimal" w:pos="765"/>
              </w:tabs>
              <w:rPr>
                <w:szCs w:val="18"/>
              </w:rPr>
            </w:pPr>
            <w:r w:rsidRPr="00181EF3">
              <w:rPr>
                <w:szCs w:val="18"/>
              </w:rPr>
              <w:t>67,944</w:t>
            </w:r>
          </w:p>
        </w:tc>
        <w:tc>
          <w:tcPr>
            <w:tcW w:w="1064" w:type="dxa"/>
            <w:tcBorders>
              <w:top w:val="single" w:sz="4" w:space="0" w:color="A6A6A6" w:themeColor="background1" w:themeShade="A6"/>
              <w:bottom w:val="single" w:sz="4" w:space="0" w:color="A6A6A6" w:themeColor="background1" w:themeShade="A6"/>
            </w:tcBorders>
          </w:tcPr>
          <w:p w14:paraId="386E224E" w14:textId="77777777" w:rsidR="00F51523" w:rsidRPr="00181EF3" w:rsidRDefault="00F51523" w:rsidP="00F51523">
            <w:pPr>
              <w:pStyle w:val="TableText"/>
              <w:tabs>
                <w:tab w:val="decimal" w:pos="765"/>
              </w:tabs>
              <w:rPr>
                <w:szCs w:val="18"/>
              </w:rPr>
            </w:pPr>
            <w:r w:rsidRPr="00181EF3">
              <w:rPr>
                <w:szCs w:val="18"/>
              </w:rPr>
              <w:t>401,349</w:t>
            </w:r>
          </w:p>
        </w:tc>
      </w:tr>
      <w:tr w:rsidR="00F51523" w:rsidRPr="00181EF3" w14:paraId="4ACDD454" w14:textId="77777777" w:rsidTr="00F51523">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2546C4D" w14:textId="77777777" w:rsidR="00F51523" w:rsidRPr="00181EF3" w:rsidRDefault="00F51523" w:rsidP="00F51523">
            <w:pPr>
              <w:pStyle w:val="TableText"/>
            </w:pPr>
            <w:r w:rsidRPr="00181EF3">
              <w:t>Waikato</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BCB745A" w14:textId="77777777" w:rsidR="00F51523" w:rsidRPr="00181EF3" w:rsidRDefault="00F51523" w:rsidP="00F51523">
            <w:pPr>
              <w:pStyle w:val="TableText"/>
              <w:tabs>
                <w:tab w:val="decimal" w:pos="765"/>
              </w:tabs>
              <w:rPr>
                <w:szCs w:val="18"/>
              </w:rPr>
            </w:pPr>
            <w:r w:rsidRPr="00181EF3">
              <w:rPr>
                <w:szCs w:val="18"/>
              </w:rPr>
              <w:t>25,374</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73B8B3E" w14:textId="77777777" w:rsidR="00F51523" w:rsidRPr="00181EF3" w:rsidRDefault="00F51523" w:rsidP="00F51523">
            <w:pPr>
              <w:pStyle w:val="TableText"/>
              <w:tabs>
                <w:tab w:val="decimal" w:pos="765"/>
              </w:tabs>
              <w:rPr>
                <w:szCs w:val="18"/>
              </w:rPr>
            </w:pPr>
            <w:r w:rsidRPr="00181EF3">
              <w:rPr>
                <w:szCs w:val="18"/>
              </w:rPr>
              <w:t>52,212</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259AE9B" w14:textId="77777777" w:rsidR="00F51523" w:rsidRPr="00181EF3" w:rsidRDefault="00F51523" w:rsidP="00F51523">
            <w:pPr>
              <w:pStyle w:val="TableText"/>
              <w:tabs>
                <w:tab w:val="decimal" w:pos="765"/>
              </w:tabs>
              <w:rPr>
                <w:szCs w:val="18"/>
              </w:rPr>
            </w:pPr>
            <w:r w:rsidRPr="00181EF3">
              <w:rPr>
                <w:szCs w:val="18"/>
              </w:rPr>
              <w:t>13,530</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58C250E" w14:textId="77777777" w:rsidR="00F51523" w:rsidRPr="00181EF3" w:rsidRDefault="00F51523" w:rsidP="00F51523">
            <w:pPr>
              <w:pStyle w:val="TableText"/>
              <w:tabs>
                <w:tab w:val="decimal" w:pos="765"/>
              </w:tabs>
              <w:rPr>
                <w:szCs w:val="18"/>
              </w:rPr>
            </w:pPr>
            <w:r w:rsidRPr="00181EF3">
              <w:rPr>
                <w:szCs w:val="18"/>
              </w:rPr>
              <w:t>36,879</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C76857E" w14:textId="77777777" w:rsidR="00F51523" w:rsidRPr="00181EF3" w:rsidRDefault="00F51523" w:rsidP="00F51523">
            <w:pPr>
              <w:pStyle w:val="TableText"/>
              <w:tabs>
                <w:tab w:val="decimal" w:pos="765"/>
              </w:tabs>
              <w:rPr>
                <w:szCs w:val="18"/>
              </w:rPr>
            </w:pPr>
            <w:r w:rsidRPr="00181EF3">
              <w:rPr>
                <w:szCs w:val="18"/>
              </w:rPr>
              <w:t>17,850</w:t>
            </w:r>
          </w:p>
        </w:tc>
        <w:tc>
          <w:tcPr>
            <w:tcW w:w="106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9EC12D4" w14:textId="77777777" w:rsidR="00F51523" w:rsidRPr="00181EF3" w:rsidRDefault="00F51523" w:rsidP="00F51523">
            <w:pPr>
              <w:pStyle w:val="TableText"/>
              <w:tabs>
                <w:tab w:val="decimal" w:pos="765"/>
              </w:tabs>
              <w:rPr>
                <w:szCs w:val="18"/>
              </w:rPr>
            </w:pPr>
            <w:r w:rsidRPr="00181EF3">
              <w:rPr>
                <w:szCs w:val="18"/>
              </w:rPr>
              <w:t>69,822</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09B49F8" w14:textId="77777777" w:rsidR="00F51523" w:rsidRPr="00181EF3" w:rsidRDefault="00F51523" w:rsidP="00F51523">
            <w:pPr>
              <w:pStyle w:val="TableText"/>
              <w:tabs>
                <w:tab w:val="decimal" w:pos="765"/>
              </w:tabs>
              <w:rPr>
                <w:szCs w:val="18"/>
              </w:rPr>
            </w:pPr>
            <w:r w:rsidRPr="00181EF3">
              <w:rPr>
                <w:szCs w:val="18"/>
              </w:rPr>
              <w:t>13,446</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071B226" w14:textId="77777777" w:rsidR="00F51523" w:rsidRPr="00181EF3" w:rsidRDefault="00F51523" w:rsidP="00F51523">
            <w:pPr>
              <w:pStyle w:val="TableText"/>
              <w:tabs>
                <w:tab w:val="decimal" w:pos="765"/>
              </w:tabs>
              <w:rPr>
                <w:szCs w:val="18"/>
              </w:rPr>
            </w:pPr>
            <w:r w:rsidRPr="00181EF3">
              <w:rPr>
                <w:szCs w:val="18"/>
              </w:rPr>
              <w:t>77,178</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4CC0370" w14:textId="77777777" w:rsidR="00F51523" w:rsidRPr="00181EF3" w:rsidRDefault="00F51523" w:rsidP="00F51523">
            <w:pPr>
              <w:pStyle w:val="TableText"/>
              <w:tabs>
                <w:tab w:val="decimal" w:pos="765"/>
              </w:tabs>
              <w:rPr>
                <w:szCs w:val="18"/>
              </w:rPr>
            </w:pPr>
            <w:r w:rsidRPr="00181EF3">
              <w:rPr>
                <w:szCs w:val="18"/>
              </w:rPr>
              <w:t>3,855</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1ACE343" w14:textId="77777777" w:rsidR="00F51523" w:rsidRPr="00181EF3" w:rsidRDefault="00F51523" w:rsidP="00F51523">
            <w:pPr>
              <w:pStyle w:val="TableText"/>
              <w:tabs>
                <w:tab w:val="decimal" w:pos="765"/>
              </w:tabs>
              <w:rPr>
                <w:szCs w:val="18"/>
              </w:rPr>
            </w:pPr>
            <w:r w:rsidRPr="00181EF3">
              <w:rPr>
                <w:szCs w:val="18"/>
              </w:rPr>
              <w:t>49,167</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09759AD" w14:textId="77777777" w:rsidR="00F51523" w:rsidRPr="00181EF3" w:rsidRDefault="00F51523" w:rsidP="00F51523">
            <w:pPr>
              <w:pStyle w:val="TableText"/>
              <w:tabs>
                <w:tab w:val="decimal" w:pos="765"/>
              </w:tabs>
              <w:rPr>
                <w:szCs w:val="18"/>
              </w:rPr>
            </w:pPr>
            <w:r w:rsidRPr="00181EF3">
              <w:rPr>
                <w:szCs w:val="18"/>
              </w:rPr>
              <w:t>74,049</w:t>
            </w:r>
          </w:p>
        </w:tc>
        <w:tc>
          <w:tcPr>
            <w:tcW w:w="1064" w:type="dxa"/>
            <w:tcBorders>
              <w:top w:val="single" w:sz="4" w:space="0" w:color="A6A6A6" w:themeColor="background1" w:themeShade="A6"/>
              <w:bottom w:val="single" w:sz="4" w:space="0" w:color="A6A6A6" w:themeColor="background1" w:themeShade="A6"/>
            </w:tcBorders>
          </w:tcPr>
          <w:p w14:paraId="795847F7" w14:textId="77777777" w:rsidR="00F51523" w:rsidRPr="00181EF3" w:rsidRDefault="00F51523" w:rsidP="00F51523">
            <w:pPr>
              <w:pStyle w:val="TableText"/>
              <w:tabs>
                <w:tab w:val="decimal" w:pos="765"/>
              </w:tabs>
              <w:rPr>
                <w:szCs w:val="18"/>
              </w:rPr>
            </w:pPr>
            <w:r w:rsidRPr="00181EF3">
              <w:rPr>
                <w:szCs w:val="18"/>
              </w:rPr>
              <w:t>285,261</w:t>
            </w:r>
          </w:p>
        </w:tc>
      </w:tr>
      <w:tr w:rsidR="00F51523" w:rsidRPr="00181EF3" w14:paraId="1E79EC03" w14:textId="77777777" w:rsidTr="00F51523">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5576F42" w14:textId="77777777" w:rsidR="00F51523" w:rsidRPr="00181EF3" w:rsidRDefault="00F51523" w:rsidP="00F51523">
            <w:pPr>
              <w:pStyle w:val="TableText"/>
            </w:pPr>
            <w:r w:rsidRPr="00181EF3">
              <w:t>Lakes</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6542187" w14:textId="77777777" w:rsidR="00F51523" w:rsidRPr="00181EF3" w:rsidRDefault="00F51523" w:rsidP="00F51523">
            <w:pPr>
              <w:pStyle w:val="TableText"/>
              <w:tabs>
                <w:tab w:val="decimal" w:pos="765"/>
              </w:tabs>
              <w:rPr>
                <w:szCs w:val="18"/>
              </w:rPr>
            </w:pPr>
            <w:r w:rsidRPr="00181EF3">
              <w:rPr>
                <w:szCs w:val="18"/>
              </w:rPr>
              <w:t>10,455</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496F6C2" w14:textId="77777777" w:rsidR="00F51523" w:rsidRPr="00181EF3" w:rsidRDefault="00F51523" w:rsidP="00F51523">
            <w:pPr>
              <w:pStyle w:val="TableText"/>
              <w:tabs>
                <w:tab w:val="decimal" w:pos="765"/>
              </w:tabs>
              <w:rPr>
                <w:szCs w:val="18"/>
              </w:rPr>
            </w:pPr>
            <w:r w:rsidRPr="00181EF3">
              <w:rPr>
                <w:szCs w:val="18"/>
              </w:rPr>
              <w:t>11,727</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E854B97" w14:textId="77777777" w:rsidR="00F51523" w:rsidRPr="00181EF3" w:rsidRDefault="00F51523" w:rsidP="00F51523">
            <w:pPr>
              <w:pStyle w:val="TableText"/>
              <w:tabs>
                <w:tab w:val="decimal" w:pos="765"/>
              </w:tabs>
              <w:rPr>
                <w:szCs w:val="18"/>
              </w:rPr>
            </w:pPr>
            <w:r w:rsidRPr="00181EF3">
              <w:rPr>
                <w:szCs w:val="18"/>
              </w:rPr>
              <w:t>5,298</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AB1B4E5" w14:textId="77777777" w:rsidR="00F51523" w:rsidRPr="00181EF3" w:rsidRDefault="00F51523" w:rsidP="00F51523">
            <w:pPr>
              <w:pStyle w:val="TableText"/>
              <w:tabs>
                <w:tab w:val="decimal" w:pos="765"/>
              </w:tabs>
              <w:rPr>
                <w:szCs w:val="18"/>
              </w:rPr>
            </w:pPr>
            <w:r w:rsidRPr="00181EF3">
              <w:rPr>
                <w:szCs w:val="18"/>
              </w:rPr>
              <w:t>6,942</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E75BB9E" w14:textId="77777777" w:rsidR="00F51523" w:rsidRPr="00181EF3" w:rsidRDefault="00F51523" w:rsidP="00F51523">
            <w:pPr>
              <w:pStyle w:val="TableText"/>
              <w:tabs>
                <w:tab w:val="decimal" w:pos="765"/>
              </w:tabs>
              <w:rPr>
                <w:szCs w:val="18"/>
              </w:rPr>
            </w:pPr>
            <w:r w:rsidRPr="00181EF3">
              <w:rPr>
                <w:szCs w:val="18"/>
              </w:rPr>
              <w:t>7,488</w:t>
            </w:r>
          </w:p>
        </w:tc>
        <w:tc>
          <w:tcPr>
            <w:tcW w:w="106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5AB4AC7" w14:textId="77777777" w:rsidR="00F51523" w:rsidRPr="00181EF3" w:rsidRDefault="00F51523" w:rsidP="00F51523">
            <w:pPr>
              <w:pStyle w:val="TableText"/>
              <w:tabs>
                <w:tab w:val="decimal" w:pos="765"/>
              </w:tabs>
              <w:rPr>
                <w:szCs w:val="18"/>
              </w:rPr>
            </w:pPr>
            <w:r w:rsidRPr="00181EF3">
              <w:rPr>
                <w:szCs w:val="18"/>
              </w:rPr>
              <w:t>16,035</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7609ED8" w14:textId="77777777" w:rsidR="00F51523" w:rsidRPr="00181EF3" w:rsidRDefault="00F51523" w:rsidP="00F51523">
            <w:pPr>
              <w:pStyle w:val="TableText"/>
              <w:tabs>
                <w:tab w:val="decimal" w:pos="765"/>
              </w:tabs>
              <w:rPr>
                <w:szCs w:val="18"/>
              </w:rPr>
            </w:pPr>
            <w:r w:rsidRPr="00181EF3">
              <w:rPr>
                <w:szCs w:val="18"/>
              </w:rPr>
              <w:t>6,270</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0BA832F" w14:textId="77777777" w:rsidR="00F51523" w:rsidRPr="00181EF3" w:rsidRDefault="00F51523" w:rsidP="00F51523">
            <w:pPr>
              <w:pStyle w:val="TableText"/>
              <w:tabs>
                <w:tab w:val="decimal" w:pos="765"/>
              </w:tabs>
              <w:rPr>
                <w:szCs w:val="18"/>
              </w:rPr>
            </w:pPr>
            <w:r w:rsidRPr="00181EF3">
              <w:rPr>
                <w:szCs w:val="18"/>
              </w:rPr>
              <w:t>19,422</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E477D30" w14:textId="77777777" w:rsidR="00F51523" w:rsidRPr="00181EF3" w:rsidRDefault="00F51523" w:rsidP="00F51523">
            <w:pPr>
              <w:pStyle w:val="TableText"/>
              <w:tabs>
                <w:tab w:val="decimal" w:pos="765"/>
              </w:tabs>
              <w:rPr>
                <w:szCs w:val="18"/>
              </w:rPr>
            </w:pPr>
            <w:r w:rsidRPr="00181EF3">
              <w:rPr>
                <w:szCs w:val="18"/>
              </w:rPr>
              <w:t>1,932</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79A6F7C" w14:textId="77777777" w:rsidR="00F51523" w:rsidRPr="00181EF3" w:rsidRDefault="00F51523" w:rsidP="00F51523">
            <w:pPr>
              <w:pStyle w:val="TableText"/>
              <w:tabs>
                <w:tab w:val="decimal" w:pos="765"/>
              </w:tabs>
              <w:rPr>
                <w:szCs w:val="18"/>
              </w:rPr>
            </w:pPr>
            <w:r w:rsidRPr="00181EF3">
              <w:rPr>
                <w:szCs w:val="18"/>
              </w:rPr>
              <w:t>12,624</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AB3A1BD" w14:textId="77777777" w:rsidR="00F51523" w:rsidRPr="00181EF3" w:rsidRDefault="00F51523" w:rsidP="00F51523">
            <w:pPr>
              <w:pStyle w:val="TableText"/>
              <w:tabs>
                <w:tab w:val="decimal" w:pos="765"/>
              </w:tabs>
              <w:rPr>
                <w:szCs w:val="18"/>
              </w:rPr>
            </w:pPr>
            <w:r w:rsidRPr="00181EF3">
              <w:rPr>
                <w:szCs w:val="18"/>
              </w:rPr>
              <w:t>31,440</w:t>
            </w:r>
          </w:p>
        </w:tc>
        <w:tc>
          <w:tcPr>
            <w:tcW w:w="1064" w:type="dxa"/>
            <w:tcBorders>
              <w:top w:val="single" w:sz="4" w:space="0" w:color="A6A6A6" w:themeColor="background1" w:themeShade="A6"/>
              <w:bottom w:val="single" w:sz="4" w:space="0" w:color="A6A6A6" w:themeColor="background1" w:themeShade="A6"/>
            </w:tcBorders>
          </w:tcPr>
          <w:p w14:paraId="0850CA9F" w14:textId="77777777" w:rsidR="00F51523" w:rsidRPr="00181EF3" w:rsidRDefault="00F51523" w:rsidP="00F51523">
            <w:pPr>
              <w:pStyle w:val="TableText"/>
              <w:tabs>
                <w:tab w:val="decimal" w:pos="765"/>
              </w:tabs>
              <w:rPr>
                <w:szCs w:val="18"/>
              </w:rPr>
            </w:pPr>
            <w:r w:rsidRPr="00181EF3">
              <w:rPr>
                <w:szCs w:val="18"/>
              </w:rPr>
              <w:t>66,747</w:t>
            </w:r>
          </w:p>
        </w:tc>
      </w:tr>
      <w:tr w:rsidR="00F51523" w:rsidRPr="00181EF3" w14:paraId="22F711BC" w14:textId="77777777" w:rsidTr="00F51523">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65FF60C" w14:textId="77777777" w:rsidR="00F51523" w:rsidRPr="00181EF3" w:rsidRDefault="00F51523" w:rsidP="00F51523">
            <w:pPr>
              <w:pStyle w:val="TableText"/>
            </w:pPr>
            <w:r w:rsidRPr="00181EF3">
              <w:t>Bay of Plenty</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A6F04B8" w14:textId="77777777" w:rsidR="00F51523" w:rsidRPr="00181EF3" w:rsidRDefault="00F51523" w:rsidP="00F51523">
            <w:pPr>
              <w:pStyle w:val="TableText"/>
              <w:tabs>
                <w:tab w:val="decimal" w:pos="765"/>
              </w:tabs>
              <w:rPr>
                <w:szCs w:val="18"/>
              </w:rPr>
            </w:pPr>
            <w:r w:rsidRPr="00181EF3">
              <w:rPr>
                <w:szCs w:val="18"/>
              </w:rPr>
              <w:t>16,011</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015094B" w14:textId="77777777" w:rsidR="00F51523" w:rsidRPr="00181EF3" w:rsidRDefault="00F51523" w:rsidP="00F51523">
            <w:pPr>
              <w:pStyle w:val="TableText"/>
              <w:tabs>
                <w:tab w:val="decimal" w:pos="765"/>
              </w:tabs>
              <w:rPr>
                <w:szCs w:val="18"/>
              </w:rPr>
            </w:pPr>
            <w:r w:rsidRPr="00181EF3">
              <w:rPr>
                <w:szCs w:val="18"/>
              </w:rPr>
              <w:t>27,513</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2126528" w14:textId="77777777" w:rsidR="00F51523" w:rsidRPr="00181EF3" w:rsidRDefault="00F51523" w:rsidP="00F51523">
            <w:pPr>
              <w:pStyle w:val="TableText"/>
              <w:tabs>
                <w:tab w:val="decimal" w:pos="765"/>
              </w:tabs>
              <w:rPr>
                <w:szCs w:val="18"/>
              </w:rPr>
            </w:pPr>
            <w:r w:rsidRPr="00181EF3">
              <w:rPr>
                <w:szCs w:val="18"/>
              </w:rPr>
              <w:t>7,584</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6BF5A05" w14:textId="77777777" w:rsidR="00F51523" w:rsidRPr="00181EF3" w:rsidRDefault="00F51523" w:rsidP="00F51523">
            <w:pPr>
              <w:pStyle w:val="TableText"/>
              <w:tabs>
                <w:tab w:val="decimal" w:pos="765"/>
              </w:tabs>
              <w:rPr>
                <w:szCs w:val="18"/>
              </w:rPr>
            </w:pPr>
            <w:r w:rsidRPr="00181EF3">
              <w:rPr>
                <w:szCs w:val="18"/>
              </w:rPr>
              <w:t>15,870</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5ED24EB" w14:textId="77777777" w:rsidR="00F51523" w:rsidRPr="00181EF3" w:rsidRDefault="00F51523" w:rsidP="00F51523">
            <w:pPr>
              <w:pStyle w:val="TableText"/>
              <w:tabs>
                <w:tab w:val="decimal" w:pos="765"/>
              </w:tabs>
              <w:rPr>
                <w:szCs w:val="18"/>
              </w:rPr>
            </w:pPr>
            <w:r w:rsidRPr="00181EF3">
              <w:rPr>
                <w:szCs w:val="18"/>
              </w:rPr>
              <w:t>11,100</w:t>
            </w:r>
          </w:p>
        </w:tc>
        <w:tc>
          <w:tcPr>
            <w:tcW w:w="106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5AE3792" w14:textId="77777777" w:rsidR="00F51523" w:rsidRPr="00181EF3" w:rsidRDefault="00F51523" w:rsidP="00F51523">
            <w:pPr>
              <w:pStyle w:val="TableText"/>
              <w:tabs>
                <w:tab w:val="decimal" w:pos="765"/>
              </w:tabs>
              <w:rPr>
                <w:szCs w:val="18"/>
              </w:rPr>
            </w:pPr>
            <w:r w:rsidRPr="00181EF3">
              <w:rPr>
                <w:szCs w:val="18"/>
              </w:rPr>
              <w:t>34,908</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7969A9A" w14:textId="77777777" w:rsidR="00F51523" w:rsidRPr="00181EF3" w:rsidRDefault="00F51523" w:rsidP="00F51523">
            <w:pPr>
              <w:pStyle w:val="TableText"/>
              <w:tabs>
                <w:tab w:val="decimal" w:pos="765"/>
              </w:tabs>
              <w:rPr>
                <w:szCs w:val="18"/>
              </w:rPr>
            </w:pPr>
            <w:r w:rsidRPr="00181EF3">
              <w:rPr>
                <w:szCs w:val="18"/>
              </w:rPr>
              <w:t>9,456</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7B5F97C" w14:textId="77777777" w:rsidR="00F51523" w:rsidRPr="00181EF3" w:rsidRDefault="00F51523" w:rsidP="00F51523">
            <w:pPr>
              <w:pStyle w:val="TableText"/>
              <w:tabs>
                <w:tab w:val="decimal" w:pos="765"/>
              </w:tabs>
              <w:rPr>
                <w:szCs w:val="18"/>
              </w:rPr>
            </w:pPr>
            <w:r w:rsidRPr="00181EF3">
              <w:rPr>
                <w:szCs w:val="18"/>
              </w:rPr>
              <w:t>45,414</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B30E77B" w14:textId="77777777" w:rsidR="00F51523" w:rsidRPr="00181EF3" w:rsidRDefault="00F51523" w:rsidP="00F51523">
            <w:pPr>
              <w:pStyle w:val="TableText"/>
              <w:tabs>
                <w:tab w:val="decimal" w:pos="765"/>
              </w:tabs>
              <w:rPr>
                <w:szCs w:val="18"/>
              </w:rPr>
            </w:pPr>
            <w:r w:rsidRPr="00181EF3">
              <w:rPr>
                <w:szCs w:val="18"/>
              </w:rPr>
              <w:t>3,126</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E2D46EE" w14:textId="77777777" w:rsidR="00F51523" w:rsidRPr="00181EF3" w:rsidRDefault="00F51523" w:rsidP="00F51523">
            <w:pPr>
              <w:pStyle w:val="TableText"/>
              <w:tabs>
                <w:tab w:val="decimal" w:pos="765"/>
              </w:tabs>
              <w:rPr>
                <w:szCs w:val="18"/>
              </w:rPr>
            </w:pPr>
            <w:r w:rsidRPr="00181EF3">
              <w:rPr>
                <w:szCs w:val="18"/>
              </w:rPr>
              <w:t>35,025</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A06EBDC" w14:textId="77777777" w:rsidR="00F51523" w:rsidRPr="00181EF3" w:rsidRDefault="00F51523" w:rsidP="00F51523">
            <w:pPr>
              <w:pStyle w:val="TableText"/>
              <w:tabs>
                <w:tab w:val="decimal" w:pos="765"/>
              </w:tabs>
              <w:rPr>
                <w:szCs w:val="18"/>
              </w:rPr>
            </w:pPr>
            <w:r w:rsidRPr="00181EF3">
              <w:rPr>
                <w:szCs w:val="18"/>
              </w:rPr>
              <w:t>47,277</w:t>
            </w:r>
          </w:p>
        </w:tc>
        <w:tc>
          <w:tcPr>
            <w:tcW w:w="1064" w:type="dxa"/>
            <w:tcBorders>
              <w:top w:val="single" w:sz="4" w:space="0" w:color="A6A6A6" w:themeColor="background1" w:themeShade="A6"/>
              <w:bottom w:val="single" w:sz="4" w:space="0" w:color="A6A6A6" w:themeColor="background1" w:themeShade="A6"/>
            </w:tcBorders>
          </w:tcPr>
          <w:p w14:paraId="169310C5" w14:textId="77777777" w:rsidR="00F51523" w:rsidRPr="00181EF3" w:rsidRDefault="00F51523" w:rsidP="00F51523">
            <w:pPr>
              <w:pStyle w:val="TableText"/>
              <w:tabs>
                <w:tab w:val="decimal" w:pos="765"/>
              </w:tabs>
              <w:rPr>
                <w:szCs w:val="18"/>
              </w:rPr>
            </w:pPr>
            <w:r w:rsidRPr="00181EF3">
              <w:rPr>
                <w:szCs w:val="18"/>
              </w:rPr>
              <w:t>158,718</w:t>
            </w:r>
          </w:p>
        </w:tc>
      </w:tr>
      <w:tr w:rsidR="00F51523" w:rsidRPr="00181EF3" w14:paraId="5110B29C" w14:textId="77777777" w:rsidTr="00F51523">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B702DAA" w14:textId="77777777" w:rsidR="00F51523" w:rsidRPr="00181EF3" w:rsidRDefault="00F51523" w:rsidP="00F51523">
            <w:pPr>
              <w:pStyle w:val="TableText"/>
            </w:pPr>
            <w:r w:rsidRPr="00181EF3">
              <w:t>Tairāwhiti</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994C0D5" w14:textId="77777777" w:rsidR="00F51523" w:rsidRPr="00181EF3" w:rsidRDefault="00F51523" w:rsidP="00F51523">
            <w:pPr>
              <w:pStyle w:val="TableText"/>
              <w:tabs>
                <w:tab w:val="decimal" w:pos="765"/>
              </w:tabs>
              <w:rPr>
                <w:szCs w:val="18"/>
              </w:rPr>
            </w:pPr>
            <w:r w:rsidRPr="00181EF3">
              <w:rPr>
                <w:szCs w:val="18"/>
              </w:rPr>
              <w:t>6,429</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AB65868" w14:textId="77777777" w:rsidR="00F51523" w:rsidRPr="00181EF3" w:rsidRDefault="00F51523" w:rsidP="00F51523">
            <w:pPr>
              <w:pStyle w:val="TableText"/>
              <w:tabs>
                <w:tab w:val="decimal" w:pos="765"/>
              </w:tabs>
              <w:rPr>
                <w:szCs w:val="18"/>
              </w:rPr>
            </w:pPr>
            <w:r w:rsidRPr="00181EF3">
              <w:rPr>
                <w:szCs w:val="18"/>
              </w:rPr>
              <w:t>4,302</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06A945A" w14:textId="77777777" w:rsidR="00F51523" w:rsidRPr="00181EF3" w:rsidRDefault="00F51523" w:rsidP="00F51523">
            <w:pPr>
              <w:pStyle w:val="TableText"/>
              <w:tabs>
                <w:tab w:val="decimal" w:pos="765"/>
              </w:tabs>
              <w:rPr>
                <w:szCs w:val="18"/>
              </w:rPr>
            </w:pPr>
            <w:r w:rsidRPr="00181EF3">
              <w:rPr>
                <w:szCs w:val="18"/>
              </w:rPr>
              <w:t>3,114</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3CA233A" w14:textId="77777777" w:rsidR="00F51523" w:rsidRPr="00181EF3" w:rsidRDefault="00F51523" w:rsidP="00F51523">
            <w:pPr>
              <w:pStyle w:val="TableText"/>
              <w:tabs>
                <w:tab w:val="decimal" w:pos="765"/>
              </w:tabs>
              <w:rPr>
                <w:szCs w:val="18"/>
              </w:rPr>
            </w:pPr>
            <w:r w:rsidRPr="00181EF3">
              <w:rPr>
                <w:szCs w:val="18"/>
              </w:rPr>
              <w:t>2,439</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CB63C71" w14:textId="77777777" w:rsidR="00F51523" w:rsidRPr="00181EF3" w:rsidRDefault="00F51523" w:rsidP="00F51523">
            <w:pPr>
              <w:pStyle w:val="TableText"/>
              <w:tabs>
                <w:tab w:val="decimal" w:pos="765"/>
              </w:tabs>
              <w:rPr>
                <w:szCs w:val="18"/>
              </w:rPr>
            </w:pPr>
            <w:r w:rsidRPr="00181EF3">
              <w:rPr>
                <w:szCs w:val="18"/>
              </w:rPr>
              <w:t>4,545</w:t>
            </w:r>
          </w:p>
        </w:tc>
        <w:tc>
          <w:tcPr>
            <w:tcW w:w="106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63982C2" w14:textId="77777777" w:rsidR="00F51523" w:rsidRPr="00181EF3" w:rsidRDefault="00F51523" w:rsidP="00F51523">
            <w:pPr>
              <w:pStyle w:val="TableText"/>
              <w:tabs>
                <w:tab w:val="decimal" w:pos="765"/>
              </w:tabs>
              <w:rPr>
                <w:szCs w:val="18"/>
              </w:rPr>
            </w:pPr>
            <w:r w:rsidRPr="00181EF3">
              <w:rPr>
                <w:szCs w:val="18"/>
              </w:rPr>
              <w:t>5,442</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75A1FCC" w14:textId="77777777" w:rsidR="00F51523" w:rsidRPr="00181EF3" w:rsidRDefault="00F51523" w:rsidP="00F51523">
            <w:pPr>
              <w:pStyle w:val="TableText"/>
              <w:tabs>
                <w:tab w:val="decimal" w:pos="765"/>
              </w:tabs>
              <w:rPr>
                <w:szCs w:val="18"/>
              </w:rPr>
            </w:pPr>
            <w:r w:rsidRPr="00181EF3">
              <w:rPr>
                <w:szCs w:val="18"/>
              </w:rPr>
              <w:t>4,146</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782AE59" w14:textId="77777777" w:rsidR="00F51523" w:rsidRPr="00181EF3" w:rsidRDefault="00F51523" w:rsidP="00F51523">
            <w:pPr>
              <w:pStyle w:val="TableText"/>
              <w:tabs>
                <w:tab w:val="decimal" w:pos="765"/>
              </w:tabs>
              <w:rPr>
                <w:szCs w:val="18"/>
              </w:rPr>
            </w:pPr>
            <w:r w:rsidRPr="00181EF3">
              <w:rPr>
                <w:szCs w:val="18"/>
              </w:rPr>
              <w:t>7,113</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B6772FB" w14:textId="77777777" w:rsidR="00F51523" w:rsidRPr="00181EF3" w:rsidRDefault="00F51523" w:rsidP="00F51523">
            <w:pPr>
              <w:pStyle w:val="TableText"/>
              <w:tabs>
                <w:tab w:val="decimal" w:pos="765"/>
              </w:tabs>
              <w:rPr>
                <w:szCs w:val="18"/>
              </w:rPr>
            </w:pPr>
            <w:r w:rsidRPr="00181EF3">
              <w:rPr>
                <w:szCs w:val="18"/>
              </w:rPr>
              <w:t>1,446</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AB3018B" w14:textId="77777777" w:rsidR="00F51523" w:rsidRPr="00181EF3" w:rsidRDefault="00F51523" w:rsidP="00F51523">
            <w:pPr>
              <w:pStyle w:val="TableText"/>
              <w:tabs>
                <w:tab w:val="decimal" w:pos="765"/>
              </w:tabs>
              <w:rPr>
                <w:szCs w:val="18"/>
              </w:rPr>
            </w:pPr>
            <w:r w:rsidRPr="00181EF3">
              <w:rPr>
                <w:szCs w:val="18"/>
              </w:rPr>
              <w:t>4,680</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04EFCCC" w14:textId="77777777" w:rsidR="00F51523" w:rsidRPr="00181EF3" w:rsidRDefault="00F51523" w:rsidP="00F51523">
            <w:pPr>
              <w:pStyle w:val="TableText"/>
              <w:tabs>
                <w:tab w:val="decimal" w:pos="765"/>
              </w:tabs>
              <w:rPr>
                <w:szCs w:val="18"/>
              </w:rPr>
            </w:pPr>
            <w:r w:rsidRPr="00181EF3">
              <w:rPr>
                <w:szCs w:val="18"/>
              </w:rPr>
              <w:t>19,683</w:t>
            </w:r>
          </w:p>
        </w:tc>
        <w:tc>
          <w:tcPr>
            <w:tcW w:w="1064" w:type="dxa"/>
            <w:tcBorders>
              <w:top w:val="single" w:sz="4" w:space="0" w:color="A6A6A6" w:themeColor="background1" w:themeShade="A6"/>
              <w:bottom w:val="single" w:sz="4" w:space="0" w:color="A6A6A6" w:themeColor="background1" w:themeShade="A6"/>
            </w:tcBorders>
          </w:tcPr>
          <w:p w14:paraId="01450D02" w14:textId="77777777" w:rsidR="00F51523" w:rsidRPr="00181EF3" w:rsidRDefault="00F51523" w:rsidP="00F51523">
            <w:pPr>
              <w:pStyle w:val="TableText"/>
              <w:tabs>
                <w:tab w:val="decimal" w:pos="765"/>
              </w:tabs>
              <w:rPr>
                <w:szCs w:val="18"/>
              </w:rPr>
            </w:pPr>
            <w:r w:rsidRPr="00181EF3">
              <w:rPr>
                <w:szCs w:val="18"/>
              </w:rPr>
              <w:t>23,970</w:t>
            </w:r>
          </w:p>
        </w:tc>
      </w:tr>
      <w:tr w:rsidR="00F51523" w:rsidRPr="00181EF3" w14:paraId="55F25655" w14:textId="77777777" w:rsidTr="00F51523">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8A0DCF3" w14:textId="77777777" w:rsidR="00F51523" w:rsidRPr="00181EF3" w:rsidRDefault="00F51523" w:rsidP="00F51523">
            <w:pPr>
              <w:pStyle w:val="TableText"/>
            </w:pPr>
            <w:r w:rsidRPr="00181EF3">
              <w:t>Taranaki</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E48FFCA" w14:textId="77777777" w:rsidR="00F51523" w:rsidRPr="00181EF3" w:rsidRDefault="00F51523" w:rsidP="00F51523">
            <w:pPr>
              <w:pStyle w:val="TableText"/>
              <w:tabs>
                <w:tab w:val="decimal" w:pos="765"/>
              </w:tabs>
              <w:rPr>
                <w:szCs w:val="18"/>
              </w:rPr>
            </w:pPr>
            <w:r w:rsidRPr="00181EF3">
              <w:rPr>
                <w:szCs w:val="18"/>
              </w:rPr>
              <w:t>6,447</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189B3FC" w14:textId="77777777" w:rsidR="00F51523" w:rsidRPr="00181EF3" w:rsidRDefault="00F51523" w:rsidP="00F51523">
            <w:pPr>
              <w:pStyle w:val="TableText"/>
              <w:tabs>
                <w:tab w:val="decimal" w:pos="765"/>
              </w:tabs>
              <w:rPr>
                <w:szCs w:val="18"/>
              </w:rPr>
            </w:pPr>
            <w:r w:rsidRPr="00181EF3">
              <w:rPr>
                <w:szCs w:val="18"/>
              </w:rPr>
              <w:t>16,722</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ACAAEF3" w14:textId="77777777" w:rsidR="00F51523" w:rsidRPr="00181EF3" w:rsidRDefault="00F51523" w:rsidP="00F51523">
            <w:pPr>
              <w:pStyle w:val="TableText"/>
              <w:tabs>
                <w:tab w:val="decimal" w:pos="765"/>
              </w:tabs>
              <w:rPr>
                <w:szCs w:val="18"/>
              </w:rPr>
            </w:pPr>
            <w:r w:rsidRPr="00181EF3">
              <w:rPr>
                <w:szCs w:val="18"/>
              </w:rPr>
              <w:t>3,015</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CA68966" w14:textId="77777777" w:rsidR="00F51523" w:rsidRPr="00181EF3" w:rsidRDefault="00F51523" w:rsidP="00F51523">
            <w:pPr>
              <w:pStyle w:val="TableText"/>
              <w:tabs>
                <w:tab w:val="decimal" w:pos="765"/>
              </w:tabs>
              <w:rPr>
                <w:szCs w:val="18"/>
              </w:rPr>
            </w:pPr>
            <w:r w:rsidRPr="00181EF3">
              <w:rPr>
                <w:szCs w:val="18"/>
              </w:rPr>
              <w:t>9,918</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BF2082F" w14:textId="77777777" w:rsidR="00F51523" w:rsidRPr="00181EF3" w:rsidRDefault="00F51523" w:rsidP="00F51523">
            <w:pPr>
              <w:pStyle w:val="TableText"/>
              <w:tabs>
                <w:tab w:val="decimal" w:pos="765"/>
              </w:tabs>
              <w:rPr>
                <w:szCs w:val="18"/>
              </w:rPr>
            </w:pPr>
            <w:r w:rsidRPr="00181EF3">
              <w:rPr>
                <w:szCs w:val="18"/>
              </w:rPr>
              <w:t>4,416</w:t>
            </w:r>
          </w:p>
        </w:tc>
        <w:tc>
          <w:tcPr>
            <w:tcW w:w="106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F30F621" w14:textId="77777777" w:rsidR="00F51523" w:rsidRPr="00181EF3" w:rsidRDefault="00F51523" w:rsidP="00F51523">
            <w:pPr>
              <w:pStyle w:val="TableText"/>
              <w:tabs>
                <w:tab w:val="decimal" w:pos="765"/>
              </w:tabs>
              <w:rPr>
                <w:szCs w:val="18"/>
              </w:rPr>
            </w:pPr>
            <w:r w:rsidRPr="00181EF3">
              <w:rPr>
                <w:szCs w:val="18"/>
              </w:rPr>
              <w:t>22,212</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45EF7A0" w14:textId="77777777" w:rsidR="00F51523" w:rsidRPr="00181EF3" w:rsidRDefault="00F51523" w:rsidP="00F51523">
            <w:pPr>
              <w:pStyle w:val="TableText"/>
              <w:tabs>
                <w:tab w:val="decimal" w:pos="765"/>
              </w:tabs>
              <w:rPr>
                <w:szCs w:val="18"/>
              </w:rPr>
            </w:pPr>
            <w:r w:rsidRPr="00181EF3">
              <w:rPr>
                <w:szCs w:val="18"/>
              </w:rPr>
              <w:t>3,282</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A4E9256" w14:textId="77777777" w:rsidR="00F51523" w:rsidRPr="00181EF3" w:rsidRDefault="00F51523" w:rsidP="00F51523">
            <w:pPr>
              <w:pStyle w:val="TableText"/>
              <w:tabs>
                <w:tab w:val="decimal" w:pos="765"/>
              </w:tabs>
              <w:rPr>
                <w:szCs w:val="18"/>
              </w:rPr>
            </w:pPr>
            <w:r w:rsidRPr="00181EF3">
              <w:rPr>
                <w:szCs w:val="18"/>
              </w:rPr>
              <w:t>25,929</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350C596" w14:textId="77777777" w:rsidR="00F51523" w:rsidRPr="00181EF3" w:rsidRDefault="00F51523" w:rsidP="00F51523">
            <w:pPr>
              <w:pStyle w:val="TableText"/>
              <w:tabs>
                <w:tab w:val="decimal" w:pos="765"/>
              </w:tabs>
              <w:rPr>
                <w:szCs w:val="18"/>
              </w:rPr>
            </w:pPr>
            <w:r w:rsidRPr="00181EF3">
              <w:rPr>
                <w:szCs w:val="18"/>
              </w:rPr>
              <w:t>1,005</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CB8C4E3" w14:textId="77777777" w:rsidR="00F51523" w:rsidRPr="00181EF3" w:rsidRDefault="00F51523" w:rsidP="00F51523">
            <w:pPr>
              <w:pStyle w:val="TableText"/>
              <w:tabs>
                <w:tab w:val="decimal" w:pos="765"/>
              </w:tabs>
              <w:rPr>
                <w:szCs w:val="18"/>
              </w:rPr>
            </w:pPr>
            <w:r w:rsidRPr="00181EF3">
              <w:rPr>
                <w:szCs w:val="18"/>
              </w:rPr>
              <w:t>16,812</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766178D" w14:textId="77777777" w:rsidR="00F51523" w:rsidRPr="00181EF3" w:rsidRDefault="00F51523" w:rsidP="00F51523">
            <w:pPr>
              <w:pStyle w:val="TableText"/>
              <w:tabs>
                <w:tab w:val="decimal" w:pos="765"/>
              </w:tabs>
              <w:rPr>
                <w:szCs w:val="18"/>
              </w:rPr>
            </w:pPr>
            <w:r w:rsidRPr="00181EF3">
              <w:rPr>
                <w:szCs w:val="18"/>
              </w:rPr>
              <w:t>18,165</w:t>
            </w:r>
          </w:p>
        </w:tc>
        <w:tc>
          <w:tcPr>
            <w:tcW w:w="1064" w:type="dxa"/>
            <w:tcBorders>
              <w:top w:val="single" w:sz="4" w:space="0" w:color="A6A6A6" w:themeColor="background1" w:themeShade="A6"/>
              <w:bottom w:val="single" w:sz="4" w:space="0" w:color="A6A6A6" w:themeColor="background1" w:themeShade="A6"/>
            </w:tcBorders>
          </w:tcPr>
          <w:p w14:paraId="72A24307" w14:textId="77777777" w:rsidR="00F51523" w:rsidRPr="00181EF3" w:rsidRDefault="00F51523" w:rsidP="00F51523">
            <w:pPr>
              <w:pStyle w:val="TableText"/>
              <w:tabs>
                <w:tab w:val="decimal" w:pos="765"/>
              </w:tabs>
              <w:rPr>
                <w:szCs w:val="18"/>
              </w:rPr>
            </w:pPr>
            <w:r w:rsidRPr="00181EF3">
              <w:rPr>
                <w:szCs w:val="18"/>
              </w:rPr>
              <w:t>91,590</w:t>
            </w:r>
          </w:p>
        </w:tc>
      </w:tr>
      <w:tr w:rsidR="00F51523" w:rsidRPr="00181EF3" w14:paraId="15238EA2" w14:textId="77777777" w:rsidTr="00F51523">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CE6DF35" w14:textId="77777777" w:rsidR="00F51523" w:rsidRPr="00181EF3" w:rsidRDefault="00F51523" w:rsidP="00F51523">
            <w:pPr>
              <w:pStyle w:val="TableText"/>
            </w:pPr>
            <w:r w:rsidRPr="00181EF3">
              <w:t>Hawkes Bay</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00DD669" w14:textId="77777777" w:rsidR="00F51523" w:rsidRPr="00181EF3" w:rsidRDefault="00F51523" w:rsidP="00F51523">
            <w:pPr>
              <w:pStyle w:val="TableText"/>
              <w:tabs>
                <w:tab w:val="decimal" w:pos="765"/>
              </w:tabs>
              <w:rPr>
                <w:szCs w:val="18"/>
              </w:rPr>
            </w:pPr>
            <w:r w:rsidRPr="00181EF3">
              <w:rPr>
                <w:szCs w:val="18"/>
              </w:rPr>
              <w:t>12,144</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DE75209" w14:textId="77777777" w:rsidR="00F51523" w:rsidRPr="00181EF3" w:rsidRDefault="00F51523" w:rsidP="00F51523">
            <w:pPr>
              <w:pStyle w:val="TableText"/>
              <w:tabs>
                <w:tab w:val="decimal" w:pos="765"/>
              </w:tabs>
              <w:rPr>
                <w:szCs w:val="18"/>
              </w:rPr>
            </w:pPr>
            <w:r w:rsidRPr="00181EF3">
              <w:rPr>
                <w:szCs w:val="18"/>
              </w:rPr>
              <w:t>20,862</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E42FF94" w14:textId="77777777" w:rsidR="00F51523" w:rsidRPr="00181EF3" w:rsidRDefault="00F51523" w:rsidP="00F51523">
            <w:pPr>
              <w:pStyle w:val="TableText"/>
              <w:tabs>
                <w:tab w:val="decimal" w:pos="765"/>
              </w:tabs>
              <w:rPr>
                <w:szCs w:val="18"/>
              </w:rPr>
            </w:pPr>
            <w:r w:rsidRPr="00181EF3">
              <w:rPr>
                <w:szCs w:val="18"/>
              </w:rPr>
              <w:t>5,808</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B53C894" w14:textId="77777777" w:rsidR="00F51523" w:rsidRPr="00181EF3" w:rsidRDefault="00F51523" w:rsidP="00F51523">
            <w:pPr>
              <w:pStyle w:val="TableText"/>
              <w:tabs>
                <w:tab w:val="decimal" w:pos="765"/>
              </w:tabs>
              <w:rPr>
                <w:szCs w:val="18"/>
              </w:rPr>
            </w:pPr>
            <w:r w:rsidRPr="00181EF3">
              <w:rPr>
                <w:szCs w:val="18"/>
              </w:rPr>
              <w:t>12,255</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8429A52" w14:textId="77777777" w:rsidR="00F51523" w:rsidRPr="00181EF3" w:rsidRDefault="00F51523" w:rsidP="00F51523">
            <w:pPr>
              <w:pStyle w:val="TableText"/>
              <w:tabs>
                <w:tab w:val="decimal" w:pos="765"/>
              </w:tabs>
              <w:rPr>
                <w:szCs w:val="18"/>
              </w:rPr>
            </w:pPr>
            <w:r w:rsidRPr="00181EF3">
              <w:rPr>
                <w:szCs w:val="18"/>
              </w:rPr>
              <w:t>8,154</w:t>
            </w:r>
          </w:p>
        </w:tc>
        <w:tc>
          <w:tcPr>
            <w:tcW w:w="106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E2743B6" w14:textId="77777777" w:rsidR="00F51523" w:rsidRPr="00181EF3" w:rsidRDefault="00F51523" w:rsidP="00F51523">
            <w:pPr>
              <w:pStyle w:val="TableText"/>
              <w:tabs>
                <w:tab w:val="decimal" w:pos="765"/>
              </w:tabs>
              <w:rPr>
                <w:szCs w:val="18"/>
              </w:rPr>
            </w:pPr>
            <w:r w:rsidRPr="00181EF3">
              <w:rPr>
                <w:szCs w:val="18"/>
              </w:rPr>
              <w:t>25,764</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35D63C7" w14:textId="77777777" w:rsidR="00F51523" w:rsidRPr="00181EF3" w:rsidRDefault="00F51523" w:rsidP="00F51523">
            <w:pPr>
              <w:pStyle w:val="TableText"/>
              <w:tabs>
                <w:tab w:val="decimal" w:pos="765"/>
              </w:tabs>
              <w:rPr>
                <w:szCs w:val="18"/>
              </w:rPr>
            </w:pPr>
            <w:r w:rsidRPr="00181EF3">
              <w:rPr>
                <w:szCs w:val="18"/>
              </w:rPr>
              <w:t>6,765</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0C987C9" w14:textId="77777777" w:rsidR="00F51523" w:rsidRPr="00181EF3" w:rsidRDefault="00F51523" w:rsidP="00F51523">
            <w:pPr>
              <w:pStyle w:val="TableText"/>
              <w:tabs>
                <w:tab w:val="decimal" w:pos="765"/>
              </w:tabs>
              <w:rPr>
                <w:szCs w:val="18"/>
              </w:rPr>
            </w:pPr>
            <w:r w:rsidRPr="00181EF3">
              <w:rPr>
                <w:szCs w:val="18"/>
              </w:rPr>
              <w:t>34,410</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E6AF03A" w14:textId="77777777" w:rsidR="00F51523" w:rsidRPr="00181EF3" w:rsidRDefault="00F51523" w:rsidP="00F51523">
            <w:pPr>
              <w:pStyle w:val="TableText"/>
              <w:tabs>
                <w:tab w:val="decimal" w:pos="765"/>
              </w:tabs>
              <w:rPr>
                <w:szCs w:val="18"/>
              </w:rPr>
            </w:pPr>
            <w:r w:rsidRPr="00181EF3">
              <w:rPr>
                <w:szCs w:val="18"/>
              </w:rPr>
              <w:t>2,106</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78EC27B" w14:textId="77777777" w:rsidR="00F51523" w:rsidRPr="00181EF3" w:rsidRDefault="00F51523" w:rsidP="00F51523">
            <w:pPr>
              <w:pStyle w:val="TableText"/>
              <w:tabs>
                <w:tab w:val="decimal" w:pos="765"/>
              </w:tabs>
              <w:rPr>
                <w:szCs w:val="18"/>
              </w:rPr>
            </w:pPr>
            <w:r w:rsidRPr="00181EF3">
              <w:rPr>
                <w:szCs w:val="18"/>
              </w:rPr>
              <w:t>23,421</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AC7A141" w14:textId="77777777" w:rsidR="00F51523" w:rsidRPr="00181EF3" w:rsidRDefault="00F51523" w:rsidP="00F51523">
            <w:pPr>
              <w:pStyle w:val="TableText"/>
              <w:tabs>
                <w:tab w:val="decimal" w:pos="765"/>
              </w:tabs>
              <w:rPr>
                <w:szCs w:val="18"/>
              </w:rPr>
            </w:pPr>
            <w:r w:rsidRPr="00181EF3">
              <w:rPr>
                <w:szCs w:val="18"/>
              </w:rPr>
              <w:t>34,977</w:t>
            </w:r>
          </w:p>
        </w:tc>
        <w:tc>
          <w:tcPr>
            <w:tcW w:w="1064" w:type="dxa"/>
            <w:tcBorders>
              <w:top w:val="single" w:sz="4" w:space="0" w:color="A6A6A6" w:themeColor="background1" w:themeShade="A6"/>
              <w:bottom w:val="single" w:sz="4" w:space="0" w:color="A6A6A6" w:themeColor="background1" w:themeShade="A6"/>
            </w:tcBorders>
          </w:tcPr>
          <w:p w14:paraId="378219C6" w14:textId="77777777" w:rsidR="00F51523" w:rsidRPr="00181EF3" w:rsidRDefault="00F51523" w:rsidP="00F51523">
            <w:pPr>
              <w:pStyle w:val="TableText"/>
              <w:tabs>
                <w:tab w:val="decimal" w:pos="765"/>
              </w:tabs>
              <w:rPr>
                <w:szCs w:val="18"/>
              </w:rPr>
            </w:pPr>
            <w:r w:rsidRPr="00181EF3">
              <w:rPr>
                <w:szCs w:val="18"/>
              </w:rPr>
              <w:t>116,718</w:t>
            </w:r>
          </w:p>
        </w:tc>
      </w:tr>
      <w:tr w:rsidR="00F51523" w:rsidRPr="00181EF3" w14:paraId="10E93CA1" w14:textId="77777777" w:rsidTr="00F51523">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0239E31" w14:textId="77777777" w:rsidR="00F51523" w:rsidRPr="00181EF3" w:rsidRDefault="00F51523" w:rsidP="00F51523">
            <w:pPr>
              <w:pStyle w:val="TableText"/>
            </w:pPr>
            <w:r w:rsidRPr="00181EF3">
              <w:t>Whanganui</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1788043" w14:textId="77777777" w:rsidR="00F51523" w:rsidRPr="00181EF3" w:rsidRDefault="00F51523" w:rsidP="00F51523">
            <w:pPr>
              <w:pStyle w:val="TableText"/>
              <w:tabs>
                <w:tab w:val="decimal" w:pos="765"/>
              </w:tabs>
              <w:rPr>
                <w:szCs w:val="18"/>
              </w:rPr>
            </w:pPr>
            <w:r w:rsidRPr="00181EF3">
              <w:rPr>
                <w:szCs w:val="18"/>
              </w:rPr>
              <w:t>4,641</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6DD6899" w14:textId="77777777" w:rsidR="00F51523" w:rsidRPr="00181EF3" w:rsidRDefault="00F51523" w:rsidP="00F51523">
            <w:pPr>
              <w:pStyle w:val="TableText"/>
              <w:tabs>
                <w:tab w:val="decimal" w:pos="765"/>
              </w:tabs>
              <w:rPr>
                <w:szCs w:val="18"/>
              </w:rPr>
            </w:pPr>
            <w:r w:rsidRPr="00181EF3">
              <w:rPr>
                <w:szCs w:val="18"/>
              </w:rPr>
              <w:t>7,782</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702A2C1" w14:textId="77777777" w:rsidR="00F51523" w:rsidRPr="00181EF3" w:rsidRDefault="00F51523" w:rsidP="00F51523">
            <w:pPr>
              <w:pStyle w:val="TableText"/>
              <w:tabs>
                <w:tab w:val="decimal" w:pos="765"/>
              </w:tabs>
              <w:rPr>
                <w:szCs w:val="18"/>
              </w:rPr>
            </w:pPr>
            <w:r w:rsidRPr="00181EF3">
              <w:rPr>
                <w:szCs w:val="18"/>
              </w:rPr>
              <w:t>2,436</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B2A9289" w14:textId="77777777" w:rsidR="00F51523" w:rsidRPr="00181EF3" w:rsidRDefault="00F51523" w:rsidP="00F51523">
            <w:pPr>
              <w:pStyle w:val="TableText"/>
              <w:tabs>
                <w:tab w:val="decimal" w:pos="765"/>
              </w:tabs>
              <w:rPr>
                <w:szCs w:val="18"/>
              </w:rPr>
            </w:pPr>
            <w:r w:rsidRPr="00181EF3">
              <w:rPr>
                <w:szCs w:val="18"/>
              </w:rPr>
              <w:t>4,863</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B449C77" w14:textId="77777777" w:rsidR="00F51523" w:rsidRPr="00181EF3" w:rsidRDefault="00F51523" w:rsidP="00F51523">
            <w:pPr>
              <w:pStyle w:val="TableText"/>
              <w:tabs>
                <w:tab w:val="decimal" w:pos="765"/>
              </w:tabs>
              <w:rPr>
                <w:szCs w:val="18"/>
              </w:rPr>
            </w:pPr>
            <w:r w:rsidRPr="00181EF3">
              <w:rPr>
                <w:szCs w:val="18"/>
              </w:rPr>
              <w:t>3,291</w:t>
            </w:r>
          </w:p>
        </w:tc>
        <w:tc>
          <w:tcPr>
            <w:tcW w:w="106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2333D1A" w14:textId="77777777" w:rsidR="00F51523" w:rsidRPr="00181EF3" w:rsidRDefault="00F51523" w:rsidP="00F51523">
            <w:pPr>
              <w:pStyle w:val="TableText"/>
              <w:tabs>
                <w:tab w:val="decimal" w:pos="765"/>
              </w:tabs>
              <w:rPr>
                <w:szCs w:val="18"/>
              </w:rPr>
            </w:pPr>
            <w:r w:rsidRPr="00181EF3">
              <w:rPr>
                <w:szCs w:val="18"/>
              </w:rPr>
              <w:t>9,597</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2BBC6F2" w14:textId="77777777" w:rsidR="00F51523" w:rsidRPr="00181EF3" w:rsidRDefault="00F51523" w:rsidP="00F51523">
            <w:pPr>
              <w:pStyle w:val="TableText"/>
              <w:tabs>
                <w:tab w:val="decimal" w:pos="765"/>
              </w:tabs>
              <w:rPr>
                <w:szCs w:val="18"/>
              </w:rPr>
            </w:pPr>
            <w:r w:rsidRPr="00181EF3">
              <w:rPr>
                <w:szCs w:val="18"/>
              </w:rPr>
              <w:t>2,889</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8CBE3BE" w14:textId="77777777" w:rsidR="00F51523" w:rsidRPr="00181EF3" w:rsidRDefault="00F51523" w:rsidP="00F51523">
            <w:pPr>
              <w:pStyle w:val="TableText"/>
              <w:tabs>
                <w:tab w:val="decimal" w:pos="765"/>
              </w:tabs>
              <w:rPr>
                <w:szCs w:val="18"/>
              </w:rPr>
            </w:pPr>
            <w:r w:rsidRPr="00181EF3">
              <w:rPr>
                <w:szCs w:val="18"/>
              </w:rPr>
              <w:t>13,680</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0ECD8D8" w14:textId="77777777" w:rsidR="00F51523" w:rsidRPr="00181EF3" w:rsidRDefault="00F51523" w:rsidP="00F51523">
            <w:pPr>
              <w:pStyle w:val="TableText"/>
              <w:tabs>
                <w:tab w:val="decimal" w:pos="765"/>
              </w:tabs>
              <w:rPr>
                <w:szCs w:val="18"/>
              </w:rPr>
            </w:pPr>
            <w:r w:rsidRPr="00181EF3">
              <w:rPr>
                <w:szCs w:val="18"/>
              </w:rPr>
              <w:t>900</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947AD29" w14:textId="77777777" w:rsidR="00F51523" w:rsidRPr="00181EF3" w:rsidRDefault="00F51523" w:rsidP="00F51523">
            <w:pPr>
              <w:pStyle w:val="TableText"/>
              <w:tabs>
                <w:tab w:val="decimal" w:pos="765"/>
              </w:tabs>
              <w:rPr>
                <w:szCs w:val="18"/>
              </w:rPr>
            </w:pPr>
            <w:r w:rsidRPr="00181EF3">
              <w:rPr>
                <w:szCs w:val="18"/>
              </w:rPr>
              <w:t>10,038</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DCADDCE" w14:textId="77777777" w:rsidR="00F51523" w:rsidRPr="00181EF3" w:rsidRDefault="00F51523" w:rsidP="00F51523">
            <w:pPr>
              <w:pStyle w:val="TableText"/>
              <w:tabs>
                <w:tab w:val="decimal" w:pos="765"/>
              </w:tabs>
              <w:rPr>
                <w:szCs w:val="18"/>
              </w:rPr>
            </w:pPr>
            <w:r w:rsidRPr="00181EF3">
              <w:rPr>
                <w:szCs w:val="18"/>
              </w:rPr>
              <w:t>14,151</w:t>
            </w:r>
          </w:p>
        </w:tc>
        <w:tc>
          <w:tcPr>
            <w:tcW w:w="1064" w:type="dxa"/>
            <w:tcBorders>
              <w:top w:val="single" w:sz="4" w:space="0" w:color="A6A6A6" w:themeColor="background1" w:themeShade="A6"/>
              <w:bottom w:val="single" w:sz="4" w:space="0" w:color="A6A6A6" w:themeColor="background1" w:themeShade="A6"/>
            </w:tcBorders>
          </w:tcPr>
          <w:p w14:paraId="5AABEE7E" w14:textId="77777777" w:rsidR="00F51523" w:rsidRPr="00181EF3" w:rsidRDefault="00F51523" w:rsidP="00F51523">
            <w:pPr>
              <w:pStyle w:val="TableText"/>
              <w:tabs>
                <w:tab w:val="decimal" w:pos="765"/>
              </w:tabs>
              <w:rPr>
                <w:szCs w:val="18"/>
              </w:rPr>
            </w:pPr>
            <w:r w:rsidRPr="00181EF3">
              <w:rPr>
                <w:szCs w:val="18"/>
              </w:rPr>
              <w:t>45,969</w:t>
            </w:r>
          </w:p>
        </w:tc>
      </w:tr>
      <w:tr w:rsidR="00F51523" w:rsidRPr="00181EF3" w14:paraId="5D00EEA1" w14:textId="77777777" w:rsidTr="00F51523">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EC7B2B2" w14:textId="77777777" w:rsidR="00F51523" w:rsidRPr="00181EF3" w:rsidRDefault="00F51523" w:rsidP="00F51523">
            <w:pPr>
              <w:pStyle w:val="TableText"/>
            </w:pPr>
            <w:r w:rsidRPr="00181EF3">
              <w:t>MidCentral</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E1F3812" w14:textId="77777777" w:rsidR="00F51523" w:rsidRPr="00181EF3" w:rsidRDefault="00F51523" w:rsidP="00F51523">
            <w:pPr>
              <w:pStyle w:val="TableText"/>
              <w:tabs>
                <w:tab w:val="decimal" w:pos="765"/>
              </w:tabs>
              <w:rPr>
                <w:szCs w:val="18"/>
              </w:rPr>
            </w:pPr>
            <w:r w:rsidRPr="00181EF3">
              <w:rPr>
                <w:szCs w:val="18"/>
              </w:rPr>
              <w:t>9,876</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EB6E978" w14:textId="77777777" w:rsidR="00F51523" w:rsidRPr="00181EF3" w:rsidRDefault="00F51523" w:rsidP="00F51523">
            <w:pPr>
              <w:pStyle w:val="TableText"/>
              <w:tabs>
                <w:tab w:val="decimal" w:pos="765"/>
              </w:tabs>
              <w:rPr>
                <w:szCs w:val="18"/>
              </w:rPr>
            </w:pPr>
            <w:r w:rsidRPr="00181EF3">
              <w:rPr>
                <w:szCs w:val="18"/>
              </w:rPr>
              <w:t>22,956</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A27A61E" w14:textId="77777777" w:rsidR="00F51523" w:rsidRPr="00181EF3" w:rsidRDefault="00F51523" w:rsidP="00F51523">
            <w:pPr>
              <w:pStyle w:val="TableText"/>
              <w:tabs>
                <w:tab w:val="decimal" w:pos="765"/>
              </w:tabs>
              <w:rPr>
                <w:szCs w:val="18"/>
              </w:rPr>
            </w:pPr>
            <w:r w:rsidRPr="00181EF3">
              <w:rPr>
                <w:szCs w:val="18"/>
              </w:rPr>
              <w:t>5,379</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E1C9ABF" w14:textId="77777777" w:rsidR="00F51523" w:rsidRPr="00181EF3" w:rsidRDefault="00F51523" w:rsidP="00F51523">
            <w:pPr>
              <w:pStyle w:val="TableText"/>
              <w:tabs>
                <w:tab w:val="decimal" w:pos="765"/>
              </w:tabs>
              <w:rPr>
                <w:szCs w:val="18"/>
              </w:rPr>
            </w:pPr>
            <w:r w:rsidRPr="00181EF3">
              <w:rPr>
                <w:szCs w:val="18"/>
              </w:rPr>
              <w:t>18,330</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A698706" w14:textId="77777777" w:rsidR="00F51523" w:rsidRPr="00181EF3" w:rsidRDefault="00F51523" w:rsidP="00F51523">
            <w:pPr>
              <w:pStyle w:val="TableText"/>
              <w:tabs>
                <w:tab w:val="decimal" w:pos="765"/>
              </w:tabs>
              <w:rPr>
                <w:szCs w:val="18"/>
              </w:rPr>
            </w:pPr>
            <w:r w:rsidRPr="00181EF3">
              <w:rPr>
                <w:szCs w:val="18"/>
              </w:rPr>
              <w:t>6,678</w:t>
            </w:r>
          </w:p>
        </w:tc>
        <w:tc>
          <w:tcPr>
            <w:tcW w:w="106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D6DD1EA" w14:textId="77777777" w:rsidR="00F51523" w:rsidRPr="00181EF3" w:rsidRDefault="00F51523" w:rsidP="00F51523">
            <w:pPr>
              <w:pStyle w:val="TableText"/>
              <w:tabs>
                <w:tab w:val="decimal" w:pos="765"/>
              </w:tabs>
              <w:rPr>
                <w:szCs w:val="18"/>
              </w:rPr>
            </w:pPr>
            <w:r w:rsidRPr="00181EF3">
              <w:rPr>
                <w:szCs w:val="18"/>
              </w:rPr>
              <w:t>30,849</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91AC498" w14:textId="77777777" w:rsidR="00F51523" w:rsidRPr="00181EF3" w:rsidRDefault="00F51523" w:rsidP="00F51523">
            <w:pPr>
              <w:pStyle w:val="TableText"/>
              <w:tabs>
                <w:tab w:val="decimal" w:pos="765"/>
              </w:tabs>
              <w:rPr>
                <w:szCs w:val="18"/>
              </w:rPr>
            </w:pPr>
            <w:r w:rsidRPr="00181EF3">
              <w:rPr>
                <w:szCs w:val="18"/>
              </w:rPr>
              <w:t>4,977</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2F4B2BE" w14:textId="77777777" w:rsidR="00F51523" w:rsidRPr="00181EF3" w:rsidRDefault="00F51523" w:rsidP="00F51523">
            <w:pPr>
              <w:pStyle w:val="TableText"/>
              <w:tabs>
                <w:tab w:val="decimal" w:pos="765"/>
              </w:tabs>
              <w:rPr>
                <w:szCs w:val="18"/>
              </w:rPr>
            </w:pPr>
            <w:r w:rsidRPr="00181EF3">
              <w:rPr>
                <w:szCs w:val="18"/>
              </w:rPr>
              <w:t>36,630</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079ED5A" w14:textId="77777777" w:rsidR="00F51523" w:rsidRPr="00181EF3" w:rsidRDefault="00F51523" w:rsidP="00F51523">
            <w:pPr>
              <w:pStyle w:val="TableText"/>
              <w:tabs>
                <w:tab w:val="decimal" w:pos="765"/>
              </w:tabs>
              <w:rPr>
                <w:szCs w:val="18"/>
              </w:rPr>
            </w:pPr>
            <w:r w:rsidRPr="00181EF3">
              <w:rPr>
                <w:szCs w:val="18"/>
              </w:rPr>
              <w:t>1,425</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09376BB" w14:textId="77777777" w:rsidR="00F51523" w:rsidRPr="00181EF3" w:rsidRDefault="00F51523" w:rsidP="00F51523">
            <w:pPr>
              <w:pStyle w:val="TableText"/>
              <w:tabs>
                <w:tab w:val="decimal" w:pos="765"/>
              </w:tabs>
              <w:rPr>
                <w:szCs w:val="18"/>
              </w:rPr>
            </w:pPr>
            <w:r w:rsidRPr="00181EF3">
              <w:rPr>
                <w:szCs w:val="18"/>
              </w:rPr>
              <w:t>25,464</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43EA01B" w14:textId="77777777" w:rsidR="00F51523" w:rsidRPr="00181EF3" w:rsidRDefault="00F51523" w:rsidP="00F51523">
            <w:pPr>
              <w:pStyle w:val="TableText"/>
              <w:tabs>
                <w:tab w:val="decimal" w:pos="765"/>
              </w:tabs>
              <w:rPr>
                <w:szCs w:val="18"/>
              </w:rPr>
            </w:pPr>
            <w:r w:rsidRPr="00181EF3">
              <w:rPr>
                <w:szCs w:val="18"/>
              </w:rPr>
              <w:t>28,347</w:t>
            </w:r>
          </w:p>
        </w:tc>
        <w:tc>
          <w:tcPr>
            <w:tcW w:w="1064" w:type="dxa"/>
            <w:tcBorders>
              <w:top w:val="single" w:sz="4" w:space="0" w:color="A6A6A6" w:themeColor="background1" w:themeShade="A6"/>
              <w:bottom w:val="single" w:sz="4" w:space="0" w:color="A6A6A6" w:themeColor="background1" w:themeShade="A6"/>
            </w:tcBorders>
          </w:tcPr>
          <w:p w14:paraId="7190D9D0" w14:textId="77777777" w:rsidR="00F51523" w:rsidRPr="00181EF3" w:rsidRDefault="00F51523" w:rsidP="00F51523">
            <w:pPr>
              <w:pStyle w:val="TableText"/>
              <w:tabs>
                <w:tab w:val="decimal" w:pos="765"/>
              </w:tabs>
              <w:rPr>
                <w:szCs w:val="18"/>
              </w:rPr>
            </w:pPr>
            <w:r w:rsidRPr="00181EF3">
              <w:rPr>
                <w:szCs w:val="18"/>
              </w:rPr>
              <w:t>134,217</w:t>
            </w:r>
          </w:p>
        </w:tc>
      </w:tr>
      <w:tr w:rsidR="00F51523" w:rsidRPr="00181EF3" w14:paraId="13C2B891" w14:textId="77777777" w:rsidTr="00F51523">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7CF9040" w14:textId="77777777" w:rsidR="00F51523" w:rsidRPr="00181EF3" w:rsidRDefault="00F51523" w:rsidP="00F51523">
            <w:pPr>
              <w:pStyle w:val="TableText"/>
            </w:pPr>
            <w:r w:rsidRPr="00181EF3">
              <w:t>Hutt Valley</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0DDA118" w14:textId="77777777" w:rsidR="00F51523" w:rsidRPr="00181EF3" w:rsidRDefault="00F51523" w:rsidP="00F51523">
            <w:pPr>
              <w:pStyle w:val="TableText"/>
              <w:tabs>
                <w:tab w:val="decimal" w:pos="765"/>
              </w:tabs>
              <w:rPr>
                <w:szCs w:val="18"/>
              </w:rPr>
            </w:pPr>
            <w:r w:rsidRPr="00181EF3">
              <w:rPr>
                <w:szCs w:val="18"/>
              </w:rPr>
              <w:t>7,140</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179F841" w14:textId="77777777" w:rsidR="00F51523" w:rsidRPr="00181EF3" w:rsidRDefault="00F51523" w:rsidP="00F51523">
            <w:pPr>
              <w:pStyle w:val="TableText"/>
              <w:tabs>
                <w:tab w:val="decimal" w:pos="765"/>
              </w:tabs>
              <w:rPr>
                <w:szCs w:val="18"/>
              </w:rPr>
            </w:pPr>
            <w:r w:rsidRPr="00181EF3">
              <w:rPr>
                <w:szCs w:val="18"/>
              </w:rPr>
              <w:t>22,011</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F35839F" w14:textId="77777777" w:rsidR="00F51523" w:rsidRPr="00181EF3" w:rsidRDefault="00F51523" w:rsidP="00F51523">
            <w:pPr>
              <w:pStyle w:val="TableText"/>
              <w:tabs>
                <w:tab w:val="decimal" w:pos="765"/>
              </w:tabs>
              <w:rPr>
                <w:szCs w:val="18"/>
              </w:rPr>
            </w:pPr>
            <w:r w:rsidRPr="00181EF3">
              <w:rPr>
                <w:szCs w:val="18"/>
              </w:rPr>
              <w:t>3,717</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3073279" w14:textId="77777777" w:rsidR="00F51523" w:rsidRPr="00181EF3" w:rsidRDefault="00F51523" w:rsidP="00F51523">
            <w:pPr>
              <w:pStyle w:val="TableText"/>
              <w:tabs>
                <w:tab w:val="decimal" w:pos="765"/>
              </w:tabs>
              <w:rPr>
                <w:szCs w:val="18"/>
              </w:rPr>
            </w:pPr>
            <w:r w:rsidRPr="00181EF3">
              <w:rPr>
                <w:szCs w:val="18"/>
              </w:rPr>
              <w:t>14,331</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627F8EB" w14:textId="77777777" w:rsidR="00F51523" w:rsidRPr="00181EF3" w:rsidRDefault="00F51523" w:rsidP="00F51523">
            <w:pPr>
              <w:pStyle w:val="TableText"/>
              <w:tabs>
                <w:tab w:val="decimal" w:pos="765"/>
              </w:tabs>
              <w:rPr>
                <w:szCs w:val="18"/>
              </w:rPr>
            </w:pPr>
            <w:r w:rsidRPr="00181EF3">
              <w:rPr>
                <w:szCs w:val="18"/>
              </w:rPr>
              <w:t>5,532</w:t>
            </w:r>
          </w:p>
        </w:tc>
        <w:tc>
          <w:tcPr>
            <w:tcW w:w="106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6850240" w14:textId="77777777" w:rsidR="00F51523" w:rsidRPr="00181EF3" w:rsidRDefault="00F51523" w:rsidP="00F51523">
            <w:pPr>
              <w:pStyle w:val="TableText"/>
              <w:tabs>
                <w:tab w:val="decimal" w:pos="765"/>
              </w:tabs>
              <w:rPr>
                <w:szCs w:val="18"/>
              </w:rPr>
            </w:pPr>
            <w:r w:rsidRPr="00181EF3">
              <w:rPr>
                <w:szCs w:val="18"/>
              </w:rPr>
              <w:t>31,161</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7B4118B" w14:textId="77777777" w:rsidR="00F51523" w:rsidRPr="00181EF3" w:rsidRDefault="00F51523" w:rsidP="00F51523">
            <w:pPr>
              <w:pStyle w:val="TableText"/>
              <w:tabs>
                <w:tab w:val="decimal" w:pos="765"/>
              </w:tabs>
              <w:rPr>
                <w:szCs w:val="18"/>
              </w:rPr>
            </w:pPr>
            <w:r w:rsidRPr="00181EF3">
              <w:rPr>
                <w:szCs w:val="18"/>
              </w:rPr>
              <w:t>3,960</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211AF21" w14:textId="77777777" w:rsidR="00F51523" w:rsidRPr="00181EF3" w:rsidRDefault="00F51523" w:rsidP="00F51523">
            <w:pPr>
              <w:pStyle w:val="TableText"/>
              <w:tabs>
                <w:tab w:val="decimal" w:pos="765"/>
              </w:tabs>
              <w:rPr>
                <w:szCs w:val="18"/>
              </w:rPr>
            </w:pPr>
            <w:r w:rsidRPr="00181EF3">
              <w:rPr>
                <w:szCs w:val="18"/>
              </w:rPr>
              <w:t>32,103</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B785038" w14:textId="77777777" w:rsidR="00F51523" w:rsidRPr="00181EF3" w:rsidRDefault="00F51523" w:rsidP="00F51523">
            <w:pPr>
              <w:pStyle w:val="TableText"/>
              <w:tabs>
                <w:tab w:val="decimal" w:pos="765"/>
              </w:tabs>
              <w:rPr>
                <w:szCs w:val="18"/>
              </w:rPr>
            </w:pPr>
            <w:r w:rsidRPr="00181EF3">
              <w:rPr>
                <w:szCs w:val="18"/>
              </w:rPr>
              <w:t>861</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1AA35E7" w14:textId="77777777" w:rsidR="00F51523" w:rsidRPr="00181EF3" w:rsidRDefault="00F51523" w:rsidP="00F51523">
            <w:pPr>
              <w:pStyle w:val="TableText"/>
              <w:tabs>
                <w:tab w:val="decimal" w:pos="765"/>
              </w:tabs>
              <w:rPr>
                <w:szCs w:val="18"/>
              </w:rPr>
            </w:pPr>
            <w:r w:rsidRPr="00181EF3">
              <w:rPr>
                <w:szCs w:val="18"/>
              </w:rPr>
              <w:t>17,562</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9E2DCA6" w14:textId="77777777" w:rsidR="00F51523" w:rsidRPr="00181EF3" w:rsidRDefault="00F51523" w:rsidP="00F51523">
            <w:pPr>
              <w:pStyle w:val="TableText"/>
              <w:tabs>
                <w:tab w:val="decimal" w:pos="765"/>
              </w:tabs>
              <w:rPr>
                <w:szCs w:val="18"/>
              </w:rPr>
            </w:pPr>
            <w:r w:rsidRPr="00181EF3">
              <w:rPr>
                <w:szCs w:val="18"/>
              </w:rPr>
              <w:t>21,213</w:t>
            </w:r>
          </w:p>
        </w:tc>
        <w:tc>
          <w:tcPr>
            <w:tcW w:w="1064" w:type="dxa"/>
            <w:tcBorders>
              <w:top w:val="single" w:sz="4" w:space="0" w:color="A6A6A6" w:themeColor="background1" w:themeShade="A6"/>
              <w:bottom w:val="single" w:sz="4" w:space="0" w:color="A6A6A6" w:themeColor="background1" w:themeShade="A6"/>
            </w:tcBorders>
          </w:tcPr>
          <w:p w14:paraId="7F379E59" w14:textId="77777777" w:rsidR="00F51523" w:rsidRPr="00181EF3" w:rsidRDefault="00F51523" w:rsidP="00F51523">
            <w:pPr>
              <w:pStyle w:val="TableText"/>
              <w:tabs>
                <w:tab w:val="decimal" w:pos="765"/>
              </w:tabs>
              <w:rPr>
                <w:szCs w:val="18"/>
              </w:rPr>
            </w:pPr>
            <w:r w:rsidRPr="00181EF3">
              <w:rPr>
                <w:szCs w:val="18"/>
              </w:rPr>
              <w:t>117,165</w:t>
            </w:r>
          </w:p>
        </w:tc>
      </w:tr>
      <w:tr w:rsidR="00F51523" w:rsidRPr="00181EF3" w14:paraId="6C26F0DC" w14:textId="77777777" w:rsidTr="00F51523">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02F4C72" w14:textId="77777777" w:rsidR="00F51523" w:rsidRPr="00181EF3" w:rsidRDefault="00F51523" w:rsidP="00F51523">
            <w:pPr>
              <w:pStyle w:val="TableText"/>
            </w:pPr>
            <w:r w:rsidRPr="00181EF3">
              <w:t>Capital and Coast</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1948CFB" w14:textId="77777777" w:rsidR="00F51523" w:rsidRPr="00181EF3" w:rsidRDefault="00F51523" w:rsidP="00F51523">
            <w:pPr>
              <w:pStyle w:val="TableText"/>
              <w:tabs>
                <w:tab w:val="decimal" w:pos="765"/>
              </w:tabs>
              <w:rPr>
                <w:szCs w:val="18"/>
              </w:rPr>
            </w:pPr>
            <w:r w:rsidRPr="00181EF3">
              <w:rPr>
                <w:szCs w:val="18"/>
              </w:rPr>
              <w:t>8,943</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AF12B4F" w14:textId="77777777" w:rsidR="00F51523" w:rsidRPr="00181EF3" w:rsidRDefault="00F51523" w:rsidP="00F51523">
            <w:pPr>
              <w:pStyle w:val="TableText"/>
              <w:tabs>
                <w:tab w:val="decimal" w:pos="765"/>
              </w:tabs>
              <w:rPr>
                <w:szCs w:val="18"/>
              </w:rPr>
            </w:pPr>
            <w:r w:rsidRPr="00181EF3">
              <w:rPr>
                <w:szCs w:val="18"/>
              </w:rPr>
              <w:t>44,193</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1176364" w14:textId="77777777" w:rsidR="00F51523" w:rsidRPr="00181EF3" w:rsidRDefault="00F51523" w:rsidP="00F51523">
            <w:pPr>
              <w:pStyle w:val="TableText"/>
              <w:tabs>
                <w:tab w:val="decimal" w:pos="765"/>
              </w:tabs>
              <w:rPr>
                <w:szCs w:val="18"/>
              </w:rPr>
            </w:pPr>
            <w:r w:rsidRPr="00181EF3">
              <w:rPr>
                <w:szCs w:val="18"/>
              </w:rPr>
              <w:t>5,910</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94CF089" w14:textId="77777777" w:rsidR="00F51523" w:rsidRPr="00181EF3" w:rsidRDefault="00F51523" w:rsidP="00F51523">
            <w:pPr>
              <w:pStyle w:val="TableText"/>
              <w:tabs>
                <w:tab w:val="decimal" w:pos="765"/>
              </w:tabs>
              <w:rPr>
                <w:szCs w:val="18"/>
              </w:rPr>
            </w:pPr>
            <w:r w:rsidRPr="00181EF3">
              <w:rPr>
                <w:szCs w:val="18"/>
              </w:rPr>
              <w:t>39,069</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7B47F54" w14:textId="77777777" w:rsidR="00F51523" w:rsidRPr="00181EF3" w:rsidRDefault="00F51523" w:rsidP="00F51523">
            <w:pPr>
              <w:pStyle w:val="TableText"/>
              <w:tabs>
                <w:tab w:val="decimal" w:pos="765"/>
              </w:tabs>
              <w:rPr>
                <w:szCs w:val="18"/>
              </w:rPr>
            </w:pPr>
            <w:r w:rsidRPr="00181EF3">
              <w:rPr>
                <w:szCs w:val="18"/>
              </w:rPr>
              <w:t>7,671</w:t>
            </w:r>
          </w:p>
        </w:tc>
        <w:tc>
          <w:tcPr>
            <w:tcW w:w="106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2857EE6" w14:textId="77777777" w:rsidR="00F51523" w:rsidRPr="00181EF3" w:rsidRDefault="00F51523" w:rsidP="00F51523">
            <w:pPr>
              <w:pStyle w:val="TableText"/>
              <w:tabs>
                <w:tab w:val="decimal" w:pos="765"/>
              </w:tabs>
              <w:rPr>
                <w:szCs w:val="18"/>
              </w:rPr>
            </w:pPr>
            <w:r w:rsidRPr="00181EF3">
              <w:rPr>
                <w:szCs w:val="18"/>
              </w:rPr>
              <w:t>74,793</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6621F09" w14:textId="77777777" w:rsidR="00F51523" w:rsidRPr="00181EF3" w:rsidRDefault="00F51523" w:rsidP="00F51523">
            <w:pPr>
              <w:pStyle w:val="TableText"/>
              <w:tabs>
                <w:tab w:val="decimal" w:pos="765"/>
              </w:tabs>
              <w:rPr>
                <w:szCs w:val="18"/>
              </w:rPr>
            </w:pPr>
            <w:r w:rsidRPr="00181EF3">
              <w:rPr>
                <w:szCs w:val="18"/>
              </w:rPr>
              <w:t>5,013</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D4D822C" w14:textId="77777777" w:rsidR="00F51523" w:rsidRPr="00181EF3" w:rsidRDefault="00F51523" w:rsidP="00F51523">
            <w:pPr>
              <w:pStyle w:val="TableText"/>
              <w:tabs>
                <w:tab w:val="decimal" w:pos="765"/>
              </w:tabs>
              <w:rPr>
                <w:szCs w:val="18"/>
              </w:rPr>
            </w:pPr>
            <w:r w:rsidRPr="00181EF3">
              <w:rPr>
                <w:szCs w:val="18"/>
              </w:rPr>
              <w:t>64,062</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187AD05" w14:textId="77777777" w:rsidR="00F51523" w:rsidRPr="00181EF3" w:rsidRDefault="00F51523" w:rsidP="00F51523">
            <w:pPr>
              <w:pStyle w:val="TableText"/>
              <w:tabs>
                <w:tab w:val="decimal" w:pos="765"/>
              </w:tabs>
              <w:rPr>
                <w:szCs w:val="18"/>
              </w:rPr>
            </w:pPr>
            <w:r w:rsidRPr="00181EF3">
              <w:rPr>
                <w:szCs w:val="18"/>
              </w:rPr>
              <w:t>1,215</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D058D42" w14:textId="77777777" w:rsidR="00F51523" w:rsidRPr="00181EF3" w:rsidRDefault="00F51523" w:rsidP="00F51523">
            <w:pPr>
              <w:pStyle w:val="TableText"/>
              <w:tabs>
                <w:tab w:val="decimal" w:pos="765"/>
              </w:tabs>
              <w:rPr>
                <w:szCs w:val="18"/>
              </w:rPr>
            </w:pPr>
            <w:r w:rsidRPr="00181EF3">
              <w:rPr>
                <w:szCs w:val="18"/>
              </w:rPr>
              <w:t>32,838</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908DACB" w14:textId="77777777" w:rsidR="00F51523" w:rsidRPr="00181EF3" w:rsidRDefault="00F51523" w:rsidP="00F51523">
            <w:pPr>
              <w:pStyle w:val="TableText"/>
              <w:tabs>
                <w:tab w:val="decimal" w:pos="765"/>
              </w:tabs>
              <w:rPr>
                <w:szCs w:val="18"/>
              </w:rPr>
            </w:pPr>
            <w:r w:rsidRPr="00181EF3">
              <w:rPr>
                <w:szCs w:val="18"/>
              </w:rPr>
              <w:t>28,749</w:t>
            </w:r>
          </w:p>
        </w:tc>
        <w:tc>
          <w:tcPr>
            <w:tcW w:w="1064" w:type="dxa"/>
            <w:tcBorders>
              <w:top w:val="single" w:sz="4" w:space="0" w:color="A6A6A6" w:themeColor="background1" w:themeShade="A6"/>
              <w:bottom w:val="single" w:sz="4" w:space="0" w:color="A6A6A6" w:themeColor="background1" w:themeShade="A6"/>
            </w:tcBorders>
          </w:tcPr>
          <w:p w14:paraId="73BE71F6" w14:textId="77777777" w:rsidR="00F51523" w:rsidRPr="00181EF3" w:rsidRDefault="00F51523" w:rsidP="00F51523">
            <w:pPr>
              <w:pStyle w:val="TableText"/>
              <w:tabs>
                <w:tab w:val="decimal" w:pos="765"/>
              </w:tabs>
              <w:rPr>
                <w:szCs w:val="18"/>
              </w:rPr>
            </w:pPr>
            <w:r w:rsidRPr="00181EF3">
              <w:rPr>
                <w:szCs w:val="18"/>
              </w:rPr>
              <w:t>254,955</w:t>
            </w:r>
          </w:p>
        </w:tc>
      </w:tr>
      <w:tr w:rsidR="00F51523" w:rsidRPr="00181EF3" w14:paraId="7D42FB92" w14:textId="77777777" w:rsidTr="00F51523">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CF329ED" w14:textId="77777777" w:rsidR="00F51523" w:rsidRPr="00181EF3" w:rsidRDefault="00F51523" w:rsidP="00F51523">
            <w:pPr>
              <w:pStyle w:val="TableText"/>
            </w:pPr>
            <w:r w:rsidRPr="00181EF3">
              <w:t>Wairarapa</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79C2246" w14:textId="77777777" w:rsidR="00F51523" w:rsidRPr="00181EF3" w:rsidRDefault="00F51523" w:rsidP="00F51523">
            <w:pPr>
              <w:pStyle w:val="TableText"/>
              <w:tabs>
                <w:tab w:val="decimal" w:pos="765"/>
              </w:tabs>
              <w:rPr>
                <w:szCs w:val="18"/>
              </w:rPr>
            </w:pPr>
            <w:r w:rsidRPr="00181EF3">
              <w:rPr>
                <w:szCs w:val="18"/>
              </w:rPr>
              <w:t>2,223</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BDB7B40" w14:textId="77777777" w:rsidR="00F51523" w:rsidRPr="00181EF3" w:rsidRDefault="00F51523" w:rsidP="00F51523">
            <w:pPr>
              <w:pStyle w:val="TableText"/>
              <w:tabs>
                <w:tab w:val="decimal" w:pos="765"/>
              </w:tabs>
              <w:rPr>
                <w:szCs w:val="18"/>
              </w:rPr>
            </w:pPr>
            <w:r w:rsidRPr="00181EF3">
              <w:rPr>
                <w:szCs w:val="18"/>
              </w:rPr>
              <w:t>5,928</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E13F2FB" w14:textId="77777777" w:rsidR="00F51523" w:rsidRPr="00181EF3" w:rsidRDefault="00F51523" w:rsidP="00F51523">
            <w:pPr>
              <w:pStyle w:val="TableText"/>
              <w:tabs>
                <w:tab w:val="decimal" w:pos="765"/>
              </w:tabs>
              <w:rPr>
                <w:szCs w:val="18"/>
              </w:rPr>
            </w:pPr>
            <w:r w:rsidRPr="00181EF3">
              <w:rPr>
                <w:szCs w:val="18"/>
              </w:rPr>
              <w:t>1,155</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E5D71E1" w14:textId="77777777" w:rsidR="00F51523" w:rsidRPr="00181EF3" w:rsidRDefault="00F51523" w:rsidP="00F51523">
            <w:pPr>
              <w:pStyle w:val="TableText"/>
              <w:tabs>
                <w:tab w:val="decimal" w:pos="765"/>
              </w:tabs>
              <w:rPr>
                <w:szCs w:val="18"/>
              </w:rPr>
            </w:pPr>
            <w:r w:rsidRPr="00181EF3">
              <w:rPr>
                <w:szCs w:val="18"/>
              </w:rPr>
              <w:t>3,387</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1E6B7C1" w14:textId="77777777" w:rsidR="00F51523" w:rsidRPr="00181EF3" w:rsidRDefault="00F51523" w:rsidP="00F51523">
            <w:pPr>
              <w:pStyle w:val="TableText"/>
              <w:tabs>
                <w:tab w:val="decimal" w:pos="765"/>
              </w:tabs>
              <w:rPr>
                <w:szCs w:val="18"/>
              </w:rPr>
            </w:pPr>
            <w:r w:rsidRPr="00181EF3">
              <w:rPr>
                <w:szCs w:val="18"/>
              </w:rPr>
              <w:t>1,416</w:t>
            </w:r>
          </w:p>
        </w:tc>
        <w:tc>
          <w:tcPr>
            <w:tcW w:w="106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B2439FC" w14:textId="77777777" w:rsidR="00F51523" w:rsidRPr="00181EF3" w:rsidRDefault="00F51523" w:rsidP="00F51523">
            <w:pPr>
              <w:pStyle w:val="TableText"/>
              <w:tabs>
                <w:tab w:val="decimal" w:pos="765"/>
              </w:tabs>
              <w:rPr>
                <w:szCs w:val="18"/>
              </w:rPr>
            </w:pPr>
            <w:r w:rsidRPr="00181EF3">
              <w:rPr>
                <w:szCs w:val="18"/>
              </w:rPr>
              <w:t>7,224</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7D14E57" w14:textId="77777777" w:rsidR="00F51523" w:rsidRPr="00181EF3" w:rsidRDefault="00F51523" w:rsidP="00F51523">
            <w:pPr>
              <w:pStyle w:val="TableText"/>
              <w:tabs>
                <w:tab w:val="decimal" w:pos="765"/>
              </w:tabs>
              <w:rPr>
                <w:szCs w:val="18"/>
              </w:rPr>
            </w:pPr>
            <w:r w:rsidRPr="00181EF3">
              <w:rPr>
                <w:szCs w:val="18"/>
              </w:rPr>
              <w:t>1,197</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3B7389F" w14:textId="77777777" w:rsidR="00F51523" w:rsidRPr="00181EF3" w:rsidRDefault="00F51523" w:rsidP="00F51523">
            <w:pPr>
              <w:pStyle w:val="TableText"/>
              <w:tabs>
                <w:tab w:val="decimal" w:pos="765"/>
              </w:tabs>
              <w:rPr>
                <w:szCs w:val="18"/>
              </w:rPr>
            </w:pPr>
            <w:r w:rsidRPr="00181EF3">
              <w:rPr>
                <w:szCs w:val="18"/>
              </w:rPr>
              <w:t>10,719</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703FD82" w14:textId="77777777" w:rsidR="00F51523" w:rsidRPr="00181EF3" w:rsidRDefault="00F51523" w:rsidP="00F51523">
            <w:pPr>
              <w:pStyle w:val="TableText"/>
              <w:tabs>
                <w:tab w:val="decimal" w:pos="765"/>
              </w:tabs>
              <w:rPr>
                <w:szCs w:val="18"/>
              </w:rPr>
            </w:pPr>
            <w:r w:rsidRPr="00181EF3">
              <w:rPr>
                <w:szCs w:val="18"/>
              </w:rPr>
              <w:t>375</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F214496" w14:textId="77777777" w:rsidR="00F51523" w:rsidRPr="00181EF3" w:rsidRDefault="00F51523" w:rsidP="00F51523">
            <w:pPr>
              <w:pStyle w:val="TableText"/>
              <w:tabs>
                <w:tab w:val="decimal" w:pos="765"/>
              </w:tabs>
              <w:rPr>
                <w:szCs w:val="18"/>
              </w:rPr>
            </w:pPr>
            <w:r w:rsidRPr="00181EF3">
              <w:rPr>
                <w:szCs w:val="18"/>
              </w:rPr>
              <w:t>7,485</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A50F898" w14:textId="77777777" w:rsidR="00F51523" w:rsidRPr="00181EF3" w:rsidRDefault="00F51523" w:rsidP="00F51523">
            <w:pPr>
              <w:pStyle w:val="TableText"/>
              <w:tabs>
                <w:tab w:val="decimal" w:pos="765"/>
              </w:tabs>
              <w:rPr>
                <w:szCs w:val="18"/>
              </w:rPr>
            </w:pPr>
            <w:r w:rsidRPr="00181EF3">
              <w:rPr>
                <w:szCs w:val="18"/>
              </w:rPr>
              <w:t>6,360</w:t>
            </w:r>
          </w:p>
        </w:tc>
        <w:tc>
          <w:tcPr>
            <w:tcW w:w="1064" w:type="dxa"/>
            <w:tcBorders>
              <w:top w:val="single" w:sz="4" w:space="0" w:color="A6A6A6" w:themeColor="background1" w:themeShade="A6"/>
              <w:bottom w:val="single" w:sz="4" w:space="0" w:color="A6A6A6" w:themeColor="background1" w:themeShade="A6"/>
            </w:tcBorders>
          </w:tcPr>
          <w:p w14:paraId="6F5DD1B5" w14:textId="77777777" w:rsidR="00F51523" w:rsidRPr="00181EF3" w:rsidRDefault="00F51523" w:rsidP="00F51523">
            <w:pPr>
              <w:pStyle w:val="TableText"/>
              <w:tabs>
                <w:tab w:val="decimal" w:pos="765"/>
              </w:tabs>
              <w:rPr>
                <w:szCs w:val="18"/>
              </w:rPr>
            </w:pPr>
            <w:r w:rsidRPr="00181EF3">
              <w:rPr>
                <w:szCs w:val="18"/>
              </w:rPr>
              <w:t>34,752</w:t>
            </w:r>
          </w:p>
        </w:tc>
      </w:tr>
      <w:tr w:rsidR="00F51523" w:rsidRPr="00181EF3" w14:paraId="5606F1E3" w14:textId="77777777" w:rsidTr="00F51523">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DBA02C2" w14:textId="77777777" w:rsidR="00F51523" w:rsidRPr="00181EF3" w:rsidRDefault="00F51523" w:rsidP="00F51523">
            <w:pPr>
              <w:pStyle w:val="TableText"/>
            </w:pPr>
            <w:r w:rsidRPr="00181EF3">
              <w:t>Nelson/Marlborough</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408838D" w14:textId="77777777" w:rsidR="00F51523" w:rsidRPr="00181EF3" w:rsidRDefault="00F51523" w:rsidP="00F51523">
            <w:pPr>
              <w:pStyle w:val="TableText"/>
              <w:tabs>
                <w:tab w:val="decimal" w:pos="765"/>
              </w:tabs>
              <w:rPr>
                <w:szCs w:val="18"/>
              </w:rPr>
            </w:pPr>
            <w:r w:rsidRPr="00181EF3">
              <w:rPr>
                <w:szCs w:val="18"/>
              </w:rPr>
              <w:t>4,263</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5AB7F1B" w14:textId="77777777" w:rsidR="00F51523" w:rsidRPr="00181EF3" w:rsidRDefault="00F51523" w:rsidP="00F51523">
            <w:pPr>
              <w:pStyle w:val="TableText"/>
              <w:tabs>
                <w:tab w:val="decimal" w:pos="765"/>
              </w:tabs>
              <w:rPr>
                <w:szCs w:val="18"/>
              </w:rPr>
            </w:pPr>
            <w:r w:rsidRPr="00181EF3">
              <w:rPr>
                <w:szCs w:val="18"/>
              </w:rPr>
              <w:t>21,663</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F380234" w14:textId="77777777" w:rsidR="00F51523" w:rsidRPr="00181EF3" w:rsidRDefault="00F51523" w:rsidP="00F51523">
            <w:pPr>
              <w:pStyle w:val="TableText"/>
              <w:tabs>
                <w:tab w:val="decimal" w:pos="765"/>
              </w:tabs>
              <w:rPr>
                <w:szCs w:val="18"/>
              </w:rPr>
            </w:pPr>
            <w:r w:rsidRPr="00181EF3">
              <w:rPr>
                <w:szCs w:val="18"/>
              </w:rPr>
              <w:t>2,085</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2B9651A" w14:textId="77777777" w:rsidR="00F51523" w:rsidRPr="00181EF3" w:rsidRDefault="00F51523" w:rsidP="00F51523">
            <w:pPr>
              <w:pStyle w:val="TableText"/>
              <w:tabs>
                <w:tab w:val="decimal" w:pos="765"/>
              </w:tabs>
              <w:rPr>
                <w:szCs w:val="18"/>
              </w:rPr>
            </w:pPr>
            <w:r w:rsidRPr="00181EF3">
              <w:rPr>
                <w:szCs w:val="18"/>
              </w:rPr>
              <w:t>11,943</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D68529D" w14:textId="77777777" w:rsidR="00F51523" w:rsidRPr="00181EF3" w:rsidRDefault="00F51523" w:rsidP="00F51523">
            <w:pPr>
              <w:pStyle w:val="TableText"/>
              <w:tabs>
                <w:tab w:val="decimal" w:pos="765"/>
              </w:tabs>
              <w:rPr>
                <w:szCs w:val="18"/>
              </w:rPr>
            </w:pPr>
            <w:r w:rsidRPr="00181EF3">
              <w:rPr>
                <w:szCs w:val="18"/>
              </w:rPr>
              <w:t>2,919</w:t>
            </w:r>
          </w:p>
        </w:tc>
        <w:tc>
          <w:tcPr>
            <w:tcW w:w="106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6362568" w14:textId="77777777" w:rsidR="00F51523" w:rsidRPr="00181EF3" w:rsidRDefault="00F51523" w:rsidP="00F51523">
            <w:pPr>
              <w:pStyle w:val="TableText"/>
              <w:tabs>
                <w:tab w:val="decimal" w:pos="765"/>
              </w:tabs>
              <w:rPr>
                <w:szCs w:val="18"/>
              </w:rPr>
            </w:pPr>
            <w:r w:rsidRPr="00181EF3">
              <w:rPr>
                <w:szCs w:val="18"/>
              </w:rPr>
              <w:t>27,993</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645E57E" w14:textId="77777777" w:rsidR="00F51523" w:rsidRPr="00181EF3" w:rsidRDefault="00F51523" w:rsidP="00F51523">
            <w:pPr>
              <w:pStyle w:val="TableText"/>
              <w:tabs>
                <w:tab w:val="decimal" w:pos="765"/>
              </w:tabs>
              <w:rPr>
                <w:szCs w:val="18"/>
              </w:rPr>
            </w:pPr>
            <w:r w:rsidRPr="00181EF3">
              <w:rPr>
                <w:szCs w:val="18"/>
              </w:rPr>
              <w:t>2,430</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281DD07" w14:textId="77777777" w:rsidR="00F51523" w:rsidRPr="00181EF3" w:rsidRDefault="00F51523" w:rsidP="00F51523">
            <w:pPr>
              <w:pStyle w:val="TableText"/>
              <w:tabs>
                <w:tab w:val="decimal" w:pos="765"/>
              </w:tabs>
              <w:rPr>
                <w:szCs w:val="18"/>
              </w:rPr>
            </w:pPr>
            <w:r w:rsidRPr="00181EF3">
              <w:rPr>
                <w:szCs w:val="18"/>
              </w:rPr>
              <w:t>38,226</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B092F9C" w14:textId="77777777" w:rsidR="00F51523" w:rsidRPr="00181EF3" w:rsidRDefault="00F51523" w:rsidP="00F51523">
            <w:pPr>
              <w:pStyle w:val="TableText"/>
              <w:tabs>
                <w:tab w:val="decimal" w:pos="765"/>
              </w:tabs>
              <w:rPr>
                <w:szCs w:val="18"/>
              </w:rPr>
            </w:pPr>
            <w:r w:rsidRPr="00181EF3">
              <w:rPr>
                <w:szCs w:val="18"/>
              </w:rPr>
              <w:t>687</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A7433E3" w14:textId="77777777" w:rsidR="00F51523" w:rsidRPr="00181EF3" w:rsidRDefault="00F51523" w:rsidP="00F51523">
            <w:pPr>
              <w:pStyle w:val="TableText"/>
              <w:tabs>
                <w:tab w:val="decimal" w:pos="765"/>
              </w:tabs>
              <w:rPr>
                <w:szCs w:val="18"/>
              </w:rPr>
            </w:pPr>
            <w:r w:rsidRPr="00181EF3">
              <w:rPr>
                <w:szCs w:val="18"/>
              </w:rPr>
              <w:t>24,789</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6F7587D" w14:textId="77777777" w:rsidR="00F51523" w:rsidRPr="00181EF3" w:rsidRDefault="00F51523" w:rsidP="00F51523">
            <w:pPr>
              <w:pStyle w:val="TableText"/>
              <w:tabs>
                <w:tab w:val="decimal" w:pos="765"/>
              </w:tabs>
              <w:rPr>
                <w:szCs w:val="18"/>
              </w:rPr>
            </w:pPr>
            <w:r w:rsidRPr="00181EF3">
              <w:rPr>
                <w:szCs w:val="18"/>
              </w:rPr>
              <w:t>12,384</w:t>
            </w:r>
          </w:p>
        </w:tc>
        <w:tc>
          <w:tcPr>
            <w:tcW w:w="1064" w:type="dxa"/>
            <w:tcBorders>
              <w:top w:val="single" w:sz="4" w:space="0" w:color="A6A6A6" w:themeColor="background1" w:themeShade="A6"/>
              <w:bottom w:val="single" w:sz="4" w:space="0" w:color="A6A6A6" w:themeColor="background1" w:themeShade="A6"/>
            </w:tcBorders>
          </w:tcPr>
          <w:p w14:paraId="0A0AA920" w14:textId="77777777" w:rsidR="00F51523" w:rsidRPr="00181EF3" w:rsidRDefault="00F51523" w:rsidP="00F51523">
            <w:pPr>
              <w:pStyle w:val="TableText"/>
              <w:tabs>
                <w:tab w:val="decimal" w:pos="765"/>
              </w:tabs>
              <w:rPr>
                <w:szCs w:val="18"/>
              </w:rPr>
            </w:pPr>
            <w:r w:rsidRPr="00181EF3">
              <w:rPr>
                <w:szCs w:val="18"/>
              </w:rPr>
              <w:t>124,611</w:t>
            </w:r>
          </w:p>
        </w:tc>
      </w:tr>
      <w:tr w:rsidR="00F51523" w:rsidRPr="00181EF3" w14:paraId="7A7ECA25" w14:textId="77777777" w:rsidTr="00F51523">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37A7352" w14:textId="77777777" w:rsidR="00F51523" w:rsidRPr="00181EF3" w:rsidRDefault="00F51523" w:rsidP="00F51523">
            <w:pPr>
              <w:pStyle w:val="TableText"/>
            </w:pPr>
            <w:r w:rsidRPr="00181EF3">
              <w:t>West Coast</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BA6F32B" w14:textId="77777777" w:rsidR="00F51523" w:rsidRPr="00181EF3" w:rsidRDefault="00F51523" w:rsidP="00F51523">
            <w:pPr>
              <w:pStyle w:val="TableText"/>
              <w:tabs>
                <w:tab w:val="decimal" w:pos="765"/>
              </w:tabs>
              <w:rPr>
                <w:szCs w:val="18"/>
              </w:rPr>
            </w:pPr>
            <w:r w:rsidRPr="00181EF3">
              <w:rPr>
                <w:szCs w:val="18"/>
              </w:rPr>
              <w:t>1,053</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ECBA56A" w14:textId="77777777" w:rsidR="00F51523" w:rsidRPr="00181EF3" w:rsidRDefault="00F51523" w:rsidP="00F51523">
            <w:pPr>
              <w:pStyle w:val="TableText"/>
              <w:tabs>
                <w:tab w:val="decimal" w:pos="765"/>
              </w:tabs>
              <w:rPr>
                <w:szCs w:val="18"/>
              </w:rPr>
            </w:pPr>
            <w:r w:rsidRPr="00181EF3">
              <w:rPr>
                <w:szCs w:val="18"/>
              </w:rPr>
              <w:t>5,097</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595C9D1" w14:textId="77777777" w:rsidR="00F51523" w:rsidRPr="00181EF3" w:rsidRDefault="00F51523" w:rsidP="00F51523">
            <w:pPr>
              <w:pStyle w:val="TableText"/>
              <w:tabs>
                <w:tab w:val="decimal" w:pos="765"/>
              </w:tabs>
              <w:rPr>
                <w:szCs w:val="18"/>
              </w:rPr>
            </w:pPr>
            <w:r w:rsidRPr="00181EF3">
              <w:rPr>
                <w:szCs w:val="18"/>
              </w:rPr>
              <w:t>531</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E6C4FEF" w14:textId="77777777" w:rsidR="00F51523" w:rsidRPr="00181EF3" w:rsidRDefault="00F51523" w:rsidP="00F51523">
            <w:pPr>
              <w:pStyle w:val="TableText"/>
              <w:tabs>
                <w:tab w:val="decimal" w:pos="765"/>
              </w:tabs>
              <w:rPr>
                <w:szCs w:val="18"/>
              </w:rPr>
            </w:pPr>
            <w:r w:rsidRPr="00181EF3">
              <w:rPr>
                <w:szCs w:val="18"/>
              </w:rPr>
              <w:t>2,976</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C436B13" w14:textId="77777777" w:rsidR="00F51523" w:rsidRPr="00181EF3" w:rsidRDefault="00F51523" w:rsidP="00F51523">
            <w:pPr>
              <w:pStyle w:val="TableText"/>
              <w:tabs>
                <w:tab w:val="decimal" w:pos="765"/>
              </w:tabs>
              <w:rPr>
                <w:szCs w:val="18"/>
              </w:rPr>
            </w:pPr>
            <w:r w:rsidRPr="00181EF3">
              <w:rPr>
                <w:szCs w:val="18"/>
              </w:rPr>
              <w:t>729</w:t>
            </w:r>
          </w:p>
        </w:tc>
        <w:tc>
          <w:tcPr>
            <w:tcW w:w="106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16F9D48" w14:textId="77777777" w:rsidR="00F51523" w:rsidRPr="00181EF3" w:rsidRDefault="00F51523" w:rsidP="00F51523">
            <w:pPr>
              <w:pStyle w:val="TableText"/>
              <w:tabs>
                <w:tab w:val="decimal" w:pos="765"/>
              </w:tabs>
              <w:rPr>
                <w:szCs w:val="18"/>
              </w:rPr>
            </w:pPr>
            <w:r w:rsidRPr="00181EF3">
              <w:rPr>
                <w:szCs w:val="18"/>
              </w:rPr>
              <w:t>6,714</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1F1A3C7" w14:textId="77777777" w:rsidR="00F51523" w:rsidRPr="00181EF3" w:rsidRDefault="00F51523" w:rsidP="00F51523">
            <w:pPr>
              <w:pStyle w:val="TableText"/>
              <w:tabs>
                <w:tab w:val="decimal" w:pos="765"/>
              </w:tabs>
              <w:rPr>
                <w:szCs w:val="18"/>
              </w:rPr>
            </w:pPr>
            <w:r w:rsidRPr="00181EF3">
              <w:rPr>
                <w:szCs w:val="18"/>
              </w:rPr>
              <w:t>672</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E24F437" w14:textId="77777777" w:rsidR="00F51523" w:rsidRPr="00181EF3" w:rsidRDefault="00F51523" w:rsidP="00F51523">
            <w:pPr>
              <w:pStyle w:val="TableText"/>
              <w:tabs>
                <w:tab w:val="decimal" w:pos="765"/>
              </w:tabs>
              <w:rPr>
                <w:szCs w:val="18"/>
              </w:rPr>
            </w:pPr>
            <w:r w:rsidRPr="00181EF3">
              <w:rPr>
                <w:szCs w:val="18"/>
              </w:rPr>
              <w:t>9,195</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AB9C38A" w14:textId="77777777" w:rsidR="00F51523" w:rsidRPr="00181EF3" w:rsidRDefault="00F51523" w:rsidP="00F51523">
            <w:pPr>
              <w:pStyle w:val="TableText"/>
              <w:tabs>
                <w:tab w:val="decimal" w:pos="765"/>
              </w:tabs>
              <w:rPr>
                <w:szCs w:val="18"/>
              </w:rPr>
            </w:pPr>
            <w:r w:rsidRPr="00181EF3">
              <w:rPr>
                <w:szCs w:val="18"/>
              </w:rPr>
              <w:t>189</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38F4BA4" w14:textId="77777777" w:rsidR="00F51523" w:rsidRPr="00181EF3" w:rsidRDefault="00F51523" w:rsidP="00F51523">
            <w:pPr>
              <w:pStyle w:val="TableText"/>
              <w:tabs>
                <w:tab w:val="decimal" w:pos="765"/>
              </w:tabs>
              <w:rPr>
                <w:szCs w:val="18"/>
              </w:rPr>
            </w:pPr>
            <w:r w:rsidRPr="00181EF3">
              <w:rPr>
                <w:szCs w:val="18"/>
              </w:rPr>
              <w:t>4,992</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B55A97F" w14:textId="77777777" w:rsidR="00F51523" w:rsidRPr="00181EF3" w:rsidRDefault="00F51523" w:rsidP="00F51523">
            <w:pPr>
              <w:pStyle w:val="TableText"/>
              <w:tabs>
                <w:tab w:val="decimal" w:pos="765"/>
              </w:tabs>
              <w:rPr>
                <w:szCs w:val="18"/>
              </w:rPr>
            </w:pPr>
            <w:r w:rsidRPr="00181EF3">
              <w:rPr>
                <w:szCs w:val="18"/>
              </w:rPr>
              <w:t>3,171</w:t>
            </w:r>
          </w:p>
        </w:tc>
        <w:tc>
          <w:tcPr>
            <w:tcW w:w="1064" w:type="dxa"/>
            <w:tcBorders>
              <w:top w:val="single" w:sz="4" w:space="0" w:color="A6A6A6" w:themeColor="background1" w:themeShade="A6"/>
              <w:bottom w:val="single" w:sz="4" w:space="0" w:color="A6A6A6" w:themeColor="background1" w:themeShade="A6"/>
            </w:tcBorders>
          </w:tcPr>
          <w:p w14:paraId="40543B96" w14:textId="77777777" w:rsidR="00F51523" w:rsidRPr="00181EF3" w:rsidRDefault="00F51523" w:rsidP="00F51523">
            <w:pPr>
              <w:pStyle w:val="TableText"/>
              <w:tabs>
                <w:tab w:val="decimal" w:pos="765"/>
              </w:tabs>
              <w:rPr>
                <w:szCs w:val="18"/>
              </w:rPr>
            </w:pPr>
            <w:r w:rsidRPr="00181EF3">
              <w:rPr>
                <w:szCs w:val="18"/>
              </w:rPr>
              <w:t>28,977</w:t>
            </w:r>
          </w:p>
        </w:tc>
      </w:tr>
      <w:tr w:rsidR="00F51523" w:rsidRPr="00181EF3" w14:paraId="6F148B35" w14:textId="77777777" w:rsidTr="00F51523">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D1DF9C8" w14:textId="77777777" w:rsidR="00F51523" w:rsidRPr="00181EF3" w:rsidRDefault="00F51523" w:rsidP="00F51523">
            <w:pPr>
              <w:pStyle w:val="TableText"/>
            </w:pPr>
            <w:r w:rsidRPr="00181EF3">
              <w:t>Canterbury</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2044FBD" w14:textId="77777777" w:rsidR="00F51523" w:rsidRPr="00181EF3" w:rsidRDefault="00F51523" w:rsidP="00F51523">
            <w:pPr>
              <w:pStyle w:val="TableText"/>
              <w:tabs>
                <w:tab w:val="decimal" w:pos="765"/>
              </w:tabs>
              <w:rPr>
                <w:szCs w:val="18"/>
              </w:rPr>
            </w:pPr>
            <w:r w:rsidRPr="00181EF3">
              <w:rPr>
                <w:szCs w:val="18"/>
              </w:rPr>
              <w:t>12,705</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A73D6A8" w14:textId="77777777" w:rsidR="00F51523" w:rsidRPr="00181EF3" w:rsidRDefault="00F51523" w:rsidP="00F51523">
            <w:pPr>
              <w:pStyle w:val="TableText"/>
              <w:tabs>
                <w:tab w:val="decimal" w:pos="765"/>
              </w:tabs>
              <w:rPr>
                <w:szCs w:val="18"/>
              </w:rPr>
            </w:pPr>
            <w:r w:rsidRPr="00181EF3">
              <w:rPr>
                <w:szCs w:val="18"/>
              </w:rPr>
              <w:t>77,562</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8FED26E" w14:textId="77777777" w:rsidR="00F51523" w:rsidRPr="00181EF3" w:rsidRDefault="00F51523" w:rsidP="00F51523">
            <w:pPr>
              <w:pStyle w:val="TableText"/>
              <w:tabs>
                <w:tab w:val="decimal" w:pos="765"/>
              </w:tabs>
              <w:rPr>
                <w:szCs w:val="18"/>
              </w:rPr>
            </w:pPr>
            <w:r w:rsidRPr="00181EF3">
              <w:rPr>
                <w:szCs w:val="18"/>
              </w:rPr>
              <w:t>7,377</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2DBB946" w14:textId="77777777" w:rsidR="00F51523" w:rsidRPr="00181EF3" w:rsidRDefault="00F51523" w:rsidP="00F51523">
            <w:pPr>
              <w:pStyle w:val="TableText"/>
              <w:tabs>
                <w:tab w:val="decimal" w:pos="765"/>
              </w:tabs>
              <w:rPr>
                <w:szCs w:val="18"/>
              </w:rPr>
            </w:pPr>
            <w:r w:rsidRPr="00181EF3">
              <w:rPr>
                <w:szCs w:val="18"/>
              </w:rPr>
              <w:t>59,268</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25FA140" w14:textId="77777777" w:rsidR="00F51523" w:rsidRPr="00181EF3" w:rsidRDefault="00F51523" w:rsidP="00F51523">
            <w:pPr>
              <w:pStyle w:val="TableText"/>
              <w:tabs>
                <w:tab w:val="decimal" w:pos="765"/>
              </w:tabs>
              <w:rPr>
                <w:szCs w:val="18"/>
              </w:rPr>
            </w:pPr>
            <w:r w:rsidRPr="00181EF3">
              <w:rPr>
                <w:szCs w:val="18"/>
              </w:rPr>
              <w:t>9,660</w:t>
            </w:r>
          </w:p>
        </w:tc>
        <w:tc>
          <w:tcPr>
            <w:tcW w:w="106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9B9E087" w14:textId="77777777" w:rsidR="00F51523" w:rsidRPr="00181EF3" w:rsidRDefault="00F51523" w:rsidP="00F51523">
            <w:pPr>
              <w:pStyle w:val="TableText"/>
              <w:tabs>
                <w:tab w:val="decimal" w:pos="765"/>
              </w:tabs>
              <w:rPr>
                <w:szCs w:val="18"/>
              </w:rPr>
            </w:pPr>
            <w:r w:rsidRPr="00181EF3">
              <w:rPr>
                <w:szCs w:val="18"/>
              </w:rPr>
              <w:t>114,753</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AE7716F" w14:textId="77777777" w:rsidR="00F51523" w:rsidRPr="00181EF3" w:rsidRDefault="00F51523" w:rsidP="00F51523">
            <w:pPr>
              <w:pStyle w:val="TableText"/>
              <w:tabs>
                <w:tab w:val="decimal" w:pos="765"/>
              </w:tabs>
              <w:rPr>
                <w:szCs w:val="18"/>
              </w:rPr>
            </w:pPr>
            <w:r w:rsidRPr="00181EF3">
              <w:rPr>
                <w:szCs w:val="18"/>
              </w:rPr>
              <w:t>6,597</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BF799BA" w14:textId="77777777" w:rsidR="00F51523" w:rsidRPr="00181EF3" w:rsidRDefault="00F51523" w:rsidP="00F51523">
            <w:pPr>
              <w:pStyle w:val="TableText"/>
              <w:tabs>
                <w:tab w:val="decimal" w:pos="765"/>
              </w:tabs>
              <w:rPr>
                <w:szCs w:val="18"/>
              </w:rPr>
            </w:pPr>
            <w:r w:rsidRPr="00181EF3">
              <w:rPr>
                <w:szCs w:val="18"/>
              </w:rPr>
              <w:t>122,061</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4D1255A" w14:textId="77777777" w:rsidR="00F51523" w:rsidRPr="00181EF3" w:rsidRDefault="00F51523" w:rsidP="00F51523">
            <w:pPr>
              <w:pStyle w:val="TableText"/>
              <w:tabs>
                <w:tab w:val="decimal" w:pos="765"/>
              </w:tabs>
              <w:rPr>
                <w:szCs w:val="18"/>
              </w:rPr>
            </w:pPr>
            <w:r w:rsidRPr="00181EF3">
              <w:rPr>
                <w:szCs w:val="18"/>
              </w:rPr>
              <w:t>1,635</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692AAAF" w14:textId="77777777" w:rsidR="00F51523" w:rsidRPr="00181EF3" w:rsidRDefault="00F51523" w:rsidP="00F51523">
            <w:pPr>
              <w:pStyle w:val="TableText"/>
              <w:tabs>
                <w:tab w:val="decimal" w:pos="765"/>
              </w:tabs>
              <w:rPr>
                <w:szCs w:val="18"/>
              </w:rPr>
            </w:pPr>
            <w:r w:rsidRPr="00181EF3">
              <w:rPr>
                <w:szCs w:val="18"/>
              </w:rPr>
              <w:t>70,557</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3AAF63C" w14:textId="77777777" w:rsidR="00F51523" w:rsidRPr="00181EF3" w:rsidRDefault="00F51523" w:rsidP="00F51523">
            <w:pPr>
              <w:pStyle w:val="TableText"/>
              <w:tabs>
                <w:tab w:val="decimal" w:pos="765"/>
              </w:tabs>
              <w:rPr>
                <w:szCs w:val="18"/>
              </w:rPr>
            </w:pPr>
            <w:r w:rsidRPr="00181EF3">
              <w:rPr>
                <w:szCs w:val="18"/>
              </w:rPr>
              <w:t>37,971</w:t>
            </w:r>
          </w:p>
        </w:tc>
        <w:tc>
          <w:tcPr>
            <w:tcW w:w="1064" w:type="dxa"/>
            <w:tcBorders>
              <w:top w:val="single" w:sz="4" w:space="0" w:color="A6A6A6" w:themeColor="background1" w:themeShade="A6"/>
              <w:bottom w:val="single" w:sz="4" w:space="0" w:color="A6A6A6" w:themeColor="background1" w:themeShade="A6"/>
            </w:tcBorders>
          </w:tcPr>
          <w:p w14:paraId="70B51C88" w14:textId="77777777" w:rsidR="00F51523" w:rsidRPr="00181EF3" w:rsidRDefault="00F51523" w:rsidP="00F51523">
            <w:pPr>
              <w:pStyle w:val="TableText"/>
              <w:tabs>
                <w:tab w:val="decimal" w:pos="765"/>
              </w:tabs>
              <w:rPr>
                <w:szCs w:val="18"/>
              </w:rPr>
            </w:pPr>
            <w:r w:rsidRPr="00181EF3">
              <w:rPr>
                <w:szCs w:val="18"/>
              </w:rPr>
              <w:t>444,207</w:t>
            </w:r>
          </w:p>
        </w:tc>
      </w:tr>
      <w:tr w:rsidR="00F51523" w:rsidRPr="00181EF3" w14:paraId="49441182" w14:textId="77777777" w:rsidTr="00F51523">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22D6F90" w14:textId="77777777" w:rsidR="00F51523" w:rsidRPr="00181EF3" w:rsidRDefault="00F51523" w:rsidP="00F51523">
            <w:pPr>
              <w:pStyle w:val="TableText"/>
            </w:pPr>
            <w:r w:rsidRPr="00181EF3">
              <w:t>South Canterbury</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41D8BCE" w14:textId="77777777" w:rsidR="00F51523" w:rsidRPr="00181EF3" w:rsidRDefault="00F51523" w:rsidP="00F51523">
            <w:pPr>
              <w:pStyle w:val="TableText"/>
              <w:tabs>
                <w:tab w:val="decimal" w:pos="765"/>
              </w:tabs>
              <w:rPr>
                <w:szCs w:val="18"/>
              </w:rPr>
            </w:pPr>
            <w:r w:rsidRPr="00181EF3">
              <w:rPr>
                <w:szCs w:val="18"/>
              </w:rPr>
              <w:t>1,416</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C8922ED" w14:textId="77777777" w:rsidR="00F51523" w:rsidRPr="00181EF3" w:rsidRDefault="00F51523" w:rsidP="00F51523">
            <w:pPr>
              <w:pStyle w:val="TableText"/>
              <w:tabs>
                <w:tab w:val="decimal" w:pos="765"/>
              </w:tabs>
              <w:rPr>
                <w:szCs w:val="18"/>
              </w:rPr>
            </w:pPr>
            <w:r w:rsidRPr="00181EF3">
              <w:rPr>
                <w:szCs w:val="18"/>
              </w:rPr>
              <w:t>8,718</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40D9458" w14:textId="77777777" w:rsidR="00F51523" w:rsidRPr="00181EF3" w:rsidRDefault="00F51523" w:rsidP="00F51523">
            <w:pPr>
              <w:pStyle w:val="TableText"/>
              <w:tabs>
                <w:tab w:val="decimal" w:pos="765"/>
              </w:tabs>
              <w:rPr>
                <w:szCs w:val="18"/>
              </w:rPr>
            </w:pPr>
            <w:r w:rsidRPr="00181EF3">
              <w:rPr>
                <w:szCs w:val="18"/>
              </w:rPr>
              <w:t>648</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800E14A" w14:textId="77777777" w:rsidR="00F51523" w:rsidRPr="00181EF3" w:rsidRDefault="00F51523" w:rsidP="00F51523">
            <w:pPr>
              <w:pStyle w:val="TableText"/>
              <w:tabs>
                <w:tab w:val="decimal" w:pos="765"/>
              </w:tabs>
              <w:rPr>
                <w:szCs w:val="18"/>
              </w:rPr>
            </w:pPr>
            <w:r w:rsidRPr="00181EF3">
              <w:rPr>
                <w:szCs w:val="18"/>
              </w:rPr>
              <w:t>5,415</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4CFAE3F" w14:textId="77777777" w:rsidR="00F51523" w:rsidRPr="00181EF3" w:rsidRDefault="00F51523" w:rsidP="00F51523">
            <w:pPr>
              <w:pStyle w:val="TableText"/>
              <w:tabs>
                <w:tab w:val="decimal" w:pos="765"/>
              </w:tabs>
              <w:rPr>
                <w:szCs w:val="18"/>
              </w:rPr>
            </w:pPr>
            <w:r w:rsidRPr="00181EF3">
              <w:rPr>
                <w:szCs w:val="18"/>
              </w:rPr>
              <w:t>894</w:t>
            </w:r>
          </w:p>
        </w:tc>
        <w:tc>
          <w:tcPr>
            <w:tcW w:w="106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E5C82F9" w14:textId="77777777" w:rsidR="00F51523" w:rsidRPr="00181EF3" w:rsidRDefault="00F51523" w:rsidP="00F51523">
            <w:pPr>
              <w:pStyle w:val="TableText"/>
              <w:tabs>
                <w:tab w:val="decimal" w:pos="765"/>
              </w:tabs>
              <w:rPr>
                <w:szCs w:val="18"/>
              </w:rPr>
            </w:pPr>
            <w:r w:rsidRPr="00181EF3">
              <w:rPr>
                <w:szCs w:val="18"/>
              </w:rPr>
              <w:t>10,977</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E196D5C" w14:textId="77777777" w:rsidR="00F51523" w:rsidRPr="00181EF3" w:rsidRDefault="00F51523" w:rsidP="00F51523">
            <w:pPr>
              <w:pStyle w:val="TableText"/>
              <w:tabs>
                <w:tab w:val="decimal" w:pos="765"/>
              </w:tabs>
              <w:rPr>
                <w:szCs w:val="18"/>
              </w:rPr>
            </w:pPr>
            <w:r w:rsidRPr="00181EF3">
              <w:rPr>
                <w:szCs w:val="18"/>
              </w:rPr>
              <w:t>672</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08559A2" w14:textId="77777777" w:rsidR="00F51523" w:rsidRPr="00181EF3" w:rsidRDefault="00F51523" w:rsidP="00F51523">
            <w:pPr>
              <w:pStyle w:val="TableText"/>
              <w:tabs>
                <w:tab w:val="decimal" w:pos="765"/>
              </w:tabs>
              <w:rPr>
                <w:szCs w:val="18"/>
              </w:rPr>
            </w:pPr>
            <w:r w:rsidRPr="00181EF3">
              <w:rPr>
                <w:szCs w:val="18"/>
              </w:rPr>
              <w:t>15,531</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6CC7563" w14:textId="77777777" w:rsidR="00F51523" w:rsidRPr="00181EF3" w:rsidRDefault="00F51523" w:rsidP="00F51523">
            <w:pPr>
              <w:pStyle w:val="TableText"/>
              <w:tabs>
                <w:tab w:val="decimal" w:pos="765"/>
              </w:tabs>
              <w:rPr>
                <w:szCs w:val="18"/>
              </w:rPr>
            </w:pPr>
            <w:r w:rsidRPr="00181EF3">
              <w:rPr>
                <w:szCs w:val="18"/>
              </w:rPr>
              <w:t>213</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CC0597E" w14:textId="77777777" w:rsidR="00F51523" w:rsidRPr="00181EF3" w:rsidRDefault="00F51523" w:rsidP="00F51523">
            <w:pPr>
              <w:pStyle w:val="TableText"/>
              <w:tabs>
                <w:tab w:val="decimal" w:pos="765"/>
              </w:tabs>
              <w:rPr>
                <w:szCs w:val="18"/>
              </w:rPr>
            </w:pPr>
            <w:r w:rsidRPr="00181EF3">
              <w:rPr>
                <w:szCs w:val="18"/>
              </w:rPr>
              <w:t>11,130</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A35FA70" w14:textId="77777777" w:rsidR="00F51523" w:rsidRPr="00181EF3" w:rsidRDefault="00F51523" w:rsidP="00F51523">
            <w:pPr>
              <w:pStyle w:val="TableText"/>
              <w:tabs>
                <w:tab w:val="decimal" w:pos="765"/>
              </w:tabs>
              <w:rPr>
                <w:szCs w:val="18"/>
              </w:rPr>
            </w:pPr>
            <w:r w:rsidRPr="00181EF3">
              <w:rPr>
                <w:szCs w:val="18"/>
              </w:rPr>
              <w:t>3,843</w:t>
            </w:r>
          </w:p>
        </w:tc>
        <w:tc>
          <w:tcPr>
            <w:tcW w:w="1064" w:type="dxa"/>
            <w:tcBorders>
              <w:top w:val="single" w:sz="4" w:space="0" w:color="A6A6A6" w:themeColor="background1" w:themeShade="A6"/>
              <w:bottom w:val="single" w:sz="4" w:space="0" w:color="A6A6A6" w:themeColor="background1" w:themeShade="A6"/>
            </w:tcBorders>
          </w:tcPr>
          <w:p w14:paraId="23D54EFD" w14:textId="77777777" w:rsidR="00F51523" w:rsidRPr="00181EF3" w:rsidRDefault="00F51523" w:rsidP="00F51523">
            <w:pPr>
              <w:pStyle w:val="TableText"/>
              <w:tabs>
                <w:tab w:val="decimal" w:pos="765"/>
              </w:tabs>
              <w:rPr>
                <w:szCs w:val="18"/>
              </w:rPr>
            </w:pPr>
            <w:r w:rsidRPr="00181EF3">
              <w:rPr>
                <w:szCs w:val="18"/>
              </w:rPr>
              <w:t>51,783</w:t>
            </w:r>
          </w:p>
        </w:tc>
      </w:tr>
      <w:tr w:rsidR="00F51523" w:rsidRPr="00181EF3" w14:paraId="10E701E9" w14:textId="77777777" w:rsidTr="00F51523">
        <w:trPr>
          <w:cantSplit/>
        </w:trPr>
        <w:tc>
          <w:tcPr>
            <w:tcW w:w="184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3607AA6" w14:textId="77777777" w:rsidR="00F51523" w:rsidRPr="00181EF3" w:rsidRDefault="00F51523" w:rsidP="00F51523">
            <w:pPr>
              <w:pStyle w:val="TableText"/>
            </w:pPr>
            <w:r w:rsidRPr="00181EF3">
              <w:t>Southern</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74E04A7" w14:textId="77777777" w:rsidR="00F51523" w:rsidRPr="00181EF3" w:rsidRDefault="00F51523" w:rsidP="00F51523">
            <w:pPr>
              <w:pStyle w:val="TableText"/>
              <w:tabs>
                <w:tab w:val="decimal" w:pos="765"/>
              </w:tabs>
              <w:rPr>
                <w:szCs w:val="18"/>
              </w:rPr>
            </w:pPr>
            <w:r w:rsidRPr="00181EF3">
              <w:rPr>
                <w:szCs w:val="18"/>
              </w:rPr>
              <w:t>8,889</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715460C" w14:textId="77777777" w:rsidR="00F51523" w:rsidRPr="00181EF3" w:rsidRDefault="00F51523" w:rsidP="00F51523">
            <w:pPr>
              <w:pStyle w:val="TableText"/>
              <w:tabs>
                <w:tab w:val="decimal" w:pos="765"/>
              </w:tabs>
              <w:rPr>
                <w:szCs w:val="18"/>
              </w:rPr>
            </w:pPr>
            <w:r w:rsidRPr="00181EF3">
              <w:rPr>
                <w:szCs w:val="18"/>
              </w:rPr>
              <w:t>45,510</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62D09DC" w14:textId="77777777" w:rsidR="00F51523" w:rsidRPr="00181EF3" w:rsidRDefault="00F51523" w:rsidP="00F51523">
            <w:pPr>
              <w:pStyle w:val="TableText"/>
              <w:tabs>
                <w:tab w:val="decimal" w:pos="765"/>
              </w:tabs>
              <w:rPr>
                <w:szCs w:val="18"/>
              </w:rPr>
            </w:pPr>
            <w:r w:rsidRPr="00181EF3">
              <w:rPr>
                <w:szCs w:val="18"/>
              </w:rPr>
              <w:t>5,244</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8E00C0C" w14:textId="77777777" w:rsidR="00F51523" w:rsidRPr="00181EF3" w:rsidRDefault="00F51523" w:rsidP="00F51523">
            <w:pPr>
              <w:pStyle w:val="TableText"/>
              <w:tabs>
                <w:tab w:val="decimal" w:pos="765"/>
              </w:tabs>
              <w:rPr>
                <w:szCs w:val="18"/>
              </w:rPr>
            </w:pPr>
            <w:r w:rsidRPr="00181EF3">
              <w:rPr>
                <w:szCs w:val="18"/>
              </w:rPr>
              <w:t>40,113</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63AFB02" w14:textId="77777777" w:rsidR="00F51523" w:rsidRPr="00181EF3" w:rsidRDefault="00F51523" w:rsidP="00F51523">
            <w:pPr>
              <w:pStyle w:val="TableText"/>
              <w:tabs>
                <w:tab w:val="decimal" w:pos="765"/>
              </w:tabs>
              <w:rPr>
                <w:szCs w:val="18"/>
              </w:rPr>
            </w:pPr>
            <w:r w:rsidRPr="00181EF3">
              <w:rPr>
                <w:szCs w:val="18"/>
              </w:rPr>
              <w:t>6,192</w:t>
            </w:r>
          </w:p>
        </w:tc>
        <w:tc>
          <w:tcPr>
            <w:tcW w:w="106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FBC3C9D" w14:textId="77777777" w:rsidR="00F51523" w:rsidRPr="00181EF3" w:rsidRDefault="00F51523" w:rsidP="00F51523">
            <w:pPr>
              <w:pStyle w:val="TableText"/>
              <w:tabs>
                <w:tab w:val="decimal" w:pos="765"/>
              </w:tabs>
              <w:rPr>
                <w:szCs w:val="18"/>
              </w:rPr>
            </w:pPr>
            <w:r w:rsidRPr="00181EF3">
              <w:rPr>
                <w:szCs w:val="18"/>
              </w:rPr>
              <w:t>66,177</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36E386A" w14:textId="77777777" w:rsidR="00F51523" w:rsidRPr="00181EF3" w:rsidRDefault="00F51523" w:rsidP="00F51523">
            <w:pPr>
              <w:pStyle w:val="TableText"/>
              <w:tabs>
                <w:tab w:val="decimal" w:pos="765"/>
              </w:tabs>
              <w:rPr>
                <w:szCs w:val="18"/>
              </w:rPr>
            </w:pPr>
            <w:r w:rsidRPr="00181EF3">
              <w:rPr>
                <w:szCs w:val="18"/>
              </w:rPr>
              <w:t>4,440</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6770B22" w14:textId="77777777" w:rsidR="00F51523" w:rsidRPr="00181EF3" w:rsidRDefault="00F51523" w:rsidP="00F51523">
            <w:pPr>
              <w:pStyle w:val="TableText"/>
              <w:tabs>
                <w:tab w:val="decimal" w:pos="765"/>
              </w:tabs>
              <w:rPr>
                <w:szCs w:val="18"/>
              </w:rPr>
            </w:pPr>
            <w:r w:rsidRPr="00181EF3">
              <w:rPr>
                <w:szCs w:val="18"/>
              </w:rPr>
              <w:t>74,241</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FF2DBE9" w14:textId="77777777" w:rsidR="00F51523" w:rsidRPr="00181EF3" w:rsidRDefault="00F51523" w:rsidP="00F51523">
            <w:pPr>
              <w:pStyle w:val="TableText"/>
              <w:tabs>
                <w:tab w:val="decimal" w:pos="765"/>
              </w:tabs>
              <w:rPr>
                <w:szCs w:val="18"/>
              </w:rPr>
            </w:pPr>
            <w:r w:rsidRPr="00181EF3">
              <w:rPr>
                <w:szCs w:val="18"/>
              </w:rPr>
              <w:t>1,323</w:t>
            </w:r>
          </w:p>
        </w:tc>
        <w:tc>
          <w:tcPr>
            <w:tcW w:w="106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2EB5B33" w14:textId="77777777" w:rsidR="00F51523" w:rsidRPr="00181EF3" w:rsidRDefault="00F51523" w:rsidP="00F51523">
            <w:pPr>
              <w:pStyle w:val="TableText"/>
              <w:tabs>
                <w:tab w:val="decimal" w:pos="765"/>
              </w:tabs>
              <w:rPr>
                <w:szCs w:val="18"/>
              </w:rPr>
            </w:pPr>
            <w:r w:rsidRPr="00181EF3">
              <w:rPr>
                <w:szCs w:val="18"/>
              </w:rPr>
              <w:t>45,300</w:t>
            </w:r>
          </w:p>
        </w:tc>
        <w:tc>
          <w:tcPr>
            <w:tcW w:w="106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A16A065" w14:textId="77777777" w:rsidR="00F51523" w:rsidRPr="00181EF3" w:rsidRDefault="00F51523" w:rsidP="00F51523">
            <w:pPr>
              <w:pStyle w:val="TableText"/>
              <w:tabs>
                <w:tab w:val="decimal" w:pos="765"/>
              </w:tabs>
              <w:rPr>
                <w:szCs w:val="18"/>
              </w:rPr>
            </w:pPr>
            <w:r w:rsidRPr="00181EF3">
              <w:rPr>
                <w:szCs w:val="18"/>
              </w:rPr>
              <w:t>26,085</w:t>
            </w:r>
          </w:p>
        </w:tc>
        <w:tc>
          <w:tcPr>
            <w:tcW w:w="1064" w:type="dxa"/>
            <w:tcBorders>
              <w:top w:val="single" w:sz="4" w:space="0" w:color="A6A6A6" w:themeColor="background1" w:themeShade="A6"/>
              <w:bottom w:val="single" w:sz="4" w:space="0" w:color="A6A6A6" w:themeColor="background1" w:themeShade="A6"/>
            </w:tcBorders>
          </w:tcPr>
          <w:p w14:paraId="51143FF9" w14:textId="77777777" w:rsidR="00F51523" w:rsidRPr="00181EF3" w:rsidRDefault="00F51523" w:rsidP="00F51523">
            <w:pPr>
              <w:pStyle w:val="TableText"/>
              <w:tabs>
                <w:tab w:val="decimal" w:pos="765"/>
              </w:tabs>
              <w:rPr>
                <w:szCs w:val="18"/>
              </w:rPr>
            </w:pPr>
            <w:r w:rsidRPr="00181EF3">
              <w:rPr>
                <w:szCs w:val="18"/>
              </w:rPr>
              <w:t>271,338</w:t>
            </w:r>
          </w:p>
        </w:tc>
      </w:tr>
    </w:tbl>
    <w:p w14:paraId="094101F1" w14:textId="77777777" w:rsidR="00F51523" w:rsidRPr="00181EF3" w:rsidRDefault="00F51523" w:rsidP="00F51523">
      <w:pPr>
        <w:pStyle w:val="Note"/>
      </w:pPr>
      <w:r w:rsidRPr="00181EF3">
        <w:t>Note: Otago DHB and Southland DHB merged to form Southern DHB in 2010.</w:t>
      </w:r>
    </w:p>
    <w:p w14:paraId="1DF43A2B" w14:textId="1736FBD5" w:rsidR="00F51523" w:rsidRPr="00181EF3" w:rsidRDefault="00F51523" w:rsidP="00EF58A1">
      <w:pPr>
        <w:pStyle w:val="Source"/>
        <w:spacing w:before="0"/>
      </w:pPr>
      <w:r w:rsidRPr="00181EF3">
        <w:t xml:space="preserve">Source: </w:t>
      </w:r>
      <w:r w:rsidR="008F0248">
        <w:t>Stats NZ</w:t>
      </w:r>
      <w:r w:rsidRPr="00181EF3">
        <w:t>.</w:t>
      </w:r>
    </w:p>
    <w:p w14:paraId="3D683F44" w14:textId="77777777" w:rsidR="00F51523" w:rsidRPr="00181EF3" w:rsidRDefault="00F51523" w:rsidP="00F51523">
      <w:pPr>
        <w:pStyle w:val="Figure"/>
        <w:sectPr w:rsidR="00F51523" w:rsidRPr="00181EF3" w:rsidSect="00F51523">
          <w:headerReference w:type="first" r:id="rId40"/>
          <w:footerReference w:type="first" r:id="rId41"/>
          <w:pgSz w:w="16834" w:h="11907" w:orient="landscape" w:code="9"/>
          <w:pgMar w:top="1134" w:right="1134" w:bottom="1134" w:left="1134" w:header="425" w:footer="425" w:gutter="0"/>
          <w:cols w:space="720"/>
          <w:titlePg/>
          <w:docGrid w:linePitch="286"/>
        </w:sectPr>
      </w:pPr>
    </w:p>
    <w:p w14:paraId="634FDDA8" w14:textId="77777777" w:rsidR="00F51523" w:rsidRPr="00181EF3" w:rsidRDefault="00F51523" w:rsidP="00F51523">
      <w:pPr>
        <w:pStyle w:val="Figure"/>
        <w:spacing w:before="0"/>
        <w:rPr>
          <w:i/>
        </w:rPr>
      </w:pPr>
      <w:bookmarkStart w:id="35" w:name="_Toc19101854"/>
      <w:r w:rsidRPr="00181EF3">
        <w:lastRenderedPageBreak/>
        <w:t>Figure 3: Proportion of DHB population that is Māori, 2013</w:t>
      </w:r>
      <w:bookmarkEnd w:id="35"/>
    </w:p>
    <w:p w14:paraId="09F75A97" w14:textId="3BBE6614" w:rsidR="00F51523" w:rsidRPr="00181EF3" w:rsidRDefault="00A66051" w:rsidP="00B64068">
      <w:r>
        <w:rPr>
          <w:noProof/>
          <w:lang w:eastAsia="en-NZ"/>
        </w:rPr>
        <w:t>T</w:t>
      </w:r>
      <w:r w:rsidR="00F51523" w:rsidRPr="00181EF3">
        <w:rPr>
          <w:noProof/>
          <w:lang w:eastAsia="en-NZ"/>
        </w:rPr>
        <w:drawing>
          <wp:inline distT="0" distB="0" distL="0" distR="0" wp14:anchorId="4CC7F66C" wp14:editId="78489CDE">
            <wp:extent cx="5018851" cy="6234546"/>
            <wp:effectExtent l="0" t="0" r="0" b="0"/>
            <wp:docPr id="370" name="Picture 370" descr="This mape shows the percentage of the population within each DHB that are Māori, based on the information recorded in the 2013 census. Canterbury has the lowest population at 5 percent. Tairawhiti has the largest Māori population at 45 percent, while Northland and Lakes DHBs had the next highest populations, both over 30 percent. Waikato, Whanganui, Hawke's Bay and Bay of Plenty all had Māori populations between 20 and 30 percent. " title="Figure 3: Proportion of DHB population that is Māori,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p_Māori_DHB_2013.JPG"/>
                    <pic:cNvPicPr/>
                  </pic:nvPicPr>
                  <pic:blipFill rotWithShape="1">
                    <a:blip r:embed="rId42">
                      <a:extLst>
                        <a:ext uri="{28A0092B-C50C-407E-A947-70E740481C1C}">
                          <a14:useLocalDpi xmlns:a14="http://schemas.microsoft.com/office/drawing/2010/main" val="0"/>
                        </a:ext>
                      </a:extLst>
                    </a:blip>
                    <a:srcRect t="628" b="19951"/>
                    <a:stretch/>
                  </pic:blipFill>
                  <pic:spPr bwMode="auto">
                    <a:xfrm>
                      <a:off x="0" y="0"/>
                      <a:ext cx="5018851" cy="6234546"/>
                    </a:xfrm>
                    <a:prstGeom prst="rect">
                      <a:avLst/>
                    </a:prstGeom>
                    <a:ln>
                      <a:noFill/>
                    </a:ln>
                    <a:extLst>
                      <a:ext uri="{53640926-AAD7-44D8-BBD7-CCE9431645EC}">
                        <a14:shadowObscured xmlns:a14="http://schemas.microsoft.com/office/drawing/2010/main"/>
                      </a:ext>
                    </a:extLst>
                  </pic:spPr>
                </pic:pic>
              </a:graphicData>
            </a:graphic>
          </wp:inline>
        </w:drawing>
      </w:r>
      <w:r w:rsidR="0009232C" w:rsidRPr="0009232C">
        <w:rPr>
          <w:rStyle w:val="FootnoteReference"/>
          <w:color w:val="FFFFFF" w:themeColor="background1"/>
        </w:rPr>
        <w:footnoteReference w:id="2"/>
      </w:r>
    </w:p>
    <w:p w14:paraId="715AFD30" w14:textId="77777777" w:rsidR="00F51523" w:rsidRPr="00181EF3" w:rsidRDefault="00F51523" w:rsidP="00F51523">
      <w:pPr>
        <w:pStyle w:val="Note"/>
      </w:pPr>
      <w:r w:rsidRPr="00181EF3">
        <w:t>Note: Prioritised ethnicity has been used.</w:t>
      </w:r>
    </w:p>
    <w:p w14:paraId="4AB00C54" w14:textId="77777777" w:rsidR="00F51523" w:rsidRPr="00181EF3" w:rsidRDefault="00F51523" w:rsidP="00EF58A1">
      <w:pPr>
        <w:pStyle w:val="Source"/>
        <w:spacing w:before="0"/>
      </w:pPr>
      <w:r w:rsidRPr="00181EF3">
        <w:t>Source: Ministry of Health.</w:t>
      </w:r>
    </w:p>
    <w:p w14:paraId="4B978A86" w14:textId="77777777" w:rsidR="00F51523" w:rsidRPr="00E85EFD" w:rsidRDefault="00F51523" w:rsidP="00F51523"/>
    <w:p w14:paraId="0FAA0A14" w14:textId="77777777" w:rsidR="004A7F24" w:rsidRDefault="00932BA7" w:rsidP="002E449B">
      <w:pPr>
        <w:pStyle w:val="Heading1"/>
        <w:spacing w:line="216" w:lineRule="auto"/>
      </w:pPr>
      <w:bookmarkStart w:id="36" w:name="_Toc19102292"/>
      <w:r>
        <w:lastRenderedPageBreak/>
        <w:t>Socioeconomic determinants of health</w:t>
      </w:r>
      <w:bookmarkEnd w:id="36"/>
    </w:p>
    <w:p w14:paraId="09515B1D" w14:textId="25170711" w:rsidR="005D0041" w:rsidRDefault="005D0041" w:rsidP="005D0041">
      <w:r w:rsidRPr="00181EF3">
        <w:rPr>
          <w:lang w:eastAsia="en-NZ"/>
        </w:rPr>
        <w:t xml:space="preserve">This </w:t>
      </w:r>
      <w:r w:rsidR="0029182F">
        <w:rPr>
          <w:lang w:eastAsia="en-NZ"/>
        </w:rPr>
        <w:t>section</w:t>
      </w:r>
      <w:r w:rsidR="0029182F" w:rsidRPr="00181EF3">
        <w:rPr>
          <w:lang w:eastAsia="en-NZ"/>
        </w:rPr>
        <w:t xml:space="preserve"> </w:t>
      </w:r>
      <w:r w:rsidR="000D102F">
        <w:rPr>
          <w:lang w:eastAsia="en-NZ"/>
        </w:rPr>
        <w:t>presents</w:t>
      </w:r>
      <w:r w:rsidRPr="00181EF3">
        <w:rPr>
          <w:lang w:eastAsia="en-NZ"/>
        </w:rPr>
        <w:t xml:space="preserve"> the trends of the socioeconomic determinants of health for Māori and </w:t>
      </w:r>
      <w:r w:rsidR="00EC03A3">
        <w:rPr>
          <w:lang w:eastAsia="en-NZ"/>
        </w:rPr>
        <w:t>non</w:t>
      </w:r>
      <w:r w:rsidR="00EC03A3">
        <w:rPr>
          <w:lang w:eastAsia="en-NZ"/>
        </w:rPr>
        <w:noBreakHyphen/>
        <w:t>M</w:t>
      </w:r>
      <w:r w:rsidRPr="00181EF3">
        <w:rPr>
          <w:lang w:eastAsia="en-NZ"/>
        </w:rPr>
        <w:t xml:space="preserve">āori in 2001, 2006 and 2013 as described in the </w:t>
      </w:r>
      <w:r w:rsidRPr="00181EF3">
        <w:rPr>
          <w:i/>
          <w:lang w:eastAsia="en-NZ"/>
        </w:rPr>
        <w:t>Tatau Kahukura Māori Health Chart Books</w:t>
      </w:r>
      <w:r>
        <w:rPr>
          <w:i/>
          <w:lang w:eastAsia="en-NZ"/>
        </w:rPr>
        <w:t xml:space="preserve"> </w:t>
      </w:r>
      <w:r w:rsidRPr="003A493A">
        <w:t>(Ministry of Health 2006, 2010</w:t>
      </w:r>
      <w:r w:rsidR="007F69DC">
        <w:t>c</w:t>
      </w:r>
      <w:r w:rsidRPr="003A493A">
        <w:t xml:space="preserve"> and 2015</w:t>
      </w:r>
      <w:r w:rsidR="00E63739">
        <w:t>b</w:t>
      </w:r>
      <w:r w:rsidRPr="003A493A">
        <w:t>)</w:t>
      </w:r>
      <w:r>
        <w:t>.</w:t>
      </w:r>
    </w:p>
    <w:p w14:paraId="6DF7FB3B" w14:textId="77777777" w:rsidR="002E449B" w:rsidRPr="005D0041" w:rsidRDefault="002E449B" w:rsidP="005D0041"/>
    <w:p w14:paraId="112123B5" w14:textId="77777777" w:rsidR="004A7F24" w:rsidRPr="00AF5546" w:rsidRDefault="005D0041" w:rsidP="002E449B">
      <w:pPr>
        <w:pStyle w:val="Heading2"/>
        <w:spacing w:before="360"/>
      </w:pPr>
      <w:bookmarkStart w:id="37" w:name="_Toc19102293"/>
      <w:r>
        <w:t>Neighbourhood deprivation</w:t>
      </w:r>
      <w:bookmarkEnd w:id="37"/>
    </w:p>
    <w:p w14:paraId="6EFA722D" w14:textId="0D65A208" w:rsidR="0045021E" w:rsidRPr="00181EF3" w:rsidRDefault="0045021E" w:rsidP="0045021E">
      <w:pPr>
        <w:pStyle w:val="Table"/>
      </w:pPr>
      <w:bookmarkStart w:id="38" w:name="_Toc18594748"/>
      <w:r w:rsidRPr="00181EF3">
        <w:t xml:space="preserve">Table </w:t>
      </w:r>
      <w:r>
        <w:rPr>
          <w:noProof/>
        </w:rPr>
        <w:t>8</w:t>
      </w:r>
      <w:r w:rsidRPr="00181EF3">
        <w:t xml:space="preserve">: Populations by neighbourhood deprivation decile (NZDep) and by gender, Māori and </w:t>
      </w:r>
      <w:r w:rsidR="00EC03A3">
        <w:t>non</w:t>
      </w:r>
      <w:r w:rsidR="00EC03A3">
        <w:noBreakHyphen/>
        <w:t>M</w:t>
      </w:r>
      <w:r w:rsidRPr="00181EF3">
        <w:t>āori, 2001, 2006 and 2013</w:t>
      </w:r>
      <w:bookmarkEnd w:id="38"/>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134"/>
        <w:gridCol w:w="1157"/>
        <w:gridCol w:w="1158"/>
        <w:gridCol w:w="1158"/>
        <w:gridCol w:w="1157"/>
        <w:gridCol w:w="1158"/>
        <w:gridCol w:w="1158"/>
      </w:tblGrid>
      <w:tr w:rsidR="0045021E" w:rsidRPr="00181EF3" w14:paraId="711C79E0" w14:textId="77777777" w:rsidTr="00370973">
        <w:trPr>
          <w:cantSplit/>
        </w:trPr>
        <w:tc>
          <w:tcPr>
            <w:tcW w:w="1134" w:type="dxa"/>
            <w:vMerge w:val="restart"/>
            <w:tcBorders>
              <w:top w:val="nil"/>
              <w:bottom w:val="nil"/>
              <w:right w:val="single" w:sz="4" w:space="0" w:color="A6A6A6" w:themeColor="background1" w:themeShade="A6"/>
            </w:tcBorders>
            <w:shd w:val="clear" w:color="auto" w:fill="D9D9D9" w:themeFill="background1" w:themeFillShade="D9"/>
          </w:tcPr>
          <w:p w14:paraId="18FB27F4" w14:textId="77777777" w:rsidR="0045021E" w:rsidRPr="00181EF3" w:rsidRDefault="0045021E" w:rsidP="00370973">
            <w:pPr>
              <w:pStyle w:val="TableText"/>
              <w:rPr>
                <w:b/>
              </w:rPr>
            </w:pPr>
            <w:r w:rsidRPr="00181EF3">
              <w:rPr>
                <w:b/>
              </w:rPr>
              <w:t>NZDep decile</w:t>
            </w:r>
          </w:p>
        </w:tc>
        <w:tc>
          <w:tcPr>
            <w:tcW w:w="2315" w:type="dxa"/>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14:paraId="76387C00" w14:textId="77777777" w:rsidR="0045021E" w:rsidRPr="00181EF3" w:rsidRDefault="0045021E" w:rsidP="00370973">
            <w:pPr>
              <w:pStyle w:val="TableText"/>
              <w:jc w:val="center"/>
              <w:rPr>
                <w:b/>
              </w:rPr>
            </w:pPr>
            <w:r w:rsidRPr="00181EF3">
              <w:rPr>
                <w:b/>
              </w:rPr>
              <w:t>2001</w:t>
            </w:r>
          </w:p>
        </w:tc>
        <w:tc>
          <w:tcPr>
            <w:tcW w:w="2315" w:type="dxa"/>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14:paraId="6FFA0D53" w14:textId="77777777" w:rsidR="0045021E" w:rsidRPr="00181EF3" w:rsidRDefault="0045021E" w:rsidP="00370973">
            <w:pPr>
              <w:pStyle w:val="TableText"/>
              <w:jc w:val="center"/>
              <w:rPr>
                <w:b/>
              </w:rPr>
            </w:pPr>
            <w:r w:rsidRPr="00181EF3">
              <w:rPr>
                <w:b/>
              </w:rPr>
              <w:t>2006</w:t>
            </w:r>
          </w:p>
        </w:tc>
        <w:tc>
          <w:tcPr>
            <w:tcW w:w="2316" w:type="dxa"/>
            <w:gridSpan w:val="2"/>
            <w:tcBorders>
              <w:top w:val="nil"/>
              <w:left w:val="single" w:sz="4" w:space="0" w:color="A6A6A6" w:themeColor="background1" w:themeShade="A6"/>
              <w:bottom w:val="nil"/>
            </w:tcBorders>
            <w:shd w:val="clear" w:color="auto" w:fill="D9D9D9" w:themeFill="background1" w:themeFillShade="D9"/>
          </w:tcPr>
          <w:p w14:paraId="66DE16C5" w14:textId="77777777" w:rsidR="0045021E" w:rsidRPr="00181EF3" w:rsidRDefault="0045021E" w:rsidP="00370973">
            <w:pPr>
              <w:pStyle w:val="TableText"/>
              <w:jc w:val="center"/>
              <w:rPr>
                <w:b/>
              </w:rPr>
            </w:pPr>
            <w:r w:rsidRPr="00181EF3">
              <w:rPr>
                <w:b/>
              </w:rPr>
              <w:t>2013</w:t>
            </w:r>
          </w:p>
        </w:tc>
      </w:tr>
      <w:tr w:rsidR="0045021E" w:rsidRPr="00181EF3" w14:paraId="033B48CC" w14:textId="77777777" w:rsidTr="00370973">
        <w:trPr>
          <w:cantSplit/>
        </w:trPr>
        <w:tc>
          <w:tcPr>
            <w:tcW w:w="1134" w:type="dxa"/>
            <w:vMerge/>
            <w:tcBorders>
              <w:top w:val="nil"/>
              <w:bottom w:val="nil"/>
              <w:right w:val="single" w:sz="4" w:space="0" w:color="A6A6A6" w:themeColor="background1" w:themeShade="A6"/>
            </w:tcBorders>
            <w:shd w:val="clear" w:color="auto" w:fill="D9D9D9" w:themeFill="background1" w:themeFillShade="D9"/>
          </w:tcPr>
          <w:p w14:paraId="6C7C7F4F" w14:textId="77777777" w:rsidR="0045021E" w:rsidRPr="00181EF3" w:rsidRDefault="0045021E" w:rsidP="00370973">
            <w:pPr>
              <w:pStyle w:val="TableText"/>
              <w:rPr>
                <w:b/>
              </w:rPr>
            </w:pPr>
          </w:p>
        </w:tc>
        <w:tc>
          <w:tcPr>
            <w:tcW w:w="1157" w:type="dxa"/>
            <w:tcBorders>
              <w:top w:val="nil"/>
              <w:left w:val="single" w:sz="4" w:space="0" w:color="A6A6A6" w:themeColor="background1" w:themeShade="A6"/>
              <w:bottom w:val="nil"/>
            </w:tcBorders>
            <w:shd w:val="clear" w:color="auto" w:fill="D9D9D9" w:themeFill="background1" w:themeFillShade="D9"/>
          </w:tcPr>
          <w:p w14:paraId="7F2CDA21" w14:textId="77777777" w:rsidR="0045021E" w:rsidRPr="00181EF3" w:rsidRDefault="0045021E" w:rsidP="00370973">
            <w:pPr>
              <w:pStyle w:val="TableText"/>
              <w:spacing w:before="0"/>
              <w:jc w:val="center"/>
              <w:rPr>
                <w:b/>
              </w:rPr>
            </w:pPr>
            <w:r w:rsidRPr="00181EF3">
              <w:rPr>
                <w:b/>
              </w:rPr>
              <w:t>Māori</w:t>
            </w:r>
          </w:p>
        </w:tc>
        <w:tc>
          <w:tcPr>
            <w:tcW w:w="1158" w:type="dxa"/>
            <w:tcBorders>
              <w:top w:val="nil"/>
              <w:bottom w:val="nil"/>
              <w:right w:val="single" w:sz="4" w:space="0" w:color="A6A6A6" w:themeColor="background1" w:themeShade="A6"/>
            </w:tcBorders>
            <w:shd w:val="clear" w:color="auto" w:fill="D9D9D9" w:themeFill="background1" w:themeFillShade="D9"/>
          </w:tcPr>
          <w:p w14:paraId="76B91B7F" w14:textId="064C3801" w:rsidR="0045021E" w:rsidRPr="00181EF3" w:rsidRDefault="00EC03A3" w:rsidP="00370973">
            <w:pPr>
              <w:pStyle w:val="TableText"/>
              <w:spacing w:before="0"/>
              <w:jc w:val="center"/>
              <w:rPr>
                <w:b/>
              </w:rPr>
            </w:pPr>
            <w:r>
              <w:rPr>
                <w:b/>
              </w:rPr>
              <w:t>Non</w:t>
            </w:r>
            <w:r>
              <w:rPr>
                <w:b/>
              </w:rPr>
              <w:noBreakHyphen/>
              <w:t>M</w:t>
            </w:r>
            <w:r w:rsidR="0045021E" w:rsidRPr="00181EF3">
              <w:rPr>
                <w:b/>
              </w:rPr>
              <w:t>āori</w:t>
            </w:r>
          </w:p>
        </w:tc>
        <w:tc>
          <w:tcPr>
            <w:tcW w:w="1158" w:type="dxa"/>
            <w:tcBorders>
              <w:top w:val="nil"/>
              <w:left w:val="single" w:sz="4" w:space="0" w:color="A6A6A6" w:themeColor="background1" w:themeShade="A6"/>
              <w:bottom w:val="nil"/>
            </w:tcBorders>
            <w:shd w:val="clear" w:color="auto" w:fill="D9D9D9" w:themeFill="background1" w:themeFillShade="D9"/>
          </w:tcPr>
          <w:p w14:paraId="3660CC8D" w14:textId="77777777" w:rsidR="0045021E" w:rsidRPr="00181EF3" w:rsidRDefault="0045021E" w:rsidP="00370973">
            <w:pPr>
              <w:pStyle w:val="TableText"/>
              <w:spacing w:before="0"/>
              <w:jc w:val="center"/>
              <w:rPr>
                <w:b/>
              </w:rPr>
            </w:pPr>
            <w:r w:rsidRPr="00181EF3">
              <w:rPr>
                <w:b/>
              </w:rPr>
              <w:t>Māori</w:t>
            </w:r>
          </w:p>
        </w:tc>
        <w:tc>
          <w:tcPr>
            <w:tcW w:w="1157" w:type="dxa"/>
            <w:tcBorders>
              <w:top w:val="nil"/>
              <w:bottom w:val="nil"/>
              <w:right w:val="single" w:sz="4" w:space="0" w:color="A6A6A6" w:themeColor="background1" w:themeShade="A6"/>
            </w:tcBorders>
            <w:shd w:val="clear" w:color="auto" w:fill="D9D9D9" w:themeFill="background1" w:themeFillShade="D9"/>
          </w:tcPr>
          <w:p w14:paraId="3A9408FA" w14:textId="561B5854" w:rsidR="0045021E" w:rsidRPr="00181EF3" w:rsidRDefault="00EC03A3" w:rsidP="00370973">
            <w:pPr>
              <w:pStyle w:val="TableText"/>
              <w:spacing w:before="0"/>
              <w:jc w:val="center"/>
              <w:rPr>
                <w:b/>
              </w:rPr>
            </w:pPr>
            <w:r>
              <w:rPr>
                <w:b/>
              </w:rPr>
              <w:t>Non</w:t>
            </w:r>
            <w:r>
              <w:rPr>
                <w:b/>
              </w:rPr>
              <w:noBreakHyphen/>
              <w:t>M</w:t>
            </w:r>
            <w:r w:rsidR="0045021E" w:rsidRPr="00181EF3">
              <w:rPr>
                <w:b/>
              </w:rPr>
              <w:t>āori</w:t>
            </w:r>
          </w:p>
        </w:tc>
        <w:tc>
          <w:tcPr>
            <w:tcW w:w="1158" w:type="dxa"/>
            <w:tcBorders>
              <w:top w:val="nil"/>
              <w:left w:val="single" w:sz="4" w:space="0" w:color="A6A6A6" w:themeColor="background1" w:themeShade="A6"/>
              <w:bottom w:val="nil"/>
            </w:tcBorders>
            <w:shd w:val="clear" w:color="auto" w:fill="D9D9D9" w:themeFill="background1" w:themeFillShade="D9"/>
          </w:tcPr>
          <w:p w14:paraId="5C292ACC" w14:textId="77777777" w:rsidR="0045021E" w:rsidRPr="00181EF3" w:rsidRDefault="0045021E" w:rsidP="00370973">
            <w:pPr>
              <w:pStyle w:val="TableText"/>
              <w:spacing w:before="0"/>
              <w:jc w:val="center"/>
              <w:rPr>
                <w:b/>
              </w:rPr>
            </w:pPr>
            <w:r w:rsidRPr="00181EF3">
              <w:rPr>
                <w:b/>
              </w:rPr>
              <w:t>Māori</w:t>
            </w:r>
          </w:p>
        </w:tc>
        <w:tc>
          <w:tcPr>
            <w:tcW w:w="1158" w:type="dxa"/>
            <w:tcBorders>
              <w:top w:val="nil"/>
              <w:bottom w:val="nil"/>
            </w:tcBorders>
            <w:shd w:val="clear" w:color="auto" w:fill="D9D9D9" w:themeFill="background1" w:themeFillShade="D9"/>
          </w:tcPr>
          <w:p w14:paraId="325BB4FE" w14:textId="2F006A5E" w:rsidR="0045021E" w:rsidRPr="00181EF3" w:rsidRDefault="00EC03A3" w:rsidP="00370973">
            <w:pPr>
              <w:pStyle w:val="TableText"/>
              <w:spacing w:before="0"/>
              <w:jc w:val="center"/>
              <w:rPr>
                <w:b/>
              </w:rPr>
            </w:pPr>
            <w:r>
              <w:rPr>
                <w:b/>
              </w:rPr>
              <w:t>Non</w:t>
            </w:r>
            <w:r>
              <w:rPr>
                <w:b/>
              </w:rPr>
              <w:noBreakHyphen/>
              <w:t>M</w:t>
            </w:r>
            <w:r w:rsidR="0045021E" w:rsidRPr="00181EF3">
              <w:rPr>
                <w:b/>
              </w:rPr>
              <w:t>āori</w:t>
            </w:r>
          </w:p>
        </w:tc>
      </w:tr>
      <w:tr w:rsidR="0045021E" w:rsidRPr="00181EF3" w14:paraId="3FA2453D" w14:textId="77777777" w:rsidTr="00370973">
        <w:trPr>
          <w:cantSplit/>
        </w:trPr>
        <w:tc>
          <w:tcPr>
            <w:tcW w:w="1134" w:type="dxa"/>
            <w:tcBorders>
              <w:top w:val="nil"/>
              <w:right w:val="single" w:sz="4" w:space="0" w:color="A6A6A6" w:themeColor="background1" w:themeShade="A6"/>
            </w:tcBorders>
            <w:shd w:val="clear" w:color="auto" w:fill="auto"/>
          </w:tcPr>
          <w:p w14:paraId="14646964" w14:textId="77777777" w:rsidR="0045021E" w:rsidRPr="00181EF3" w:rsidRDefault="0045021E" w:rsidP="00370973">
            <w:pPr>
              <w:pStyle w:val="TableText"/>
            </w:pPr>
            <w:r w:rsidRPr="00181EF3">
              <w:t>1 (least deprived)</w:t>
            </w:r>
          </w:p>
        </w:tc>
        <w:tc>
          <w:tcPr>
            <w:tcW w:w="1157" w:type="dxa"/>
            <w:tcBorders>
              <w:top w:val="nil"/>
              <w:left w:val="single" w:sz="4" w:space="0" w:color="A6A6A6" w:themeColor="background1" w:themeShade="A6"/>
            </w:tcBorders>
            <w:shd w:val="clear" w:color="auto" w:fill="auto"/>
          </w:tcPr>
          <w:p w14:paraId="6B2BEC68" w14:textId="77777777" w:rsidR="0045021E" w:rsidRPr="00181EF3" w:rsidRDefault="0045021E" w:rsidP="00370973">
            <w:pPr>
              <w:pStyle w:val="TableText"/>
              <w:tabs>
                <w:tab w:val="decimal" w:pos="794"/>
              </w:tabs>
              <w:spacing w:after="0"/>
            </w:pPr>
            <w:r w:rsidRPr="00181EF3">
              <w:t>16,629</w:t>
            </w:r>
          </w:p>
          <w:p w14:paraId="0F1942C7" w14:textId="77777777" w:rsidR="0045021E" w:rsidRPr="00181EF3" w:rsidRDefault="0045021E" w:rsidP="00370973">
            <w:pPr>
              <w:pStyle w:val="TableText"/>
              <w:spacing w:before="0"/>
              <w:jc w:val="center"/>
            </w:pPr>
            <w:r w:rsidRPr="00181EF3">
              <w:t>(3%)</w:t>
            </w:r>
          </w:p>
        </w:tc>
        <w:tc>
          <w:tcPr>
            <w:tcW w:w="1158" w:type="dxa"/>
            <w:tcBorders>
              <w:top w:val="nil"/>
              <w:right w:val="single" w:sz="4" w:space="0" w:color="A6A6A6" w:themeColor="background1" w:themeShade="A6"/>
            </w:tcBorders>
            <w:shd w:val="clear" w:color="auto" w:fill="auto"/>
          </w:tcPr>
          <w:p w14:paraId="57237C79" w14:textId="77777777" w:rsidR="0045021E" w:rsidRPr="00181EF3" w:rsidRDefault="0045021E" w:rsidP="00370973">
            <w:pPr>
              <w:pStyle w:val="TableText"/>
              <w:tabs>
                <w:tab w:val="decimal" w:pos="794"/>
              </w:tabs>
              <w:spacing w:after="0"/>
            </w:pPr>
            <w:r w:rsidRPr="00181EF3">
              <w:t>338,700</w:t>
            </w:r>
          </w:p>
          <w:p w14:paraId="076AFFEF" w14:textId="77777777" w:rsidR="0045021E" w:rsidRPr="00181EF3" w:rsidRDefault="0045021E" w:rsidP="00370973">
            <w:pPr>
              <w:pStyle w:val="TableText"/>
              <w:spacing w:before="0"/>
              <w:jc w:val="center"/>
            </w:pPr>
            <w:r w:rsidRPr="00181EF3">
              <w:t>(11%)</w:t>
            </w:r>
          </w:p>
        </w:tc>
        <w:tc>
          <w:tcPr>
            <w:tcW w:w="1158" w:type="dxa"/>
            <w:tcBorders>
              <w:top w:val="nil"/>
              <w:left w:val="single" w:sz="4" w:space="0" w:color="A6A6A6" w:themeColor="background1" w:themeShade="A6"/>
            </w:tcBorders>
            <w:shd w:val="clear" w:color="auto" w:fill="auto"/>
          </w:tcPr>
          <w:p w14:paraId="2EE91C5D" w14:textId="77777777" w:rsidR="0045021E" w:rsidRPr="00181EF3" w:rsidRDefault="0045021E" w:rsidP="00370973">
            <w:pPr>
              <w:pStyle w:val="TableText"/>
              <w:tabs>
                <w:tab w:val="decimal" w:pos="794"/>
              </w:tabs>
              <w:spacing w:after="0"/>
            </w:pPr>
            <w:r w:rsidRPr="00181EF3">
              <w:t>19,215</w:t>
            </w:r>
          </w:p>
          <w:p w14:paraId="3FF1D987" w14:textId="77777777" w:rsidR="0045021E" w:rsidRPr="00181EF3" w:rsidRDefault="0045021E" w:rsidP="00370973">
            <w:pPr>
              <w:pStyle w:val="TableText"/>
              <w:spacing w:before="0"/>
              <w:jc w:val="center"/>
            </w:pPr>
            <w:r w:rsidRPr="00181EF3">
              <w:t>(3%)</w:t>
            </w:r>
          </w:p>
        </w:tc>
        <w:tc>
          <w:tcPr>
            <w:tcW w:w="1157" w:type="dxa"/>
            <w:tcBorders>
              <w:top w:val="nil"/>
              <w:right w:val="single" w:sz="4" w:space="0" w:color="A6A6A6" w:themeColor="background1" w:themeShade="A6"/>
            </w:tcBorders>
            <w:shd w:val="clear" w:color="auto" w:fill="auto"/>
          </w:tcPr>
          <w:p w14:paraId="3C32DD4B" w14:textId="77777777" w:rsidR="0045021E" w:rsidRPr="00181EF3" w:rsidRDefault="0045021E" w:rsidP="00370973">
            <w:pPr>
              <w:pStyle w:val="TableText"/>
              <w:tabs>
                <w:tab w:val="decimal" w:pos="794"/>
              </w:tabs>
              <w:spacing w:after="0"/>
            </w:pPr>
            <w:r w:rsidRPr="00181EF3">
              <w:t>386,277</w:t>
            </w:r>
          </w:p>
          <w:p w14:paraId="06606A81" w14:textId="77777777" w:rsidR="0045021E" w:rsidRPr="00181EF3" w:rsidRDefault="0045021E" w:rsidP="00370973">
            <w:pPr>
              <w:pStyle w:val="TableText"/>
              <w:spacing w:before="0"/>
              <w:jc w:val="center"/>
            </w:pPr>
            <w:r w:rsidRPr="00181EF3">
              <w:t>(12%)</w:t>
            </w:r>
          </w:p>
        </w:tc>
        <w:tc>
          <w:tcPr>
            <w:tcW w:w="1158" w:type="dxa"/>
            <w:tcBorders>
              <w:top w:val="nil"/>
              <w:left w:val="single" w:sz="4" w:space="0" w:color="A6A6A6" w:themeColor="background1" w:themeShade="A6"/>
            </w:tcBorders>
            <w:shd w:val="clear" w:color="auto" w:fill="auto"/>
          </w:tcPr>
          <w:p w14:paraId="3BE28BB0" w14:textId="77777777" w:rsidR="0045021E" w:rsidRPr="00181EF3" w:rsidRDefault="0045021E" w:rsidP="00370973">
            <w:pPr>
              <w:pStyle w:val="TableText"/>
              <w:tabs>
                <w:tab w:val="decimal" w:pos="794"/>
              </w:tabs>
              <w:spacing w:after="0"/>
            </w:pPr>
            <w:r w:rsidRPr="00181EF3">
              <w:t>22,845</w:t>
            </w:r>
          </w:p>
          <w:p w14:paraId="7D15BAF2" w14:textId="77777777" w:rsidR="0045021E" w:rsidRPr="00181EF3" w:rsidRDefault="0045021E" w:rsidP="00370973">
            <w:pPr>
              <w:pStyle w:val="TableText"/>
              <w:spacing w:before="0"/>
              <w:jc w:val="center"/>
            </w:pPr>
            <w:r w:rsidRPr="00181EF3">
              <w:t>(4%)</w:t>
            </w:r>
          </w:p>
        </w:tc>
        <w:tc>
          <w:tcPr>
            <w:tcW w:w="1158" w:type="dxa"/>
            <w:tcBorders>
              <w:top w:val="nil"/>
            </w:tcBorders>
            <w:shd w:val="clear" w:color="auto" w:fill="auto"/>
          </w:tcPr>
          <w:p w14:paraId="45B1D837" w14:textId="77777777" w:rsidR="0045021E" w:rsidRPr="00181EF3" w:rsidRDefault="0045021E" w:rsidP="00370973">
            <w:pPr>
              <w:pStyle w:val="TableText"/>
              <w:tabs>
                <w:tab w:val="decimal" w:pos="794"/>
              </w:tabs>
              <w:spacing w:after="0"/>
            </w:pPr>
            <w:r w:rsidRPr="00181EF3">
              <w:t>396,504</w:t>
            </w:r>
          </w:p>
          <w:p w14:paraId="52C08B06" w14:textId="77777777" w:rsidR="0045021E" w:rsidRPr="00181EF3" w:rsidRDefault="0045021E" w:rsidP="00370973">
            <w:pPr>
              <w:pStyle w:val="TableText"/>
              <w:spacing w:before="0"/>
              <w:jc w:val="center"/>
            </w:pPr>
            <w:r w:rsidRPr="00181EF3">
              <w:t>(12%)</w:t>
            </w:r>
          </w:p>
        </w:tc>
      </w:tr>
      <w:tr w:rsidR="0045021E" w:rsidRPr="00181EF3" w14:paraId="37E2023D" w14:textId="77777777" w:rsidTr="00370973">
        <w:trPr>
          <w:cantSplit/>
        </w:trPr>
        <w:tc>
          <w:tcPr>
            <w:tcW w:w="1134" w:type="dxa"/>
            <w:tcBorders>
              <w:right w:val="single" w:sz="4" w:space="0" w:color="A6A6A6" w:themeColor="background1" w:themeShade="A6"/>
            </w:tcBorders>
            <w:shd w:val="clear" w:color="auto" w:fill="auto"/>
          </w:tcPr>
          <w:p w14:paraId="4F4709C1" w14:textId="77777777" w:rsidR="0045021E" w:rsidRPr="00181EF3" w:rsidRDefault="0045021E" w:rsidP="00370973">
            <w:pPr>
              <w:pStyle w:val="TableText"/>
            </w:pPr>
            <w:r w:rsidRPr="00181EF3">
              <w:t>2</w:t>
            </w:r>
          </w:p>
        </w:tc>
        <w:tc>
          <w:tcPr>
            <w:tcW w:w="1157" w:type="dxa"/>
            <w:tcBorders>
              <w:left w:val="single" w:sz="4" w:space="0" w:color="A6A6A6" w:themeColor="background1" w:themeShade="A6"/>
            </w:tcBorders>
            <w:shd w:val="clear" w:color="auto" w:fill="auto"/>
          </w:tcPr>
          <w:p w14:paraId="734E0DB9" w14:textId="77777777" w:rsidR="0045021E" w:rsidRPr="00181EF3" w:rsidRDefault="0045021E" w:rsidP="00370973">
            <w:pPr>
              <w:pStyle w:val="TableText"/>
              <w:tabs>
                <w:tab w:val="decimal" w:pos="794"/>
              </w:tabs>
              <w:spacing w:after="0"/>
            </w:pPr>
            <w:r w:rsidRPr="00181EF3">
              <w:t>21,027</w:t>
            </w:r>
          </w:p>
          <w:p w14:paraId="14715F88" w14:textId="77777777" w:rsidR="0045021E" w:rsidRPr="00181EF3" w:rsidRDefault="0045021E" w:rsidP="00370973">
            <w:pPr>
              <w:pStyle w:val="TableText"/>
              <w:spacing w:before="0"/>
              <w:jc w:val="center"/>
            </w:pPr>
            <w:r w:rsidRPr="00181EF3">
              <w:t>(4%)</w:t>
            </w:r>
          </w:p>
        </w:tc>
        <w:tc>
          <w:tcPr>
            <w:tcW w:w="1158" w:type="dxa"/>
            <w:tcBorders>
              <w:right w:val="single" w:sz="4" w:space="0" w:color="A6A6A6" w:themeColor="background1" w:themeShade="A6"/>
            </w:tcBorders>
            <w:shd w:val="clear" w:color="auto" w:fill="auto"/>
          </w:tcPr>
          <w:p w14:paraId="5C6A987B" w14:textId="77777777" w:rsidR="0045021E" w:rsidRPr="00181EF3" w:rsidRDefault="0045021E" w:rsidP="00370973">
            <w:pPr>
              <w:pStyle w:val="TableText"/>
              <w:tabs>
                <w:tab w:val="decimal" w:pos="794"/>
              </w:tabs>
              <w:spacing w:after="0"/>
            </w:pPr>
            <w:r w:rsidRPr="00181EF3">
              <w:t>329,952</w:t>
            </w:r>
          </w:p>
          <w:p w14:paraId="006889BE" w14:textId="77777777" w:rsidR="0045021E" w:rsidRPr="00181EF3" w:rsidRDefault="0045021E" w:rsidP="00370973">
            <w:pPr>
              <w:pStyle w:val="TableText"/>
              <w:spacing w:before="0"/>
              <w:jc w:val="center"/>
            </w:pPr>
            <w:r w:rsidRPr="00181EF3">
              <w:t>(10%)</w:t>
            </w:r>
          </w:p>
        </w:tc>
        <w:tc>
          <w:tcPr>
            <w:tcW w:w="1158" w:type="dxa"/>
            <w:tcBorders>
              <w:left w:val="single" w:sz="4" w:space="0" w:color="A6A6A6" w:themeColor="background1" w:themeShade="A6"/>
            </w:tcBorders>
            <w:shd w:val="clear" w:color="auto" w:fill="auto"/>
          </w:tcPr>
          <w:p w14:paraId="4578F672" w14:textId="77777777" w:rsidR="0045021E" w:rsidRPr="00181EF3" w:rsidRDefault="0045021E" w:rsidP="00370973">
            <w:pPr>
              <w:pStyle w:val="TableText"/>
              <w:tabs>
                <w:tab w:val="decimal" w:pos="794"/>
              </w:tabs>
              <w:spacing w:after="0"/>
            </w:pPr>
            <w:r w:rsidRPr="00181EF3">
              <w:t>24,603</w:t>
            </w:r>
          </w:p>
          <w:p w14:paraId="4C9344A3" w14:textId="77777777" w:rsidR="0045021E" w:rsidRPr="00181EF3" w:rsidRDefault="0045021E" w:rsidP="00370973">
            <w:pPr>
              <w:pStyle w:val="TableText"/>
              <w:spacing w:before="0"/>
              <w:jc w:val="center"/>
            </w:pPr>
            <w:r w:rsidRPr="00181EF3">
              <w:t>(4%)</w:t>
            </w:r>
          </w:p>
        </w:tc>
        <w:tc>
          <w:tcPr>
            <w:tcW w:w="1157" w:type="dxa"/>
            <w:tcBorders>
              <w:right w:val="single" w:sz="4" w:space="0" w:color="A6A6A6" w:themeColor="background1" w:themeShade="A6"/>
            </w:tcBorders>
            <w:shd w:val="clear" w:color="auto" w:fill="auto"/>
          </w:tcPr>
          <w:p w14:paraId="48BD058B" w14:textId="77777777" w:rsidR="0045021E" w:rsidRPr="00181EF3" w:rsidRDefault="0045021E" w:rsidP="00370973">
            <w:pPr>
              <w:pStyle w:val="TableText"/>
              <w:tabs>
                <w:tab w:val="decimal" w:pos="794"/>
              </w:tabs>
              <w:spacing w:after="0"/>
            </w:pPr>
            <w:r w:rsidRPr="00181EF3">
              <w:t>374,643</w:t>
            </w:r>
          </w:p>
          <w:p w14:paraId="168A87A8" w14:textId="77777777" w:rsidR="0045021E" w:rsidRPr="00181EF3" w:rsidRDefault="0045021E" w:rsidP="00370973">
            <w:pPr>
              <w:pStyle w:val="TableText"/>
              <w:spacing w:before="0"/>
              <w:jc w:val="center"/>
            </w:pPr>
            <w:r w:rsidRPr="00181EF3">
              <w:t>(11%)</w:t>
            </w:r>
          </w:p>
        </w:tc>
        <w:tc>
          <w:tcPr>
            <w:tcW w:w="1158" w:type="dxa"/>
            <w:tcBorders>
              <w:left w:val="single" w:sz="4" w:space="0" w:color="A6A6A6" w:themeColor="background1" w:themeShade="A6"/>
            </w:tcBorders>
            <w:shd w:val="clear" w:color="auto" w:fill="auto"/>
          </w:tcPr>
          <w:p w14:paraId="5B82E98F" w14:textId="77777777" w:rsidR="0045021E" w:rsidRPr="00181EF3" w:rsidRDefault="0045021E" w:rsidP="00370973">
            <w:pPr>
              <w:pStyle w:val="TableText"/>
              <w:tabs>
                <w:tab w:val="decimal" w:pos="794"/>
              </w:tabs>
              <w:spacing w:after="0"/>
            </w:pPr>
            <w:r w:rsidRPr="00181EF3">
              <w:t>28,773</w:t>
            </w:r>
          </w:p>
          <w:p w14:paraId="4846EF43" w14:textId="77777777" w:rsidR="0045021E" w:rsidRPr="00181EF3" w:rsidRDefault="0045021E" w:rsidP="00370973">
            <w:pPr>
              <w:pStyle w:val="TableText"/>
              <w:spacing w:before="0"/>
              <w:jc w:val="center"/>
            </w:pPr>
            <w:r w:rsidRPr="00181EF3">
              <w:t>(5%)</w:t>
            </w:r>
          </w:p>
        </w:tc>
        <w:tc>
          <w:tcPr>
            <w:tcW w:w="1158" w:type="dxa"/>
            <w:shd w:val="clear" w:color="auto" w:fill="auto"/>
          </w:tcPr>
          <w:p w14:paraId="6455AEC9" w14:textId="77777777" w:rsidR="0045021E" w:rsidRPr="00181EF3" w:rsidRDefault="0045021E" w:rsidP="00370973">
            <w:pPr>
              <w:pStyle w:val="TableText"/>
              <w:tabs>
                <w:tab w:val="decimal" w:pos="794"/>
              </w:tabs>
              <w:spacing w:after="0"/>
            </w:pPr>
            <w:r w:rsidRPr="00181EF3">
              <w:t>395,583</w:t>
            </w:r>
          </w:p>
          <w:p w14:paraId="461F3FDE" w14:textId="77777777" w:rsidR="0045021E" w:rsidRPr="00181EF3" w:rsidRDefault="0045021E" w:rsidP="00370973">
            <w:pPr>
              <w:pStyle w:val="TableText"/>
              <w:spacing w:before="0"/>
              <w:jc w:val="center"/>
            </w:pPr>
            <w:r w:rsidRPr="00181EF3">
              <w:t>(12%)</w:t>
            </w:r>
          </w:p>
        </w:tc>
      </w:tr>
      <w:tr w:rsidR="0045021E" w:rsidRPr="00181EF3" w14:paraId="29FBFA0D" w14:textId="77777777" w:rsidTr="00370973">
        <w:trPr>
          <w:cantSplit/>
        </w:trPr>
        <w:tc>
          <w:tcPr>
            <w:tcW w:w="1134" w:type="dxa"/>
            <w:tcBorders>
              <w:right w:val="single" w:sz="4" w:space="0" w:color="A6A6A6" w:themeColor="background1" w:themeShade="A6"/>
            </w:tcBorders>
            <w:shd w:val="clear" w:color="auto" w:fill="auto"/>
          </w:tcPr>
          <w:p w14:paraId="747CA8C9" w14:textId="77777777" w:rsidR="0045021E" w:rsidRPr="00181EF3" w:rsidRDefault="0045021E" w:rsidP="00370973">
            <w:pPr>
              <w:pStyle w:val="TableText"/>
            </w:pPr>
            <w:r w:rsidRPr="00181EF3">
              <w:t>3</w:t>
            </w:r>
          </w:p>
        </w:tc>
        <w:tc>
          <w:tcPr>
            <w:tcW w:w="1157" w:type="dxa"/>
            <w:tcBorders>
              <w:left w:val="single" w:sz="4" w:space="0" w:color="A6A6A6" w:themeColor="background1" w:themeShade="A6"/>
            </w:tcBorders>
            <w:shd w:val="clear" w:color="auto" w:fill="auto"/>
          </w:tcPr>
          <w:p w14:paraId="6D6423EC" w14:textId="77777777" w:rsidR="0045021E" w:rsidRPr="00181EF3" w:rsidRDefault="0045021E" w:rsidP="00370973">
            <w:pPr>
              <w:pStyle w:val="TableText"/>
              <w:tabs>
                <w:tab w:val="decimal" w:pos="794"/>
              </w:tabs>
              <w:spacing w:after="0"/>
            </w:pPr>
            <w:r w:rsidRPr="00181EF3">
              <w:t>26,508</w:t>
            </w:r>
          </w:p>
          <w:p w14:paraId="35C30D25" w14:textId="77777777" w:rsidR="0045021E" w:rsidRPr="00181EF3" w:rsidRDefault="0045021E" w:rsidP="00370973">
            <w:pPr>
              <w:pStyle w:val="TableText"/>
              <w:spacing w:before="0"/>
              <w:jc w:val="center"/>
            </w:pPr>
            <w:r w:rsidRPr="00181EF3">
              <w:t>(5%)</w:t>
            </w:r>
          </w:p>
        </w:tc>
        <w:tc>
          <w:tcPr>
            <w:tcW w:w="1158" w:type="dxa"/>
            <w:tcBorders>
              <w:right w:val="single" w:sz="4" w:space="0" w:color="A6A6A6" w:themeColor="background1" w:themeShade="A6"/>
            </w:tcBorders>
            <w:shd w:val="clear" w:color="auto" w:fill="auto"/>
          </w:tcPr>
          <w:p w14:paraId="16DC1A63" w14:textId="77777777" w:rsidR="0045021E" w:rsidRPr="00181EF3" w:rsidRDefault="0045021E" w:rsidP="00370973">
            <w:pPr>
              <w:pStyle w:val="TableText"/>
              <w:tabs>
                <w:tab w:val="decimal" w:pos="794"/>
              </w:tabs>
              <w:spacing w:after="0"/>
            </w:pPr>
            <w:r w:rsidRPr="00181EF3">
              <w:t>347,385</w:t>
            </w:r>
          </w:p>
          <w:p w14:paraId="14ED088E" w14:textId="77777777" w:rsidR="0045021E" w:rsidRPr="00181EF3" w:rsidRDefault="0045021E" w:rsidP="00370973">
            <w:pPr>
              <w:pStyle w:val="TableText"/>
              <w:spacing w:before="0"/>
              <w:jc w:val="center"/>
            </w:pPr>
            <w:r w:rsidRPr="00181EF3">
              <w:t>(11%)</w:t>
            </w:r>
          </w:p>
        </w:tc>
        <w:tc>
          <w:tcPr>
            <w:tcW w:w="1158" w:type="dxa"/>
            <w:tcBorders>
              <w:left w:val="single" w:sz="4" w:space="0" w:color="A6A6A6" w:themeColor="background1" w:themeShade="A6"/>
            </w:tcBorders>
            <w:shd w:val="clear" w:color="auto" w:fill="auto"/>
          </w:tcPr>
          <w:p w14:paraId="646DF917" w14:textId="77777777" w:rsidR="0045021E" w:rsidRPr="00181EF3" w:rsidRDefault="0045021E" w:rsidP="00370973">
            <w:pPr>
              <w:pStyle w:val="TableText"/>
              <w:tabs>
                <w:tab w:val="decimal" w:pos="794"/>
              </w:tabs>
              <w:spacing w:after="0"/>
            </w:pPr>
            <w:r w:rsidRPr="00181EF3">
              <w:t>29,361</w:t>
            </w:r>
          </w:p>
          <w:p w14:paraId="69F9C876" w14:textId="77777777" w:rsidR="0045021E" w:rsidRPr="00181EF3" w:rsidRDefault="0045021E" w:rsidP="00370973">
            <w:pPr>
              <w:pStyle w:val="TableText"/>
              <w:spacing w:before="0"/>
              <w:jc w:val="center"/>
            </w:pPr>
            <w:r w:rsidRPr="00181EF3">
              <w:t>(5%)</w:t>
            </w:r>
          </w:p>
        </w:tc>
        <w:tc>
          <w:tcPr>
            <w:tcW w:w="1157" w:type="dxa"/>
            <w:tcBorders>
              <w:right w:val="single" w:sz="4" w:space="0" w:color="A6A6A6" w:themeColor="background1" w:themeShade="A6"/>
            </w:tcBorders>
            <w:shd w:val="clear" w:color="auto" w:fill="auto"/>
          </w:tcPr>
          <w:p w14:paraId="2E8C404B" w14:textId="77777777" w:rsidR="0045021E" w:rsidRPr="00181EF3" w:rsidRDefault="0045021E" w:rsidP="00370973">
            <w:pPr>
              <w:pStyle w:val="TableText"/>
              <w:tabs>
                <w:tab w:val="decimal" w:pos="794"/>
              </w:tabs>
              <w:spacing w:after="0"/>
            </w:pPr>
            <w:r w:rsidRPr="00181EF3">
              <w:t>367,875</w:t>
            </w:r>
          </w:p>
          <w:p w14:paraId="558B4686" w14:textId="77777777" w:rsidR="0045021E" w:rsidRPr="00181EF3" w:rsidRDefault="0045021E" w:rsidP="00370973">
            <w:pPr>
              <w:pStyle w:val="TableText"/>
              <w:spacing w:before="0"/>
              <w:jc w:val="center"/>
            </w:pPr>
            <w:r w:rsidRPr="00181EF3">
              <w:t>(11%)</w:t>
            </w:r>
          </w:p>
        </w:tc>
        <w:tc>
          <w:tcPr>
            <w:tcW w:w="1158" w:type="dxa"/>
            <w:tcBorders>
              <w:left w:val="single" w:sz="4" w:space="0" w:color="A6A6A6" w:themeColor="background1" w:themeShade="A6"/>
            </w:tcBorders>
            <w:shd w:val="clear" w:color="auto" w:fill="auto"/>
          </w:tcPr>
          <w:p w14:paraId="5B1D753E" w14:textId="77777777" w:rsidR="0045021E" w:rsidRPr="00181EF3" w:rsidRDefault="0045021E" w:rsidP="00370973">
            <w:pPr>
              <w:pStyle w:val="TableText"/>
              <w:tabs>
                <w:tab w:val="decimal" w:pos="794"/>
              </w:tabs>
              <w:spacing w:after="0"/>
            </w:pPr>
            <w:r w:rsidRPr="00181EF3">
              <w:t>32,004</w:t>
            </w:r>
          </w:p>
          <w:p w14:paraId="1427C150" w14:textId="77777777" w:rsidR="0045021E" w:rsidRPr="00181EF3" w:rsidRDefault="0045021E" w:rsidP="00370973">
            <w:pPr>
              <w:pStyle w:val="TableText"/>
              <w:spacing w:before="0"/>
              <w:jc w:val="center"/>
            </w:pPr>
            <w:r w:rsidRPr="00181EF3">
              <w:t>(5%)</w:t>
            </w:r>
          </w:p>
        </w:tc>
        <w:tc>
          <w:tcPr>
            <w:tcW w:w="1158" w:type="dxa"/>
            <w:shd w:val="clear" w:color="auto" w:fill="auto"/>
          </w:tcPr>
          <w:p w14:paraId="542FE238" w14:textId="77777777" w:rsidR="0045021E" w:rsidRPr="00181EF3" w:rsidRDefault="0045021E" w:rsidP="00370973">
            <w:pPr>
              <w:pStyle w:val="TableText"/>
              <w:tabs>
                <w:tab w:val="decimal" w:pos="794"/>
              </w:tabs>
              <w:spacing w:after="0"/>
            </w:pPr>
            <w:r w:rsidRPr="00181EF3">
              <w:t>381,726</w:t>
            </w:r>
          </w:p>
          <w:p w14:paraId="4C06551C" w14:textId="77777777" w:rsidR="0045021E" w:rsidRPr="00181EF3" w:rsidRDefault="0045021E" w:rsidP="00370973">
            <w:pPr>
              <w:pStyle w:val="TableText"/>
              <w:spacing w:before="0"/>
              <w:jc w:val="center"/>
            </w:pPr>
            <w:r w:rsidRPr="00181EF3">
              <w:t>(11%)</w:t>
            </w:r>
          </w:p>
        </w:tc>
      </w:tr>
      <w:tr w:rsidR="0045021E" w:rsidRPr="00181EF3" w14:paraId="6187A2C8" w14:textId="77777777" w:rsidTr="00370973">
        <w:trPr>
          <w:cantSplit/>
        </w:trPr>
        <w:tc>
          <w:tcPr>
            <w:tcW w:w="1134" w:type="dxa"/>
            <w:tcBorders>
              <w:right w:val="single" w:sz="4" w:space="0" w:color="A6A6A6" w:themeColor="background1" w:themeShade="A6"/>
            </w:tcBorders>
            <w:shd w:val="clear" w:color="auto" w:fill="auto"/>
          </w:tcPr>
          <w:p w14:paraId="42B48742" w14:textId="77777777" w:rsidR="0045021E" w:rsidRPr="00181EF3" w:rsidRDefault="0045021E" w:rsidP="00370973">
            <w:pPr>
              <w:pStyle w:val="TableText"/>
            </w:pPr>
            <w:r w:rsidRPr="00181EF3">
              <w:t>4</w:t>
            </w:r>
          </w:p>
        </w:tc>
        <w:tc>
          <w:tcPr>
            <w:tcW w:w="1157" w:type="dxa"/>
            <w:tcBorders>
              <w:left w:val="single" w:sz="4" w:space="0" w:color="A6A6A6" w:themeColor="background1" w:themeShade="A6"/>
            </w:tcBorders>
            <w:shd w:val="clear" w:color="auto" w:fill="auto"/>
          </w:tcPr>
          <w:p w14:paraId="22B5D435" w14:textId="77777777" w:rsidR="0045021E" w:rsidRPr="00181EF3" w:rsidRDefault="0045021E" w:rsidP="00370973">
            <w:pPr>
              <w:pStyle w:val="TableText"/>
              <w:tabs>
                <w:tab w:val="decimal" w:pos="794"/>
              </w:tabs>
              <w:spacing w:after="0"/>
            </w:pPr>
            <w:r w:rsidRPr="00181EF3">
              <w:t>30,552</w:t>
            </w:r>
          </w:p>
          <w:p w14:paraId="349AB7F1" w14:textId="77777777" w:rsidR="0045021E" w:rsidRPr="00181EF3" w:rsidRDefault="0045021E" w:rsidP="00370973">
            <w:pPr>
              <w:pStyle w:val="TableText"/>
              <w:spacing w:before="0"/>
              <w:jc w:val="center"/>
            </w:pPr>
            <w:r w:rsidRPr="00181EF3">
              <w:t>(6%)</w:t>
            </w:r>
          </w:p>
        </w:tc>
        <w:tc>
          <w:tcPr>
            <w:tcW w:w="1158" w:type="dxa"/>
            <w:tcBorders>
              <w:right w:val="single" w:sz="4" w:space="0" w:color="A6A6A6" w:themeColor="background1" w:themeShade="A6"/>
            </w:tcBorders>
            <w:shd w:val="clear" w:color="auto" w:fill="auto"/>
          </w:tcPr>
          <w:p w14:paraId="2E8F655B" w14:textId="77777777" w:rsidR="0045021E" w:rsidRPr="00181EF3" w:rsidRDefault="0045021E" w:rsidP="00370973">
            <w:pPr>
              <w:pStyle w:val="TableText"/>
              <w:tabs>
                <w:tab w:val="decimal" w:pos="794"/>
              </w:tabs>
              <w:spacing w:after="0"/>
            </w:pPr>
            <w:r w:rsidRPr="00181EF3">
              <w:t>324,507</w:t>
            </w:r>
          </w:p>
          <w:p w14:paraId="4E300E81" w14:textId="77777777" w:rsidR="0045021E" w:rsidRPr="00181EF3" w:rsidRDefault="0045021E" w:rsidP="00370973">
            <w:pPr>
              <w:pStyle w:val="TableText"/>
              <w:spacing w:before="0"/>
              <w:jc w:val="center"/>
            </w:pPr>
            <w:r w:rsidRPr="00181EF3">
              <w:t>(10%)</w:t>
            </w:r>
          </w:p>
        </w:tc>
        <w:tc>
          <w:tcPr>
            <w:tcW w:w="1158" w:type="dxa"/>
            <w:tcBorders>
              <w:left w:val="single" w:sz="4" w:space="0" w:color="A6A6A6" w:themeColor="background1" w:themeShade="A6"/>
            </w:tcBorders>
            <w:shd w:val="clear" w:color="auto" w:fill="auto"/>
          </w:tcPr>
          <w:p w14:paraId="24A9386B" w14:textId="77777777" w:rsidR="0045021E" w:rsidRPr="00181EF3" w:rsidRDefault="0045021E" w:rsidP="00370973">
            <w:pPr>
              <w:pStyle w:val="TableText"/>
              <w:tabs>
                <w:tab w:val="decimal" w:pos="794"/>
              </w:tabs>
              <w:spacing w:after="0"/>
            </w:pPr>
            <w:r w:rsidRPr="00181EF3">
              <w:t>33,678</w:t>
            </w:r>
          </w:p>
          <w:p w14:paraId="0AE61447" w14:textId="77777777" w:rsidR="0045021E" w:rsidRPr="00181EF3" w:rsidRDefault="0045021E" w:rsidP="00370973">
            <w:pPr>
              <w:pStyle w:val="TableText"/>
              <w:spacing w:before="0"/>
              <w:jc w:val="center"/>
            </w:pPr>
            <w:r w:rsidRPr="00181EF3">
              <w:t>(6%)</w:t>
            </w:r>
          </w:p>
        </w:tc>
        <w:tc>
          <w:tcPr>
            <w:tcW w:w="1157" w:type="dxa"/>
            <w:tcBorders>
              <w:right w:val="single" w:sz="4" w:space="0" w:color="A6A6A6" w:themeColor="background1" w:themeShade="A6"/>
            </w:tcBorders>
            <w:shd w:val="clear" w:color="auto" w:fill="auto"/>
          </w:tcPr>
          <w:p w14:paraId="37A48C22" w14:textId="77777777" w:rsidR="0045021E" w:rsidRPr="00181EF3" w:rsidRDefault="0045021E" w:rsidP="00370973">
            <w:pPr>
              <w:pStyle w:val="TableText"/>
              <w:tabs>
                <w:tab w:val="decimal" w:pos="794"/>
              </w:tabs>
              <w:spacing w:after="0"/>
            </w:pPr>
            <w:r w:rsidRPr="00181EF3">
              <w:t>355,188</w:t>
            </w:r>
          </w:p>
          <w:p w14:paraId="3EA0D1DD" w14:textId="77777777" w:rsidR="0045021E" w:rsidRPr="00181EF3" w:rsidRDefault="0045021E" w:rsidP="00370973">
            <w:pPr>
              <w:pStyle w:val="TableText"/>
              <w:spacing w:before="0"/>
              <w:jc w:val="center"/>
            </w:pPr>
            <w:r w:rsidRPr="00181EF3">
              <w:t>(11%)</w:t>
            </w:r>
          </w:p>
        </w:tc>
        <w:tc>
          <w:tcPr>
            <w:tcW w:w="1158" w:type="dxa"/>
            <w:tcBorders>
              <w:left w:val="single" w:sz="4" w:space="0" w:color="A6A6A6" w:themeColor="background1" w:themeShade="A6"/>
            </w:tcBorders>
            <w:shd w:val="clear" w:color="auto" w:fill="auto"/>
          </w:tcPr>
          <w:p w14:paraId="3A9FD923" w14:textId="77777777" w:rsidR="0045021E" w:rsidRPr="00181EF3" w:rsidRDefault="0045021E" w:rsidP="00370973">
            <w:pPr>
              <w:pStyle w:val="TableText"/>
              <w:tabs>
                <w:tab w:val="decimal" w:pos="794"/>
              </w:tabs>
              <w:spacing w:after="0"/>
            </w:pPr>
            <w:r w:rsidRPr="00181EF3">
              <w:t>37,173</w:t>
            </w:r>
          </w:p>
          <w:p w14:paraId="2159E2FE" w14:textId="77777777" w:rsidR="0045021E" w:rsidRPr="00181EF3" w:rsidRDefault="0045021E" w:rsidP="00370973">
            <w:pPr>
              <w:pStyle w:val="TableText"/>
              <w:spacing w:before="0"/>
              <w:jc w:val="center"/>
            </w:pPr>
            <w:r w:rsidRPr="00181EF3">
              <w:t>(6%)</w:t>
            </w:r>
          </w:p>
        </w:tc>
        <w:tc>
          <w:tcPr>
            <w:tcW w:w="1158" w:type="dxa"/>
            <w:shd w:val="clear" w:color="auto" w:fill="auto"/>
          </w:tcPr>
          <w:p w14:paraId="1065E47F" w14:textId="77777777" w:rsidR="0045021E" w:rsidRPr="00181EF3" w:rsidRDefault="0045021E" w:rsidP="00370973">
            <w:pPr>
              <w:pStyle w:val="TableText"/>
              <w:tabs>
                <w:tab w:val="decimal" w:pos="794"/>
              </w:tabs>
              <w:spacing w:after="0"/>
            </w:pPr>
            <w:r w:rsidRPr="00181EF3">
              <w:t>365,547</w:t>
            </w:r>
          </w:p>
          <w:p w14:paraId="2FFB94C9" w14:textId="77777777" w:rsidR="0045021E" w:rsidRPr="00181EF3" w:rsidRDefault="0045021E" w:rsidP="00370973">
            <w:pPr>
              <w:pStyle w:val="TableText"/>
              <w:spacing w:before="0"/>
              <w:jc w:val="center"/>
            </w:pPr>
            <w:r w:rsidRPr="00181EF3">
              <w:t>(11%)</w:t>
            </w:r>
          </w:p>
        </w:tc>
      </w:tr>
      <w:tr w:rsidR="0045021E" w:rsidRPr="00181EF3" w14:paraId="4A0FB5BB" w14:textId="77777777" w:rsidTr="00370973">
        <w:trPr>
          <w:cantSplit/>
        </w:trPr>
        <w:tc>
          <w:tcPr>
            <w:tcW w:w="1134" w:type="dxa"/>
            <w:tcBorders>
              <w:right w:val="single" w:sz="4" w:space="0" w:color="A6A6A6" w:themeColor="background1" w:themeShade="A6"/>
            </w:tcBorders>
            <w:shd w:val="clear" w:color="auto" w:fill="auto"/>
          </w:tcPr>
          <w:p w14:paraId="2B7CC29A" w14:textId="77777777" w:rsidR="0045021E" w:rsidRPr="00181EF3" w:rsidRDefault="0045021E" w:rsidP="00370973">
            <w:pPr>
              <w:pStyle w:val="TableText"/>
            </w:pPr>
            <w:r w:rsidRPr="00181EF3">
              <w:t>5</w:t>
            </w:r>
          </w:p>
        </w:tc>
        <w:tc>
          <w:tcPr>
            <w:tcW w:w="1157" w:type="dxa"/>
            <w:tcBorders>
              <w:left w:val="single" w:sz="4" w:space="0" w:color="A6A6A6" w:themeColor="background1" w:themeShade="A6"/>
            </w:tcBorders>
            <w:shd w:val="clear" w:color="auto" w:fill="auto"/>
          </w:tcPr>
          <w:p w14:paraId="6C424FA8" w14:textId="77777777" w:rsidR="0045021E" w:rsidRPr="00181EF3" w:rsidRDefault="0045021E" w:rsidP="00370973">
            <w:pPr>
              <w:pStyle w:val="TableText"/>
              <w:tabs>
                <w:tab w:val="decimal" w:pos="794"/>
              </w:tabs>
              <w:spacing w:after="0"/>
            </w:pPr>
            <w:r w:rsidRPr="00181EF3">
              <w:t>41,478</w:t>
            </w:r>
          </w:p>
          <w:p w14:paraId="46F6C556" w14:textId="77777777" w:rsidR="0045021E" w:rsidRPr="00181EF3" w:rsidRDefault="0045021E" w:rsidP="00370973">
            <w:pPr>
              <w:pStyle w:val="TableText"/>
              <w:spacing w:before="0"/>
              <w:jc w:val="center"/>
            </w:pPr>
            <w:r w:rsidRPr="00181EF3">
              <w:t>(8%)</w:t>
            </w:r>
          </w:p>
        </w:tc>
        <w:tc>
          <w:tcPr>
            <w:tcW w:w="1158" w:type="dxa"/>
            <w:tcBorders>
              <w:right w:val="single" w:sz="4" w:space="0" w:color="A6A6A6" w:themeColor="background1" w:themeShade="A6"/>
            </w:tcBorders>
            <w:shd w:val="clear" w:color="auto" w:fill="auto"/>
          </w:tcPr>
          <w:p w14:paraId="03FD3DE7" w14:textId="77777777" w:rsidR="0045021E" w:rsidRPr="00181EF3" w:rsidRDefault="0045021E" w:rsidP="00370973">
            <w:pPr>
              <w:pStyle w:val="TableText"/>
              <w:tabs>
                <w:tab w:val="decimal" w:pos="794"/>
              </w:tabs>
              <w:spacing w:after="0"/>
            </w:pPr>
            <w:r w:rsidRPr="00181EF3">
              <w:t>326,130</w:t>
            </w:r>
          </w:p>
          <w:p w14:paraId="253C693D" w14:textId="77777777" w:rsidR="0045021E" w:rsidRPr="00181EF3" w:rsidRDefault="0045021E" w:rsidP="00370973">
            <w:pPr>
              <w:pStyle w:val="TableText"/>
              <w:spacing w:before="0"/>
              <w:jc w:val="center"/>
            </w:pPr>
            <w:r w:rsidRPr="00181EF3">
              <w:t>(10%)</w:t>
            </w:r>
          </w:p>
        </w:tc>
        <w:tc>
          <w:tcPr>
            <w:tcW w:w="1158" w:type="dxa"/>
            <w:tcBorders>
              <w:left w:val="single" w:sz="4" w:space="0" w:color="A6A6A6" w:themeColor="background1" w:themeShade="A6"/>
            </w:tcBorders>
            <w:shd w:val="clear" w:color="auto" w:fill="auto"/>
          </w:tcPr>
          <w:p w14:paraId="199E03FB" w14:textId="77777777" w:rsidR="0045021E" w:rsidRPr="00181EF3" w:rsidRDefault="0045021E" w:rsidP="00370973">
            <w:pPr>
              <w:pStyle w:val="TableText"/>
              <w:tabs>
                <w:tab w:val="decimal" w:pos="794"/>
              </w:tabs>
              <w:spacing w:after="0"/>
            </w:pPr>
            <w:r w:rsidRPr="00181EF3">
              <w:t>40,191</w:t>
            </w:r>
          </w:p>
          <w:p w14:paraId="5E0B7E36" w14:textId="77777777" w:rsidR="0045021E" w:rsidRPr="00181EF3" w:rsidRDefault="0045021E" w:rsidP="00370973">
            <w:pPr>
              <w:pStyle w:val="TableText"/>
              <w:spacing w:before="0"/>
              <w:jc w:val="center"/>
            </w:pPr>
            <w:r w:rsidRPr="00181EF3">
              <w:t>(7%)</w:t>
            </w:r>
          </w:p>
        </w:tc>
        <w:tc>
          <w:tcPr>
            <w:tcW w:w="1157" w:type="dxa"/>
            <w:tcBorders>
              <w:right w:val="single" w:sz="4" w:space="0" w:color="A6A6A6" w:themeColor="background1" w:themeShade="A6"/>
            </w:tcBorders>
            <w:shd w:val="clear" w:color="auto" w:fill="auto"/>
          </w:tcPr>
          <w:p w14:paraId="79F5C923" w14:textId="77777777" w:rsidR="0045021E" w:rsidRPr="00181EF3" w:rsidRDefault="0045021E" w:rsidP="00370973">
            <w:pPr>
              <w:pStyle w:val="TableText"/>
              <w:tabs>
                <w:tab w:val="decimal" w:pos="794"/>
              </w:tabs>
              <w:spacing w:after="0"/>
            </w:pPr>
            <w:r w:rsidRPr="00181EF3">
              <w:t>343,464</w:t>
            </w:r>
          </w:p>
          <w:p w14:paraId="653236A7" w14:textId="77777777" w:rsidR="0045021E" w:rsidRPr="00181EF3" w:rsidRDefault="0045021E" w:rsidP="00370973">
            <w:pPr>
              <w:pStyle w:val="TableText"/>
              <w:spacing w:before="0"/>
              <w:jc w:val="center"/>
            </w:pPr>
            <w:r w:rsidRPr="00181EF3">
              <w:t>(10%)</w:t>
            </w:r>
          </w:p>
        </w:tc>
        <w:tc>
          <w:tcPr>
            <w:tcW w:w="1158" w:type="dxa"/>
            <w:tcBorders>
              <w:left w:val="single" w:sz="4" w:space="0" w:color="A6A6A6" w:themeColor="background1" w:themeShade="A6"/>
            </w:tcBorders>
            <w:shd w:val="clear" w:color="auto" w:fill="auto"/>
          </w:tcPr>
          <w:p w14:paraId="52679715" w14:textId="77777777" w:rsidR="0045021E" w:rsidRPr="00181EF3" w:rsidRDefault="0045021E" w:rsidP="00370973">
            <w:pPr>
              <w:pStyle w:val="TableText"/>
              <w:tabs>
                <w:tab w:val="decimal" w:pos="794"/>
              </w:tabs>
              <w:spacing w:after="0"/>
            </w:pPr>
            <w:r w:rsidRPr="00181EF3">
              <w:t>44,706</w:t>
            </w:r>
          </w:p>
          <w:p w14:paraId="6B1BE87A" w14:textId="77777777" w:rsidR="0045021E" w:rsidRPr="00181EF3" w:rsidRDefault="0045021E" w:rsidP="00370973">
            <w:pPr>
              <w:pStyle w:val="TableText"/>
              <w:spacing w:before="0"/>
              <w:jc w:val="center"/>
            </w:pPr>
            <w:r w:rsidRPr="00181EF3">
              <w:t>(7%)</w:t>
            </w:r>
          </w:p>
        </w:tc>
        <w:tc>
          <w:tcPr>
            <w:tcW w:w="1158" w:type="dxa"/>
            <w:shd w:val="clear" w:color="auto" w:fill="auto"/>
          </w:tcPr>
          <w:p w14:paraId="28B28715" w14:textId="77777777" w:rsidR="0045021E" w:rsidRPr="00181EF3" w:rsidRDefault="0045021E" w:rsidP="00370973">
            <w:pPr>
              <w:pStyle w:val="TableText"/>
              <w:tabs>
                <w:tab w:val="decimal" w:pos="794"/>
              </w:tabs>
              <w:spacing w:after="0"/>
            </w:pPr>
            <w:r w:rsidRPr="00181EF3">
              <w:t>355,488</w:t>
            </w:r>
          </w:p>
          <w:p w14:paraId="63F506B8" w14:textId="77777777" w:rsidR="0045021E" w:rsidRPr="00181EF3" w:rsidRDefault="0045021E" w:rsidP="00370973">
            <w:pPr>
              <w:pStyle w:val="TableText"/>
              <w:spacing w:before="0"/>
              <w:jc w:val="center"/>
            </w:pPr>
            <w:r w:rsidRPr="00181EF3">
              <w:t>(10%)</w:t>
            </w:r>
          </w:p>
        </w:tc>
      </w:tr>
      <w:tr w:rsidR="0045021E" w:rsidRPr="00181EF3" w14:paraId="374FD0F4" w14:textId="77777777" w:rsidTr="00370973">
        <w:trPr>
          <w:cantSplit/>
        </w:trPr>
        <w:tc>
          <w:tcPr>
            <w:tcW w:w="1134" w:type="dxa"/>
            <w:tcBorders>
              <w:right w:val="single" w:sz="4" w:space="0" w:color="A6A6A6" w:themeColor="background1" w:themeShade="A6"/>
            </w:tcBorders>
            <w:shd w:val="clear" w:color="auto" w:fill="auto"/>
          </w:tcPr>
          <w:p w14:paraId="57BBAE8F" w14:textId="77777777" w:rsidR="0045021E" w:rsidRPr="00181EF3" w:rsidRDefault="0045021E" w:rsidP="00370973">
            <w:pPr>
              <w:pStyle w:val="TableText"/>
            </w:pPr>
            <w:r w:rsidRPr="00181EF3">
              <w:t>6</w:t>
            </w:r>
          </w:p>
        </w:tc>
        <w:tc>
          <w:tcPr>
            <w:tcW w:w="1157" w:type="dxa"/>
            <w:tcBorders>
              <w:left w:val="single" w:sz="4" w:space="0" w:color="A6A6A6" w:themeColor="background1" w:themeShade="A6"/>
            </w:tcBorders>
            <w:shd w:val="clear" w:color="auto" w:fill="auto"/>
          </w:tcPr>
          <w:p w14:paraId="562485CE" w14:textId="77777777" w:rsidR="0045021E" w:rsidRPr="00181EF3" w:rsidRDefault="0045021E" w:rsidP="00370973">
            <w:pPr>
              <w:pStyle w:val="TableText"/>
              <w:tabs>
                <w:tab w:val="decimal" w:pos="794"/>
              </w:tabs>
              <w:spacing w:after="0"/>
            </w:pPr>
            <w:r w:rsidRPr="00181EF3">
              <w:t>48,591</w:t>
            </w:r>
          </w:p>
          <w:p w14:paraId="522E1237" w14:textId="77777777" w:rsidR="0045021E" w:rsidRPr="00181EF3" w:rsidRDefault="0045021E" w:rsidP="00370973">
            <w:pPr>
              <w:pStyle w:val="TableText"/>
              <w:spacing w:before="0"/>
              <w:jc w:val="center"/>
            </w:pPr>
            <w:r w:rsidRPr="00181EF3">
              <w:t>(9%)</w:t>
            </w:r>
          </w:p>
        </w:tc>
        <w:tc>
          <w:tcPr>
            <w:tcW w:w="1158" w:type="dxa"/>
            <w:tcBorders>
              <w:right w:val="single" w:sz="4" w:space="0" w:color="A6A6A6" w:themeColor="background1" w:themeShade="A6"/>
            </w:tcBorders>
            <w:shd w:val="clear" w:color="auto" w:fill="auto"/>
          </w:tcPr>
          <w:p w14:paraId="4C7DB4C7" w14:textId="77777777" w:rsidR="0045021E" w:rsidRPr="00181EF3" w:rsidRDefault="0045021E" w:rsidP="00370973">
            <w:pPr>
              <w:pStyle w:val="TableText"/>
              <w:tabs>
                <w:tab w:val="decimal" w:pos="794"/>
              </w:tabs>
              <w:spacing w:after="0"/>
            </w:pPr>
            <w:r w:rsidRPr="00181EF3">
              <w:t>317,841</w:t>
            </w:r>
          </w:p>
          <w:p w14:paraId="0D8D063F" w14:textId="77777777" w:rsidR="0045021E" w:rsidRPr="00181EF3" w:rsidRDefault="0045021E" w:rsidP="00370973">
            <w:pPr>
              <w:pStyle w:val="TableText"/>
              <w:spacing w:before="0"/>
              <w:jc w:val="center"/>
            </w:pPr>
            <w:r w:rsidRPr="00181EF3">
              <w:t>(10%)</w:t>
            </w:r>
          </w:p>
        </w:tc>
        <w:tc>
          <w:tcPr>
            <w:tcW w:w="1158" w:type="dxa"/>
            <w:tcBorders>
              <w:left w:val="single" w:sz="4" w:space="0" w:color="A6A6A6" w:themeColor="background1" w:themeShade="A6"/>
            </w:tcBorders>
            <w:shd w:val="clear" w:color="auto" w:fill="auto"/>
          </w:tcPr>
          <w:p w14:paraId="76354B17" w14:textId="77777777" w:rsidR="0045021E" w:rsidRPr="00181EF3" w:rsidRDefault="0045021E" w:rsidP="00370973">
            <w:pPr>
              <w:pStyle w:val="TableText"/>
              <w:tabs>
                <w:tab w:val="decimal" w:pos="794"/>
              </w:tabs>
              <w:spacing w:after="0"/>
            </w:pPr>
            <w:r w:rsidRPr="00181EF3">
              <w:t>50,184</w:t>
            </w:r>
          </w:p>
          <w:p w14:paraId="758EB800" w14:textId="77777777" w:rsidR="0045021E" w:rsidRPr="00181EF3" w:rsidRDefault="0045021E" w:rsidP="00370973">
            <w:pPr>
              <w:pStyle w:val="TableText"/>
              <w:spacing w:before="0"/>
              <w:jc w:val="center"/>
            </w:pPr>
            <w:r w:rsidRPr="00181EF3">
              <w:t>(9%)</w:t>
            </w:r>
          </w:p>
        </w:tc>
        <w:tc>
          <w:tcPr>
            <w:tcW w:w="1157" w:type="dxa"/>
            <w:tcBorders>
              <w:right w:val="single" w:sz="4" w:space="0" w:color="A6A6A6" w:themeColor="background1" w:themeShade="A6"/>
            </w:tcBorders>
            <w:shd w:val="clear" w:color="auto" w:fill="auto"/>
          </w:tcPr>
          <w:p w14:paraId="7F35C192" w14:textId="77777777" w:rsidR="0045021E" w:rsidRPr="00181EF3" w:rsidRDefault="0045021E" w:rsidP="00370973">
            <w:pPr>
              <w:pStyle w:val="TableText"/>
              <w:tabs>
                <w:tab w:val="decimal" w:pos="794"/>
              </w:tabs>
              <w:spacing w:after="0"/>
            </w:pPr>
            <w:r w:rsidRPr="00181EF3">
              <w:t>333,948</w:t>
            </w:r>
          </w:p>
          <w:p w14:paraId="4C4FFBB2" w14:textId="77777777" w:rsidR="0045021E" w:rsidRPr="00181EF3" w:rsidRDefault="0045021E" w:rsidP="00370973">
            <w:pPr>
              <w:pStyle w:val="TableText"/>
              <w:spacing w:before="0"/>
              <w:jc w:val="center"/>
            </w:pPr>
            <w:r w:rsidRPr="00181EF3">
              <w:t>(10%)</w:t>
            </w:r>
          </w:p>
        </w:tc>
        <w:tc>
          <w:tcPr>
            <w:tcW w:w="1158" w:type="dxa"/>
            <w:tcBorders>
              <w:left w:val="single" w:sz="4" w:space="0" w:color="A6A6A6" w:themeColor="background1" w:themeShade="A6"/>
            </w:tcBorders>
            <w:shd w:val="clear" w:color="auto" w:fill="auto"/>
          </w:tcPr>
          <w:p w14:paraId="3377A6AB" w14:textId="77777777" w:rsidR="0045021E" w:rsidRPr="00181EF3" w:rsidRDefault="0045021E" w:rsidP="00370973">
            <w:pPr>
              <w:pStyle w:val="TableText"/>
              <w:tabs>
                <w:tab w:val="decimal" w:pos="794"/>
              </w:tabs>
              <w:spacing w:after="0"/>
            </w:pPr>
            <w:r w:rsidRPr="00181EF3">
              <w:t>52,848</w:t>
            </w:r>
          </w:p>
          <w:p w14:paraId="1041C125" w14:textId="77777777" w:rsidR="0045021E" w:rsidRPr="00181EF3" w:rsidRDefault="0045021E" w:rsidP="00370973">
            <w:pPr>
              <w:pStyle w:val="TableText"/>
              <w:spacing w:before="0"/>
              <w:jc w:val="center"/>
            </w:pPr>
            <w:r w:rsidRPr="00181EF3">
              <w:t>(9%)</w:t>
            </w:r>
          </w:p>
        </w:tc>
        <w:tc>
          <w:tcPr>
            <w:tcW w:w="1158" w:type="dxa"/>
            <w:shd w:val="clear" w:color="auto" w:fill="auto"/>
          </w:tcPr>
          <w:p w14:paraId="459B65CF" w14:textId="77777777" w:rsidR="0045021E" w:rsidRPr="00181EF3" w:rsidRDefault="0045021E" w:rsidP="00370973">
            <w:pPr>
              <w:pStyle w:val="TableText"/>
              <w:tabs>
                <w:tab w:val="decimal" w:pos="794"/>
              </w:tabs>
              <w:spacing w:after="0"/>
            </w:pPr>
            <w:r w:rsidRPr="00181EF3">
              <w:t>342,387</w:t>
            </w:r>
          </w:p>
          <w:p w14:paraId="759D86F8" w14:textId="77777777" w:rsidR="0045021E" w:rsidRPr="00181EF3" w:rsidRDefault="0045021E" w:rsidP="00370973">
            <w:pPr>
              <w:pStyle w:val="TableText"/>
              <w:spacing w:before="0"/>
              <w:jc w:val="center"/>
            </w:pPr>
            <w:r w:rsidRPr="00181EF3">
              <w:t>(10%)</w:t>
            </w:r>
          </w:p>
        </w:tc>
      </w:tr>
      <w:tr w:rsidR="0045021E" w:rsidRPr="00181EF3" w14:paraId="50CFAA28" w14:textId="77777777" w:rsidTr="00370973">
        <w:trPr>
          <w:cantSplit/>
        </w:trPr>
        <w:tc>
          <w:tcPr>
            <w:tcW w:w="1134" w:type="dxa"/>
            <w:tcBorders>
              <w:right w:val="single" w:sz="4" w:space="0" w:color="A6A6A6" w:themeColor="background1" w:themeShade="A6"/>
            </w:tcBorders>
            <w:shd w:val="clear" w:color="auto" w:fill="auto"/>
          </w:tcPr>
          <w:p w14:paraId="0C0FFA09" w14:textId="77777777" w:rsidR="0045021E" w:rsidRPr="00181EF3" w:rsidRDefault="0045021E" w:rsidP="00370973">
            <w:pPr>
              <w:pStyle w:val="TableText"/>
            </w:pPr>
            <w:r w:rsidRPr="00181EF3">
              <w:t>7</w:t>
            </w:r>
          </w:p>
        </w:tc>
        <w:tc>
          <w:tcPr>
            <w:tcW w:w="1157" w:type="dxa"/>
            <w:tcBorders>
              <w:left w:val="single" w:sz="4" w:space="0" w:color="A6A6A6" w:themeColor="background1" w:themeShade="A6"/>
            </w:tcBorders>
            <w:shd w:val="clear" w:color="auto" w:fill="auto"/>
          </w:tcPr>
          <w:p w14:paraId="5BF7D321" w14:textId="77777777" w:rsidR="0045021E" w:rsidRPr="00181EF3" w:rsidRDefault="0045021E" w:rsidP="00370973">
            <w:pPr>
              <w:pStyle w:val="TableText"/>
              <w:tabs>
                <w:tab w:val="decimal" w:pos="794"/>
              </w:tabs>
              <w:spacing w:after="0"/>
            </w:pPr>
            <w:r w:rsidRPr="00181EF3">
              <w:t>53,148</w:t>
            </w:r>
          </w:p>
          <w:p w14:paraId="4D6B8B1B" w14:textId="77777777" w:rsidR="0045021E" w:rsidRPr="00181EF3" w:rsidRDefault="0045021E" w:rsidP="00370973">
            <w:pPr>
              <w:pStyle w:val="TableText"/>
              <w:spacing w:before="0"/>
              <w:jc w:val="center"/>
            </w:pPr>
            <w:r w:rsidRPr="00181EF3">
              <w:t>(10%)</w:t>
            </w:r>
          </w:p>
        </w:tc>
        <w:tc>
          <w:tcPr>
            <w:tcW w:w="1158" w:type="dxa"/>
            <w:tcBorders>
              <w:right w:val="single" w:sz="4" w:space="0" w:color="A6A6A6" w:themeColor="background1" w:themeShade="A6"/>
            </w:tcBorders>
            <w:shd w:val="clear" w:color="auto" w:fill="auto"/>
          </w:tcPr>
          <w:p w14:paraId="31C456C9" w14:textId="77777777" w:rsidR="0045021E" w:rsidRPr="00181EF3" w:rsidRDefault="0045021E" w:rsidP="00370973">
            <w:pPr>
              <w:pStyle w:val="TableText"/>
              <w:tabs>
                <w:tab w:val="decimal" w:pos="794"/>
              </w:tabs>
              <w:spacing w:after="0"/>
            </w:pPr>
            <w:r w:rsidRPr="00181EF3">
              <w:t>306,519</w:t>
            </w:r>
          </w:p>
          <w:p w14:paraId="54423DE7" w14:textId="77777777" w:rsidR="0045021E" w:rsidRPr="00181EF3" w:rsidRDefault="0045021E" w:rsidP="00370973">
            <w:pPr>
              <w:pStyle w:val="TableText"/>
              <w:spacing w:before="0"/>
              <w:jc w:val="center"/>
            </w:pPr>
            <w:r w:rsidRPr="00181EF3">
              <w:t>(10%)</w:t>
            </w:r>
          </w:p>
        </w:tc>
        <w:tc>
          <w:tcPr>
            <w:tcW w:w="1158" w:type="dxa"/>
            <w:tcBorders>
              <w:left w:val="single" w:sz="4" w:space="0" w:color="A6A6A6" w:themeColor="background1" w:themeShade="A6"/>
            </w:tcBorders>
            <w:shd w:val="clear" w:color="auto" w:fill="auto"/>
          </w:tcPr>
          <w:p w14:paraId="0C4D9B71" w14:textId="77777777" w:rsidR="0045021E" w:rsidRPr="00181EF3" w:rsidRDefault="0045021E" w:rsidP="00370973">
            <w:pPr>
              <w:pStyle w:val="TableText"/>
              <w:tabs>
                <w:tab w:val="decimal" w:pos="794"/>
              </w:tabs>
              <w:spacing w:after="0"/>
            </w:pPr>
            <w:r w:rsidRPr="00181EF3">
              <w:t>58,908</w:t>
            </w:r>
          </w:p>
          <w:p w14:paraId="1850ED55" w14:textId="77777777" w:rsidR="0045021E" w:rsidRPr="00181EF3" w:rsidRDefault="0045021E" w:rsidP="00370973">
            <w:pPr>
              <w:pStyle w:val="TableText"/>
              <w:spacing w:before="0"/>
              <w:jc w:val="center"/>
            </w:pPr>
            <w:r w:rsidRPr="00181EF3">
              <w:t>(10%)</w:t>
            </w:r>
          </w:p>
        </w:tc>
        <w:tc>
          <w:tcPr>
            <w:tcW w:w="1157" w:type="dxa"/>
            <w:tcBorders>
              <w:right w:val="single" w:sz="4" w:space="0" w:color="A6A6A6" w:themeColor="background1" w:themeShade="A6"/>
            </w:tcBorders>
            <w:shd w:val="clear" w:color="auto" w:fill="auto"/>
          </w:tcPr>
          <w:p w14:paraId="73ADA0F4" w14:textId="77777777" w:rsidR="0045021E" w:rsidRPr="00181EF3" w:rsidRDefault="0045021E" w:rsidP="00370973">
            <w:pPr>
              <w:pStyle w:val="TableText"/>
              <w:tabs>
                <w:tab w:val="decimal" w:pos="794"/>
              </w:tabs>
              <w:spacing w:after="0"/>
            </w:pPr>
            <w:r w:rsidRPr="00181EF3">
              <w:t>319,884</w:t>
            </w:r>
          </w:p>
          <w:p w14:paraId="6704B0FE" w14:textId="77777777" w:rsidR="0045021E" w:rsidRPr="00181EF3" w:rsidRDefault="0045021E" w:rsidP="00370973">
            <w:pPr>
              <w:pStyle w:val="TableText"/>
              <w:spacing w:before="0"/>
              <w:jc w:val="center"/>
            </w:pPr>
            <w:r w:rsidRPr="00181EF3">
              <w:t>(10%)</w:t>
            </w:r>
          </w:p>
        </w:tc>
        <w:tc>
          <w:tcPr>
            <w:tcW w:w="1158" w:type="dxa"/>
            <w:tcBorders>
              <w:left w:val="single" w:sz="4" w:space="0" w:color="A6A6A6" w:themeColor="background1" w:themeShade="A6"/>
            </w:tcBorders>
            <w:shd w:val="clear" w:color="auto" w:fill="auto"/>
          </w:tcPr>
          <w:p w14:paraId="3A06DFF5" w14:textId="77777777" w:rsidR="0045021E" w:rsidRPr="00181EF3" w:rsidRDefault="0045021E" w:rsidP="00370973">
            <w:pPr>
              <w:pStyle w:val="TableText"/>
              <w:tabs>
                <w:tab w:val="decimal" w:pos="794"/>
              </w:tabs>
              <w:spacing w:after="0"/>
            </w:pPr>
            <w:r w:rsidRPr="00181EF3">
              <w:t>61,827</w:t>
            </w:r>
          </w:p>
          <w:p w14:paraId="34CA921F" w14:textId="77777777" w:rsidR="0045021E" w:rsidRPr="00181EF3" w:rsidRDefault="0045021E" w:rsidP="00370973">
            <w:pPr>
              <w:pStyle w:val="TableText"/>
              <w:spacing w:before="0"/>
              <w:jc w:val="center"/>
            </w:pPr>
            <w:r w:rsidRPr="00181EF3">
              <w:t>(10%)</w:t>
            </w:r>
          </w:p>
        </w:tc>
        <w:tc>
          <w:tcPr>
            <w:tcW w:w="1158" w:type="dxa"/>
            <w:shd w:val="clear" w:color="auto" w:fill="auto"/>
          </w:tcPr>
          <w:p w14:paraId="5A547A1D" w14:textId="77777777" w:rsidR="0045021E" w:rsidRPr="00181EF3" w:rsidRDefault="0045021E" w:rsidP="00370973">
            <w:pPr>
              <w:pStyle w:val="TableText"/>
              <w:tabs>
                <w:tab w:val="decimal" w:pos="794"/>
              </w:tabs>
              <w:spacing w:after="0"/>
            </w:pPr>
            <w:r w:rsidRPr="00181EF3">
              <w:t>329,565</w:t>
            </w:r>
          </w:p>
          <w:p w14:paraId="75DD95FB" w14:textId="77777777" w:rsidR="0045021E" w:rsidRPr="00181EF3" w:rsidRDefault="0045021E" w:rsidP="00370973">
            <w:pPr>
              <w:pStyle w:val="TableText"/>
              <w:spacing w:before="0"/>
              <w:jc w:val="center"/>
            </w:pPr>
            <w:r w:rsidRPr="00181EF3">
              <w:t>(10%)</w:t>
            </w:r>
          </w:p>
        </w:tc>
      </w:tr>
      <w:tr w:rsidR="0045021E" w:rsidRPr="00181EF3" w14:paraId="62A7E617" w14:textId="77777777" w:rsidTr="00370973">
        <w:trPr>
          <w:cantSplit/>
        </w:trPr>
        <w:tc>
          <w:tcPr>
            <w:tcW w:w="1134" w:type="dxa"/>
            <w:tcBorders>
              <w:right w:val="single" w:sz="4" w:space="0" w:color="A6A6A6" w:themeColor="background1" w:themeShade="A6"/>
            </w:tcBorders>
            <w:shd w:val="clear" w:color="auto" w:fill="auto"/>
          </w:tcPr>
          <w:p w14:paraId="49BF90A1" w14:textId="77777777" w:rsidR="0045021E" w:rsidRPr="00181EF3" w:rsidRDefault="0045021E" w:rsidP="00370973">
            <w:pPr>
              <w:pStyle w:val="TableText"/>
            </w:pPr>
            <w:r w:rsidRPr="00181EF3">
              <w:t>8</w:t>
            </w:r>
          </w:p>
        </w:tc>
        <w:tc>
          <w:tcPr>
            <w:tcW w:w="1157" w:type="dxa"/>
            <w:tcBorders>
              <w:left w:val="single" w:sz="4" w:space="0" w:color="A6A6A6" w:themeColor="background1" w:themeShade="A6"/>
            </w:tcBorders>
            <w:shd w:val="clear" w:color="auto" w:fill="auto"/>
          </w:tcPr>
          <w:p w14:paraId="551C50FF" w14:textId="77777777" w:rsidR="0045021E" w:rsidRPr="00181EF3" w:rsidRDefault="0045021E" w:rsidP="00370973">
            <w:pPr>
              <w:pStyle w:val="TableText"/>
              <w:tabs>
                <w:tab w:val="decimal" w:pos="794"/>
              </w:tabs>
              <w:spacing w:after="0"/>
            </w:pPr>
            <w:r w:rsidRPr="00181EF3">
              <w:t>66,216</w:t>
            </w:r>
          </w:p>
          <w:p w14:paraId="3A5C1EAE" w14:textId="77777777" w:rsidR="0045021E" w:rsidRPr="00181EF3" w:rsidRDefault="0045021E" w:rsidP="00370973">
            <w:pPr>
              <w:pStyle w:val="TableText"/>
              <w:spacing w:before="0"/>
              <w:jc w:val="center"/>
            </w:pPr>
            <w:r w:rsidRPr="00181EF3">
              <w:t>(13%)</w:t>
            </w:r>
          </w:p>
        </w:tc>
        <w:tc>
          <w:tcPr>
            <w:tcW w:w="1158" w:type="dxa"/>
            <w:tcBorders>
              <w:right w:val="single" w:sz="4" w:space="0" w:color="A6A6A6" w:themeColor="background1" w:themeShade="A6"/>
            </w:tcBorders>
            <w:shd w:val="clear" w:color="auto" w:fill="auto"/>
          </w:tcPr>
          <w:p w14:paraId="7B11BD18" w14:textId="77777777" w:rsidR="0045021E" w:rsidRPr="00181EF3" w:rsidRDefault="0045021E" w:rsidP="00370973">
            <w:pPr>
              <w:pStyle w:val="TableText"/>
              <w:tabs>
                <w:tab w:val="decimal" w:pos="794"/>
              </w:tabs>
              <w:spacing w:after="0"/>
            </w:pPr>
            <w:r w:rsidRPr="00181EF3">
              <w:t>294,441</w:t>
            </w:r>
          </w:p>
          <w:p w14:paraId="72903149" w14:textId="77777777" w:rsidR="0045021E" w:rsidRPr="00181EF3" w:rsidRDefault="0045021E" w:rsidP="00370973">
            <w:pPr>
              <w:pStyle w:val="TableText"/>
              <w:spacing w:before="0"/>
              <w:jc w:val="center"/>
            </w:pPr>
            <w:r w:rsidRPr="00181EF3">
              <w:t>(9%)</w:t>
            </w:r>
          </w:p>
        </w:tc>
        <w:tc>
          <w:tcPr>
            <w:tcW w:w="1158" w:type="dxa"/>
            <w:tcBorders>
              <w:left w:val="single" w:sz="4" w:space="0" w:color="A6A6A6" w:themeColor="background1" w:themeShade="A6"/>
            </w:tcBorders>
            <w:shd w:val="clear" w:color="auto" w:fill="auto"/>
          </w:tcPr>
          <w:p w14:paraId="20BFA932" w14:textId="77777777" w:rsidR="0045021E" w:rsidRPr="00181EF3" w:rsidRDefault="0045021E" w:rsidP="00370973">
            <w:pPr>
              <w:pStyle w:val="TableText"/>
              <w:tabs>
                <w:tab w:val="decimal" w:pos="794"/>
              </w:tabs>
              <w:spacing w:after="0"/>
            </w:pPr>
            <w:r w:rsidRPr="00181EF3">
              <w:t>73,692</w:t>
            </w:r>
          </w:p>
          <w:p w14:paraId="73CA9763" w14:textId="77777777" w:rsidR="0045021E" w:rsidRPr="00181EF3" w:rsidRDefault="0045021E" w:rsidP="00370973">
            <w:pPr>
              <w:pStyle w:val="TableText"/>
              <w:spacing w:before="0"/>
              <w:jc w:val="center"/>
            </w:pPr>
            <w:r w:rsidRPr="00181EF3">
              <w:t>(13%)</w:t>
            </w:r>
          </w:p>
        </w:tc>
        <w:tc>
          <w:tcPr>
            <w:tcW w:w="1157" w:type="dxa"/>
            <w:tcBorders>
              <w:right w:val="single" w:sz="4" w:space="0" w:color="A6A6A6" w:themeColor="background1" w:themeShade="A6"/>
            </w:tcBorders>
            <w:shd w:val="clear" w:color="auto" w:fill="auto"/>
          </w:tcPr>
          <w:p w14:paraId="3E1EA1F5" w14:textId="77777777" w:rsidR="0045021E" w:rsidRPr="00181EF3" w:rsidRDefault="0045021E" w:rsidP="00370973">
            <w:pPr>
              <w:pStyle w:val="TableText"/>
              <w:tabs>
                <w:tab w:val="decimal" w:pos="794"/>
              </w:tabs>
              <w:spacing w:after="0"/>
            </w:pPr>
            <w:r w:rsidRPr="00181EF3">
              <w:t>300,948</w:t>
            </w:r>
          </w:p>
          <w:p w14:paraId="38380A8C" w14:textId="77777777" w:rsidR="0045021E" w:rsidRPr="00181EF3" w:rsidRDefault="0045021E" w:rsidP="00370973">
            <w:pPr>
              <w:pStyle w:val="TableText"/>
              <w:spacing w:before="0"/>
              <w:jc w:val="center"/>
            </w:pPr>
            <w:r w:rsidRPr="00181EF3">
              <w:t>(9%)</w:t>
            </w:r>
          </w:p>
        </w:tc>
        <w:tc>
          <w:tcPr>
            <w:tcW w:w="1158" w:type="dxa"/>
            <w:tcBorders>
              <w:left w:val="single" w:sz="4" w:space="0" w:color="A6A6A6" w:themeColor="background1" w:themeShade="A6"/>
            </w:tcBorders>
            <w:shd w:val="clear" w:color="auto" w:fill="auto"/>
          </w:tcPr>
          <w:p w14:paraId="58F96ED4" w14:textId="77777777" w:rsidR="0045021E" w:rsidRPr="00181EF3" w:rsidRDefault="0045021E" w:rsidP="00370973">
            <w:pPr>
              <w:pStyle w:val="TableText"/>
              <w:tabs>
                <w:tab w:val="decimal" w:pos="794"/>
              </w:tabs>
              <w:spacing w:after="0"/>
            </w:pPr>
            <w:r w:rsidRPr="00181EF3">
              <w:t>76,434</w:t>
            </w:r>
          </w:p>
          <w:p w14:paraId="741DB047" w14:textId="77777777" w:rsidR="0045021E" w:rsidRPr="00181EF3" w:rsidRDefault="0045021E" w:rsidP="00370973">
            <w:pPr>
              <w:pStyle w:val="TableText"/>
              <w:spacing w:before="0"/>
              <w:jc w:val="center"/>
            </w:pPr>
            <w:r w:rsidRPr="00181EF3">
              <w:t>(13%)</w:t>
            </w:r>
          </w:p>
        </w:tc>
        <w:tc>
          <w:tcPr>
            <w:tcW w:w="1158" w:type="dxa"/>
            <w:shd w:val="clear" w:color="auto" w:fill="auto"/>
          </w:tcPr>
          <w:p w14:paraId="320077E6" w14:textId="77777777" w:rsidR="0045021E" w:rsidRPr="00181EF3" w:rsidRDefault="0045021E" w:rsidP="00370973">
            <w:pPr>
              <w:pStyle w:val="TableText"/>
              <w:tabs>
                <w:tab w:val="decimal" w:pos="794"/>
              </w:tabs>
              <w:spacing w:after="0"/>
            </w:pPr>
            <w:r w:rsidRPr="00181EF3">
              <w:t>312,522</w:t>
            </w:r>
          </w:p>
          <w:p w14:paraId="57047FCE" w14:textId="77777777" w:rsidR="0045021E" w:rsidRPr="00181EF3" w:rsidRDefault="0045021E" w:rsidP="00370973">
            <w:pPr>
              <w:pStyle w:val="TableText"/>
              <w:spacing w:before="0"/>
              <w:jc w:val="center"/>
            </w:pPr>
            <w:r w:rsidRPr="00181EF3">
              <w:t>(9%)</w:t>
            </w:r>
          </w:p>
        </w:tc>
      </w:tr>
      <w:tr w:rsidR="0045021E" w:rsidRPr="00181EF3" w14:paraId="3764AB88" w14:textId="77777777" w:rsidTr="00370973">
        <w:trPr>
          <w:cantSplit/>
        </w:trPr>
        <w:tc>
          <w:tcPr>
            <w:tcW w:w="1134" w:type="dxa"/>
            <w:tcBorders>
              <w:right w:val="single" w:sz="4" w:space="0" w:color="A6A6A6" w:themeColor="background1" w:themeShade="A6"/>
            </w:tcBorders>
            <w:shd w:val="clear" w:color="auto" w:fill="auto"/>
          </w:tcPr>
          <w:p w14:paraId="5E32DB8B" w14:textId="77777777" w:rsidR="0045021E" w:rsidRPr="00181EF3" w:rsidRDefault="0045021E" w:rsidP="00370973">
            <w:pPr>
              <w:pStyle w:val="TableText"/>
            </w:pPr>
            <w:r w:rsidRPr="00181EF3">
              <w:t>9</w:t>
            </w:r>
          </w:p>
        </w:tc>
        <w:tc>
          <w:tcPr>
            <w:tcW w:w="1157" w:type="dxa"/>
            <w:tcBorders>
              <w:left w:val="single" w:sz="4" w:space="0" w:color="A6A6A6" w:themeColor="background1" w:themeShade="A6"/>
            </w:tcBorders>
            <w:shd w:val="clear" w:color="auto" w:fill="auto"/>
          </w:tcPr>
          <w:p w14:paraId="601D3F82" w14:textId="77777777" w:rsidR="0045021E" w:rsidRPr="00181EF3" w:rsidRDefault="0045021E" w:rsidP="00370973">
            <w:pPr>
              <w:pStyle w:val="TableText"/>
              <w:tabs>
                <w:tab w:val="decimal" w:pos="794"/>
              </w:tabs>
              <w:spacing w:after="0"/>
            </w:pPr>
            <w:r w:rsidRPr="00181EF3">
              <w:t>85,191</w:t>
            </w:r>
          </w:p>
          <w:p w14:paraId="5D1A3A2A" w14:textId="77777777" w:rsidR="0045021E" w:rsidRPr="00181EF3" w:rsidRDefault="0045021E" w:rsidP="00370973">
            <w:pPr>
              <w:pStyle w:val="TableText"/>
              <w:spacing w:before="0"/>
              <w:jc w:val="center"/>
            </w:pPr>
            <w:r w:rsidRPr="00181EF3">
              <w:t>(16%)</w:t>
            </w:r>
          </w:p>
        </w:tc>
        <w:tc>
          <w:tcPr>
            <w:tcW w:w="1158" w:type="dxa"/>
            <w:tcBorders>
              <w:right w:val="single" w:sz="4" w:space="0" w:color="A6A6A6" w:themeColor="background1" w:themeShade="A6"/>
            </w:tcBorders>
            <w:shd w:val="clear" w:color="auto" w:fill="auto"/>
          </w:tcPr>
          <w:p w14:paraId="5236323A" w14:textId="77777777" w:rsidR="0045021E" w:rsidRPr="00181EF3" w:rsidRDefault="0045021E" w:rsidP="00370973">
            <w:pPr>
              <w:pStyle w:val="TableText"/>
              <w:tabs>
                <w:tab w:val="decimal" w:pos="794"/>
              </w:tabs>
              <w:spacing w:after="0"/>
            </w:pPr>
            <w:r w:rsidRPr="00181EF3">
              <w:t>268,932</w:t>
            </w:r>
          </w:p>
          <w:p w14:paraId="0431B42A" w14:textId="77777777" w:rsidR="0045021E" w:rsidRPr="00181EF3" w:rsidRDefault="0045021E" w:rsidP="00370973">
            <w:pPr>
              <w:pStyle w:val="TableText"/>
              <w:spacing w:before="0"/>
              <w:jc w:val="center"/>
            </w:pPr>
            <w:r w:rsidRPr="00181EF3">
              <w:t>(8%)</w:t>
            </w:r>
          </w:p>
        </w:tc>
        <w:tc>
          <w:tcPr>
            <w:tcW w:w="1158" w:type="dxa"/>
            <w:tcBorders>
              <w:left w:val="single" w:sz="4" w:space="0" w:color="A6A6A6" w:themeColor="background1" w:themeShade="A6"/>
            </w:tcBorders>
            <w:shd w:val="clear" w:color="auto" w:fill="auto"/>
          </w:tcPr>
          <w:p w14:paraId="01D9619D" w14:textId="77777777" w:rsidR="0045021E" w:rsidRPr="00181EF3" w:rsidRDefault="0045021E" w:rsidP="00370973">
            <w:pPr>
              <w:pStyle w:val="TableText"/>
              <w:tabs>
                <w:tab w:val="decimal" w:pos="794"/>
              </w:tabs>
              <w:spacing w:after="0"/>
            </w:pPr>
            <w:r w:rsidRPr="00181EF3">
              <w:t>98,838</w:t>
            </w:r>
          </w:p>
          <w:p w14:paraId="0B8279EA" w14:textId="77777777" w:rsidR="0045021E" w:rsidRPr="00181EF3" w:rsidRDefault="0045021E" w:rsidP="00370973">
            <w:pPr>
              <w:pStyle w:val="TableText"/>
              <w:spacing w:before="0"/>
              <w:jc w:val="center"/>
            </w:pPr>
            <w:r w:rsidRPr="00181EF3">
              <w:t>(17%)</w:t>
            </w:r>
          </w:p>
        </w:tc>
        <w:tc>
          <w:tcPr>
            <w:tcW w:w="1157" w:type="dxa"/>
            <w:tcBorders>
              <w:right w:val="single" w:sz="4" w:space="0" w:color="A6A6A6" w:themeColor="background1" w:themeShade="A6"/>
            </w:tcBorders>
            <w:shd w:val="clear" w:color="auto" w:fill="auto"/>
          </w:tcPr>
          <w:p w14:paraId="278BAA21" w14:textId="77777777" w:rsidR="0045021E" w:rsidRPr="00181EF3" w:rsidRDefault="0045021E" w:rsidP="00370973">
            <w:pPr>
              <w:pStyle w:val="TableText"/>
              <w:tabs>
                <w:tab w:val="decimal" w:pos="794"/>
              </w:tabs>
              <w:spacing w:after="0"/>
            </w:pPr>
            <w:r w:rsidRPr="00181EF3">
              <w:t>278,652</w:t>
            </w:r>
          </w:p>
          <w:p w14:paraId="340A6D3A" w14:textId="77777777" w:rsidR="0045021E" w:rsidRPr="00181EF3" w:rsidRDefault="0045021E" w:rsidP="00370973">
            <w:pPr>
              <w:pStyle w:val="TableText"/>
              <w:spacing w:before="0"/>
              <w:jc w:val="center"/>
            </w:pPr>
            <w:r w:rsidRPr="00181EF3">
              <w:t>(8%)</w:t>
            </w:r>
          </w:p>
        </w:tc>
        <w:tc>
          <w:tcPr>
            <w:tcW w:w="1158" w:type="dxa"/>
            <w:tcBorders>
              <w:left w:val="single" w:sz="4" w:space="0" w:color="A6A6A6" w:themeColor="background1" w:themeShade="A6"/>
            </w:tcBorders>
            <w:shd w:val="clear" w:color="auto" w:fill="auto"/>
          </w:tcPr>
          <w:p w14:paraId="0F0D0BF9" w14:textId="77777777" w:rsidR="0045021E" w:rsidRPr="00181EF3" w:rsidRDefault="0045021E" w:rsidP="00370973">
            <w:pPr>
              <w:pStyle w:val="TableText"/>
              <w:tabs>
                <w:tab w:val="decimal" w:pos="794"/>
              </w:tabs>
              <w:spacing w:after="0"/>
            </w:pPr>
            <w:r w:rsidRPr="00181EF3">
              <w:t>100,728</w:t>
            </w:r>
          </w:p>
          <w:p w14:paraId="02910CA4" w14:textId="77777777" w:rsidR="0045021E" w:rsidRPr="00181EF3" w:rsidRDefault="0045021E" w:rsidP="00370973">
            <w:pPr>
              <w:pStyle w:val="TableText"/>
              <w:spacing w:before="0"/>
              <w:jc w:val="center"/>
            </w:pPr>
            <w:r w:rsidRPr="00181EF3">
              <w:t>(17%)</w:t>
            </w:r>
          </w:p>
        </w:tc>
        <w:tc>
          <w:tcPr>
            <w:tcW w:w="1158" w:type="dxa"/>
            <w:shd w:val="clear" w:color="auto" w:fill="auto"/>
          </w:tcPr>
          <w:p w14:paraId="119E9BC0" w14:textId="77777777" w:rsidR="0045021E" w:rsidRPr="00181EF3" w:rsidRDefault="0045021E" w:rsidP="00370973">
            <w:pPr>
              <w:pStyle w:val="TableText"/>
              <w:tabs>
                <w:tab w:val="decimal" w:pos="794"/>
              </w:tabs>
              <w:spacing w:after="0"/>
            </w:pPr>
            <w:r w:rsidRPr="00181EF3">
              <w:t>287,640</w:t>
            </w:r>
          </w:p>
          <w:p w14:paraId="0CC9DE5F" w14:textId="77777777" w:rsidR="0045021E" w:rsidRPr="00181EF3" w:rsidRDefault="0045021E" w:rsidP="00370973">
            <w:pPr>
              <w:pStyle w:val="TableText"/>
              <w:spacing w:before="0"/>
              <w:jc w:val="center"/>
            </w:pPr>
            <w:r w:rsidRPr="00181EF3">
              <w:t>(8%)</w:t>
            </w:r>
          </w:p>
        </w:tc>
      </w:tr>
      <w:tr w:rsidR="0045021E" w:rsidRPr="00181EF3" w14:paraId="5C6DA51B" w14:textId="77777777" w:rsidTr="00370973">
        <w:trPr>
          <w:cantSplit/>
        </w:trPr>
        <w:tc>
          <w:tcPr>
            <w:tcW w:w="1134" w:type="dxa"/>
            <w:tcBorders>
              <w:right w:val="single" w:sz="4" w:space="0" w:color="A6A6A6" w:themeColor="background1" w:themeShade="A6"/>
            </w:tcBorders>
            <w:shd w:val="clear" w:color="auto" w:fill="auto"/>
          </w:tcPr>
          <w:p w14:paraId="2C154767" w14:textId="77777777" w:rsidR="0045021E" w:rsidRPr="00181EF3" w:rsidRDefault="0045021E" w:rsidP="00370973">
            <w:pPr>
              <w:pStyle w:val="TableText"/>
            </w:pPr>
            <w:r w:rsidRPr="00181EF3">
              <w:t>10 (most deprived)</w:t>
            </w:r>
          </w:p>
        </w:tc>
        <w:tc>
          <w:tcPr>
            <w:tcW w:w="1157" w:type="dxa"/>
            <w:tcBorders>
              <w:left w:val="single" w:sz="4" w:space="0" w:color="A6A6A6" w:themeColor="background1" w:themeShade="A6"/>
            </w:tcBorders>
            <w:shd w:val="clear" w:color="auto" w:fill="auto"/>
          </w:tcPr>
          <w:p w14:paraId="4761050C" w14:textId="77777777" w:rsidR="0045021E" w:rsidRPr="00181EF3" w:rsidRDefault="0045021E" w:rsidP="00370973">
            <w:pPr>
              <w:pStyle w:val="TableText"/>
              <w:tabs>
                <w:tab w:val="decimal" w:pos="794"/>
              </w:tabs>
              <w:spacing w:after="0"/>
            </w:pPr>
            <w:r w:rsidRPr="00181EF3">
              <w:t>121,227</w:t>
            </w:r>
          </w:p>
          <w:p w14:paraId="700B73E6" w14:textId="77777777" w:rsidR="0045021E" w:rsidRPr="00181EF3" w:rsidRDefault="0045021E" w:rsidP="00370973">
            <w:pPr>
              <w:pStyle w:val="TableText"/>
              <w:spacing w:before="0"/>
              <w:jc w:val="center"/>
            </w:pPr>
            <w:r w:rsidRPr="00181EF3">
              <w:t>(23%)</w:t>
            </w:r>
          </w:p>
        </w:tc>
        <w:tc>
          <w:tcPr>
            <w:tcW w:w="1158" w:type="dxa"/>
            <w:tcBorders>
              <w:right w:val="single" w:sz="4" w:space="0" w:color="A6A6A6" w:themeColor="background1" w:themeShade="A6"/>
            </w:tcBorders>
            <w:shd w:val="clear" w:color="auto" w:fill="auto"/>
          </w:tcPr>
          <w:p w14:paraId="026A36E5" w14:textId="77777777" w:rsidR="0045021E" w:rsidRPr="00181EF3" w:rsidRDefault="0045021E" w:rsidP="00370973">
            <w:pPr>
              <w:pStyle w:val="TableText"/>
              <w:tabs>
                <w:tab w:val="decimal" w:pos="794"/>
              </w:tabs>
              <w:spacing w:after="0"/>
            </w:pPr>
            <w:r w:rsidRPr="00181EF3">
              <w:t>225,408</w:t>
            </w:r>
          </w:p>
          <w:p w14:paraId="3FC897E1" w14:textId="77777777" w:rsidR="0045021E" w:rsidRPr="00181EF3" w:rsidRDefault="0045021E" w:rsidP="00370973">
            <w:pPr>
              <w:pStyle w:val="TableText"/>
              <w:spacing w:before="0"/>
              <w:jc w:val="center"/>
            </w:pPr>
            <w:r w:rsidRPr="00181EF3">
              <w:t>(7%)</w:t>
            </w:r>
          </w:p>
        </w:tc>
        <w:tc>
          <w:tcPr>
            <w:tcW w:w="1158" w:type="dxa"/>
            <w:tcBorders>
              <w:left w:val="single" w:sz="4" w:space="0" w:color="A6A6A6" w:themeColor="background1" w:themeShade="A6"/>
            </w:tcBorders>
            <w:shd w:val="clear" w:color="auto" w:fill="auto"/>
          </w:tcPr>
          <w:p w14:paraId="0D775E6C" w14:textId="77777777" w:rsidR="0045021E" w:rsidRPr="00181EF3" w:rsidRDefault="0045021E" w:rsidP="00370973">
            <w:pPr>
              <w:pStyle w:val="TableText"/>
              <w:tabs>
                <w:tab w:val="decimal" w:pos="794"/>
              </w:tabs>
              <w:spacing w:after="0"/>
            </w:pPr>
            <w:r w:rsidRPr="00181EF3">
              <w:t>136,452</w:t>
            </w:r>
          </w:p>
          <w:p w14:paraId="376E0AE2" w14:textId="77777777" w:rsidR="0045021E" w:rsidRPr="00181EF3" w:rsidRDefault="0045021E" w:rsidP="00370973">
            <w:pPr>
              <w:pStyle w:val="TableText"/>
              <w:spacing w:before="0"/>
              <w:jc w:val="center"/>
            </w:pPr>
            <w:r w:rsidRPr="00181EF3">
              <w:t>(24%)</w:t>
            </w:r>
          </w:p>
        </w:tc>
        <w:tc>
          <w:tcPr>
            <w:tcW w:w="1157" w:type="dxa"/>
            <w:tcBorders>
              <w:right w:val="single" w:sz="4" w:space="0" w:color="A6A6A6" w:themeColor="background1" w:themeShade="A6"/>
            </w:tcBorders>
            <w:shd w:val="clear" w:color="auto" w:fill="auto"/>
          </w:tcPr>
          <w:p w14:paraId="13A45C0B" w14:textId="77777777" w:rsidR="0045021E" w:rsidRPr="00181EF3" w:rsidRDefault="0045021E" w:rsidP="00370973">
            <w:pPr>
              <w:pStyle w:val="TableText"/>
              <w:tabs>
                <w:tab w:val="decimal" w:pos="794"/>
              </w:tabs>
              <w:spacing w:after="0"/>
            </w:pPr>
            <w:r w:rsidRPr="00181EF3">
              <w:t>229,626</w:t>
            </w:r>
          </w:p>
          <w:p w14:paraId="236BC09B" w14:textId="77777777" w:rsidR="0045021E" w:rsidRPr="00181EF3" w:rsidRDefault="0045021E" w:rsidP="00370973">
            <w:pPr>
              <w:pStyle w:val="TableText"/>
              <w:spacing w:before="0"/>
              <w:jc w:val="center"/>
            </w:pPr>
            <w:r w:rsidRPr="00181EF3">
              <w:t>(7%)</w:t>
            </w:r>
          </w:p>
        </w:tc>
        <w:tc>
          <w:tcPr>
            <w:tcW w:w="1158" w:type="dxa"/>
            <w:tcBorders>
              <w:left w:val="single" w:sz="4" w:space="0" w:color="A6A6A6" w:themeColor="background1" w:themeShade="A6"/>
            </w:tcBorders>
            <w:shd w:val="clear" w:color="auto" w:fill="auto"/>
          </w:tcPr>
          <w:p w14:paraId="77C8AD08" w14:textId="77777777" w:rsidR="0045021E" w:rsidRPr="00181EF3" w:rsidRDefault="0045021E" w:rsidP="00370973">
            <w:pPr>
              <w:pStyle w:val="TableText"/>
              <w:tabs>
                <w:tab w:val="decimal" w:pos="794"/>
              </w:tabs>
              <w:spacing w:after="0"/>
            </w:pPr>
            <w:r w:rsidRPr="00181EF3">
              <w:t>140,886</w:t>
            </w:r>
          </w:p>
          <w:p w14:paraId="68A30AFC" w14:textId="77777777" w:rsidR="0045021E" w:rsidRPr="00181EF3" w:rsidRDefault="0045021E" w:rsidP="00370973">
            <w:pPr>
              <w:pStyle w:val="TableText"/>
              <w:spacing w:before="0"/>
              <w:jc w:val="center"/>
            </w:pPr>
            <w:r w:rsidRPr="00181EF3">
              <w:t>(24%)</w:t>
            </w:r>
          </w:p>
        </w:tc>
        <w:tc>
          <w:tcPr>
            <w:tcW w:w="1158" w:type="dxa"/>
            <w:shd w:val="clear" w:color="auto" w:fill="auto"/>
          </w:tcPr>
          <w:p w14:paraId="51E941C8" w14:textId="77777777" w:rsidR="0045021E" w:rsidRPr="00181EF3" w:rsidRDefault="0045021E" w:rsidP="00370973">
            <w:pPr>
              <w:pStyle w:val="TableText"/>
              <w:tabs>
                <w:tab w:val="decimal" w:pos="794"/>
              </w:tabs>
              <w:spacing w:after="0"/>
            </w:pPr>
            <w:r w:rsidRPr="00181EF3">
              <w:t>232,779</w:t>
            </w:r>
          </w:p>
          <w:p w14:paraId="7C8D867F" w14:textId="77777777" w:rsidR="0045021E" w:rsidRPr="00181EF3" w:rsidRDefault="0045021E" w:rsidP="00370973">
            <w:pPr>
              <w:pStyle w:val="TableText"/>
              <w:spacing w:before="0"/>
              <w:jc w:val="center"/>
            </w:pPr>
            <w:r w:rsidRPr="00181EF3">
              <w:t>(7%)</w:t>
            </w:r>
          </w:p>
        </w:tc>
      </w:tr>
      <w:tr w:rsidR="0045021E" w:rsidRPr="00181EF3" w14:paraId="525FE178" w14:textId="77777777" w:rsidTr="00370973">
        <w:trPr>
          <w:cantSplit/>
        </w:trPr>
        <w:tc>
          <w:tcPr>
            <w:tcW w:w="1134" w:type="dxa"/>
            <w:tcBorders>
              <w:right w:val="single" w:sz="4" w:space="0" w:color="A6A6A6" w:themeColor="background1" w:themeShade="A6"/>
            </w:tcBorders>
            <w:shd w:val="clear" w:color="auto" w:fill="auto"/>
          </w:tcPr>
          <w:p w14:paraId="7563D718" w14:textId="77777777" w:rsidR="0045021E" w:rsidRPr="00181EF3" w:rsidRDefault="0045021E" w:rsidP="00370973">
            <w:pPr>
              <w:pStyle w:val="TableText"/>
            </w:pPr>
            <w:r w:rsidRPr="00181EF3">
              <w:t>Unknown</w:t>
            </w:r>
          </w:p>
        </w:tc>
        <w:tc>
          <w:tcPr>
            <w:tcW w:w="1157" w:type="dxa"/>
            <w:tcBorders>
              <w:left w:val="single" w:sz="4" w:space="0" w:color="A6A6A6" w:themeColor="background1" w:themeShade="A6"/>
            </w:tcBorders>
            <w:shd w:val="clear" w:color="auto" w:fill="auto"/>
          </w:tcPr>
          <w:p w14:paraId="123FAF34" w14:textId="77777777" w:rsidR="0045021E" w:rsidRPr="00181EF3" w:rsidRDefault="0045021E" w:rsidP="00370973">
            <w:pPr>
              <w:pStyle w:val="TableText"/>
              <w:tabs>
                <w:tab w:val="decimal" w:pos="794"/>
              </w:tabs>
              <w:spacing w:after="0"/>
            </w:pPr>
            <w:r w:rsidRPr="00181EF3">
              <w:t>15,669</w:t>
            </w:r>
          </w:p>
          <w:p w14:paraId="30311E8E" w14:textId="77777777" w:rsidR="0045021E" w:rsidRPr="00181EF3" w:rsidRDefault="0045021E" w:rsidP="00370973">
            <w:pPr>
              <w:pStyle w:val="TableText"/>
              <w:spacing w:before="0"/>
              <w:jc w:val="center"/>
            </w:pPr>
            <w:r w:rsidRPr="00181EF3">
              <w:t>(3%)</w:t>
            </w:r>
          </w:p>
        </w:tc>
        <w:tc>
          <w:tcPr>
            <w:tcW w:w="1158" w:type="dxa"/>
            <w:tcBorders>
              <w:right w:val="single" w:sz="4" w:space="0" w:color="A6A6A6" w:themeColor="background1" w:themeShade="A6"/>
            </w:tcBorders>
            <w:shd w:val="clear" w:color="auto" w:fill="auto"/>
          </w:tcPr>
          <w:p w14:paraId="676DFE0F" w14:textId="77777777" w:rsidR="0045021E" w:rsidRPr="00181EF3" w:rsidRDefault="0045021E" w:rsidP="00370973">
            <w:pPr>
              <w:pStyle w:val="TableText"/>
              <w:tabs>
                <w:tab w:val="decimal" w:pos="794"/>
              </w:tabs>
              <w:spacing w:after="0"/>
            </w:pPr>
            <w:r w:rsidRPr="00181EF3">
              <w:t>130,218</w:t>
            </w:r>
          </w:p>
          <w:p w14:paraId="01B86270" w14:textId="77777777" w:rsidR="0045021E" w:rsidRPr="00181EF3" w:rsidRDefault="0045021E" w:rsidP="00370973">
            <w:pPr>
              <w:pStyle w:val="TableText"/>
              <w:spacing w:before="0"/>
              <w:jc w:val="center"/>
            </w:pPr>
            <w:r w:rsidRPr="00181EF3">
              <w:t>(4%)</w:t>
            </w:r>
          </w:p>
        </w:tc>
        <w:tc>
          <w:tcPr>
            <w:tcW w:w="1158" w:type="dxa"/>
            <w:tcBorders>
              <w:left w:val="single" w:sz="4" w:space="0" w:color="A6A6A6" w:themeColor="background1" w:themeShade="A6"/>
            </w:tcBorders>
            <w:shd w:val="clear" w:color="auto" w:fill="auto"/>
          </w:tcPr>
          <w:p w14:paraId="19A52620" w14:textId="77777777" w:rsidR="0045021E" w:rsidRPr="00181EF3" w:rsidRDefault="0045021E" w:rsidP="00370973">
            <w:pPr>
              <w:pStyle w:val="TableText"/>
              <w:tabs>
                <w:tab w:val="decimal" w:pos="794"/>
              </w:tabs>
              <w:spacing w:after="0"/>
            </w:pPr>
            <w:r w:rsidRPr="00181EF3">
              <w:t>213</w:t>
            </w:r>
          </w:p>
          <w:p w14:paraId="6FB45F62" w14:textId="77777777" w:rsidR="0045021E" w:rsidRPr="00181EF3" w:rsidRDefault="0045021E" w:rsidP="00370973">
            <w:pPr>
              <w:pStyle w:val="TableText"/>
              <w:spacing w:before="0"/>
              <w:jc w:val="center"/>
            </w:pPr>
            <w:r w:rsidRPr="00181EF3">
              <w:t>(0%)</w:t>
            </w:r>
          </w:p>
        </w:tc>
        <w:tc>
          <w:tcPr>
            <w:tcW w:w="1157" w:type="dxa"/>
            <w:tcBorders>
              <w:right w:val="single" w:sz="4" w:space="0" w:color="A6A6A6" w:themeColor="background1" w:themeShade="A6"/>
            </w:tcBorders>
            <w:shd w:val="clear" w:color="auto" w:fill="auto"/>
          </w:tcPr>
          <w:p w14:paraId="75BC2790" w14:textId="77777777" w:rsidR="0045021E" w:rsidRPr="00181EF3" w:rsidRDefault="0045021E" w:rsidP="00370973">
            <w:pPr>
              <w:pStyle w:val="TableText"/>
              <w:tabs>
                <w:tab w:val="decimal" w:pos="794"/>
              </w:tabs>
              <w:spacing w:after="0"/>
            </w:pPr>
            <w:r w:rsidRPr="00181EF3">
              <w:t>4,329</w:t>
            </w:r>
          </w:p>
          <w:p w14:paraId="4E46ADFB" w14:textId="77777777" w:rsidR="0045021E" w:rsidRPr="00181EF3" w:rsidRDefault="0045021E" w:rsidP="00370973">
            <w:pPr>
              <w:pStyle w:val="TableText"/>
              <w:spacing w:before="0"/>
              <w:jc w:val="center"/>
            </w:pPr>
            <w:r w:rsidRPr="00181EF3">
              <w:t>(0%)</w:t>
            </w:r>
          </w:p>
        </w:tc>
        <w:tc>
          <w:tcPr>
            <w:tcW w:w="1158" w:type="dxa"/>
            <w:tcBorders>
              <w:left w:val="single" w:sz="4" w:space="0" w:color="A6A6A6" w:themeColor="background1" w:themeShade="A6"/>
            </w:tcBorders>
            <w:shd w:val="clear" w:color="auto" w:fill="auto"/>
          </w:tcPr>
          <w:p w14:paraId="088D5AF7" w14:textId="77777777" w:rsidR="0045021E" w:rsidRPr="00181EF3" w:rsidRDefault="0045021E" w:rsidP="00370973">
            <w:pPr>
              <w:pStyle w:val="TableText"/>
              <w:tabs>
                <w:tab w:val="decimal" w:pos="794"/>
              </w:tabs>
              <w:spacing w:after="0"/>
            </w:pPr>
            <w:r w:rsidRPr="00181EF3">
              <w:t>381</w:t>
            </w:r>
          </w:p>
          <w:p w14:paraId="31E774F9" w14:textId="77777777" w:rsidR="0045021E" w:rsidRPr="00181EF3" w:rsidRDefault="0045021E" w:rsidP="00370973">
            <w:pPr>
              <w:pStyle w:val="TableText"/>
              <w:spacing w:before="0"/>
              <w:jc w:val="center"/>
            </w:pPr>
            <w:r w:rsidRPr="00181EF3">
              <w:t>(0%)</w:t>
            </w:r>
          </w:p>
        </w:tc>
        <w:tc>
          <w:tcPr>
            <w:tcW w:w="1158" w:type="dxa"/>
            <w:shd w:val="clear" w:color="auto" w:fill="auto"/>
          </w:tcPr>
          <w:p w14:paraId="177F33A0" w14:textId="77777777" w:rsidR="0045021E" w:rsidRPr="00181EF3" w:rsidRDefault="0045021E" w:rsidP="00370973">
            <w:pPr>
              <w:pStyle w:val="TableText"/>
              <w:tabs>
                <w:tab w:val="decimal" w:pos="794"/>
              </w:tabs>
              <w:spacing w:after="0"/>
            </w:pPr>
            <w:r w:rsidRPr="00181EF3">
              <w:t>13,068</w:t>
            </w:r>
          </w:p>
          <w:p w14:paraId="05EC3953" w14:textId="77777777" w:rsidR="0045021E" w:rsidRPr="00181EF3" w:rsidRDefault="0045021E" w:rsidP="00370973">
            <w:pPr>
              <w:pStyle w:val="TableText"/>
              <w:spacing w:before="0"/>
              <w:jc w:val="center"/>
            </w:pPr>
            <w:r w:rsidRPr="00181EF3">
              <w:t>(0%)</w:t>
            </w:r>
          </w:p>
        </w:tc>
      </w:tr>
      <w:tr w:rsidR="0045021E" w:rsidRPr="00181EF3" w14:paraId="6306351F" w14:textId="77777777" w:rsidTr="00370973">
        <w:trPr>
          <w:cantSplit/>
        </w:trPr>
        <w:tc>
          <w:tcPr>
            <w:tcW w:w="1134" w:type="dxa"/>
            <w:tcBorders>
              <w:right w:val="single" w:sz="4" w:space="0" w:color="A6A6A6" w:themeColor="background1" w:themeShade="A6"/>
            </w:tcBorders>
            <w:shd w:val="clear" w:color="auto" w:fill="auto"/>
          </w:tcPr>
          <w:p w14:paraId="43599AE6" w14:textId="77777777" w:rsidR="0045021E" w:rsidRPr="00181EF3" w:rsidRDefault="0045021E" w:rsidP="00370973">
            <w:pPr>
              <w:pStyle w:val="TableText"/>
              <w:rPr>
                <w:b/>
              </w:rPr>
            </w:pPr>
            <w:r w:rsidRPr="00181EF3">
              <w:rPr>
                <w:b/>
              </w:rPr>
              <w:t>Total</w:t>
            </w:r>
          </w:p>
        </w:tc>
        <w:tc>
          <w:tcPr>
            <w:tcW w:w="1157" w:type="dxa"/>
            <w:tcBorders>
              <w:left w:val="single" w:sz="4" w:space="0" w:color="A6A6A6" w:themeColor="background1" w:themeShade="A6"/>
            </w:tcBorders>
            <w:shd w:val="clear" w:color="auto" w:fill="auto"/>
          </w:tcPr>
          <w:p w14:paraId="5F984F61" w14:textId="77777777" w:rsidR="0045021E" w:rsidRPr="00181EF3" w:rsidRDefault="0045021E" w:rsidP="00370973">
            <w:pPr>
              <w:pStyle w:val="TableText"/>
              <w:tabs>
                <w:tab w:val="decimal" w:pos="794"/>
              </w:tabs>
              <w:spacing w:after="0"/>
              <w:rPr>
                <w:b/>
              </w:rPr>
            </w:pPr>
            <w:r w:rsidRPr="00181EF3">
              <w:rPr>
                <w:b/>
              </w:rPr>
              <w:t>526,236</w:t>
            </w:r>
          </w:p>
          <w:p w14:paraId="712A36AB" w14:textId="77777777" w:rsidR="0045021E" w:rsidRPr="00181EF3" w:rsidRDefault="0045021E" w:rsidP="00370973">
            <w:pPr>
              <w:pStyle w:val="TableText"/>
              <w:spacing w:before="0"/>
              <w:jc w:val="center"/>
              <w:rPr>
                <w:b/>
              </w:rPr>
            </w:pPr>
            <w:r w:rsidRPr="00181EF3">
              <w:rPr>
                <w:b/>
              </w:rPr>
              <w:t>(100%)</w:t>
            </w:r>
          </w:p>
        </w:tc>
        <w:tc>
          <w:tcPr>
            <w:tcW w:w="1158" w:type="dxa"/>
            <w:tcBorders>
              <w:right w:val="single" w:sz="4" w:space="0" w:color="A6A6A6" w:themeColor="background1" w:themeShade="A6"/>
            </w:tcBorders>
            <w:shd w:val="clear" w:color="auto" w:fill="auto"/>
          </w:tcPr>
          <w:p w14:paraId="7B8036AD" w14:textId="77777777" w:rsidR="0045021E" w:rsidRPr="00181EF3" w:rsidRDefault="0045021E" w:rsidP="00370973">
            <w:pPr>
              <w:pStyle w:val="TableText"/>
              <w:tabs>
                <w:tab w:val="decimal" w:pos="794"/>
              </w:tabs>
              <w:spacing w:after="0"/>
              <w:rPr>
                <w:b/>
              </w:rPr>
            </w:pPr>
            <w:r w:rsidRPr="00181EF3">
              <w:rPr>
                <w:b/>
              </w:rPr>
              <w:t>3,210,033</w:t>
            </w:r>
          </w:p>
          <w:p w14:paraId="00BE9518" w14:textId="77777777" w:rsidR="0045021E" w:rsidRPr="00181EF3" w:rsidRDefault="0045021E" w:rsidP="00370973">
            <w:pPr>
              <w:pStyle w:val="TableText"/>
              <w:spacing w:before="0"/>
              <w:jc w:val="center"/>
              <w:rPr>
                <w:b/>
              </w:rPr>
            </w:pPr>
            <w:r w:rsidRPr="00181EF3">
              <w:rPr>
                <w:b/>
              </w:rPr>
              <w:t>(100%)</w:t>
            </w:r>
          </w:p>
        </w:tc>
        <w:tc>
          <w:tcPr>
            <w:tcW w:w="1158" w:type="dxa"/>
            <w:tcBorders>
              <w:left w:val="single" w:sz="4" w:space="0" w:color="A6A6A6" w:themeColor="background1" w:themeShade="A6"/>
            </w:tcBorders>
            <w:shd w:val="clear" w:color="auto" w:fill="auto"/>
          </w:tcPr>
          <w:p w14:paraId="2A6A7224" w14:textId="77777777" w:rsidR="0045021E" w:rsidRPr="00181EF3" w:rsidRDefault="0045021E" w:rsidP="00370973">
            <w:pPr>
              <w:pStyle w:val="TableText"/>
              <w:tabs>
                <w:tab w:val="decimal" w:pos="794"/>
              </w:tabs>
              <w:spacing w:after="0"/>
              <w:rPr>
                <w:b/>
              </w:rPr>
            </w:pPr>
            <w:r w:rsidRPr="00181EF3">
              <w:rPr>
                <w:b/>
              </w:rPr>
              <w:t>565,326</w:t>
            </w:r>
          </w:p>
          <w:p w14:paraId="50A9A04D" w14:textId="77777777" w:rsidR="0045021E" w:rsidRPr="00181EF3" w:rsidRDefault="0045021E" w:rsidP="00370973">
            <w:pPr>
              <w:pStyle w:val="TableText"/>
              <w:spacing w:before="0"/>
              <w:jc w:val="center"/>
              <w:rPr>
                <w:b/>
              </w:rPr>
            </w:pPr>
            <w:r w:rsidRPr="00181EF3">
              <w:rPr>
                <w:b/>
              </w:rPr>
              <w:t>(100%)</w:t>
            </w:r>
          </w:p>
        </w:tc>
        <w:tc>
          <w:tcPr>
            <w:tcW w:w="1157" w:type="dxa"/>
            <w:tcBorders>
              <w:right w:val="single" w:sz="4" w:space="0" w:color="A6A6A6" w:themeColor="background1" w:themeShade="A6"/>
            </w:tcBorders>
            <w:shd w:val="clear" w:color="auto" w:fill="auto"/>
          </w:tcPr>
          <w:p w14:paraId="16778B6B" w14:textId="77777777" w:rsidR="0045021E" w:rsidRPr="00181EF3" w:rsidRDefault="0045021E" w:rsidP="00370973">
            <w:pPr>
              <w:pStyle w:val="TableText"/>
              <w:tabs>
                <w:tab w:val="decimal" w:pos="794"/>
              </w:tabs>
              <w:spacing w:after="0"/>
              <w:rPr>
                <w:b/>
              </w:rPr>
            </w:pPr>
            <w:r w:rsidRPr="00181EF3">
              <w:rPr>
                <w:b/>
              </w:rPr>
              <w:t>3,294,834</w:t>
            </w:r>
          </w:p>
          <w:p w14:paraId="032C5726" w14:textId="77777777" w:rsidR="0045021E" w:rsidRPr="00181EF3" w:rsidRDefault="0045021E" w:rsidP="00370973">
            <w:pPr>
              <w:pStyle w:val="TableText"/>
              <w:spacing w:before="0"/>
              <w:jc w:val="center"/>
              <w:rPr>
                <w:b/>
              </w:rPr>
            </w:pPr>
            <w:r w:rsidRPr="00181EF3">
              <w:rPr>
                <w:b/>
              </w:rPr>
              <w:t>(100%)</w:t>
            </w:r>
          </w:p>
        </w:tc>
        <w:tc>
          <w:tcPr>
            <w:tcW w:w="1158" w:type="dxa"/>
            <w:tcBorders>
              <w:left w:val="single" w:sz="4" w:space="0" w:color="A6A6A6" w:themeColor="background1" w:themeShade="A6"/>
            </w:tcBorders>
            <w:shd w:val="clear" w:color="auto" w:fill="auto"/>
          </w:tcPr>
          <w:p w14:paraId="57180706" w14:textId="77777777" w:rsidR="0045021E" w:rsidRPr="00181EF3" w:rsidRDefault="0045021E" w:rsidP="00370973">
            <w:pPr>
              <w:pStyle w:val="TableText"/>
              <w:tabs>
                <w:tab w:val="decimal" w:pos="794"/>
              </w:tabs>
              <w:spacing w:after="0"/>
              <w:rPr>
                <w:b/>
              </w:rPr>
            </w:pPr>
            <w:r w:rsidRPr="00181EF3">
              <w:rPr>
                <w:b/>
              </w:rPr>
              <w:t>598,604</w:t>
            </w:r>
          </w:p>
          <w:p w14:paraId="4FD25031" w14:textId="77777777" w:rsidR="0045021E" w:rsidRPr="00181EF3" w:rsidRDefault="0045021E" w:rsidP="00370973">
            <w:pPr>
              <w:pStyle w:val="TableText"/>
              <w:spacing w:before="0"/>
              <w:jc w:val="center"/>
              <w:rPr>
                <w:b/>
              </w:rPr>
            </w:pPr>
            <w:r w:rsidRPr="00181EF3">
              <w:rPr>
                <w:b/>
              </w:rPr>
              <w:t>(100%)</w:t>
            </w:r>
          </w:p>
        </w:tc>
        <w:tc>
          <w:tcPr>
            <w:tcW w:w="1158" w:type="dxa"/>
            <w:shd w:val="clear" w:color="auto" w:fill="auto"/>
          </w:tcPr>
          <w:p w14:paraId="525B3E91" w14:textId="77777777" w:rsidR="0045021E" w:rsidRPr="00181EF3" w:rsidRDefault="0045021E" w:rsidP="00370973">
            <w:pPr>
              <w:pStyle w:val="TableText"/>
              <w:tabs>
                <w:tab w:val="decimal" w:pos="794"/>
              </w:tabs>
              <w:spacing w:after="0"/>
              <w:rPr>
                <w:b/>
              </w:rPr>
            </w:pPr>
            <w:r w:rsidRPr="00181EF3">
              <w:rPr>
                <w:b/>
              </w:rPr>
              <w:t>3,412,809</w:t>
            </w:r>
          </w:p>
          <w:p w14:paraId="117C278E" w14:textId="77777777" w:rsidR="0045021E" w:rsidRPr="00181EF3" w:rsidRDefault="0045021E" w:rsidP="00370973">
            <w:pPr>
              <w:pStyle w:val="TableText"/>
              <w:spacing w:before="0"/>
              <w:jc w:val="center"/>
              <w:rPr>
                <w:b/>
              </w:rPr>
            </w:pPr>
            <w:r w:rsidRPr="00181EF3">
              <w:rPr>
                <w:b/>
              </w:rPr>
              <w:t>(100%)</w:t>
            </w:r>
          </w:p>
        </w:tc>
      </w:tr>
    </w:tbl>
    <w:p w14:paraId="387A2E8D" w14:textId="77777777" w:rsidR="008A5642" w:rsidRDefault="0045021E" w:rsidP="0045021E">
      <w:pPr>
        <w:pStyle w:val="Note"/>
      </w:pPr>
      <w:r w:rsidRPr="00181EF3">
        <w:t>Notes:</w:t>
      </w:r>
    </w:p>
    <w:p w14:paraId="0030CB7E" w14:textId="469AB763" w:rsidR="0045021E" w:rsidRPr="00181EF3" w:rsidRDefault="0045021E" w:rsidP="002E449B">
      <w:pPr>
        <w:pStyle w:val="Note"/>
        <w:spacing w:before="0"/>
      </w:pPr>
      <w:r w:rsidRPr="00181EF3">
        <w:t>Due to rounding, individual figures in this table do not add to give the stated totals.</w:t>
      </w:r>
    </w:p>
    <w:p w14:paraId="6AFB6375" w14:textId="77777777" w:rsidR="0045021E" w:rsidRPr="00181EF3" w:rsidRDefault="0045021E" w:rsidP="002E449B">
      <w:pPr>
        <w:pStyle w:val="Note"/>
        <w:spacing w:before="0"/>
      </w:pPr>
      <w:r w:rsidRPr="00181EF3">
        <w:t>‘Unknown’ refers to the population for whom an NZDep score was not ascertained for that year.</w:t>
      </w:r>
    </w:p>
    <w:p w14:paraId="492372AC" w14:textId="70570F0B" w:rsidR="0045021E" w:rsidRPr="00181EF3" w:rsidRDefault="0045021E" w:rsidP="0045021E">
      <w:pPr>
        <w:pStyle w:val="Source"/>
      </w:pPr>
      <w:r w:rsidRPr="00181EF3">
        <w:t xml:space="preserve">Source: 2001 – </w:t>
      </w:r>
      <w:r w:rsidR="008F0248">
        <w:t>Stats NZ</w:t>
      </w:r>
      <w:r w:rsidRPr="00181EF3">
        <w:t>, 2006 – Salmond et al 2007, 2013 – Atkinson et al 2014.</w:t>
      </w:r>
    </w:p>
    <w:p w14:paraId="1AEF8CDA" w14:textId="77777777" w:rsidR="00441903" w:rsidRPr="00181EF3" w:rsidRDefault="00441903" w:rsidP="002E449B">
      <w:pPr>
        <w:spacing w:before="240"/>
      </w:pPr>
      <w:r w:rsidRPr="00181EF3">
        <w:lastRenderedPageBreak/>
        <w:t>NZDep is a small-area-based index providing a measure of neighbourhood deprivation, by looking at the comparative socioeconomic positions of small areas and assigning them decile numbers from 1 (least deprived) to 10 (most deprived). The index is based on nine socioeconomic variables from that year’s Census. The prevalence of those variables in an area is used to create a measure of relative socioeconomic deprivation for that area called a decile score. This measure is representative of the area and does not mean all individuals living in that area as a whole experience the same level of deprivation.</w:t>
      </w:r>
    </w:p>
    <w:p w14:paraId="2DC40A9A" w14:textId="77777777" w:rsidR="00441903" w:rsidRDefault="00441903" w:rsidP="002E449B"/>
    <w:p w14:paraId="5756410D" w14:textId="6AC35805" w:rsidR="0045021E" w:rsidRPr="00181EF3" w:rsidRDefault="0045021E" w:rsidP="002E449B">
      <w:r w:rsidRPr="00181EF3">
        <w:t xml:space="preserve">Higher proportions of Māori live in areas that have the most deprived NZDep scores; that is, the Māori population is highly skewed towards the most deprived deciles. In 2001, 23 percent of Māori lived in decile 10 areas (compared with 7 percent of </w:t>
      </w:r>
      <w:r w:rsidR="00EC03A3">
        <w:t>non</w:t>
      </w:r>
      <w:r w:rsidR="00EC03A3">
        <w:noBreakHyphen/>
        <w:t>M</w:t>
      </w:r>
      <w:r w:rsidRPr="00181EF3">
        <w:t>āori), while only 3 percent of Māori lived in decile 1 areas (compared with 11</w:t>
      </w:r>
      <w:r w:rsidR="002E449B">
        <w:t> </w:t>
      </w:r>
      <w:r w:rsidRPr="00181EF3">
        <w:t xml:space="preserve">percent of </w:t>
      </w:r>
      <w:r w:rsidR="00EC03A3">
        <w:t>non</w:t>
      </w:r>
      <w:r w:rsidR="00EC03A3">
        <w:noBreakHyphen/>
        <w:t>M</w:t>
      </w:r>
      <w:r w:rsidRPr="00181EF3">
        <w:t>āori).</w:t>
      </w:r>
    </w:p>
    <w:p w14:paraId="230A73C1" w14:textId="77777777" w:rsidR="0045021E" w:rsidRPr="00181EF3" w:rsidRDefault="0045021E" w:rsidP="002E449B"/>
    <w:p w14:paraId="63077965" w14:textId="2A499999" w:rsidR="0045021E" w:rsidRDefault="0045021E" w:rsidP="002E449B">
      <w:r w:rsidRPr="00181EF3">
        <w:t xml:space="preserve">This did not change much over time, in 2006 and 2013, 24 percent of Māori lived in decile 10 areas (compared with 7 percent of </w:t>
      </w:r>
      <w:r w:rsidR="00EC03A3">
        <w:t>non</w:t>
      </w:r>
      <w:r w:rsidR="00EC03A3">
        <w:noBreakHyphen/>
        <w:t>M</w:t>
      </w:r>
      <w:r w:rsidRPr="00181EF3">
        <w:t xml:space="preserve">āori), while 3 percent of Māori lived in decile 1 areas in 2006 and 4 percent in 2013 (compared with 12 percent of </w:t>
      </w:r>
      <w:r w:rsidR="00EC03A3">
        <w:t>non</w:t>
      </w:r>
      <w:r w:rsidR="00EC03A3">
        <w:noBreakHyphen/>
        <w:t>M</w:t>
      </w:r>
      <w:r w:rsidRPr="00181EF3">
        <w:t>āori for both 2006 and 2013).</w:t>
      </w:r>
    </w:p>
    <w:p w14:paraId="4A3565FB" w14:textId="77777777" w:rsidR="0029182F" w:rsidRPr="00181EF3" w:rsidRDefault="0029182F" w:rsidP="002E449B"/>
    <w:p w14:paraId="30C90011" w14:textId="77777777" w:rsidR="006A632C" w:rsidRPr="00181EF3" w:rsidRDefault="006A632C" w:rsidP="002E449B">
      <w:r w:rsidRPr="00181EF3">
        <w:t xml:space="preserve">Figure </w:t>
      </w:r>
      <w:r>
        <w:t>4</w:t>
      </w:r>
      <w:r w:rsidRPr="00181EF3">
        <w:t xml:space="preserve"> shows the percentage of Māori in each decile in the neighbourhood deprivation distribution (NZDep 2013). This figure reflects the results mentioned above.</w:t>
      </w:r>
    </w:p>
    <w:p w14:paraId="2A1466FE" w14:textId="77777777" w:rsidR="0045021E" w:rsidRPr="00181EF3" w:rsidRDefault="0045021E" w:rsidP="002E449B"/>
    <w:p w14:paraId="39B8FA98" w14:textId="74DACA22" w:rsidR="0045021E" w:rsidRPr="00181EF3" w:rsidRDefault="0045021E" w:rsidP="0045021E">
      <w:pPr>
        <w:pStyle w:val="Figure"/>
      </w:pPr>
      <w:bookmarkStart w:id="39" w:name="_Toc19101855"/>
      <w:r w:rsidRPr="00181EF3">
        <w:t xml:space="preserve">Figure </w:t>
      </w:r>
      <w:r>
        <w:rPr>
          <w:noProof/>
        </w:rPr>
        <w:t>4</w:t>
      </w:r>
      <w:r w:rsidRPr="00181EF3">
        <w:t xml:space="preserve">: Neighbourhood deprivation distribution (NZDep 2013), Māori and </w:t>
      </w:r>
      <w:r w:rsidR="00EC03A3">
        <w:t>non</w:t>
      </w:r>
      <w:r w:rsidR="00EC03A3">
        <w:noBreakHyphen/>
        <w:t>M</w:t>
      </w:r>
      <w:r w:rsidRPr="00181EF3">
        <w:t>āori, 2013</w:t>
      </w:r>
      <w:bookmarkEnd w:id="39"/>
    </w:p>
    <w:p w14:paraId="08726C78" w14:textId="77777777" w:rsidR="0045021E" w:rsidRDefault="0045021E" w:rsidP="0045021E">
      <w:r w:rsidRPr="006443D6">
        <w:rPr>
          <w:noProof/>
          <w:lang w:eastAsia="en-NZ"/>
        </w:rPr>
        <w:drawing>
          <wp:inline distT="0" distB="0" distL="0" distR="0" wp14:anchorId="39B23D01" wp14:editId="32519676">
            <wp:extent cx="5130165" cy="2530553"/>
            <wp:effectExtent l="0" t="0" r="0" b="3175"/>
            <wp:docPr id="1" name="Picture 1" descr="The graph shows that nearly 25 percent of Māori were in the most deprived decile according to 2013 results." title="Figure 4: Neighbourhood deprivation distribution (NZDep 2013), Māori and non Māori,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130165" cy="2530553"/>
                    </a:xfrm>
                    <a:prstGeom prst="rect">
                      <a:avLst/>
                    </a:prstGeom>
                  </pic:spPr>
                </pic:pic>
              </a:graphicData>
            </a:graphic>
          </wp:inline>
        </w:drawing>
      </w:r>
    </w:p>
    <w:p w14:paraId="1AC30AE8" w14:textId="77777777" w:rsidR="00EF58A1" w:rsidRPr="00181EF3" w:rsidRDefault="00EF58A1" w:rsidP="00EF58A1"/>
    <w:p w14:paraId="5BDA7E20" w14:textId="77777777" w:rsidR="004A7F24" w:rsidRPr="00AF5546" w:rsidRDefault="00370973" w:rsidP="00EF58A1">
      <w:pPr>
        <w:pStyle w:val="Heading2"/>
      </w:pPr>
      <w:bookmarkStart w:id="40" w:name="_Toc19102294"/>
      <w:r>
        <w:lastRenderedPageBreak/>
        <w:t>Socioeconomic indicators</w:t>
      </w:r>
      <w:bookmarkEnd w:id="40"/>
    </w:p>
    <w:p w14:paraId="6825671E" w14:textId="77777777" w:rsidR="00370973" w:rsidRPr="00181EF3" w:rsidRDefault="00370973" w:rsidP="00370973">
      <w:pPr>
        <w:keepNext/>
      </w:pPr>
      <w:r w:rsidRPr="00181EF3">
        <w:t xml:space="preserve">Tables </w:t>
      </w:r>
      <w:r>
        <w:t>9</w:t>
      </w:r>
      <w:r w:rsidRPr="00181EF3">
        <w:t xml:space="preserve">, </w:t>
      </w:r>
      <w:r>
        <w:t>10</w:t>
      </w:r>
      <w:r w:rsidRPr="00181EF3">
        <w:t xml:space="preserve">, and </w:t>
      </w:r>
      <w:r>
        <w:t>11</w:t>
      </w:r>
      <w:r w:rsidRPr="00181EF3">
        <w:t xml:space="preserve"> present crude rates rather than age-standardised rates.</w:t>
      </w:r>
    </w:p>
    <w:p w14:paraId="7DF1CD66" w14:textId="77777777" w:rsidR="00370973" w:rsidRPr="00181EF3" w:rsidRDefault="00370973" w:rsidP="00370973">
      <w:pPr>
        <w:keepNext/>
      </w:pPr>
    </w:p>
    <w:p w14:paraId="4061CAA6" w14:textId="29D62E07" w:rsidR="00370973" w:rsidRPr="00181EF3" w:rsidRDefault="00370973" w:rsidP="00EF58A1">
      <w:pPr>
        <w:keepNext/>
        <w:keepLines/>
      </w:pPr>
      <w:r w:rsidRPr="00181EF3">
        <w:t xml:space="preserve">Caution should be taken when comparing Māori and </w:t>
      </w:r>
      <w:r w:rsidR="00EC03A3">
        <w:t>non</w:t>
      </w:r>
      <w:r w:rsidR="00EC03A3">
        <w:noBreakHyphen/>
        <w:t>M</w:t>
      </w:r>
      <w:r w:rsidRPr="00181EF3">
        <w:t xml:space="preserve">āori results. Crude rates accurately portray the situation in each population but make comparisons difficult because they do not take into account different age distributions in each of the populations (the Māori population is much younger than the </w:t>
      </w:r>
      <w:r w:rsidR="00EC03A3">
        <w:t>non</w:t>
      </w:r>
      <w:r w:rsidR="00EC03A3">
        <w:noBreakHyphen/>
        <w:t>M</w:t>
      </w:r>
      <w:r w:rsidRPr="00181EF3">
        <w:t>āori population).</w:t>
      </w:r>
    </w:p>
    <w:p w14:paraId="02A8213E" w14:textId="77777777" w:rsidR="00370973" w:rsidRPr="00181EF3" w:rsidRDefault="00370973" w:rsidP="00370973">
      <w:pPr>
        <w:keepNext/>
      </w:pPr>
    </w:p>
    <w:p w14:paraId="07100053" w14:textId="45954503" w:rsidR="00370973" w:rsidRPr="00181EF3" w:rsidRDefault="00370973" w:rsidP="00370973">
      <w:pPr>
        <w:pStyle w:val="Table"/>
      </w:pPr>
      <w:bookmarkStart w:id="41" w:name="_Toc18594749"/>
      <w:r w:rsidRPr="00181EF3">
        <w:t xml:space="preserve">Table </w:t>
      </w:r>
      <w:r>
        <w:t>9</w:t>
      </w:r>
      <w:r w:rsidRPr="00181EF3">
        <w:t xml:space="preserve">: Socioeconomic indicators, by gender, Māori and </w:t>
      </w:r>
      <w:r w:rsidR="00EC03A3">
        <w:t>non</w:t>
      </w:r>
      <w:r w:rsidR="00EC03A3">
        <w:noBreakHyphen/>
        <w:t>M</w:t>
      </w:r>
      <w:r w:rsidRPr="00181EF3">
        <w:t>āori, 2001</w:t>
      </w:r>
      <w:bookmarkEnd w:id="41"/>
    </w:p>
    <w:tbl>
      <w:tblPr>
        <w:tblW w:w="8080" w:type="dxa"/>
        <w:tblInd w:w="57" w:type="dxa"/>
        <w:tblLayout w:type="fixed"/>
        <w:tblCellMar>
          <w:left w:w="57" w:type="dxa"/>
          <w:right w:w="57" w:type="dxa"/>
        </w:tblCellMar>
        <w:tblLook w:val="04A0" w:firstRow="1" w:lastRow="0" w:firstColumn="1" w:lastColumn="0" w:noHBand="0" w:noVBand="1"/>
      </w:tblPr>
      <w:tblGrid>
        <w:gridCol w:w="3119"/>
        <w:gridCol w:w="826"/>
        <w:gridCol w:w="827"/>
        <w:gridCol w:w="827"/>
        <w:gridCol w:w="827"/>
        <w:gridCol w:w="827"/>
        <w:gridCol w:w="827"/>
      </w:tblGrid>
      <w:tr w:rsidR="00370973" w:rsidRPr="00181EF3" w14:paraId="39A12418" w14:textId="77777777" w:rsidTr="00370973">
        <w:trPr>
          <w:cantSplit/>
        </w:trPr>
        <w:tc>
          <w:tcPr>
            <w:tcW w:w="3119" w:type="dxa"/>
            <w:vMerge w:val="restart"/>
            <w:tcBorders>
              <w:right w:val="single" w:sz="4" w:space="0" w:color="A6A6A6" w:themeColor="background1" w:themeShade="A6"/>
            </w:tcBorders>
            <w:shd w:val="clear" w:color="auto" w:fill="D9D9D9" w:themeFill="background1" w:themeFillShade="D9"/>
          </w:tcPr>
          <w:p w14:paraId="0BE9177F" w14:textId="77777777" w:rsidR="00370973" w:rsidRPr="00181EF3" w:rsidRDefault="00370973" w:rsidP="00370973">
            <w:pPr>
              <w:pStyle w:val="TableText"/>
              <w:keepNext/>
              <w:rPr>
                <w:b/>
              </w:rPr>
            </w:pPr>
            <w:r w:rsidRPr="00181EF3">
              <w:rPr>
                <w:b/>
              </w:rPr>
              <w:t>Indicator</w:t>
            </w:r>
          </w:p>
        </w:tc>
        <w:tc>
          <w:tcPr>
            <w:tcW w:w="2480" w:type="dxa"/>
            <w:gridSpan w:val="3"/>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0837151C" w14:textId="77777777" w:rsidR="00370973" w:rsidRPr="00181EF3" w:rsidRDefault="00370973" w:rsidP="00370973">
            <w:pPr>
              <w:pStyle w:val="TableText"/>
              <w:keepNext/>
              <w:jc w:val="center"/>
              <w:rPr>
                <w:b/>
              </w:rPr>
            </w:pPr>
            <w:r w:rsidRPr="00181EF3">
              <w:rPr>
                <w:b/>
              </w:rPr>
              <w:t>Māori</w:t>
            </w:r>
          </w:p>
        </w:tc>
        <w:tc>
          <w:tcPr>
            <w:tcW w:w="2481" w:type="dxa"/>
            <w:gridSpan w:val="3"/>
            <w:tcBorders>
              <w:left w:val="single" w:sz="4" w:space="0" w:color="A6A6A6" w:themeColor="background1" w:themeShade="A6"/>
            </w:tcBorders>
            <w:shd w:val="clear" w:color="auto" w:fill="D9D9D9" w:themeFill="background1" w:themeFillShade="D9"/>
          </w:tcPr>
          <w:p w14:paraId="44317D4F" w14:textId="3D83DA2C" w:rsidR="00370973" w:rsidRPr="00181EF3" w:rsidRDefault="00EC03A3" w:rsidP="00370973">
            <w:pPr>
              <w:pStyle w:val="TableText"/>
              <w:keepNext/>
              <w:jc w:val="center"/>
              <w:rPr>
                <w:b/>
              </w:rPr>
            </w:pPr>
            <w:r>
              <w:rPr>
                <w:b/>
              </w:rPr>
              <w:t>Non</w:t>
            </w:r>
            <w:r>
              <w:rPr>
                <w:b/>
              </w:rPr>
              <w:noBreakHyphen/>
              <w:t>M</w:t>
            </w:r>
            <w:r w:rsidR="00370973" w:rsidRPr="00181EF3">
              <w:rPr>
                <w:b/>
              </w:rPr>
              <w:t>āori</w:t>
            </w:r>
          </w:p>
        </w:tc>
      </w:tr>
      <w:tr w:rsidR="00370973" w:rsidRPr="00181EF3" w14:paraId="2448B552" w14:textId="77777777" w:rsidTr="00370973">
        <w:trPr>
          <w:cantSplit/>
        </w:trPr>
        <w:tc>
          <w:tcPr>
            <w:tcW w:w="3119" w:type="dxa"/>
            <w:vMerge/>
            <w:tcBorders>
              <w:right w:val="single" w:sz="4" w:space="0" w:color="A6A6A6" w:themeColor="background1" w:themeShade="A6"/>
            </w:tcBorders>
            <w:shd w:val="clear" w:color="auto" w:fill="D9D9D9" w:themeFill="background1" w:themeFillShade="D9"/>
          </w:tcPr>
          <w:p w14:paraId="75F2868E" w14:textId="77777777" w:rsidR="00370973" w:rsidRPr="00181EF3" w:rsidRDefault="00370973" w:rsidP="00370973">
            <w:pPr>
              <w:pStyle w:val="TableText"/>
              <w:keepNext/>
              <w:rPr>
                <w:b/>
              </w:rPr>
            </w:pPr>
          </w:p>
        </w:tc>
        <w:tc>
          <w:tcPr>
            <w:tcW w:w="826" w:type="dxa"/>
            <w:tcBorders>
              <w:left w:val="single" w:sz="4" w:space="0" w:color="A6A6A6" w:themeColor="background1" w:themeShade="A6"/>
            </w:tcBorders>
            <w:shd w:val="clear" w:color="auto" w:fill="D9D9D9" w:themeFill="background1" w:themeFillShade="D9"/>
          </w:tcPr>
          <w:p w14:paraId="7420ED9E" w14:textId="77777777" w:rsidR="00370973" w:rsidRPr="00181EF3" w:rsidRDefault="00370973" w:rsidP="00370973">
            <w:pPr>
              <w:pStyle w:val="TableText"/>
              <w:keepNext/>
              <w:spacing w:before="0"/>
              <w:jc w:val="center"/>
              <w:rPr>
                <w:b/>
              </w:rPr>
            </w:pPr>
            <w:r w:rsidRPr="00181EF3">
              <w:rPr>
                <w:b/>
              </w:rPr>
              <w:t>Males</w:t>
            </w:r>
          </w:p>
        </w:tc>
        <w:tc>
          <w:tcPr>
            <w:tcW w:w="827" w:type="dxa"/>
            <w:shd w:val="clear" w:color="auto" w:fill="D9D9D9" w:themeFill="background1" w:themeFillShade="D9"/>
          </w:tcPr>
          <w:p w14:paraId="2E48C64D" w14:textId="77777777" w:rsidR="00370973" w:rsidRPr="00181EF3" w:rsidRDefault="00370973" w:rsidP="00370973">
            <w:pPr>
              <w:pStyle w:val="TableText"/>
              <w:keepNext/>
              <w:spacing w:before="0"/>
              <w:jc w:val="center"/>
              <w:rPr>
                <w:b/>
              </w:rPr>
            </w:pPr>
            <w:r w:rsidRPr="00181EF3">
              <w:rPr>
                <w:b/>
              </w:rPr>
              <w:t>Females</w:t>
            </w:r>
          </w:p>
        </w:tc>
        <w:tc>
          <w:tcPr>
            <w:tcW w:w="827" w:type="dxa"/>
            <w:tcBorders>
              <w:right w:val="single" w:sz="4" w:space="0" w:color="A6A6A6" w:themeColor="background1" w:themeShade="A6"/>
            </w:tcBorders>
            <w:shd w:val="clear" w:color="auto" w:fill="D9D9D9" w:themeFill="background1" w:themeFillShade="D9"/>
          </w:tcPr>
          <w:p w14:paraId="38EC5436" w14:textId="77777777" w:rsidR="00370973" w:rsidRPr="00181EF3" w:rsidRDefault="00370973" w:rsidP="00370973">
            <w:pPr>
              <w:pStyle w:val="TableText"/>
              <w:keepNext/>
              <w:spacing w:before="0"/>
              <w:jc w:val="center"/>
              <w:rPr>
                <w:b/>
              </w:rPr>
            </w:pPr>
            <w:r w:rsidRPr="00181EF3">
              <w:rPr>
                <w:b/>
              </w:rPr>
              <w:t>Total</w:t>
            </w:r>
          </w:p>
        </w:tc>
        <w:tc>
          <w:tcPr>
            <w:tcW w:w="827" w:type="dxa"/>
            <w:tcBorders>
              <w:left w:val="single" w:sz="4" w:space="0" w:color="A6A6A6" w:themeColor="background1" w:themeShade="A6"/>
            </w:tcBorders>
            <w:shd w:val="clear" w:color="auto" w:fill="D9D9D9" w:themeFill="background1" w:themeFillShade="D9"/>
          </w:tcPr>
          <w:p w14:paraId="5D676618" w14:textId="77777777" w:rsidR="00370973" w:rsidRPr="00181EF3" w:rsidRDefault="00370973" w:rsidP="00370973">
            <w:pPr>
              <w:pStyle w:val="TableText"/>
              <w:keepNext/>
              <w:spacing w:before="0"/>
              <w:jc w:val="center"/>
              <w:rPr>
                <w:b/>
              </w:rPr>
            </w:pPr>
            <w:r w:rsidRPr="00181EF3">
              <w:rPr>
                <w:b/>
              </w:rPr>
              <w:t>Males</w:t>
            </w:r>
          </w:p>
        </w:tc>
        <w:tc>
          <w:tcPr>
            <w:tcW w:w="827" w:type="dxa"/>
            <w:shd w:val="clear" w:color="auto" w:fill="D9D9D9" w:themeFill="background1" w:themeFillShade="D9"/>
          </w:tcPr>
          <w:p w14:paraId="62C495B0" w14:textId="77777777" w:rsidR="00370973" w:rsidRPr="00181EF3" w:rsidRDefault="00370973" w:rsidP="00370973">
            <w:pPr>
              <w:pStyle w:val="TableText"/>
              <w:keepNext/>
              <w:spacing w:before="0"/>
              <w:jc w:val="center"/>
              <w:rPr>
                <w:b/>
              </w:rPr>
            </w:pPr>
            <w:r w:rsidRPr="00181EF3">
              <w:rPr>
                <w:b/>
              </w:rPr>
              <w:t>Females</w:t>
            </w:r>
          </w:p>
        </w:tc>
        <w:tc>
          <w:tcPr>
            <w:tcW w:w="827" w:type="dxa"/>
            <w:shd w:val="clear" w:color="auto" w:fill="D9D9D9" w:themeFill="background1" w:themeFillShade="D9"/>
          </w:tcPr>
          <w:p w14:paraId="2AAF5B27" w14:textId="77777777" w:rsidR="00370973" w:rsidRPr="00181EF3" w:rsidRDefault="00370973" w:rsidP="00370973">
            <w:pPr>
              <w:pStyle w:val="TableText"/>
              <w:keepNext/>
              <w:spacing w:before="0"/>
              <w:jc w:val="center"/>
              <w:rPr>
                <w:b/>
              </w:rPr>
            </w:pPr>
            <w:r w:rsidRPr="00181EF3">
              <w:rPr>
                <w:b/>
              </w:rPr>
              <w:t>Total</w:t>
            </w:r>
          </w:p>
        </w:tc>
      </w:tr>
      <w:tr w:rsidR="00370973" w:rsidRPr="00181EF3" w14:paraId="21BEAE18" w14:textId="77777777" w:rsidTr="00370973">
        <w:trPr>
          <w:cantSplit/>
        </w:trPr>
        <w:tc>
          <w:tcPr>
            <w:tcW w:w="3119" w:type="dxa"/>
            <w:tcBorders>
              <w:bottom w:val="single" w:sz="4" w:space="0" w:color="A6A6A6" w:themeColor="background1" w:themeShade="A6"/>
              <w:right w:val="single" w:sz="4" w:space="0" w:color="A6A6A6" w:themeColor="background1" w:themeShade="A6"/>
            </w:tcBorders>
          </w:tcPr>
          <w:p w14:paraId="1460CF94" w14:textId="77777777" w:rsidR="00370973" w:rsidRPr="00181EF3" w:rsidRDefault="00370973" w:rsidP="00370973">
            <w:pPr>
              <w:pStyle w:val="TableText"/>
              <w:keepNext/>
            </w:pPr>
            <w:r w:rsidRPr="00181EF3">
              <w:t>School completion (6th form certificate or higher), 15+ years</w:t>
            </w:r>
          </w:p>
        </w:tc>
        <w:tc>
          <w:tcPr>
            <w:tcW w:w="826" w:type="dxa"/>
            <w:tcBorders>
              <w:left w:val="single" w:sz="4" w:space="0" w:color="A6A6A6" w:themeColor="background1" w:themeShade="A6"/>
              <w:bottom w:val="single" w:sz="4" w:space="0" w:color="A6A6A6" w:themeColor="background1" w:themeShade="A6"/>
            </w:tcBorders>
          </w:tcPr>
          <w:p w14:paraId="61080A80" w14:textId="77777777" w:rsidR="00370973" w:rsidRPr="00181EF3" w:rsidRDefault="00370973" w:rsidP="00370973">
            <w:pPr>
              <w:pStyle w:val="TableText"/>
              <w:keepNext/>
              <w:jc w:val="center"/>
            </w:pPr>
            <w:r w:rsidRPr="00181EF3">
              <w:t>30.4</w:t>
            </w:r>
          </w:p>
        </w:tc>
        <w:tc>
          <w:tcPr>
            <w:tcW w:w="827" w:type="dxa"/>
            <w:tcBorders>
              <w:bottom w:val="single" w:sz="4" w:space="0" w:color="A6A6A6" w:themeColor="background1" w:themeShade="A6"/>
            </w:tcBorders>
          </w:tcPr>
          <w:p w14:paraId="0C87B103" w14:textId="77777777" w:rsidR="00370973" w:rsidRPr="00181EF3" w:rsidRDefault="00370973" w:rsidP="00370973">
            <w:pPr>
              <w:pStyle w:val="TableText"/>
              <w:keepNext/>
              <w:jc w:val="center"/>
            </w:pPr>
            <w:r w:rsidRPr="00181EF3">
              <w:t>34.5</w:t>
            </w:r>
          </w:p>
        </w:tc>
        <w:tc>
          <w:tcPr>
            <w:tcW w:w="827" w:type="dxa"/>
            <w:tcBorders>
              <w:bottom w:val="single" w:sz="4" w:space="0" w:color="A6A6A6" w:themeColor="background1" w:themeShade="A6"/>
              <w:right w:val="single" w:sz="4" w:space="0" w:color="A6A6A6" w:themeColor="background1" w:themeShade="A6"/>
            </w:tcBorders>
          </w:tcPr>
          <w:p w14:paraId="4C9E71C4" w14:textId="77777777" w:rsidR="00370973" w:rsidRPr="00181EF3" w:rsidRDefault="00370973" w:rsidP="00370973">
            <w:pPr>
              <w:pStyle w:val="TableText"/>
              <w:keepNext/>
              <w:jc w:val="center"/>
            </w:pPr>
            <w:r w:rsidRPr="00181EF3">
              <w:t>32.5</w:t>
            </w:r>
          </w:p>
        </w:tc>
        <w:tc>
          <w:tcPr>
            <w:tcW w:w="827" w:type="dxa"/>
            <w:tcBorders>
              <w:left w:val="single" w:sz="4" w:space="0" w:color="A6A6A6" w:themeColor="background1" w:themeShade="A6"/>
              <w:bottom w:val="single" w:sz="4" w:space="0" w:color="A6A6A6" w:themeColor="background1" w:themeShade="A6"/>
            </w:tcBorders>
          </w:tcPr>
          <w:p w14:paraId="757F5673" w14:textId="77777777" w:rsidR="00370973" w:rsidRPr="00181EF3" w:rsidRDefault="00370973" w:rsidP="00370973">
            <w:pPr>
              <w:pStyle w:val="TableText"/>
              <w:keepNext/>
              <w:tabs>
                <w:tab w:val="decimal" w:pos="397"/>
              </w:tabs>
            </w:pPr>
            <w:r w:rsidRPr="00181EF3">
              <w:t>51.7</w:t>
            </w:r>
          </w:p>
        </w:tc>
        <w:tc>
          <w:tcPr>
            <w:tcW w:w="827" w:type="dxa"/>
            <w:tcBorders>
              <w:bottom w:val="single" w:sz="4" w:space="0" w:color="A6A6A6" w:themeColor="background1" w:themeShade="A6"/>
            </w:tcBorders>
          </w:tcPr>
          <w:p w14:paraId="31246959" w14:textId="77777777" w:rsidR="00370973" w:rsidRPr="00181EF3" w:rsidRDefault="00370973" w:rsidP="00370973">
            <w:pPr>
              <w:pStyle w:val="TableText"/>
              <w:keepNext/>
              <w:tabs>
                <w:tab w:val="decimal" w:pos="397"/>
              </w:tabs>
            </w:pPr>
            <w:r w:rsidRPr="00181EF3">
              <w:t>49.9</w:t>
            </w:r>
          </w:p>
        </w:tc>
        <w:tc>
          <w:tcPr>
            <w:tcW w:w="827" w:type="dxa"/>
            <w:tcBorders>
              <w:bottom w:val="single" w:sz="4" w:space="0" w:color="A6A6A6" w:themeColor="background1" w:themeShade="A6"/>
            </w:tcBorders>
          </w:tcPr>
          <w:p w14:paraId="5CEA40A4" w14:textId="77777777" w:rsidR="00370973" w:rsidRPr="00181EF3" w:rsidRDefault="00370973" w:rsidP="00370973">
            <w:pPr>
              <w:pStyle w:val="TableText"/>
              <w:keepNext/>
              <w:tabs>
                <w:tab w:val="decimal" w:pos="397"/>
              </w:tabs>
            </w:pPr>
            <w:r w:rsidRPr="00181EF3">
              <w:t>50.8</w:t>
            </w:r>
          </w:p>
        </w:tc>
      </w:tr>
      <w:tr w:rsidR="00370973" w:rsidRPr="00181EF3" w14:paraId="2A600845" w14:textId="77777777" w:rsidTr="00370973">
        <w:trPr>
          <w:cantSplit/>
        </w:trPr>
        <w:tc>
          <w:tcPr>
            <w:tcW w:w="3119"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B299261" w14:textId="77777777" w:rsidR="00370973" w:rsidRPr="00181EF3" w:rsidRDefault="00370973" w:rsidP="00370973">
            <w:pPr>
              <w:pStyle w:val="TableText"/>
              <w:keepNext/>
            </w:pPr>
            <w:r w:rsidRPr="00181EF3">
              <w:t>Unemployed, 15+ years</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4E16DE6" w14:textId="77777777" w:rsidR="00370973" w:rsidRPr="00181EF3" w:rsidRDefault="00370973" w:rsidP="00370973">
            <w:pPr>
              <w:pStyle w:val="TableText"/>
              <w:keepNext/>
              <w:jc w:val="center"/>
            </w:pPr>
            <w:r w:rsidRPr="00181EF3">
              <w:t>11.3</w:t>
            </w:r>
          </w:p>
        </w:tc>
        <w:tc>
          <w:tcPr>
            <w:tcW w:w="827" w:type="dxa"/>
            <w:tcBorders>
              <w:top w:val="single" w:sz="4" w:space="0" w:color="A6A6A6" w:themeColor="background1" w:themeShade="A6"/>
              <w:bottom w:val="single" w:sz="4" w:space="0" w:color="A6A6A6" w:themeColor="background1" w:themeShade="A6"/>
            </w:tcBorders>
          </w:tcPr>
          <w:p w14:paraId="07420885" w14:textId="77777777" w:rsidR="00370973" w:rsidRPr="00181EF3" w:rsidRDefault="00370973" w:rsidP="00370973">
            <w:pPr>
              <w:pStyle w:val="TableText"/>
              <w:keepNext/>
              <w:jc w:val="center"/>
            </w:pPr>
            <w:r w:rsidRPr="00181EF3">
              <w:t>11.4</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B4D8274" w14:textId="77777777" w:rsidR="00370973" w:rsidRPr="00181EF3" w:rsidRDefault="00370973" w:rsidP="00370973">
            <w:pPr>
              <w:pStyle w:val="TableText"/>
              <w:keepNext/>
              <w:jc w:val="center"/>
            </w:pPr>
            <w:r w:rsidRPr="00181EF3">
              <w:t>11.4</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7924F18" w14:textId="77777777" w:rsidR="00370973" w:rsidRPr="00181EF3" w:rsidRDefault="00370973" w:rsidP="00370973">
            <w:pPr>
              <w:pStyle w:val="TableText"/>
              <w:keepNext/>
              <w:tabs>
                <w:tab w:val="decimal" w:pos="397"/>
              </w:tabs>
            </w:pPr>
            <w:r w:rsidRPr="00181EF3">
              <w:t>4.2</w:t>
            </w:r>
          </w:p>
        </w:tc>
        <w:tc>
          <w:tcPr>
            <w:tcW w:w="827" w:type="dxa"/>
            <w:tcBorders>
              <w:top w:val="single" w:sz="4" w:space="0" w:color="A6A6A6" w:themeColor="background1" w:themeShade="A6"/>
              <w:bottom w:val="single" w:sz="4" w:space="0" w:color="A6A6A6" w:themeColor="background1" w:themeShade="A6"/>
            </w:tcBorders>
          </w:tcPr>
          <w:p w14:paraId="02F112FB" w14:textId="77777777" w:rsidR="00370973" w:rsidRPr="00181EF3" w:rsidRDefault="00370973" w:rsidP="00370973">
            <w:pPr>
              <w:pStyle w:val="TableText"/>
              <w:keepNext/>
              <w:tabs>
                <w:tab w:val="decimal" w:pos="397"/>
              </w:tabs>
            </w:pPr>
            <w:r w:rsidRPr="00181EF3">
              <w:t>3.8</w:t>
            </w:r>
          </w:p>
        </w:tc>
        <w:tc>
          <w:tcPr>
            <w:tcW w:w="827" w:type="dxa"/>
            <w:tcBorders>
              <w:top w:val="single" w:sz="4" w:space="0" w:color="A6A6A6" w:themeColor="background1" w:themeShade="A6"/>
              <w:bottom w:val="single" w:sz="4" w:space="0" w:color="A6A6A6" w:themeColor="background1" w:themeShade="A6"/>
            </w:tcBorders>
          </w:tcPr>
          <w:p w14:paraId="7571D0B1" w14:textId="77777777" w:rsidR="00370973" w:rsidRPr="00181EF3" w:rsidRDefault="00370973" w:rsidP="00370973">
            <w:pPr>
              <w:pStyle w:val="TableText"/>
              <w:keepNext/>
              <w:tabs>
                <w:tab w:val="decimal" w:pos="397"/>
              </w:tabs>
            </w:pPr>
            <w:r w:rsidRPr="00181EF3">
              <w:t>4.0</w:t>
            </w:r>
          </w:p>
        </w:tc>
      </w:tr>
      <w:tr w:rsidR="00370973" w:rsidRPr="00181EF3" w14:paraId="082E551B" w14:textId="77777777" w:rsidTr="00370973">
        <w:trPr>
          <w:cantSplit/>
        </w:trPr>
        <w:tc>
          <w:tcPr>
            <w:tcW w:w="3119"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12A141C" w14:textId="77777777" w:rsidR="00370973" w:rsidRPr="00181EF3" w:rsidRDefault="00370973" w:rsidP="00370973">
            <w:pPr>
              <w:pStyle w:val="TableText"/>
              <w:keepNext/>
            </w:pPr>
            <w:r w:rsidRPr="00181EF3">
              <w:t>Total personal income less than $10,000, 15+ years</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652563C" w14:textId="77777777" w:rsidR="00370973" w:rsidRPr="00181EF3" w:rsidRDefault="00370973" w:rsidP="00370973">
            <w:pPr>
              <w:pStyle w:val="TableText"/>
              <w:keepNext/>
              <w:jc w:val="center"/>
            </w:pPr>
            <w:r w:rsidRPr="00181EF3">
              <w:t>27.8</w:t>
            </w:r>
          </w:p>
        </w:tc>
        <w:tc>
          <w:tcPr>
            <w:tcW w:w="827" w:type="dxa"/>
            <w:tcBorders>
              <w:top w:val="single" w:sz="4" w:space="0" w:color="A6A6A6" w:themeColor="background1" w:themeShade="A6"/>
              <w:bottom w:val="single" w:sz="4" w:space="0" w:color="A6A6A6" w:themeColor="background1" w:themeShade="A6"/>
            </w:tcBorders>
          </w:tcPr>
          <w:p w14:paraId="1FC2EA08" w14:textId="77777777" w:rsidR="00370973" w:rsidRPr="00181EF3" w:rsidRDefault="00370973" w:rsidP="00370973">
            <w:pPr>
              <w:pStyle w:val="TableText"/>
              <w:keepNext/>
              <w:jc w:val="center"/>
            </w:pPr>
            <w:r w:rsidRPr="00181EF3">
              <w:t>32.1</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398EB28" w14:textId="77777777" w:rsidR="00370973" w:rsidRPr="00181EF3" w:rsidRDefault="00370973" w:rsidP="00370973">
            <w:pPr>
              <w:pStyle w:val="TableText"/>
              <w:keepNext/>
              <w:jc w:val="center"/>
            </w:pPr>
            <w:r w:rsidRPr="00181EF3">
              <w:t>30.1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C82247C" w14:textId="77777777" w:rsidR="00370973" w:rsidRPr="00181EF3" w:rsidRDefault="00370973" w:rsidP="00370973">
            <w:pPr>
              <w:pStyle w:val="TableText"/>
              <w:keepNext/>
              <w:tabs>
                <w:tab w:val="decimal" w:pos="397"/>
              </w:tabs>
            </w:pPr>
            <w:r w:rsidRPr="00181EF3">
              <w:t>19.2</w:t>
            </w:r>
          </w:p>
        </w:tc>
        <w:tc>
          <w:tcPr>
            <w:tcW w:w="827" w:type="dxa"/>
            <w:tcBorders>
              <w:top w:val="single" w:sz="4" w:space="0" w:color="A6A6A6" w:themeColor="background1" w:themeShade="A6"/>
              <w:bottom w:val="single" w:sz="4" w:space="0" w:color="A6A6A6" w:themeColor="background1" w:themeShade="A6"/>
            </w:tcBorders>
          </w:tcPr>
          <w:p w14:paraId="57BEA9C6" w14:textId="77777777" w:rsidR="00370973" w:rsidRPr="00181EF3" w:rsidRDefault="00370973" w:rsidP="00370973">
            <w:pPr>
              <w:pStyle w:val="TableText"/>
              <w:keepNext/>
              <w:tabs>
                <w:tab w:val="decimal" w:pos="397"/>
              </w:tabs>
            </w:pPr>
            <w:r w:rsidRPr="00181EF3">
              <w:t>28.6</w:t>
            </w:r>
          </w:p>
        </w:tc>
        <w:tc>
          <w:tcPr>
            <w:tcW w:w="827" w:type="dxa"/>
            <w:tcBorders>
              <w:top w:val="single" w:sz="4" w:space="0" w:color="A6A6A6" w:themeColor="background1" w:themeShade="A6"/>
              <w:bottom w:val="single" w:sz="4" w:space="0" w:color="A6A6A6" w:themeColor="background1" w:themeShade="A6"/>
            </w:tcBorders>
          </w:tcPr>
          <w:p w14:paraId="4883ED2B" w14:textId="77777777" w:rsidR="00370973" w:rsidRPr="00181EF3" w:rsidRDefault="00370973" w:rsidP="00370973">
            <w:pPr>
              <w:pStyle w:val="TableText"/>
              <w:keepNext/>
              <w:tabs>
                <w:tab w:val="decimal" w:pos="397"/>
              </w:tabs>
            </w:pPr>
            <w:r w:rsidRPr="00181EF3">
              <w:t>24.1</w:t>
            </w:r>
          </w:p>
        </w:tc>
      </w:tr>
      <w:tr w:rsidR="00370973" w:rsidRPr="00181EF3" w14:paraId="768AA5A6" w14:textId="77777777" w:rsidTr="00370973">
        <w:trPr>
          <w:cantSplit/>
        </w:trPr>
        <w:tc>
          <w:tcPr>
            <w:tcW w:w="3119"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4838F0C" w14:textId="77777777" w:rsidR="00370973" w:rsidRPr="00181EF3" w:rsidRDefault="00370973" w:rsidP="00370973">
            <w:pPr>
              <w:pStyle w:val="TableText"/>
              <w:keepNext/>
            </w:pPr>
            <w:r w:rsidRPr="00181EF3">
              <w:t>Receiving means-tested benefit,</w:t>
            </w:r>
            <w:r w:rsidRPr="00181EF3">
              <w:rPr>
                <w:vertAlign w:val="superscript"/>
              </w:rPr>
              <w:t>1</w:t>
            </w:r>
            <w:r w:rsidRPr="00181EF3">
              <w:t xml:space="preserve"> 15+ years</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613BFEF" w14:textId="77777777" w:rsidR="00370973" w:rsidRPr="00181EF3" w:rsidRDefault="00370973" w:rsidP="00370973">
            <w:pPr>
              <w:pStyle w:val="TableText"/>
              <w:keepNext/>
              <w:jc w:val="center"/>
            </w:pPr>
            <w:r w:rsidRPr="00181EF3">
              <w:t>24.8</w:t>
            </w:r>
          </w:p>
        </w:tc>
        <w:tc>
          <w:tcPr>
            <w:tcW w:w="827" w:type="dxa"/>
            <w:tcBorders>
              <w:top w:val="single" w:sz="4" w:space="0" w:color="A6A6A6" w:themeColor="background1" w:themeShade="A6"/>
              <w:bottom w:val="single" w:sz="4" w:space="0" w:color="A6A6A6" w:themeColor="background1" w:themeShade="A6"/>
            </w:tcBorders>
          </w:tcPr>
          <w:p w14:paraId="6EB72856" w14:textId="77777777" w:rsidR="00370973" w:rsidRPr="00181EF3" w:rsidRDefault="00370973" w:rsidP="00370973">
            <w:pPr>
              <w:pStyle w:val="TableText"/>
              <w:keepNext/>
              <w:jc w:val="center"/>
            </w:pPr>
            <w:r w:rsidRPr="00181EF3">
              <w:t>36.1</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3935678" w14:textId="77777777" w:rsidR="00370973" w:rsidRPr="00181EF3" w:rsidRDefault="00370973" w:rsidP="00370973">
            <w:pPr>
              <w:pStyle w:val="TableText"/>
              <w:keepNext/>
              <w:jc w:val="center"/>
            </w:pPr>
            <w:r w:rsidRPr="00181EF3">
              <w:t>30.7</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668EA5F" w14:textId="77777777" w:rsidR="00370973" w:rsidRPr="00181EF3" w:rsidRDefault="00370973" w:rsidP="00370973">
            <w:pPr>
              <w:pStyle w:val="TableText"/>
              <w:keepNext/>
              <w:tabs>
                <w:tab w:val="decimal" w:pos="397"/>
              </w:tabs>
            </w:pPr>
            <w:r w:rsidRPr="00181EF3">
              <w:t>10.2</w:t>
            </w:r>
          </w:p>
        </w:tc>
        <w:tc>
          <w:tcPr>
            <w:tcW w:w="827" w:type="dxa"/>
            <w:tcBorders>
              <w:top w:val="single" w:sz="4" w:space="0" w:color="A6A6A6" w:themeColor="background1" w:themeShade="A6"/>
              <w:bottom w:val="single" w:sz="4" w:space="0" w:color="A6A6A6" w:themeColor="background1" w:themeShade="A6"/>
            </w:tcBorders>
          </w:tcPr>
          <w:p w14:paraId="41F421DE" w14:textId="77777777" w:rsidR="00370973" w:rsidRPr="00181EF3" w:rsidRDefault="00370973" w:rsidP="00370973">
            <w:pPr>
              <w:pStyle w:val="TableText"/>
              <w:keepNext/>
              <w:tabs>
                <w:tab w:val="decimal" w:pos="397"/>
              </w:tabs>
            </w:pPr>
            <w:r w:rsidRPr="00181EF3">
              <w:t>12.8</w:t>
            </w:r>
          </w:p>
        </w:tc>
        <w:tc>
          <w:tcPr>
            <w:tcW w:w="827" w:type="dxa"/>
            <w:tcBorders>
              <w:top w:val="single" w:sz="4" w:space="0" w:color="A6A6A6" w:themeColor="background1" w:themeShade="A6"/>
              <w:bottom w:val="single" w:sz="4" w:space="0" w:color="A6A6A6" w:themeColor="background1" w:themeShade="A6"/>
            </w:tcBorders>
          </w:tcPr>
          <w:p w14:paraId="4DC415F1" w14:textId="77777777" w:rsidR="00370973" w:rsidRPr="00181EF3" w:rsidRDefault="00370973" w:rsidP="00370973">
            <w:pPr>
              <w:pStyle w:val="TableText"/>
              <w:keepNext/>
              <w:tabs>
                <w:tab w:val="decimal" w:pos="397"/>
              </w:tabs>
            </w:pPr>
            <w:r w:rsidRPr="00181EF3">
              <w:t>11.5</w:t>
            </w:r>
          </w:p>
        </w:tc>
      </w:tr>
      <w:tr w:rsidR="00370973" w:rsidRPr="00181EF3" w14:paraId="0AAEE891" w14:textId="77777777" w:rsidTr="00370973">
        <w:trPr>
          <w:cantSplit/>
        </w:trPr>
        <w:tc>
          <w:tcPr>
            <w:tcW w:w="3119"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001CF1C" w14:textId="77777777" w:rsidR="00370973" w:rsidRPr="00181EF3" w:rsidRDefault="00370973" w:rsidP="00370973">
            <w:pPr>
              <w:pStyle w:val="TableText"/>
              <w:keepNext/>
            </w:pPr>
            <w:r w:rsidRPr="00181EF3">
              <w:t>Living in household without telephone access,</w:t>
            </w:r>
            <w:r w:rsidRPr="00181EF3">
              <w:rPr>
                <w:vertAlign w:val="superscript"/>
              </w:rPr>
              <w:t>2</w:t>
            </w:r>
            <w:r w:rsidRPr="00181EF3">
              <w:t xml:space="preserve"> 15+ years</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0733E1D" w14:textId="77777777" w:rsidR="00370973" w:rsidRPr="00181EF3" w:rsidRDefault="00370973" w:rsidP="00370973">
            <w:pPr>
              <w:pStyle w:val="TableText"/>
              <w:keepNext/>
              <w:jc w:val="center"/>
            </w:pPr>
            <w:r w:rsidRPr="00181EF3">
              <w:t>12.2</w:t>
            </w:r>
          </w:p>
        </w:tc>
        <w:tc>
          <w:tcPr>
            <w:tcW w:w="827" w:type="dxa"/>
            <w:tcBorders>
              <w:top w:val="single" w:sz="4" w:space="0" w:color="A6A6A6" w:themeColor="background1" w:themeShade="A6"/>
              <w:bottom w:val="single" w:sz="4" w:space="0" w:color="A6A6A6" w:themeColor="background1" w:themeShade="A6"/>
            </w:tcBorders>
          </w:tcPr>
          <w:p w14:paraId="0022A951" w14:textId="77777777" w:rsidR="00370973" w:rsidRPr="00181EF3" w:rsidRDefault="00370973" w:rsidP="00370973">
            <w:pPr>
              <w:pStyle w:val="TableText"/>
              <w:keepNext/>
              <w:jc w:val="center"/>
            </w:pPr>
            <w:r w:rsidRPr="00181EF3">
              <w:t>12.8</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CC6468A" w14:textId="77777777" w:rsidR="00370973" w:rsidRPr="00181EF3" w:rsidRDefault="00370973" w:rsidP="00370973">
            <w:pPr>
              <w:pStyle w:val="TableText"/>
              <w:keepNext/>
              <w:jc w:val="center"/>
            </w:pPr>
            <w:r w:rsidRPr="00181EF3">
              <w:t>12.5</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D8D0C39" w14:textId="77777777" w:rsidR="00370973" w:rsidRPr="00181EF3" w:rsidRDefault="00370973" w:rsidP="00370973">
            <w:pPr>
              <w:pStyle w:val="TableText"/>
              <w:keepNext/>
              <w:tabs>
                <w:tab w:val="decimal" w:pos="397"/>
              </w:tabs>
            </w:pPr>
            <w:r w:rsidRPr="00181EF3">
              <w:t>6.5</w:t>
            </w:r>
          </w:p>
        </w:tc>
        <w:tc>
          <w:tcPr>
            <w:tcW w:w="827" w:type="dxa"/>
            <w:tcBorders>
              <w:top w:val="single" w:sz="4" w:space="0" w:color="A6A6A6" w:themeColor="background1" w:themeShade="A6"/>
              <w:bottom w:val="single" w:sz="4" w:space="0" w:color="A6A6A6" w:themeColor="background1" w:themeShade="A6"/>
            </w:tcBorders>
          </w:tcPr>
          <w:p w14:paraId="571AEB1B" w14:textId="77777777" w:rsidR="00370973" w:rsidRPr="00181EF3" w:rsidRDefault="00370973" w:rsidP="00370973">
            <w:pPr>
              <w:pStyle w:val="TableText"/>
              <w:keepNext/>
              <w:tabs>
                <w:tab w:val="decimal" w:pos="397"/>
              </w:tabs>
            </w:pPr>
            <w:r w:rsidRPr="00181EF3">
              <w:t>5.7</w:t>
            </w:r>
          </w:p>
        </w:tc>
        <w:tc>
          <w:tcPr>
            <w:tcW w:w="827" w:type="dxa"/>
            <w:tcBorders>
              <w:top w:val="single" w:sz="4" w:space="0" w:color="A6A6A6" w:themeColor="background1" w:themeShade="A6"/>
              <w:bottom w:val="single" w:sz="4" w:space="0" w:color="A6A6A6" w:themeColor="background1" w:themeShade="A6"/>
            </w:tcBorders>
          </w:tcPr>
          <w:p w14:paraId="3EBA4326" w14:textId="77777777" w:rsidR="00370973" w:rsidRPr="00181EF3" w:rsidRDefault="00370973" w:rsidP="00370973">
            <w:pPr>
              <w:pStyle w:val="TableText"/>
              <w:keepNext/>
              <w:tabs>
                <w:tab w:val="decimal" w:pos="397"/>
              </w:tabs>
            </w:pPr>
            <w:r w:rsidRPr="00181EF3">
              <w:t>6.1</w:t>
            </w:r>
          </w:p>
        </w:tc>
      </w:tr>
      <w:tr w:rsidR="00370973" w:rsidRPr="00181EF3" w14:paraId="004A703A" w14:textId="77777777" w:rsidTr="00370973">
        <w:trPr>
          <w:cantSplit/>
        </w:trPr>
        <w:tc>
          <w:tcPr>
            <w:tcW w:w="3119"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31CBB65" w14:textId="77777777" w:rsidR="00370973" w:rsidRPr="00181EF3" w:rsidRDefault="00370973" w:rsidP="00370973">
            <w:pPr>
              <w:pStyle w:val="TableText"/>
              <w:keepNext/>
            </w:pPr>
            <w:r w:rsidRPr="00181EF3">
              <w:t>Living in household without motor vehicle access, 15+ years</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04DFECA" w14:textId="77777777" w:rsidR="00370973" w:rsidRPr="00181EF3" w:rsidRDefault="00370973" w:rsidP="00370973">
            <w:pPr>
              <w:pStyle w:val="TableText"/>
              <w:keepNext/>
              <w:jc w:val="center"/>
            </w:pPr>
            <w:r w:rsidRPr="00181EF3">
              <w:t>10.1</w:t>
            </w:r>
          </w:p>
        </w:tc>
        <w:tc>
          <w:tcPr>
            <w:tcW w:w="827" w:type="dxa"/>
            <w:tcBorders>
              <w:top w:val="single" w:sz="4" w:space="0" w:color="A6A6A6" w:themeColor="background1" w:themeShade="A6"/>
              <w:bottom w:val="single" w:sz="4" w:space="0" w:color="A6A6A6" w:themeColor="background1" w:themeShade="A6"/>
            </w:tcBorders>
          </w:tcPr>
          <w:p w14:paraId="3B3450D8" w14:textId="77777777" w:rsidR="00370973" w:rsidRPr="00181EF3" w:rsidRDefault="00370973" w:rsidP="00370973">
            <w:pPr>
              <w:pStyle w:val="TableText"/>
              <w:keepNext/>
              <w:jc w:val="center"/>
            </w:pPr>
            <w:r w:rsidRPr="00181EF3">
              <w:t>13.5</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10E308E" w14:textId="77777777" w:rsidR="00370973" w:rsidRPr="00181EF3" w:rsidRDefault="00370973" w:rsidP="00370973">
            <w:pPr>
              <w:pStyle w:val="TableText"/>
              <w:keepNext/>
              <w:jc w:val="center"/>
            </w:pPr>
            <w:r w:rsidRPr="00181EF3">
              <w:t>11.9</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869995D" w14:textId="77777777" w:rsidR="00370973" w:rsidRPr="00181EF3" w:rsidRDefault="00370973" w:rsidP="00370973">
            <w:pPr>
              <w:pStyle w:val="TableText"/>
              <w:keepNext/>
              <w:tabs>
                <w:tab w:val="decimal" w:pos="397"/>
              </w:tabs>
            </w:pPr>
            <w:r w:rsidRPr="00181EF3">
              <w:t>4.2</w:t>
            </w:r>
          </w:p>
        </w:tc>
        <w:tc>
          <w:tcPr>
            <w:tcW w:w="827" w:type="dxa"/>
            <w:tcBorders>
              <w:top w:val="single" w:sz="4" w:space="0" w:color="A6A6A6" w:themeColor="background1" w:themeShade="A6"/>
              <w:bottom w:val="single" w:sz="4" w:space="0" w:color="A6A6A6" w:themeColor="background1" w:themeShade="A6"/>
            </w:tcBorders>
          </w:tcPr>
          <w:p w14:paraId="062D8691" w14:textId="77777777" w:rsidR="00370973" w:rsidRPr="00181EF3" w:rsidRDefault="00370973" w:rsidP="00370973">
            <w:pPr>
              <w:pStyle w:val="TableText"/>
              <w:keepNext/>
              <w:tabs>
                <w:tab w:val="decimal" w:pos="397"/>
              </w:tabs>
            </w:pPr>
            <w:r w:rsidRPr="00181EF3">
              <w:t>6.9</w:t>
            </w:r>
          </w:p>
        </w:tc>
        <w:tc>
          <w:tcPr>
            <w:tcW w:w="827" w:type="dxa"/>
            <w:tcBorders>
              <w:top w:val="single" w:sz="4" w:space="0" w:color="A6A6A6" w:themeColor="background1" w:themeShade="A6"/>
              <w:bottom w:val="single" w:sz="4" w:space="0" w:color="A6A6A6" w:themeColor="background1" w:themeShade="A6"/>
            </w:tcBorders>
          </w:tcPr>
          <w:p w14:paraId="1B900CDE" w14:textId="77777777" w:rsidR="00370973" w:rsidRPr="00181EF3" w:rsidRDefault="00370973" w:rsidP="00370973">
            <w:pPr>
              <w:pStyle w:val="TableText"/>
              <w:keepNext/>
              <w:tabs>
                <w:tab w:val="decimal" w:pos="397"/>
              </w:tabs>
            </w:pPr>
            <w:r w:rsidRPr="00181EF3">
              <w:t>5.6</w:t>
            </w:r>
          </w:p>
        </w:tc>
      </w:tr>
      <w:tr w:rsidR="00370973" w:rsidRPr="00181EF3" w14:paraId="6FAB78C5" w14:textId="77777777" w:rsidTr="00370973">
        <w:trPr>
          <w:cantSplit/>
        </w:trPr>
        <w:tc>
          <w:tcPr>
            <w:tcW w:w="3119"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2C010CD" w14:textId="77777777" w:rsidR="00370973" w:rsidRPr="00181EF3" w:rsidRDefault="00370973" w:rsidP="00370973">
            <w:pPr>
              <w:pStyle w:val="TableText"/>
              <w:keepNext/>
            </w:pPr>
            <w:r w:rsidRPr="00181EF3">
              <w:t>Not living in own home, 15+ years</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D5156FF" w14:textId="77777777" w:rsidR="00370973" w:rsidRPr="00181EF3" w:rsidRDefault="00370973" w:rsidP="00370973">
            <w:pPr>
              <w:pStyle w:val="TableText"/>
              <w:keepNext/>
              <w:jc w:val="center"/>
            </w:pPr>
            <w:r w:rsidRPr="00181EF3">
              <w:t>64.4</w:t>
            </w:r>
          </w:p>
        </w:tc>
        <w:tc>
          <w:tcPr>
            <w:tcW w:w="827" w:type="dxa"/>
            <w:tcBorders>
              <w:top w:val="single" w:sz="4" w:space="0" w:color="A6A6A6" w:themeColor="background1" w:themeShade="A6"/>
              <w:bottom w:val="single" w:sz="4" w:space="0" w:color="A6A6A6" w:themeColor="background1" w:themeShade="A6"/>
            </w:tcBorders>
          </w:tcPr>
          <w:p w14:paraId="14836AA7" w14:textId="77777777" w:rsidR="00370973" w:rsidRPr="00181EF3" w:rsidRDefault="00370973" w:rsidP="00370973">
            <w:pPr>
              <w:pStyle w:val="TableText"/>
              <w:keepNext/>
              <w:jc w:val="center"/>
            </w:pPr>
            <w:r w:rsidRPr="00181EF3">
              <w:t>65.2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09F3F5E" w14:textId="77777777" w:rsidR="00370973" w:rsidRPr="00181EF3" w:rsidRDefault="00370973" w:rsidP="00370973">
            <w:pPr>
              <w:pStyle w:val="TableText"/>
              <w:keepNext/>
              <w:jc w:val="center"/>
            </w:pPr>
            <w:r w:rsidRPr="00181EF3">
              <w:t>64.8</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84EC38D" w14:textId="77777777" w:rsidR="00370973" w:rsidRPr="00181EF3" w:rsidRDefault="00370973" w:rsidP="00370973">
            <w:pPr>
              <w:pStyle w:val="TableText"/>
              <w:keepNext/>
              <w:tabs>
                <w:tab w:val="decimal" w:pos="397"/>
              </w:tabs>
            </w:pPr>
            <w:r w:rsidRPr="00181EF3">
              <w:t>40.3</w:t>
            </w:r>
          </w:p>
        </w:tc>
        <w:tc>
          <w:tcPr>
            <w:tcW w:w="827" w:type="dxa"/>
            <w:tcBorders>
              <w:top w:val="single" w:sz="4" w:space="0" w:color="A6A6A6" w:themeColor="background1" w:themeShade="A6"/>
              <w:bottom w:val="single" w:sz="4" w:space="0" w:color="A6A6A6" w:themeColor="background1" w:themeShade="A6"/>
            </w:tcBorders>
          </w:tcPr>
          <w:p w14:paraId="10B0E03A" w14:textId="77777777" w:rsidR="00370973" w:rsidRPr="00181EF3" w:rsidRDefault="00370973" w:rsidP="00370973">
            <w:pPr>
              <w:pStyle w:val="TableText"/>
              <w:keepNext/>
              <w:tabs>
                <w:tab w:val="decimal" w:pos="397"/>
              </w:tabs>
            </w:pPr>
            <w:r w:rsidRPr="00181EF3">
              <w:t>38.1</w:t>
            </w:r>
          </w:p>
        </w:tc>
        <w:tc>
          <w:tcPr>
            <w:tcW w:w="827" w:type="dxa"/>
            <w:tcBorders>
              <w:top w:val="single" w:sz="4" w:space="0" w:color="A6A6A6" w:themeColor="background1" w:themeShade="A6"/>
              <w:bottom w:val="single" w:sz="4" w:space="0" w:color="A6A6A6" w:themeColor="background1" w:themeShade="A6"/>
            </w:tcBorders>
          </w:tcPr>
          <w:p w14:paraId="6C96C90A" w14:textId="77777777" w:rsidR="00370973" w:rsidRPr="00181EF3" w:rsidRDefault="00370973" w:rsidP="00370973">
            <w:pPr>
              <w:pStyle w:val="TableText"/>
              <w:keepNext/>
              <w:tabs>
                <w:tab w:val="decimal" w:pos="397"/>
              </w:tabs>
            </w:pPr>
            <w:r w:rsidRPr="00181EF3">
              <w:t>39.1</w:t>
            </w:r>
          </w:p>
        </w:tc>
      </w:tr>
      <w:tr w:rsidR="00370973" w:rsidRPr="00181EF3" w14:paraId="382B7390" w14:textId="77777777" w:rsidTr="00370973">
        <w:trPr>
          <w:cantSplit/>
        </w:trPr>
        <w:tc>
          <w:tcPr>
            <w:tcW w:w="3119"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0450C63" w14:textId="77777777" w:rsidR="00370973" w:rsidRPr="00181EF3" w:rsidRDefault="00370973" w:rsidP="00370973">
            <w:pPr>
              <w:pStyle w:val="TableText"/>
              <w:keepNext/>
            </w:pPr>
            <w:r w:rsidRPr="00181EF3">
              <w:t>Household crowding,</w:t>
            </w:r>
            <w:r w:rsidRPr="00181EF3">
              <w:rPr>
                <w:vertAlign w:val="superscript"/>
              </w:rPr>
              <w:t>3</w:t>
            </w:r>
            <w:r w:rsidRPr="00181EF3">
              <w:t xml:space="preserve"> all age groups</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3F8FE52" w14:textId="77777777" w:rsidR="00370973" w:rsidRPr="00181EF3" w:rsidRDefault="00370973" w:rsidP="00370973">
            <w:pPr>
              <w:pStyle w:val="TableText"/>
              <w:keepNext/>
              <w:jc w:val="center"/>
            </w:pPr>
            <w:r w:rsidRPr="00181EF3">
              <w:t>20.3</w:t>
            </w:r>
          </w:p>
        </w:tc>
        <w:tc>
          <w:tcPr>
            <w:tcW w:w="827" w:type="dxa"/>
            <w:tcBorders>
              <w:top w:val="single" w:sz="4" w:space="0" w:color="A6A6A6" w:themeColor="background1" w:themeShade="A6"/>
              <w:bottom w:val="single" w:sz="4" w:space="0" w:color="A6A6A6" w:themeColor="background1" w:themeShade="A6"/>
            </w:tcBorders>
          </w:tcPr>
          <w:p w14:paraId="524146C9" w14:textId="77777777" w:rsidR="00370973" w:rsidRPr="00181EF3" w:rsidRDefault="00370973" w:rsidP="00370973">
            <w:pPr>
              <w:pStyle w:val="TableText"/>
              <w:keepNext/>
              <w:jc w:val="center"/>
            </w:pPr>
            <w:r w:rsidRPr="00181EF3">
              <w:t>21.6</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D45734C" w14:textId="77777777" w:rsidR="00370973" w:rsidRPr="00181EF3" w:rsidRDefault="00370973" w:rsidP="00370973">
            <w:pPr>
              <w:pStyle w:val="TableText"/>
              <w:keepNext/>
              <w:jc w:val="center"/>
            </w:pPr>
            <w:r w:rsidRPr="00181EF3">
              <w:t>21.0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C650220" w14:textId="77777777" w:rsidR="00370973" w:rsidRPr="00181EF3" w:rsidRDefault="00370973" w:rsidP="00370973">
            <w:pPr>
              <w:pStyle w:val="TableText"/>
              <w:keepNext/>
              <w:tabs>
                <w:tab w:val="decimal" w:pos="397"/>
              </w:tabs>
            </w:pPr>
            <w:r w:rsidRPr="00181EF3">
              <w:t>6.9</w:t>
            </w:r>
          </w:p>
        </w:tc>
        <w:tc>
          <w:tcPr>
            <w:tcW w:w="827" w:type="dxa"/>
            <w:tcBorders>
              <w:top w:val="single" w:sz="4" w:space="0" w:color="A6A6A6" w:themeColor="background1" w:themeShade="A6"/>
              <w:bottom w:val="single" w:sz="4" w:space="0" w:color="A6A6A6" w:themeColor="background1" w:themeShade="A6"/>
            </w:tcBorders>
          </w:tcPr>
          <w:p w14:paraId="2A0F6576" w14:textId="77777777" w:rsidR="00370973" w:rsidRPr="00181EF3" w:rsidRDefault="00370973" w:rsidP="00370973">
            <w:pPr>
              <w:pStyle w:val="TableText"/>
              <w:keepNext/>
              <w:tabs>
                <w:tab w:val="decimal" w:pos="397"/>
              </w:tabs>
            </w:pPr>
            <w:r w:rsidRPr="00181EF3">
              <w:t>6.9</w:t>
            </w:r>
          </w:p>
        </w:tc>
        <w:tc>
          <w:tcPr>
            <w:tcW w:w="827" w:type="dxa"/>
            <w:tcBorders>
              <w:top w:val="single" w:sz="4" w:space="0" w:color="A6A6A6" w:themeColor="background1" w:themeShade="A6"/>
              <w:bottom w:val="single" w:sz="4" w:space="0" w:color="A6A6A6" w:themeColor="background1" w:themeShade="A6"/>
            </w:tcBorders>
          </w:tcPr>
          <w:p w14:paraId="2BB41F8F" w14:textId="77777777" w:rsidR="00370973" w:rsidRPr="00181EF3" w:rsidRDefault="00370973" w:rsidP="00370973">
            <w:pPr>
              <w:pStyle w:val="TableText"/>
              <w:keepNext/>
              <w:tabs>
                <w:tab w:val="decimal" w:pos="397"/>
              </w:tabs>
            </w:pPr>
            <w:r w:rsidRPr="00181EF3">
              <w:t>6.9</w:t>
            </w:r>
          </w:p>
        </w:tc>
      </w:tr>
    </w:tbl>
    <w:p w14:paraId="75FD2125" w14:textId="77777777" w:rsidR="00370973" w:rsidRPr="00181EF3" w:rsidRDefault="00370973" w:rsidP="00370973">
      <w:pPr>
        <w:pStyle w:val="Note"/>
        <w:keepNext/>
      </w:pPr>
      <w:r w:rsidRPr="00181EF3">
        <w:t>Notes:</w:t>
      </w:r>
    </w:p>
    <w:p w14:paraId="0AED6D60" w14:textId="77777777" w:rsidR="00370973" w:rsidRPr="00181EF3" w:rsidRDefault="00370973" w:rsidP="00370973">
      <w:pPr>
        <w:pStyle w:val="Note"/>
      </w:pPr>
      <w:r w:rsidRPr="00181EF3">
        <w:t>1</w:t>
      </w:r>
      <w:r w:rsidRPr="00181EF3">
        <w:tab/>
        <w:t>Includes community Wage (Job Seeker and Sickness Benefit), Domestic Purposes benefit, Invalid’s Benefit, and Student Allowance.</w:t>
      </w:r>
    </w:p>
    <w:p w14:paraId="5189A2C3" w14:textId="77777777" w:rsidR="00370973" w:rsidRPr="00181EF3" w:rsidRDefault="00370973" w:rsidP="00370973">
      <w:pPr>
        <w:pStyle w:val="Note"/>
      </w:pPr>
      <w:r w:rsidRPr="00181EF3">
        <w:t>2</w:t>
      </w:r>
      <w:r w:rsidRPr="00181EF3">
        <w:tab/>
        <w:t>Household with no Telephone access includes households stating no telephone access and households for which it was not stated.</w:t>
      </w:r>
    </w:p>
    <w:p w14:paraId="2835F718" w14:textId="77777777" w:rsidR="00370973" w:rsidRPr="00181EF3" w:rsidRDefault="00370973" w:rsidP="00370973">
      <w:pPr>
        <w:pStyle w:val="Note"/>
      </w:pPr>
      <w:r w:rsidRPr="00181EF3">
        <w:t>3</w:t>
      </w:r>
      <w:r w:rsidRPr="00181EF3">
        <w:tab/>
        <w:t>Based on the Canadian National Crowding Index. A required number of bedrooms is calculated for each household (based on the age, sex and number of people living in the dwelling), which is compared with the actual number of bedrooms. A household is considered crowded when there are fewer bedrooms than required.</w:t>
      </w:r>
    </w:p>
    <w:p w14:paraId="39552EE8" w14:textId="637EF8D9" w:rsidR="00370973" w:rsidRPr="00181EF3" w:rsidRDefault="00370973" w:rsidP="00EF58A1">
      <w:pPr>
        <w:pStyle w:val="Source"/>
      </w:pPr>
      <w:r w:rsidRPr="00181EF3">
        <w:t xml:space="preserve">Source: </w:t>
      </w:r>
      <w:r w:rsidR="008F0248">
        <w:t>Stats NZ</w:t>
      </w:r>
    </w:p>
    <w:p w14:paraId="13F5564C" w14:textId="77777777" w:rsidR="00370973" w:rsidRPr="00181EF3" w:rsidRDefault="00370973" w:rsidP="00370973"/>
    <w:p w14:paraId="45FC572F" w14:textId="3B17D21F" w:rsidR="00370973" w:rsidRPr="00181EF3" w:rsidRDefault="00370973" w:rsidP="00370973">
      <w:pPr>
        <w:pStyle w:val="Table"/>
      </w:pPr>
      <w:bookmarkStart w:id="42" w:name="_Toc18594750"/>
      <w:r w:rsidRPr="00181EF3">
        <w:lastRenderedPageBreak/>
        <w:t xml:space="preserve">Table </w:t>
      </w:r>
      <w:r>
        <w:t>10</w:t>
      </w:r>
      <w:r w:rsidRPr="00181EF3">
        <w:t xml:space="preserve">: Socioeconomic indicators, by gender, Māori and </w:t>
      </w:r>
      <w:r w:rsidR="00EC03A3">
        <w:t>non</w:t>
      </w:r>
      <w:r w:rsidR="00EC03A3">
        <w:noBreakHyphen/>
        <w:t>M</w:t>
      </w:r>
      <w:r w:rsidRPr="00181EF3">
        <w:t>āori, 2006</w:t>
      </w:r>
      <w:bookmarkEnd w:id="42"/>
    </w:p>
    <w:tbl>
      <w:tblPr>
        <w:tblW w:w="0" w:type="auto"/>
        <w:tblInd w:w="57" w:type="dxa"/>
        <w:tblLayout w:type="fixed"/>
        <w:tblCellMar>
          <w:left w:w="57" w:type="dxa"/>
          <w:right w:w="57" w:type="dxa"/>
        </w:tblCellMar>
        <w:tblLook w:val="04A0" w:firstRow="1" w:lastRow="0" w:firstColumn="1" w:lastColumn="0" w:noHBand="0" w:noVBand="1"/>
      </w:tblPr>
      <w:tblGrid>
        <w:gridCol w:w="3119"/>
        <w:gridCol w:w="826"/>
        <w:gridCol w:w="827"/>
        <w:gridCol w:w="827"/>
        <w:gridCol w:w="827"/>
        <w:gridCol w:w="827"/>
        <w:gridCol w:w="827"/>
      </w:tblGrid>
      <w:tr w:rsidR="00370973" w:rsidRPr="00181EF3" w14:paraId="40EC0DDD" w14:textId="77777777" w:rsidTr="00370973">
        <w:trPr>
          <w:cantSplit/>
        </w:trPr>
        <w:tc>
          <w:tcPr>
            <w:tcW w:w="3119" w:type="dxa"/>
            <w:vMerge w:val="restart"/>
            <w:tcBorders>
              <w:right w:val="single" w:sz="4" w:space="0" w:color="A6A6A6" w:themeColor="background1" w:themeShade="A6"/>
            </w:tcBorders>
            <w:shd w:val="clear" w:color="auto" w:fill="D9D9D9" w:themeFill="background1" w:themeFillShade="D9"/>
          </w:tcPr>
          <w:p w14:paraId="7CA97B0A" w14:textId="77777777" w:rsidR="00370973" w:rsidRPr="00181EF3" w:rsidRDefault="00370973" w:rsidP="00370973">
            <w:pPr>
              <w:pStyle w:val="TableText"/>
              <w:keepNext/>
              <w:rPr>
                <w:b/>
              </w:rPr>
            </w:pPr>
            <w:r w:rsidRPr="00181EF3">
              <w:rPr>
                <w:b/>
              </w:rPr>
              <w:t>Indicator</w:t>
            </w:r>
          </w:p>
        </w:tc>
        <w:tc>
          <w:tcPr>
            <w:tcW w:w="2480" w:type="dxa"/>
            <w:gridSpan w:val="3"/>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0CE22E17" w14:textId="77777777" w:rsidR="00370973" w:rsidRPr="00181EF3" w:rsidRDefault="00370973" w:rsidP="00370973">
            <w:pPr>
              <w:pStyle w:val="TableText"/>
              <w:keepNext/>
              <w:jc w:val="center"/>
              <w:rPr>
                <w:b/>
              </w:rPr>
            </w:pPr>
            <w:r w:rsidRPr="00181EF3">
              <w:rPr>
                <w:b/>
              </w:rPr>
              <w:t>Māori</w:t>
            </w:r>
          </w:p>
        </w:tc>
        <w:tc>
          <w:tcPr>
            <w:tcW w:w="2481" w:type="dxa"/>
            <w:gridSpan w:val="3"/>
            <w:tcBorders>
              <w:left w:val="single" w:sz="4" w:space="0" w:color="A6A6A6" w:themeColor="background1" w:themeShade="A6"/>
            </w:tcBorders>
            <w:shd w:val="clear" w:color="auto" w:fill="D9D9D9" w:themeFill="background1" w:themeFillShade="D9"/>
          </w:tcPr>
          <w:p w14:paraId="5C0EDAC8" w14:textId="1C2A81F8" w:rsidR="00370973" w:rsidRPr="00181EF3" w:rsidRDefault="00EC03A3" w:rsidP="00370973">
            <w:pPr>
              <w:pStyle w:val="TableText"/>
              <w:keepNext/>
              <w:jc w:val="center"/>
              <w:rPr>
                <w:b/>
              </w:rPr>
            </w:pPr>
            <w:r>
              <w:rPr>
                <w:b/>
              </w:rPr>
              <w:t>Non</w:t>
            </w:r>
            <w:r>
              <w:rPr>
                <w:b/>
              </w:rPr>
              <w:noBreakHyphen/>
              <w:t>M</w:t>
            </w:r>
            <w:r w:rsidR="00370973" w:rsidRPr="00181EF3">
              <w:rPr>
                <w:b/>
              </w:rPr>
              <w:t>āori</w:t>
            </w:r>
          </w:p>
        </w:tc>
      </w:tr>
      <w:tr w:rsidR="00370973" w:rsidRPr="00181EF3" w14:paraId="3CCDB4C4" w14:textId="77777777" w:rsidTr="00370973">
        <w:trPr>
          <w:cantSplit/>
        </w:trPr>
        <w:tc>
          <w:tcPr>
            <w:tcW w:w="3119" w:type="dxa"/>
            <w:vMerge/>
            <w:tcBorders>
              <w:right w:val="single" w:sz="4" w:space="0" w:color="A6A6A6" w:themeColor="background1" w:themeShade="A6"/>
            </w:tcBorders>
            <w:shd w:val="clear" w:color="auto" w:fill="D9D9D9" w:themeFill="background1" w:themeFillShade="D9"/>
          </w:tcPr>
          <w:p w14:paraId="3ADC9DA5" w14:textId="77777777" w:rsidR="00370973" w:rsidRPr="00181EF3" w:rsidRDefault="00370973" w:rsidP="00370973">
            <w:pPr>
              <w:pStyle w:val="TableText"/>
              <w:keepNext/>
              <w:rPr>
                <w:b/>
              </w:rPr>
            </w:pPr>
          </w:p>
        </w:tc>
        <w:tc>
          <w:tcPr>
            <w:tcW w:w="826" w:type="dxa"/>
            <w:tcBorders>
              <w:left w:val="single" w:sz="4" w:space="0" w:color="A6A6A6" w:themeColor="background1" w:themeShade="A6"/>
            </w:tcBorders>
            <w:shd w:val="clear" w:color="auto" w:fill="D9D9D9" w:themeFill="background1" w:themeFillShade="D9"/>
          </w:tcPr>
          <w:p w14:paraId="3C988BEC" w14:textId="77777777" w:rsidR="00370973" w:rsidRPr="00181EF3" w:rsidRDefault="00370973" w:rsidP="00370973">
            <w:pPr>
              <w:pStyle w:val="TableText"/>
              <w:keepNext/>
              <w:spacing w:before="0"/>
              <w:jc w:val="center"/>
              <w:rPr>
                <w:b/>
              </w:rPr>
            </w:pPr>
            <w:r w:rsidRPr="00181EF3">
              <w:rPr>
                <w:b/>
              </w:rPr>
              <w:t>Males</w:t>
            </w:r>
          </w:p>
        </w:tc>
        <w:tc>
          <w:tcPr>
            <w:tcW w:w="827" w:type="dxa"/>
            <w:shd w:val="clear" w:color="auto" w:fill="D9D9D9" w:themeFill="background1" w:themeFillShade="D9"/>
          </w:tcPr>
          <w:p w14:paraId="433CB36D" w14:textId="77777777" w:rsidR="00370973" w:rsidRPr="00181EF3" w:rsidRDefault="00370973" w:rsidP="00370973">
            <w:pPr>
              <w:pStyle w:val="TableText"/>
              <w:keepNext/>
              <w:spacing w:before="0"/>
              <w:jc w:val="center"/>
              <w:rPr>
                <w:b/>
              </w:rPr>
            </w:pPr>
            <w:r w:rsidRPr="00181EF3">
              <w:rPr>
                <w:b/>
              </w:rPr>
              <w:t>Females</w:t>
            </w:r>
          </w:p>
        </w:tc>
        <w:tc>
          <w:tcPr>
            <w:tcW w:w="827" w:type="dxa"/>
            <w:tcBorders>
              <w:right w:val="single" w:sz="4" w:space="0" w:color="A6A6A6" w:themeColor="background1" w:themeShade="A6"/>
            </w:tcBorders>
            <w:shd w:val="clear" w:color="auto" w:fill="D9D9D9" w:themeFill="background1" w:themeFillShade="D9"/>
          </w:tcPr>
          <w:p w14:paraId="0ABC3C82" w14:textId="77777777" w:rsidR="00370973" w:rsidRPr="00181EF3" w:rsidRDefault="00370973" w:rsidP="00370973">
            <w:pPr>
              <w:pStyle w:val="TableText"/>
              <w:keepNext/>
              <w:spacing w:before="0"/>
              <w:jc w:val="center"/>
              <w:rPr>
                <w:b/>
              </w:rPr>
            </w:pPr>
            <w:r w:rsidRPr="00181EF3">
              <w:rPr>
                <w:b/>
              </w:rPr>
              <w:t>Total</w:t>
            </w:r>
          </w:p>
        </w:tc>
        <w:tc>
          <w:tcPr>
            <w:tcW w:w="827" w:type="dxa"/>
            <w:tcBorders>
              <w:left w:val="single" w:sz="4" w:space="0" w:color="A6A6A6" w:themeColor="background1" w:themeShade="A6"/>
            </w:tcBorders>
            <w:shd w:val="clear" w:color="auto" w:fill="D9D9D9" w:themeFill="background1" w:themeFillShade="D9"/>
          </w:tcPr>
          <w:p w14:paraId="726A0DE2" w14:textId="77777777" w:rsidR="00370973" w:rsidRPr="00181EF3" w:rsidRDefault="00370973" w:rsidP="00370973">
            <w:pPr>
              <w:pStyle w:val="TableText"/>
              <w:keepNext/>
              <w:spacing w:before="0"/>
              <w:jc w:val="center"/>
              <w:rPr>
                <w:b/>
              </w:rPr>
            </w:pPr>
            <w:r w:rsidRPr="00181EF3">
              <w:rPr>
                <w:b/>
              </w:rPr>
              <w:t>Males</w:t>
            </w:r>
          </w:p>
        </w:tc>
        <w:tc>
          <w:tcPr>
            <w:tcW w:w="827" w:type="dxa"/>
            <w:shd w:val="clear" w:color="auto" w:fill="D9D9D9" w:themeFill="background1" w:themeFillShade="D9"/>
          </w:tcPr>
          <w:p w14:paraId="69A37BF4" w14:textId="77777777" w:rsidR="00370973" w:rsidRPr="00181EF3" w:rsidRDefault="00370973" w:rsidP="00370973">
            <w:pPr>
              <w:pStyle w:val="TableText"/>
              <w:keepNext/>
              <w:spacing w:before="0"/>
              <w:jc w:val="center"/>
              <w:rPr>
                <w:b/>
              </w:rPr>
            </w:pPr>
            <w:r w:rsidRPr="00181EF3">
              <w:rPr>
                <w:b/>
              </w:rPr>
              <w:t>Females</w:t>
            </w:r>
          </w:p>
        </w:tc>
        <w:tc>
          <w:tcPr>
            <w:tcW w:w="827" w:type="dxa"/>
            <w:shd w:val="clear" w:color="auto" w:fill="D9D9D9" w:themeFill="background1" w:themeFillShade="D9"/>
          </w:tcPr>
          <w:p w14:paraId="3FD72C5D" w14:textId="77777777" w:rsidR="00370973" w:rsidRPr="00181EF3" w:rsidRDefault="00370973" w:rsidP="00370973">
            <w:pPr>
              <w:pStyle w:val="TableText"/>
              <w:keepNext/>
              <w:spacing w:before="0"/>
              <w:jc w:val="center"/>
              <w:rPr>
                <w:b/>
              </w:rPr>
            </w:pPr>
            <w:r w:rsidRPr="00181EF3">
              <w:rPr>
                <w:b/>
              </w:rPr>
              <w:t>Total</w:t>
            </w:r>
          </w:p>
        </w:tc>
      </w:tr>
      <w:tr w:rsidR="00370973" w:rsidRPr="00181EF3" w14:paraId="752D1589" w14:textId="77777777" w:rsidTr="00370973">
        <w:trPr>
          <w:cantSplit/>
        </w:trPr>
        <w:tc>
          <w:tcPr>
            <w:tcW w:w="3119" w:type="dxa"/>
            <w:tcBorders>
              <w:bottom w:val="single" w:sz="4" w:space="0" w:color="A6A6A6" w:themeColor="background1" w:themeShade="A6"/>
              <w:right w:val="single" w:sz="4" w:space="0" w:color="A6A6A6" w:themeColor="background1" w:themeShade="A6"/>
            </w:tcBorders>
          </w:tcPr>
          <w:p w14:paraId="3A9C99E5" w14:textId="374025F1" w:rsidR="00370973" w:rsidRPr="00181EF3" w:rsidRDefault="00370973" w:rsidP="00370973">
            <w:pPr>
              <w:pStyle w:val="TableText"/>
              <w:keepNext/>
            </w:pPr>
            <w:r w:rsidRPr="00181EF3">
              <w:t xml:space="preserve">School completion (Level 2 </w:t>
            </w:r>
            <w:r w:rsidR="00446D86">
              <w:t>C</w:t>
            </w:r>
            <w:r w:rsidRPr="00181EF3">
              <w:t>ertificate or higher), 15+ years</w:t>
            </w:r>
          </w:p>
        </w:tc>
        <w:tc>
          <w:tcPr>
            <w:tcW w:w="826" w:type="dxa"/>
            <w:tcBorders>
              <w:left w:val="single" w:sz="4" w:space="0" w:color="A6A6A6" w:themeColor="background1" w:themeShade="A6"/>
              <w:bottom w:val="single" w:sz="4" w:space="0" w:color="A6A6A6" w:themeColor="background1" w:themeShade="A6"/>
            </w:tcBorders>
          </w:tcPr>
          <w:p w14:paraId="24C8C61A" w14:textId="77777777" w:rsidR="00370973" w:rsidRPr="00181EF3" w:rsidRDefault="00370973" w:rsidP="00370973">
            <w:pPr>
              <w:pStyle w:val="TableText"/>
              <w:keepNext/>
              <w:tabs>
                <w:tab w:val="decimal" w:pos="397"/>
              </w:tabs>
            </w:pPr>
            <w:r w:rsidRPr="00181EF3">
              <w:t>40.7</w:t>
            </w:r>
          </w:p>
        </w:tc>
        <w:tc>
          <w:tcPr>
            <w:tcW w:w="827" w:type="dxa"/>
            <w:tcBorders>
              <w:bottom w:val="single" w:sz="4" w:space="0" w:color="A6A6A6" w:themeColor="background1" w:themeShade="A6"/>
            </w:tcBorders>
          </w:tcPr>
          <w:p w14:paraId="45649A1A" w14:textId="77777777" w:rsidR="00370973" w:rsidRPr="00181EF3" w:rsidRDefault="00370973" w:rsidP="00370973">
            <w:pPr>
              <w:pStyle w:val="TableText"/>
              <w:keepNext/>
              <w:tabs>
                <w:tab w:val="decimal" w:pos="397"/>
              </w:tabs>
            </w:pPr>
            <w:r w:rsidRPr="00181EF3">
              <w:t>45.7</w:t>
            </w:r>
          </w:p>
        </w:tc>
        <w:tc>
          <w:tcPr>
            <w:tcW w:w="827" w:type="dxa"/>
            <w:tcBorders>
              <w:bottom w:val="single" w:sz="4" w:space="0" w:color="A6A6A6" w:themeColor="background1" w:themeShade="A6"/>
              <w:right w:val="single" w:sz="4" w:space="0" w:color="A6A6A6" w:themeColor="background1" w:themeShade="A6"/>
            </w:tcBorders>
          </w:tcPr>
          <w:p w14:paraId="3F78BC4D" w14:textId="77777777" w:rsidR="00370973" w:rsidRPr="00181EF3" w:rsidRDefault="00370973" w:rsidP="00370973">
            <w:pPr>
              <w:pStyle w:val="TableText"/>
              <w:keepNext/>
              <w:tabs>
                <w:tab w:val="decimal" w:pos="397"/>
              </w:tabs>
            </w:pPr>
            <w:r w:rsidRPr="00181EF3">
              <w:t>43.4</w:t>
            </w:r>
          </w:p>
        </w:tc>
        <w:tc>
          <w:tcPr>
            <w:tcW w:w="827" w:type="dxa"/>
            <w:tcBorders>
              <w:left w:val="single" w:sz="4" w:space="0" w:color="A6A6A6" w:themeColor="background1" w:themeShade="A6"/>
              <w:bottom w:val="single" w:sz="4" w:space="0" w:color="A6A6A6" w:themeColor="background1" w:themeShade="A6"/>
            </w:tcBorders>
          </w:tcPr>
          <w:p w14:paraId="15DC9C2F" w14:textId="77777777" w:rsidR="00370973" w:rsidRPr="00181EF3" w:rsidRDefault="00370973" w:rsidP="00370973">
            <w:pPr>
              <w:pStyle w:val="TableText"/>
              <w:keepNext/>
              <w:tabs>
                <w:tab w:val="decimal" w:pos="397"/>
              </w:tabs>
            </w:pPr>
            <w:r w:rsidRPr="00181EF3">
              <w:t>65.0</w:t>
            </w:r>
          </w:p>
        </w:tc>
        <w:tc>
          <w:tcPr>
            <w:tcW w:w="827" w:type="dxa"/>
            <w:tcBorders>
              <w:bottom w:val="single" w:sz="4" w:space="0" w:color="A6A6A6" w:themeColor="background1" w:themeShade="A6"/>
            </w:tcBorders>
          </w:tcPr>
          <w:p w14:paraId="4B60721E" w14:textId="77777777" w:rsidR="00370973" w:rsidRPr="00181EF3" w:rsidRDefault="00370973" w:rsidP="00370973">
            <w:pPr>
              <w:pStyle w:val="TableText"/>
              <w:keepNext/>
              <w:tabs>
                <w:tab w:val="decimal" w:pos="397"/>
              </w:tabs>
            </w:pPr>
            <w:r w:rsidRPr="00181EF3">
              <w:t>62.5</w:t>
            </w:r>
          </w:p>
        </w:tc>
        <w:tc>
          <w:tcPr>
            <w:tcW w:w="827" w:type="dxa"/>
            <w:tcBorders>
              <w:bottom w:val="single" w:sz="4" w:space="0" w:color="A6A6A6" w:themeColor="background1" w:themeShade="A6"/>
            </w:tcBorders>
          </w:tcPr>
          <w:p w14:paraId="4E06C7D5" w14:textId="77777777" w:rsidR="00370973" w:rsidRPr="00181EF3" w:rsidRDefault="00370973" w:rsidP="00370973">
            <w:pPr>
              <w:pStyle w:val="TableText"/>
              <w:keepNext/>
              <w:tabs>
                <w:tab w:val="decimal" w:pos="397"/>
              </w:tabs>
            </w:pPr>
            <w:r w:rsidRPr="00181EF3">
              <w:t>63.7</w:t>
            </w:r>
          </w:p>
        </w:tc>
      </w:tr>
      <w:tr w:rsidR="00370973" w:rsidRPr="00181EF3" w14:paraId="4D61B371" w14:textId="77777777" w:rsidTr="00370973">
        <w:trPr>
          <w:cantSplit/>
        </w:trPr>
        <w:tc>
          <w:tcPr>
            <w:tcW w:w="3119"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DA01CD5" w14:textId="77777777" w:rsidR="00370973" w:rsidRPr="00181EF3" w:rsidRDefault="00370973" w:rsidP="00370973">
            <w:pPr>
              <w:pStyle w:val="TableText"/>
              <w:keepNext/>
            </w:pPr>
            <w:r w:rsidRPr="00181EF3">
              <w:t>Unemployed, 15+ years</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27EFF27" w14:textId="77777777" w:rsidR="00370973" w:rsidRPr="00181EF3" w:rsidRDefault="00370973" w:rsidP="00370973">
            <w:pPr>
              <w:pStyle w:val="TableText"/>
              <w:keepNext/>
              <w:tabs>
                <w:tab w:val="decimal" w:pos="397"/>
              </w:tabs>
            </w:pPr>
            <w:r w:rsidRPr="00181EF3">
              <w:t>7.1</w:t>
            </w:r>
          </w:p>
        </w:tc>
        <w:tc>
          <w:tcPr>
            <w:tcW w:w="827" w:type="dxa"/>
            <w:tcBorders>
              <w:top w:val="single" w:sz="4" w:space="0" w:color="A6A6A6" w:themeColor="background1" w:themeShade="A6"/>
              <w:bottom w:val="single" w:sz="4" w:space="0" w:color="A6A6A6" w:themeColor="background1" w:themeShade="A6"/>
            </w:tcBorders>
          </w:tcPr>
          <w:p w14:paraId="3D0F6AF6" w14:textId="77777777" w:rsidR="00370973" w:rsidRPr="00181EF3" w:rsidRDefault="00370973" w:rsidP="00370973">
            <w:pPr>
              <w:pStyle w:val="TableText"/>
              <w:keepNext/>
              <w:tabs>
                <w:tab w:val="decimal" w:pos="397"/>
              </w:tabs>
            </w:pPr>
            <w:r w:rsidRPr="00181EF3">
              <w:t>8.2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3873982" w14:textId="77777777" w:rsidR="00370973" w:rsidRPr="00181EF3" w:rsidRDefault="00370973" w:rsidP="00370973">
            <w:pPr>
              <w:pStyle w:val="TableText"/>
              <w:keepNext/>
              <w:tabs>
                <w:tab w:val="decimal" w:pos="397"/>
              </w:tabs>
            </w:pPr>
            <w:r w:rsidRPr="00181EF3">
              <w:t>7.6</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5B5F769" w14:textId="77777777" w:rsidR="00370973" w:rsidRPr="00181EF3" w:rsidRDefault="00370973" w:rsidP="00370973">
            <w:pPr>
              <w:pStyle w:val="TableText"/>
              <w:keepNext/>
              <w:tabs>
                <w:tab w:val="decimal" w:pos="397"/>
              </w:tabs>
            </w:pPr>
            <w:r w:rsidRPr="00181EF3">
              <w:t>2.8</w:t>
            </w:r>
          </w:p>
        </w:tc>
        <w:tc>
          <w:tcPr>
            <w:tcW w:w="827" w:type="dxa"/>
            <w:tcBorders>
              <w:top w:val="single" w:sz="4" w:space="0" w:color="A6A6A6" w:themeColor="background1" w:themeShade="A6"/>
              <w:bottom w:val="single" w:sz="4" w:space="0" w:color="A6A6A6" w:themeColor="background1" w:themeShade="A6"/>
            </w:tcBorders>
          </w:tcPr>
          <w:p w14:paraId="70E1400C" w14:textId="77777777" w:rsidR="00370973" w:rsidRPr="00181EF3" w:rsidRDefault="00370973" w:rsidP="00370973">
            <w:pPr>
              <w:pStyle w:val="TableText"/>
              <w:keepNext/>
              <w:tabs>
                <w:tab w:val="decimal" w:pos="397"/>
              </w:tabs>
            </w:pPr>
            <w:r w:rsidRPr="00181EF3">
              <w:t>3.0</w:t>
            </w:r>
          </w:p>
        </w:tc>
        <w:tc>
          <w:tcPr>
            <w:tcW w:w="827" w:type="dxa"/>
            <w:tcBorders>
              <w:top w:val="single" w:sz="4" w:space="0" w:color="A6A6A6" w:themeColor="background1" w:themeShade="A6"/>
              <w:bottom w:val="single" w:sz="4" w:space="0" w:color="A6A6A6" w:themeColor="background1" w:themeShade="A6"/>
            </w:tcBorders>
          </w:tcPr>
          <w:p w14:paraId="0C630273" w14:textId="77777777" w:rsidR="00370973" w:rsidRPr="00181EF3" w:rsidRDefault="00370973" w:rsidP="00370973">
            <w:pPr>
              <w:pStyle w:val="TableText"/>
              <w:keepNext/>
              <w:tabs>
                <w:tab w:val="decimal" w:pos="397"/>
              </w:tabs>
            </w:pPr>
            <w:r w:rsidRPr="00181EF3">
              <w:t>2.9</w:t>
            </w:r>
          </w:p>
        </w:tc>
      </w:tr>
      <w:tr w:rsidR="00370973" w:rsidRPr="00181EF3" w14:paraId="18CADCE7" w14:textId="77777777" w:rsidTr="00370973">
        <w:trPr>
          <w:cantSplit/>
        </w:trPr>
        <w:tc>
          <w:tcPr>
            <w:tcW w:w="3119"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82DE2B3" w14:textId="77777777" w:rsidR="00370973" w:rsidRPr="00181EF3" w:rsidRDefault="00370973" w:rsidP="00370973">
            <w:pPr>
              <w:pStyle w:val="TableText"/>
              <w:keepNext/>
            </w:pPr>
            <w:r w:rsidRPr="00181EF3">
              <w:t>Total personal income less than $10,000, 15+ years</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35EAF0A" w14:textId="77777777" w:rsidR="00370973" w:rsidRPr="00181EF3" w:rsidRDefault="00370973" w:rsidP="00370973">
            <w:pPr>
              <w:pStyle w:val="TableText"/>
              <w:keepNext/>
              <w:tabs>
                <w:tab w:val="decimal" w:pos="397"/>
              </w:tabs>
            </w:pPr>
            <w:r w:rsidRPr="00181EF3">
              <w:t>22.8</w:t>
            </w:r>
          </w:p>
        </w:tc>
        <w:tc>
          <w:tcPr>
            <w:tcW w:w="827" w:type="dxa"/>
            <w:tcBorders>
              <w:top w:val="single" w:sz="4" w:space="0" w:color="A6A6A6" w:themeColor="background1" w:themeShade="A6"/>
              <w:bottom w:val="single" w:sz="4" w:space="0" w:color="A6A6A6" w:themeColor="background1" w:themeShade="A6"/>
            </w:tcBorders>
          </w:tcPr>
          <w:p w14:paraId="726DED71" w14:textId="77777777" w:rsidR="00370973" w:rsidRPr="00181EF3" w:rsidRDefault="00370973" w:rsidP="00370973">
            <w:pPr>
              <w:pStyle w:val="TableText"/>
              <w:keepNext/>
              <w:tabs>
                <w:tab w:val="decimal" w:pos="397"/>
              </w:tabs>
            </w:pPr>
            <w:r w:rsidRPr="00181EF3">
              <w:t>27.9</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E3B0DF2" w14:textId="77777777" w:rsidR="00370973" w:rsidRPr="00181EF3" w:rsidRDefault="00370973" w:rsidP="00370973">
            <w:pPr>
              <w:pStyle w:val="TableText"/>
              <w:keepNext/>
              <w:tabs>
                <w:tab w:val="decimal" w:pos="397"/>
              </w:tabs>
            </w:pPr>
            <w:r w:rsidRPr="00181EF3">
              <w:t>25.5</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A92ED88" w14:textId="77777777" w:rsidR="00370973" w:rsidRPr="00181EF3" w:rsidRDefault="00370973" w:rsidP="00370973">
            <w:pPr>
              <w:pStyle w:val="TableText"/>
              <w:keepNext/>
              <w:tabs>
                <w:tab w:val="decimal" w:pos="397"/>
              </w:tabs>
            </w:pPr>
            <w:r w:rsidRPr="00181EF3">
              <w:t>16.1</w:t>
            </w:r>
          </w:p>
        </w:tc>
        <w:tc>
          <w:tcPr>
            <w:tcW w:w="827" w:type="dxa"/>
            <w:tcBorders>
              <w:top w:val="single" w:sz="4" w:space="0" w:color="A6A6A6" w:themeColor="background1" w:themeShade="A6"/>
              <w:bottom w:val="single" w:sz="4" w:space="0" w:color="A6A6A6" w:themeColor="background1" w:themeShade="A6"/>
            </w:tcBorders>
          </w:tcPr>
          <w:p w14:paraId="31AF548C" w14:textId="77777777" w:rsidR="00370973" w:rsidRPr="00181EF3" w:rsidRDefault="00370973" w:rsidP="00370973">
            <w:pPr>
              <w:pStyle w:val="TableText"/>
              <w:keepNext/>
              <w:tabs>
                <w:tab w:val="decimal" w:pos="397"/>
              </w:tabs>
            </w:pPr>
            <w:r w:rsidRPr="00181EF3">
              <w:t>25.6</w:t>
            </w:r>
          </w:p>
        </w:tc>
        <w:tc>
          <w:tcPr>
            <w:tcW w:w="827" w:type="dxa"/>
            <w:tcBorders>
              <w:top w:val="single" w:sz="4" w:space="0" w:color="A6A6A6" w:themeColor="background1" w:themeShade="A6"/>
              <w:bottom w:val="single" w:sz="4" w:space="0" w:color="A6A6A6" w:themeColor="background1" w:themeShade="A6"/>
            </w:tcBorders>
          </w:tcPr>
          <w:p w14:paraId="2E4B460B" w14:textId="77777777" w:rsidR="00370973" w:rsidRPr="00181EF3" w:rsidRDefault="00370973" w:rsidP="00370973">
            <w:pPr>
              <w:pStyle w:val="TableText"/>
              <w:keepNext/>
              <w:tabs>
                <w:tab w:val="decimal" w:pos="397"/>
              </w:tabs>
            </w:pPr>
            <w:r w:rsidRPr="00181EF3">
              <w:t>21.0</w:t>
            </w:r>
          </w:p>
        </w:tc>
      </w:tr>
      <w:tr w:rsidR="00370973" w:rsidRPr="00181EF3" w14:paraId="1430C5E1" w14:textId="77777777" w:rsidTr="00370973">
        <w:trPr>
          <w:cantSplit/>
        </w:trPr>
        <w:tc>
          <w:tcPr>
            <w:tcW w:w="3119"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98959A4" w14:textId="77777777" w:rsidR="00370973" w:rsidRPr="00181EF3" w:rsidRDefault="00370973" w:rsidP="00370973">
            <w:pPr>
              <w:pStyle w:val="TableText"/>
              <w:keepNext/>
            </w:pPr>
            <w:r w:rsidRPr="00181EF3">
              <w:t>Receiving means-tested benefit, 15+ years</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540CC9B" w14:textId="77777777" w:rsidR="00370973" w:rsidRPr="00181EF3" w:rsidRDefault="00370973" w:rsidP="00370973">
            <w:pPr>
              <w:pStyle w:val="TableText"/>
              <w:keepNext/>
              <w:tabs>
                <w:tab w:val="decimal" w:pos="397"/>
              </w:tabs>
            </w:pPr>
            <w:r w:rsidRPr="00181EF3">
              <w:t>19.9</w:t>
            </w:r>
          </w:p>
        </w:tc>
        <w:tc>
          <w:tcPr>
            <w:tcW w:w="827" w:type="dxa"/>
            <w:tcBorders>
              <w:top w:val="single" w:sz="4" w:space="0" w:color="A6A6A6" w:themeColor="background1" w:themeShade="A6"/>
              <w:bottom w:val="single" w:sz="4" w:space="0" w:color="A6A6A6" w:themeColor="background1" w:themeShade="A6"/>
            </w:tcBorders>
          </w:tcPr>
          <w:p w14:paraId="01F642F5" w14:textId="77777777" w:rsidR="00370973" w:rsidRPr="00181EF3" w:rsidRDefault="00370973" w:rsidP="00370973">
            <w:pPr>
              <w:pStyle w:val="TableText"/>
              <w:keepNext/>
              <w:tabs>
                <w:tab w:val="decimal" w:pos="397"/>
              </w:tabs>
            </w:pPr>
            <w:r w:rsidRPr="00181EF3">
              <w:t>32.6</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F737304" w14:textId="77777777" w:rsidR="00370973" w:rsidRPr="00181EF3" w:rsidRDefault="00370973" w:rsidP="00370973">
            <w:pPr>
              <w:pStyle w:val="TableText"/>
              <w:keepNext/>
              <w:tabs>
                <w:tab w:val="decimal" w:pos="397"/>
              </w:tabs>
            </w:pPr>
            <w:r w:rsidRPr="00181EF3">
              <w:t>26.7</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B103B44" w14:textId="77777777" w:rsidR="00370973" w:rsidRPr="00181EF3" w:rsidRDefault="00370973" w:rsidP="00370973">
            <w:pPr>
              <w:pStyle w:val="TableText"/>
              <w:keepNext/>
              <w:tabs>
                <w:tab w:val="decimal" w:pos="397"/>
              </w:tabs>
            </w:pPr>
            <w:r w:rsidRPr="00181EF3">
              <w:t>8.8</w:t>
            </w:r>
          </w:p>
        </w:tc>
        <w:tc>
          <w:tcPr>
            <w:tcW w:w="827" w:type="dxa"/>
            <w:tcBorders>
              <w:top w:val="single" w:sz="4" w:space="0" w:color="A6A6A6" w:themeColor="background1" w:themeShade="A6"/>
              <w:bottom w:val="single" w:sz="4" w:space="0" w:color="A6A6A6" w:themeColor="background1" w:themeShade="A6"/>
            </w:tcBorders>
          </w:tcPr>
          <w:p w14:paraId="68BE963D" w14:textId="77777777" w:rsidR="00370973" w:rsidRPr="00181EF3" w:rsidRDefault="00370973" w:rsidP="00370973">
            <w:pPr>
              <w:pStyle w:val="TableText"/>
              <w:keepNext/>
              <w:tabs>
                <w:tab w:val="decimal" w:pos="397"/>
              </w:tabs>
            </w:pPr>
            <w:r w:rsidRPr="00181EF3">
              <w:t>12.1</w:t>
            </w:r>
          </w:p>
        </w:tc>
        <w:tc>
          <w:tcPr>
            <w:tcW w:w="827" w:type="dxa"/>
            <w:tcBorders>
              <w:top w:val="single" w:sz="4" w:space="0" w:color="A6A6A6" w:themeColor="background1" w:themeShade="A6"/>
              <w:bottom w:val="single" w:sz="4" w:space="0" w:color="A6A6A6" w:themeColor="background1" w:themeShade="A6"/>
            </w:tcBorders>
          </w:tcPr>
          <w:p w14:paraId="729689C9" w14:textId="77777777" w:rsidR="00370973" w:rsidRPr="00181EF3" w:rsidRDefault="00370973" w:rsidP="00370973">
            <w:pPr>
              <w:pStyle w:val="TableText"/>
              <w:keepNext/>
              <w:tabs>
                <w:tab w:val="decimal" w:pos="397"/>
              </w:tabs>
            </w:pPr>
            <w:r w:rsidRPr="00181EF3">
              <w:t>10.5</w:t>
            </w:r>
          </w:p>
        </w:tc>
      </w:tr>
      <w:tr w:rsidR="00370973" w:rsidRPr="00181EF3" w14:paraId="2B533200" w14:textId="77777777" w:rsidTr="00370973">
        <w:trPr>
          <w:cantSplit/>
        </w:trPr>
        <w:tc>
          <w:tcPr>
            <w:tcW w:w="3119"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E2404E8" w14:textId="77777777" w:rsidR="00370973" w:rsidRPr="00181EF3" w:rsidRDefault="00370973" w:rsidP="00370973">
            <w:pPr>
              <w:pStyle w:val="TableText"/>
              <w:keepNext/>
            </w:pPr>
            <w:r w:rsidRPr="00181EF3">
              <w:t>Living in household without telephone access, 15+ years</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6DD0CA7" w14:textId="77777777" w:rsidR="00370973" w:rsidRPr="00181EF3" w:rsidRDefault="00370973" w:rsidP="00370973">
            <w:pPr>
              <w:pStyle w:val="TableText"/>
              <w:keepNext/>
              <w:tabs>
                <w:tab w:val="decimal" w:pos="397"/>
              </w:tabs>
            </w:pPr>
            <w:r w:rsidRPr="00181EF3">
              <w:t>5.6</w:t>
            </w:r>
          </w:p>
        </w:tc>
        <w:tc>
          <w:tcPr>
            <w:tcW w:w="827" w:type="dxa"/>
            <w:tcBorders>
              <w:top w:val="single" w:sz="4" w:space="0" w:color="A6A6A6" w:themeColor="background1" w:themeShade="A6"/>
              <w:bottom w:val="single" w:sz="4" w:space="0" w:color="A6A6A6" w:themeColor="background1" w:themeShade="A6"/>
            </w:tcBorders>
          </w:tcPr>
          <w:p w14:paraId="593B2A60" w14:textId="77777777" w:rsidR="00370973" w:rsidRPr="00181EF3" w:rsidRDefault="00370973" w:rsidP="00370973">
            <w:pPr>
              <w:pStyle w:val="TableText"/>
              <w:keepNext/>
              <w:tabs>
                <w:tab w:val="decimal" w:pos="397"/>
              </w:tabs>
            </w:pPr>
            <w:r w:rsidRPr="00181EF3">
              <w:t>5.3</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DD57832" w14:textId="77777777" w:rsidR="00370973" w:rsidRPr="00181EF3" w:rsidRDefault="00370973" w:rsidP="00370973">
            <w:pPr>
              <w:pStyle w:val="TableText"/>
              <w:keepNext/>
              <w:tabs>
                <w:tab w:val="decimal" w:pos="397"/>
              </w:tabs>
            </w:pPr>
            <w:r w:rsidRPr="00181EF3">
              <w:t>5.5</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170EF68" w14:textId="77777777" w:rsidR="00370973" w:rsidRPr="00181EF3" w:rsidRDefault="00370973" w:rsidP="00370973">
            <w:pPr>
              <w:pStyle w:val="TableText"/>
              <w:keepNext/>
              <w:tabs>
                <w:tab w:val="decimal" w:pos="397"/>
              </w:tabs>
            </w:pPr>
            <w:r w:rsidRPr="00181EF3">
              <w:t>1.5</w:t>
            </w:r>
          </w:p>
        </w:tc>
        <w:tc>
          <w:tcPr>
            <w:tcW w:w="827" w:type="dxa"/>
            <w:tcBorders>
              <w:top w:val="single" w:sz="4" w:space="0" w:color="A6A6A6" w:themeColor="background1" w:themeShade="A6"/>
              <w:bottom w:val="single" w:sz="4" w:space="0" w:color="A6A6A6" w:themeColor="background1" w:themeShade="A6"/>
            </w:tcBorders>
          </w:tcPr>
          <w:p w14:paraId="349D2912" w14:textId="77777777" w:rsidR="00370973" w:rsidRPr="00181EF3" w:rsidRDefault="00370973" w:rsidP="00370973">
            <w:pPr>
              <w:pStyle w:val="TableText"/>
              <w:keepNext/>
              <w:tabs>
                <w:tab w:val="decimal" w:pos="397"/>
              </w:tabs>
            </w:pPr>
            <w:r w:rsidRPr="00181EF3">
              <w:t>1.0</w:t>
            </w:r>
          </w:p>
        </w:tc>
        <w:tc>
          <w:tcPr>
            <w:tcW w:w="827" w:type="dxa"/>
            <w:tcBorders>
              <w:top w:val="single" w:sz="4" w:space="0" w:color="A6A6A6" w:themeColor="background1" w:themeShade="A6"/>
              <w:bottom w:val="single" w:sz="4" w:space="0" w:color="A6A6A6" w:themeColor="background1" w:themeShade="A6"/>
            </w:tcBorders>
          </w:tcPr>
          <w:p w14:paraId="0C3D6B8A" w14:textId="77777777" w:rsidR="00370973" w:rsidRPr="00181EF3" w:rsidRDefault="00370973" w:rsidP="00370973">
            <w:pPr>
              <w:pStyle w:val="TableText"/>
              <w:keepNext/>
              <w:tabs>
                <w:tab w:val="decimal" w:pos="397"/>
              </w:tabs>
            </w:pPr>
            <w:r w:rsidRPr="00181EF3">
              <w:t>1.2</w:t>
            </w:r>
          </w:p>
        </w:tc>
      </w:tr>
      <w:tr w:rsidR="00370973" w:rsidRPr="00181EF3" w14:paraId="25AC45B8" w14:textId="77777777" w:rsidTr="00370973">
        <w:trPr>
          <w:cantSplit/>
        </w:trPr>
        <w:tc>
          <w:tcPr>
            <w:tcW w:w="3119"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1B1EB90" w14:textId="77777777" w:rsidR="00370973" w:rsidRPr="00181EF3" w:rsidRDefault="00370973" w:rsidP="00370973">
            <w:pPr>
              <w:pStyle w:val="TableText"/>
              <w:keepNext/>
            </w:pPr>
            <w:r w:rsidRPr="00181EF3">
              <w:t>Living in household without motor vehicle access, 15+ years</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1A6CAAF" w14:textId="77777777" w:rsidR="00370973" w:rsidRPr="00181EF3" w:rsidRDefault="00370973" w:rsidP="00370973">
            <w:pPr>
              <w:pStyle w:val="TableText"/>
              <w:keepNext/>
              <w:tabs>
                <w:tab w:val="decimal" w:pos="397"/>
              </w:tabs>
            </w:pPr>
            <w:r w:rsidRPr="00181EF3">
              <w:t>7.8</w:t>
            </w:r>
          </w:p>
        </w:tc>
        <w:tc>
          <w:tcPr>
            <w:tcW w:w="827" w:type="dxa"/>
            <w:tcBorders>
              <w:top w:val="single" w:sz="4" w:space="0" w:color="A6A6A6" w:themeColor="background1" w:themeShade="A6"/>
              <w:bottom w:val="single" w:sz="4" w:space="0" w:color="A6A6A6" w:themeColor="background1" w:themeShade="A6"/>
            </w:tcBorders>
          </w:tcPr>
          <w:p w14:paraId="46BA471C" w14:textId="77777777" w:rsidR="00370973" w:rsidRPr="00181EF3" w:rsidRDefault="00370973" w:rsidP="00370973">
            <w:pPr>
              <w:pStyle w:val="TableText"/>
              <w:keepNext/>
              <w:tabs>
                <w:tab w:val="decimal" w:pos="397"/>
              </w:tabs>
            </w:pPr>
            <w:r w:rsidRPr="00181EF3">
              <w:t>10.2</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346C51A" w14:textId="77777777" w:rsidR="00370973" w:rsidRPr="00181EF3" w:rsidRDefault="00370973" w:rsidP="00370973">
            <w:pPr>
              <w:pStyle w:val="TableText"/>
              <w:keepNext/>
              <w:tabs>
                <w:tab w:val="decimal" w:pos="397"/>
              </w:tabs>
            </w:pPr>
            <w:r w:rsidRPr="00181EF3">
              <w:t>9.1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D045EAB" w14:textId="77777777" w:rsidR="00370973" w:rsidRPr="00181EF3" w:rsidRDefault="00370973" w:rsidP="00370973">
            <w:pPr>
              <w:pStyle w:val="TableText"/>
              <w:keepNext/>
              <w:tabs>
                <w:tab w:val="decimal" w:pos="397"/>
              </w:tabs>
            </w:pPr>
            <w:r w:rsidRPr="00181EF3">
              <w:t>3.8</w:t>
            </w:r>
          </w:p>
        </w:tc>
        <w:tc>
          <w:tcPr>
            <w:tcW w:w="827" w:type="dxa"/>
            <w:tcBorders>
              <w:top w:val="single" w:sz="4" w:space="0" w:color="A6A6A6" w:themeColor="background1" w:themeShade="A6"/>
              <w:bottom w:val="single" w:sz="4" w:space="0" w:color="A6A6A6" w:themeColor="background1" w:themeShade="A6"/>
            </w:tcBorders>
          </w:tcPr>
          <w:p w14:paraId="2BB0B970" w14:textId="77777777" w:rsidR="00370973" w:rsidRPr="00181EF3" w:rsidRDefault="00370973" w:rsidP="00370973">
            <w:pPr>
              <w:pStyle w:val="TableText"/>
              <w:keepNext/>
              <w:tabs>
                <w:tab w:val="decimal" w:pos="397"/>
              </w:tabs>
            </w:pPr>
            <w:r w:rsidRPr="00181EF3">
              <w:t>6.2</w:t>
            </w:r>
          </w:p>
        </w:tc>
        <w:tc>
          <w:tcPr>
            <w:tcW w:w="827" w:type="dxa"/>
            <w:tcBorders>
              <w:top w:val="single" w:sz="4" w:space="0" w:color="A6A6A6" w:themeColor="background1" w:themeShade="A6"/>
              <w:bottom w:val="single" w:sz="4" w:space="0" w:color="A6A6A6" w:themeColor="background1" w:themeShade="A6"/>
            </w:tcBorders>
          </w:tcPr>
          <w:p w14:paraId="35C6C625" w14:textId="77777777" w:rsidR="00370973" w:rsidRPr="00181EF3" w:rsidRDefault="00370973" w:rsidP="00370973">
            <w:pPr>
              <w:pStyle w:val="TableText"/>
              <w:keepNext/>
              <w:tabs>
                <w:tab w:val="decimal" w:pos="397"/>
              </w:tabs>
            </w:pPr>
            <w:r w:rsidRPr="00181EF3">
              <w:t>5.0</w:t>
            </w:r>
          </w:p>
        </w:tc>
      </w:tr>
      <w:tr w:rsidR="00370973" w:rsidRPr="00181EF3" w14:paraId="78096B5F" w14:textId="77777777" w:rsidTr="00370973">
        <w:trPr>
          <w:cantSplit/>
        </w:trPr>
        <w:tc>
          <w:tcPr>
            <w:tcW w:w="3119"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CFB7A3C" w14:textId="77777777" w:rsidR="00370973" w:rsidRPr="00181EF3" w:rsidRDefault="00370973" w:rsidP="00370973">
            <w:pPr>
              <w:pStyle w:val="TableText"/>
              <w:keepNext/>
            </w:pPr>
            <w:r w:rsidRPr="00181EF3">
              <w:t>Not living in own home, 15+ years</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68D3A32" w14:textId="77777777" w:rsidR="00370973" w:rsidRPr="00181EF3" w:rsidRDefault="00370973" w:rsidP="00370973">
            <w:pPr>
              <w:pStyle w:val="TableText"/>
              <w:keepNext/>
              <w:tabs>
                <w:tab w:val="decimal" w:pos="397"/>
              </w:tabs>
            </w:pPr>
            <w:r w:rsidRPr="00181EF3">
              <w:t>69.6</w:t>
            </w:r>
          </w:p>
        </w:tc>
        <w:tc>
          <w:tcPr>
            <w:tcW w:w="827" w:type="dxa"/>
            <w:tcBorders>
              <w:top w:val="single" w:sz="4" w:space="0" w:color="A6A6A6" w:themeColor="background1" w:themeShade="A6"/>
              <w:bottom w:val="single" w:sz="4" w:space="0" w:color="A6A6A6" w:themeColor="background1" w:themeShade="A6"/>
            </w:tcBorders>
          </w:tcPr>
          <w:p w14:paraId="62FE674E" w14:textId="77777777" w:rsidR="00370973" w:rsidRPr="00181EF3" w:rsidRDefault="00370973" w:rsidP="00370973">
            <w:pPr>
              <w:pStyle w:val="TableText"/>
              <w:keepNext/>
              <w:tabs>
                <w:tab w:val="decimal" w:pos="397"/>
              </w:tabs>
            </w:pPr>
            <w:r w:rsidRPr="00181EF3">
              <w:t>70.1</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4CDFEB1" w14:textId="77777777" w:rsidR="00370973" w:rsidRPr="00181EF3" w:rsidRDefault="00370973" w:rsidP="00370973">
            <w:pPr>
              <w:pStyle w:val="TableText"/>
              <w:keepNext/>
              <w:tabs>
                <w:tab w:val="decimal" w:pos="397"/>
              </w:tabs>
            </w:pPr>
            <w:r w:rsidRPr="00181EF3">
              <w:t>69.9</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DB0A097" w14:textId="77777777" w:rsidR="00370973" w:rsidRPr="00181EF3" w:rsidRDefault="00370973" w:rsidP="00370973">
            <w:pPr>
              <w:pStyle w:val="TableText"/>
              <w:keepNext/>
              <w:tabs>
                <w:tab w:val="decimal" w:pos="397"/>
              </w:tabs>
            </w:pPr>
            <w:r w:rsidRPr="00181EF3">
              <w:t>44.9</w:t>
            </w:r>
          </w:p>
        </w:tc>
        <w:tc>
          <w:tcPr>
            <w:tcW w:w="827" w:type="dxa"/>
            <w:tcBorders>
              <w:top w:val="single" w:sz="4" w:space="0" w:color="A6A6A6" w:themeColor="background1" w:themeShade="A6"/>
              <w:bottom w:val="single" w:sz="4" w:space="0" w:color="A6A6A6" w:themeColor="background1" w:themeShade="A6"/>
            </w:tcBorders>
          </w:tcPr>
          <w:p w14:paraId="7C0DCE51" w14:textId="77777777" w:rsidR="00370973" w:rsidRPr="00181EF3" w:rsidRDefault="00370973" w:rsidP="00370973">
            <w:pPr>
              <w:pStyle w:val="TableText"/>
              <w:keepNext/>
              <w:tabs>
                <w:tab w:val="decimal" w:pos="397"/>
              </w:tabs>
            </w:pPr>
            <w:r w:rsidRPr="00181EF3">
              <w:t>42.6</w:t>
            </w:r>
          </w:p>
        </w:tc>
        <w:tc>
          <w:tcPr>
            <w:tcW w:w="827" w:type="dxa"/>
            <w:tcBorders>
              <w:top w:val="single" w:sz="4" w:space="0" w:color="A6A6A6" w:themeColor="background1" w:themeShade="A6"/>
              <w:bottom w:val="single" w:sz="4" w:space="0" w:color="A6A6A6" w:themeColor="background1" w:themeShade="A6"/>
            </w:tcBorders>
          </w:tcPr>
          <w:p w14:paraId="38B0F73B" w14:textId="77777777" w:rsidR="00370973" w:rsidRPr="00181EF3" w:rsidRDefault="00370973" w:rsidP="00370973">
            <w:pPr>
              <w:pStyle w:val="TableText"/>
              <w:keepNext/>
              <w:tabs>
                <w:tab w:val="decimal" w:pos="397"/>
              </w:tabs>
            </w:pPr>
            <w:r w:rsidRPr="00181EF3">
              <w:t>43.7</w:t>
            </w:r>
          </w:p>
        </w:tc>
      </w:tr>
      <w:tr w:rsidR="00370973" w:rsidRPr="00181EF3" w14:paraId="4F77A72F" w14:textId="77777777" w:rsidTr="00370973">
        <w:trPr>
          <w:cantSplit/>
        </w:trPr>
        <w:tc>
          <w:tcPr>
            <w:tcW w:w="3119"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C690CA8" w14:textId="77777777" w:rsidR="00370973" w:rsidRPr="00181EF3" w:rsidRDefault="00370973" w:rsidP="00370973">
            <w:pPr>
              <w:pStyle w:val="TableText"/>
              <w:keepNext/>
            </w:pPr>
            <w:r w:rsidRPr="00181EF3">
              <w:t>Household crowding,</w:t>
            </w:r>
            <w:r w:rsidRPr="00181EF3">
              <w:rPr>
                <w:vertAlign w:val="superscript"/>
              </w:rPr>
              <w:t>1</w:t>
            </w:r>
            <w:r w:rsidRPr="00181EF3">
              <w:t xml:space="preserve"> all age groups</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517474D" w14:textId="77777777" w:rsidR="00370973" w:rsidRPr="00181EF3" w:rsidRDefault="00370973" w:rsidP="00370973">
            <w:pPr>
              <w:pStyle w:val="TableText"/>
              <w:keepNext/>
              <w:tabs>
                <w:tab w:val="decimal" w:pos="397"/>
              </w:tabs>
            </w:pPr>
            <w:r w:rsidRPr="00181EF3">
              <w:t>22.2</w:t>
            </w:r>
          </w:p>
        </w:tc>
        <w:tc>
          <w:tcPr>
            <w:tcW w:w="827" w:type="dxa"/>
            <w:tcBorders>
              <w:top w:val="single" w:sz="4" w:space="0" w:color="A6A6A6" w:themeColor="background1" w:themeShade="A6"/>
              <w:bottom w:val="single" w:sz="4" w:space="0" w:color="A6A6A6" w:themeColor="background1" w:themeShade="A6"/>
            </w:tcBorders>
          </w:tcPr>
          <w:p w14:paraId="69170646" w14:textId="77777777" w:rsidR="00370973" w:rsidRPr="00181EF3" w:rsidRDefault="00370973" w:rsidP="00370973">
            <w:pPr>
              <w:pStyle w:val="TableText"/>
              <w:keepNext/>
              <w:tabs>
                <w:tab w:val="decimal" w:pos="397"/>
              </w:tabs>
            </w:pPr>
            <w:r w:rsidRPr="00181EF3">
              <w:t>23.3</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3589933" w14:textId="77777777" w:rsidR="00370973" w:rsidRPr="00181EF3" w:rsidRDefault="00370973" w:rsidP="00370973">
            <w:pPr>
              <w:pStyle w:val="TableText"/>
              <w:keepNext/>
              <w:tabs>
                <w:tab w:val="decimal" w:pos="397"/>
              </w:tabs>
            </w:pPr>
            <w:r w:rsidRPr="00181EF3">
              <w:t>22.8</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8FA1756" w14:textId="77777777" w:rsidR="00370973" w:rsidRPr="00181EF3" w:rsidRDefault="00370973" w:rsidP="00370973">
            <w:pPr>
              <w:pStyle w:val="TableText"/>
              <w:keepNext/>
              <w:tabs>
                <w:tab w:val="decimal" w:pos="397"/>
              </w:tabs>
            </w:pPr>
            <w:r w:rsidRPr="00181EF3">
              <w:t>7.9</w:t>
            </w:r>
          </w:p>
        </w:tc>
        <w:tc>
          <w:tcPr>
            <w:tcW w:w="827" w:type="dxa"/>
            <w:tcBorders>
              <w:top w:val="single" w:sz="4" w:space="0" w:color="A6A6A6" w:themeColor="background1" w:themeShade="A6"/>
              <w:bottom w:val="single" w:sz="4" w:space="0" w:color="A6A6A6" w:themeColor="background1" w:themeShade="A6"/>
            </w:tcBorders>
          </w:tcPr>
          <w:p w14:paraId="5D5E27F7" w14:textId="77777777" w:rsidR="00370973" w:rsidRPr="00181EF3" w:rsidRDefault="00370973" w:rsidP="00370973">
            <w:pPr>
              <w:pStyle w:val="TableText"/>
              <w:keepNext/>
              <w:tabs>
                <w:tab w:val="decimal" w:pos="397"/>
              </w:tabs>
            </w:pPr>
            <w:r w:rsidRPr="00181EF3">
              <w:t>7.9</w:t>
            </w:r>
          </w:p>
        </w:tc>
        <w:tc>
          <w:tcPr>
            <w:tcW w:w="827" w:type="dxa"/>
            <w:tcBorders>
              <w:top w:val="single" w:sz="4" w:space="0" w:color="A6A6A6" w:themeColor="background1" w:themeShade="A6"/>
              <w:bottom w:val="single" w:sz="4" w:space="0" w:color="A6A6A6" w:themeColor="background1" w:themeShade="A6"/>
            </w:tcBorders>
          </w:tcPr>
          <w:p w14:paraId="003013E3" w14:textId="77777777" w:rsidR="00370973" w:rsidRPr="00181EF3" w:rsidRDefault="00370973" w:rsidP="00370973">
            <w:pPr>
              <w:pStyle w:val="TableText"/>
              <w:keepNext/>
              <w:tabs>
                <w:tab w:val="decimal" w:pos="397"/>
              </w:tabs>
            </w:pPr>
            <w:r w:rsidRPr="00181EF3">
              <w:t>7.9</w:t>
            </w:r>
          </w:p>
        </w:tc>
      </w:tr>
    </w:tbl>
    <w:p w14:paraId="3C558700" w14:textId="77777777" w:rsidR="00370973" w:rsidRPr="00181EF3" w:rsidRDefault="00370973" w:rsidP="00370973">
      <w:pPr>
        <w:pStyle w:val="Note"/>
        <w:keepNext/>
      </w:pPr>
      <w:r w:rsidRPr="00181EF3">
        <w:t>Notes:</w:t>
      </w:r>
    </w:p>
    <w:p w14:paraId="3828D375" w14:textId="77777777" w:rsidR="00370973" w:rsidRPr="00181EF3" w:rsidRDefault="00370973" w:rsidP="00370973">
      <w:pPr>
        <w:pStyle w:val="Note"/>
      </w:pPr>
      <w:r w:rsidRPr="00181EF3">
        <w:t>1</w:t>
      </w:r>
      <w:r w:rsidRPr="00181EF3">
        <w:tab/>
        <w:t>Based on the Canadian National Crowding Index. A required number of bedrooms is calculated for each household (based on the age, sex and number of people living in the dwelling), which is compared with the actual number of bedrooms. A household is considered crowded when there are fewer bedrooms than required.</w:t>
      </w:r>
    </w:p>
    <w:p w14:paraId="1144FBC9" w14:textId="191D941F" w:rsidR="00370973" w:rsidRPr="00181EF3" w:rsidRDefault="00370973" w:rsidP="00EF58A1">
      <w:pPr>
        <w:pStyle w:val="Source"/>
      </w:pPr>
      <w:r w:rsidRPr="00181EF3">
        <w:t xml:space="preserve">Source: </w:t>
      </w:r>
      <w:r w:rsidR="008F0248">
        <w:t>Stats NZ</w:t>
      </w:r>
    </w:p>
    <w:p w14:paraId="1E7BFE0D" w14:textId="24DF598F" w:rsidR="00370973" w:rsidRDefault="00370973" w:rsidP="00370973"/>
    <w:p w14:paraId="15CDFCC3" w14:textId="34260F0E" w:rsidR="00370973" w:rsidRPr="00181EF3" w:rsidRDefault="00370973" w:rsidP="00370973">
      <w:pPr>
        <w:pStyle w:val="Table"/>
      </w:pPr>
      <w:bookmarkStart w:id="43" w:name="_Toc18594751"/>
      <w:r w:rsidRPr="00181EF3">
        <w:lastRenderedPageBreak/>
        <w:t xml:space="preserve">Table </w:t>
      </w:r>
      <w:r>
        <w:t>11</w:t>
      </w:r>
      <w:r w:rsidRPr="00181EF3">
        <w:t xml:space="preserve">: Socioeconomic indicators, by gender, Māori and </w:t>
      </w:r>
      <w:r w:rsidR="00EC03A3">
        <w:t>non</w:t>
      </w:r>
      <w:r w:rsidR="00EC03A3">
        <w:noBreakHyphen/>
        <w:t>M</w:t>
      </w:r>
      <w:r w:rsidRPr="00181EF3">
        <w:t>āori, 2013</w:t>
      </w:r>
      <w:bookmarkEnd w:id="43"/>
    </w:p>
    <w:tbl>
      <w:tblPr>
        <w:tblW w:w="8080" w:type="dxa"/>
        <w:tblInd w:w="57" w:type="dxa"/>
        <w:tblLayout w:type="fixed"/>
        <w:tblCellMar>
          <w:left w:w="57" w:type="dxa"/>
          <w:right w:w="57" w:type="dxa"/>
        </w:tblCellMar>
        <w:tblLook w:val="04A0" w:firstRow="1" w:lastRow="0" w:firstColumn="1" w:lastColumn="0" w:noHBand="0" w:noVBand="1"/>
      </w:tblPr>
      <w:tblGrid>
        <w:gridCol w:w="3119"/>
        <w:gridCol w:w="826"/>
        <w:gridCol w:w="827"/>
        <w:gridCol w:w="827"/>
        <w:gridCol w:w="827"/>
        <w:gridCol w:w="827"/>
        <w:gridCol w:w="827"/>
      </w:tblGrid>
      <w:tr w:rsidR="00370973" w:rsidRPr="00181EF3" w14:paraId="683495E1" w14:textId="77777777" w:rsidTr="00370973">
        <w:trPr>
          <w:cantSplit/>
        </w:trPr>
        <w:tc>
          <w:tcPr>
            <w:tcW w:w="3119" w:type="dxa"/>
            <w:vMerge w:val="restart"/>
            <w:tcBorders>
              <w:right w:val="single" w:sz="4" w:space="0" w:color="A6A6A6" w:themeColor="background1" w:themeShade="A6"/>
            </w:tcBorders>
            <w:shd w:val="clear" w:color="auto" w:fill="D9D9D9" w:themeFill="background1" w:themeFillShade="D9"/>
          </w:tcPr>
          <w:p w14:paraId="1A66759F" w14:textId="77777777" w:rsidR="00370973" w:rsidRPr="00181EF3" w:rsidRDefault="00370973" w:rsidP="00370973">
            <w:pPr>
              <w:pStyle w:val="TableText"/>
              <w:keepNext/>
              <w:rPr>
                <w:b/>
              </w:rPr>
            </w:pPr>
            <w:r w:rsidRPr="00181EF3">
              <w:rPr>
                <w:b/>
              </w:rPr>
              <w:t>Indicator</w:t>
            </w:r>
          </w:p>
        </w:tc>
        <w:tc>
          <w:tcPr>
            <w:tcW w:w="2480" w:type="dxa"/>
            <w:gridSpan w:val="3"/>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67BB11C0" w14:textId="77777777" w:rsidR="00370973" w:rsidRPr="00181EF3" w:rsidRDefault="00370973" w:rsidP="00370973">
            <w:pPr>
              <w:pStyle w:val="TableText"/>
              <w:keepNext/>
              <w:jc w:val="center"/>
              <w:rPr>
                <w:b/>
              </w:rPr>
            </w:pPr>
            <w:r w:rsidRPr="00181EF3">
              <w:rPr>
                <w:b/>
              </w:rPr>
              <w:t>Māori</w:t>
            </w:r>
          </w:p>
        </w:tc>
        <w:tc>
          <w:tcPr>
            <w:tcW w:w="2481" w:type="dxa"/>
            <w:gridSpan w:val="3"/>
            <w:tcBorders>
              <w:left w:val="single" w:sz="4" w:space="0" w:color="A6A6A6" w:themeColor="background1" w:themeShade="A6"/>
            </w:tcBorders>
            <w:shd w:val="clear" w:color="auto" w:fill="D9D9D9" w:themeFill="background1" w:themeFillShade="D9"/>
          </w:tcPr>
          <w:p w14:paraId="0EA4ED69" w14:textId="2156BCF4" w:rsidR="00370973" w:rsidRPr="00181EF3" w:rsidRDefault="00EC03A3" w:rsidP="00370973">
            <w:pPr>
              <w:pStyle w:val="TableText"/>
              <w:keepNext/>
              <w:jc w:val="center"/>
              <w:rPr>
                <w:b/>
              </w:rPr>
            </w:pPr>
            <w:r>
              <w:rPr>
                <w:b/>
              </w:rPr>
              <w:t>Non</w:t>
            </w:r>
            <w:r>
              <w:rPr>
                <w:b/>
              </w:rPr>
              <w:noBreakHyphen/>
              <w:t>M</w:t>
            </w:r>
            <w:r w:rsidR="00370973" w:rsidRPr="00181EF3">
              <w:rPr>
                <w:b/>
              </w:rPr>
              <w:t>āori</w:t>
            </w:r>
          </w:p>
        </w:tc>
      </w:tr>
      <w:tr w:rsidR="00370973" w:rsidRPr="00181EF3" w14:paraId="62DCBAA2" w14:textId="77777777" w:rsidTr="00370973">
        <w:trPr>
          <w:cantSplit/>
        </w:trPr>
        <w:tc>
          <w:tcPr>
            <w:tcW w:w="3119" w:type="dxa"/>
            <w:vMerge/>
            <w:tcBorders>
              <w:right w:val="single" w:sz="4" w:space="0" w:color="A6A6A6" w:themeColor="background1" w:themeShade="A6"/>
            </w:tcBorders>
            <w:shd w:val="clear" w:color="auto" w:fill="D9D9D9" w:themeFill="background1" w:themeFillShade="D9"/>
          </w:tcPr>
          <w:p w14:paraId="4466D68B" w14:textId="77777777" w:rsidR="00370973" w:rsidRPr="00181EF3" w:rsidRDefault="00370973" w:rsidP="00370973">
            <w:pPr>
              <w:pStyle w:val="TableText"/>
              <w:keepNext/>
              <w:rPr>
                <w:b/>
              </w:rPr>
            </w:pPr>
          </w:p>
        </w:tc>
        <w:tc>
          <w:tcPr>
            <w:tcW w:w="826" w:type="dxa"/>
            <w:tcBorders>
              <w:left w:val="single" w:sz="4" w:space="0" w:color="A6A6A6" w:themeColor="background1" w:themeShade="A6"/>
            </w:tcBorders>
            <w:shd w:val="clear" w:color="auto" w:fill="D9D9D9" w:themeFill="background1" w:themeFillShade="D9"/>
          </w:tcPr>
          <w:p w14:paraId="38416B5D" w14:textId="77777777" w:rsidR="00370973" w:rsidRPr="00181EF3" w:rsidRDefault="00370973" w:rsidP="00370973">
            <w:pPr>
              <w:pStyle w:val="TableText"/>
              <w:keepNext/>
              <w:spacing w:before="0"/>
              <w:jc w:val="center"/>
              <w:rPr>
                <w:b/>
              </w:rPr>
            </w:pPr>
            <w:r w:rsidRPr="00181EF3">
              <w:rPr>
                <w:b/>
              </w:rPr>
              <w:t>Males</w:t>
            </w:r>
          </w:p>
        </w:tc>
        <w:tc>
          <w:tcPr>
            <w:tcW w:w="827" w:type="dxa"/>
            <w:shd w:val="clear" w:color="auto" w:fill="D9D9D9" w:themeFill="background1" w:themeFillShade="D9"/>
          </w:tcPr>
          <w:p w14:paraId="40C09298" w14:textId="77777777" w:rsidR="00370973" w:rsidRPr="00181EF3" w:rsidRDefault="00370973" w:rsidP="00370973">
            <w:pPr>
              <w:pStyle w:val="TableText"/>
              <w:keepNext/>
              <w:spacing w:before="0"/>
              <w:jc w:val="center"/>
              <w:rPr>
                <w:b/>
              </w:rPr>
            </w:pPr>
            <w:r w:rsidRPr="00181EF3">
              <w:rPr>
                <w:b/>
              </w:rPr>
              <w:t>Females</w:t>
            </w:r>
          </w:p>
        </w:tc>
        <w:tc>
          <w:tcPr>
            <w:tcW w:w="827" w:type="dxa"/>
            <w:tcBorders>
              <w:right w:val="single" w:sz="4" w:space="0" w:color="A6A6A6" w:themeColor="background1" w:themeShade="A6"/>
            </w:tcBorders>
            <w:shd w:val="clear" w:color="auto" w:fill="D9D9D9" w:themeFill="background1" w:themeFillShade="D9"/>
          </w:tcPr>
          <w:p w14:paraId="36C4B9D2" w14:textId="77777777" w:rsidR="00370973" w:rsidRPr="00181EF3" w:rsidRDefault="00370973" w:rsidP="00370973">
            <w:pPr>
              <w:pStyle w:val="TableText"/>
              <w:keepNext/>
              <w:spacing w:before="0"/>
              <w:jc w:val="center"/>
              <w:rPr>
                <w:b/>
              </w:rPr>
            </w:pPr>
            <w:r w:rsidRPr="00181EF3">
              <w:rPr>
                <w:b/>
              </w:rPr>
              <w:t>Total</w:t>
            </w:r>
          </w:p>
        </w:tc>
        <w:tc>
          <w:tcPr>
            <w:tcW w:w="827" w:type="dxa"/>
            <w:tcBorders>
              <w:left w:val="single" w:sz="4" w:space="0" w:color="A6A6A6" w:themeColor="background1" w:themeShade="A6"/>
            </w:tcBorders>
            <w:shd w:val="clear" w:color="auto" w:fill="D9D9D9" w:themeFill="background1" w:themeFillShade="D9"/>
          </w:tcPr>
          <w:p w14:paraId="341976A5" w14:textId="77777777" w:rsidR="00370973" w:rsidRPr="00181EF3" w:rsidRDefault="00370973" w:rsidP="00370973">
            <w:pPr>
              <w:pStyle w:val="TableText"/>
              <w:keepNext/>
              <w:spacing w:before="0"/>
              <w:jc w:val="center"/>
              <w:rPr>
                <w:b/>
              </w:rPr>
            </w:pPr>
            <w:r w:rsidRPr="00181EF3">
              <w:rPr>
                <w:b/>
              </w:rPr>
              <w:t>Males</w:t>
            </w:r>
          </w:p>
        </w:tc>
        <w:tc>
          <w:tcPr>
            <w:tcW w:w="827" w:type="dxa"/>
            <w:shd w:val="clear" w:color="auto" w:fill="D9D9D9" w:themeFill="background1" w:themeFillShade="D9"/>
          </w:tcPr>
          <w:p w14:paraId="4FE96B1C" w14:textId="77777777" w:rsidR="00370973" w:rsidRPr="00181EF3" w:rsidRDefault="00370973" w:rsidP="00370973">
            <w:pPr>
              <w:pStyle w:val="TableText"/>
              <w:keepNext/>
              <w:spacing w:before="0"/>
              <w:jc w:val="center"/>
              <w:rPr>
                <w:b/>
              </w:rPr>
            </w:pPr>
            <w:r w:rsidRPr="00181EF3">
              <w:rPr>
                <w:b/>
              </w:rPr>
              <w:t>Females</w:t>
            </w:r>
          </w:p>
        </w:tc>
        <w:tc>
          <w:tcPr>
            <w:tcW w:w="827" w:type="dxa"/>
            <w:shd w:val="clear" w:color="auto" w:fill="D9D9D9" w:themeFill="background1" w:themeFillShade="D9"/>
          </w:tcPr>
          <w:p w14:paraId="48BF02D6" w14:textId="77777777" w:rsidR="00370973" w:rsidRPr="00181EF3" w:rsidRDefault="00370973" w:rsidP="00370973">
            <w:pPr>
              <w:pStyle w:val="TableText"/>
              <w:keepNext/>
              <w:spacing w:before="0"/>
              <w:jc w:val="center"/>
              <w:rPr>
                <w:b/>
              </w:rPr>
            </w:pPr>
            <w:r w:rsidRPr="00181EF3">
              <w:rPr>
                <w:b/>
              </w:rPr>
              <w:t>Total</w:t>
            </w:r>
          </w:p>
        </w:tc>
      </w:tr>
      <w:tr w:rsidR="00370973" w:rsidRPr="00181EF3" w14:paraId="2049DC66" w14:textId="77777777" w:rsidTr="00370973">
        <w:trPr>
          <w:cantSplit/>
        </w:trPr>
        <w:tc>
          <w:tcPr>
            <w:tcW w:w="3119" w:type="dxa"/>
            <w:tcBorders>
              <w:bottom w:val="single" w:sz="4" w:space="0" w:color="A6A6A6" w:themeColor="background1" w:themeShade="A6"/>
              <w:right w:val="single" w:sz="4" w:space="0" w:color="A6A6A6" w:themeColor="background1" w:themeShade="A6"/>
            </w:tcBorders>
          </w:tcPr>
          <w:p w14:paraId="48F0D276" w14:textId="337E7D65" w:rsidR="00370973" w:rsidRPr="00181EF3" w:rsidRDefault="00370973" w:rsidP="00370973">
            <w:pPr>
              <w:pStyle w:val="TableText"/>
              <w:keepNext/>
            </w:pPr>
            <w:r w:rsidRPr="00181EF3">
              <w:t xml:space="preserve">School completion (Level 2 </w:t>
            </w:r>
            <w:r w:rsidR="00446D86">
              <w:t xml:space="preserve">Certificate </w:t>
            </w:r>
            <w:r w:rsidRPr="00181EF3">
              <w:t>or higher), 15+ years</w:t>
            </w:r>
          </w:p>
        </w:tc>
        <w:tc>
          <w:tcPr>
            <w:tcW w:w="826" w:type="dxa"/>
            <w:tcBorders>
              <w:left w:val="single" w:sz="4" w:space="0" w:color="A6A6A6" w:themeColor="background1" w:themeShade="A6"/>
              <w:bottom w:val="single" w:sz="4" w:space="0" w:color="A6A6A6" w:themeColor="background1" w:themeShade="A6"/>
            </w:tcBorders>
          </w:tcPr>
          <w:p w14:paraId="59C6CB23" w14:textId="77777777" w:rsidR="00370973" w:rsidRPr="00181EF3" w:rsidRDefault="00370973" w:rsidP="00370973">
            <w:pPr>
              <w:pStyle w:val="TableText"/>
              <w:keepNext/>
              <w:tabs>
                <w:tab w:val="decimal" w:pos="397"/>
              </w:tabs>
            </w:pPr>
            <w:r w:rsidRPr="00181EF3">
              <w:t>42.1</w:t>
            </w:r>
          </w:p>
        </w:tc>
        <w:tc>
          <w:tcPr>
            <w:tcW w:w="827" w:type="dxa"/>
            <w:tcBorders>
              <w:bottom w:val="single" w:sz="4" w:space="0" w:color="A6A6A6" w:themeColor="background1" w:themeShade="A6"/>
            </w:tcBorders>
          </w:tcPr>
          <w:p w14:paraId="3A6BE87D" w14:textId="77777777" w:rsidR="00370973" w:rsidRPr="00181EF3" w:rsidRDefault="00370973" w:rsidP="00370973">
            <w:pPr>
              <w:pStyle w:val="TableText"/>
              <w:keepNext/>
              <w:tabs>
                <w:tab w:val="decimal" w:pos="397"/>
              </w:tabs>
            </w:pPr>
            <w:r w:rsidRPr="00181EF3">
              <w:t>47.8</w:t>
            </w:r>
          </w:p>
        </w:tc>
        <w:tc>
          <w:tcPr>
            <w:tcW w:w="827" w:type="dxa"/>
            <w:tcBorders>
              <w:bottom w:val="single" w:sz="4" w:space="0" w:color="A6A6A6" w:themeColor="background1" w:themeShade="A6"/>
              <w:right w:val="single" w:sz="4" w:space="0" w:color="A6A6A6" w:themeColor="background1" w:themeShade="A6"/>
            </w:tcBorders>
          </w:tcPr>
          <w:p w14:paraId="58C2D707" w14:textId="77777777" w:rsidR="00370973" w:rsidRPr="00181EF3" w:rsidRDefault="00370973" w:rsidP="00370973">
            <w:pPr>
              <w:pStyle w:val="TableText"/>
              <w:keepNext/>
              <w:tabs>
                <w:tab w:val="decimal" w:pos="397"/>
              </w:tabs>
            </w:pPr>
            <w:r w:rsidRPr="00181EF3">
              <w:t>45.1</w:t>
            </w:r>
          </w:p>
        </w:tc>
        <w:tc>
          <w:tcPr>
            <w:tcW w:w="827" w:type="dxa"/>
            <w:tcBorders>
              <w:left w:val="single" w:sz="4" w:space="0" w:color="A6A6A6" w:themeColor="background1" w:themeShade="A6"/>
              <w:bottom w:val="single" w:sz="4" w:space="0" w:color="A6A6A6" w:themeColor="background1" w:themeShade="A6"/>
            </w:tcBorders>
          </w:tcPr>
          <w:p w14:paraId="45C01CA8" w14:textId="77777777" w:rsidR="00370973" w:rsidRPr="00181EF3" w:rsidRDefault="00370973" w:rsidP="00370973">
            <w:pPr>
              <w:pStyle w:val="TableText"/>
              <w:keepNext/>
              <w:tabs>
                <w:tab w:val="decimal" w:pos="397"/>
              </w:tabs>
            </w:pPr>
            <w:r w:rsidRPr="00181EF3">
              <w:t>65.2</w:t>
            </w:r>
          </w:p>
        </w:tc>
        <w:tc>
          <w:tcPr>
            <w:tcW w:w="827" w:type="dxa"/>
            <w:tcBorders>
              <w:bottom w:val="single" w:sz="4" w:space="0" w:color="A6A6A6" w:themeColor="background1" w:themeShade="A6"/>
            </w:tcBorders>
          </w:tcPr>
          <w:p w14:paraId="76182F32" w14:textId="77777777" w:rsidR="00370973" w:rsidRPr="00181EF3" w:rsidRDefault="00370973" w:rsidP="00370973">
            <w:pPr>
              <w:pStyle w:val="TableText"/>
              <w:keepNext/>
              <w:tabs>
                <w:tab w:val="decimal" w:pos="397"/>
              </w:tabs>
            </w:pPr>
            <w:r w:rsidRPr="00181EF3">
              <w:t>63.4</w:t>
            </w:r>
          </w:p>
        </w:tc>
        <w:tc>
          <w:tcPr>
            <w:tcW w:w="827" w:type="dxa"/>
            <w:tcBorders>
              <w:bottom w:val="single" w:sz="4" w:space="0" w:color="A6A6A6" w:themeColor="background1" w:themeShade="A6"/>
            </w:tcBorders>
          </w:tcPr>
          <w:p w14:paraId="18D78D06" w14:textId="77777777" w:rsidR="00370973" w:rsidRPr="00181EF3" w:rsidRDefault="00370973" w:rsidP="00370973">
            <w:pPr>
              <w:pStyle w:val="TableText"/>
              <w:keepNext/>
              <w:tabs>
                <w:tab w:val="decimal" w:pos="397"/>
              </w:tabs>
            </w:pPr>
            <w:r w:rsidRPr="00181EF3">
              <w:t>64.3</w:t>
            </w:r>
          </w:p>
        </w:tc>
      </w:tr>
      <w:tr w:rsidR="00370973" w:rsidRPr="00181EF3" w14:paraId="79CAB1CC" w14:textId="77777777" w:rsidTr="00370973">
        <w:trPr>
          <w:cantSplit/>
        </w:trPr>
        <w:tc>
          <w:tcPr>
            <w:tcW w:w="3119"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C98F7E4" w14:textId="77777777" w:rsidR="00370973" w:rsidRPr="00181EF3" w:rsidRDefault="00370973" w:rsidP="00370973">
            <w:pPr>
              <w:pStyle w:val="TableText"/>
              <w:keepNext/>
            </w:pPr>
            <w:r w:rsidRPr="00181EF3">
              <w:t>Unemployed, 15+ years</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36AC091" w14:textId="77777777" w:rsidR="00370973" w:rsidRPr="00181EF3" w:rsidRDefault="00370973" w:rsidP="00370973">
            <w:pPr>
              <w:pStyle w:val="TableText"/>
              <w:keepNext/>
              <w:tabs>
                <w:tab w:val="decimal" w:pos="397"/>
              </w:tabs>
            </w:pPr>
            <w:r w:rsidRPr="00181EF3">
              <w:t>9.8</w:t>
            </w:r>
          </w:p>
        </w:tc>
        <w:tc>
          <w:tcPr>
            <w:tcW w:w="827" w:type="dxa"/>
            <w:tcBorders>
              <w:top w:val="single" w:sz="4" w:space="0" w:color="A6A6A6" w:themeColor="background1" w:themeShade="A6"/>
              <w:bottom w:val="single" w:sz="4" w:space="0" w:color="A6A6A6" w:themeColor="background1" w:themeShade="A6"/>
            </w:tcBorders>
          </w:tcPr>
          <w:p w14:paraId="516A533E" w14:textId="77777777" w:rsidR="00370973" w:rsidRPr="00181EF3" w:rsidRDefault="00370973" w:rsidP="00370973">
            <w:pPr>
              <w:pStyle w:val="TableText"/>
              <w:keepNext/>
              <w:tabs>
                <w:tab w:val="decimal" w:pos="397"/>
              </w:tabs>
            </w:pPr>
            <w:r w:rsidRPr="00181EF3">
              <w:t>10.9</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7083FD2" w14:textId="77777777" w:rsidR="00370973" w:rsidRPr="00181EF3" w:rsidRDefault="00370973" w:rsidP="00370973">
            <w:pPr>
              <w:pStyle w:val="TableText"/>
              <w:keepNext/>
              <w:tabs>
                <w:tab w:val="decimal" w:pos="397"/>
              </w:tabs>
            </w:pPr>
            <w:r w:rsidRPr="00181EF3">
              <w:t>10.4</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2855460" w14:textId="77777777" w:rsidR="00370973" w:rsidRPr="00181EF3" w:rsidRDefault="00370973" w:rsidP="00370973">
            <w:pPr>
              <w:pStyle w:val="TableText"/>
              <w:keepNext/>
              <w:tabs>
                <w:tab w:val="decimal" w:pos="397"/>
              </w:tabs>
            </w:pPr>
            <w:r w:rsidRPr="00181EF3">
              <w:t>3.9</w:t>
            </w:r>
          </w:p>
        </w:tc>
        <w:tc>
          <w:tcPr>
            <w:tcW w:w="827" w:type="dxa"/>
            <w:tcBorders>
              <w:top w:val="single" w:sz="4" w:space="0" w:color="A6A6A6" w:themeColor="background1" w:themeShade="A6"/>
              <w:bottom w:val="single" w:sz="4" w:space="0" w:color="A6A6A6" w:themeColor="background1" w:themeShade="A6"/>
            </w:tcBorders>
          </w:tcPr>
          <w:p w14:paraId="2002AEBC" w14:textId="77777777" w:rsidR="00370973" w:rsidRPr="00181EF3" w:rsidRDefault="00370973" w:rsidP="00370973">
            <w:pPr>
              <w:pStyle w:val="TableText"/>
              <w:keepNext/>
              <w:tabs>
                <w:tab w:val="decimal" w:pos="397"/>
              </w:tabs>
            </w:pPr>
            <w:r w:rsidRPr="00181EF3">
              <w:t>4.1</w:t>
            </w:r>
          </w:p>
        </w:tc>
        <w:tc>
          <w:tcPr>
            <w:tcW w:w="827" w:type="dxa"/>
            <w:tcBorders>
              <w:top w:val="single" w:sz="4" w:space="0" w:color="A6A6A6" w:themeColor="background1" w:themeShade="A6"/>
              <w:bottom w:val="single" w:sz="4" w:space="0" w:color="A6A6A6" w:themeColor="background1" w:themeShade="A6"/>
            </w:tcBorders>
          </w:tcPr>
          <w:p w14:paraId="21F61D31" w14:textId="77777777" w:rsidR="00370973" w:rsidRPr="00181EF3" w:rsidRDefault="00370973" w:rsidP="00370973">
            <w:pPr>
              <w:pStyle w:val="TableText"/>
              <w:keepNext/>
              <w:tabs>
                <w:tab w:val="decimal" w:pos="397"/>
              </w:tabs>
            </w:pPr>
            <w:r w:rsidRPr="00181EF3">
              <w:t>4.0</w:t>
            </w:r>
          </w:p>
        </w:tc>
      </w:tr>
      <w:tr w:rsidR="00370973" w:rsidRPr="00181EF3" w14:paraId="609CDC53" w14:textId="77777777" w:rsidTr="00370973">
        <w:trPr>
          <w:cantSplit/>
        </w:trPr>
        <w:tc>
          <w:tcPr>
            <w:tcW w:w="3119"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013C682" w14:textId="77777777" w:rsidR="00370973" w:rsidRPr="00181EF3" w:rsidRDefault="00370973" w:rsidP="00370973">
            <w:pPr>
              <w:pStyle w:val="TableText"/>
              <w:keepNext/>
            </w:pPr>
            <w:r w:rsidRPr="00181EF3">
              <w:t>Total personal income less than $10,000, 15+ years</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1B35C8B" w14:textId="77777777" w:rsidR="00370973" w:rsidRPr="00181EF3" w:rsidRDefault="00370973" w:rsidP="00370973">
            <w:pPr>
              <w:pStyle w:val="TableText"/>
              <w:keepNext/>
              <w:tabs>
                <w:tab w:val="decimal" w:pos="397"/>
              </w:tabs>
            </w:pPr>
            <w:r w:rsidRPr="00181EF3">
              <w:t>23.0</w:t>
            </w:r>
          </w:p>
        </w:tc>
        <w:tc>
          <w:tcPr>
            <w:tcW w:w="827" w:type="dxa"/>
            <w:tcBorders>
              <w:top w:val="single" w:sz="4" w:space="0" w:color="A6A6A6" w:themeColor="background1" w:themeShade="A6"/>
              <w:bottom w:val="single" w:sz="4" w:space="0" w:color="A6A6A6" w:themeColor="background1" w:themeShade="A6"/>
            </w:tcBorders>
          </w:tcPr>
          <w:p w14:paraId="18F208F4" w14:textId="77777777" w:rsidR="00370973" w:rsidRPr="00181EF3" w:rsidRDefault="00370973" w:rsidP="00370973">
            <w:pPr>
              <w:pStyle w:val="TableText"/>
              <w:keepNext/>
              <w:tabs>
                <w:tab w:val="decimal" w:pos="397"/>
              </w:tabs>
            </w:pPr>
            <w:r w:rsidRPr="00181EF3">
              <w:t>25.0</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84E44EC" w14:textId="77777777" w:rsidR="00370973" w:rsidRPr="00181EF3" w:rsidRDefault="00370973" w:rsidP="00370973">
            <w:pPr>
              <w:pStyle w:val="TableText"/>
              <w:keepNext/>
              <w:tabs>
                <w:tab w:val="decimal" w:pos="397"/>
              </w:tabs>
            </w:pPr>
            <w:r w:rsidRPr="00181EF3">
              <w:t>24.1</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DB6C1C4" w14:textId="77777777" w:rsidR="00370973" w:rsidRPr="00181EF3" w:rsidRDefault="00370973" w:rsidP="00370973">
            <w:pPr>
              <w:pStyle w:val="TableText"/>
              <w:keepNext/>
              <w:tabs>
                <w:tab w:val="decimal" w:pos="397"/>
              </w:tabs>
            </w:pPr>
            <w:r w:rsidRPr="00181EF3">
              <w:t>14.8</w:t>
            </w:r>
          </w:p>
        </w:tc>
        <w:tc>
          <w:tcPr>
            <w:tcW w:w="827" w:type="dxa"/>
            <w:tcBorders>
              <w:top w:val="single" w:sz="4" w:space="0" w:color="A6A6A6" w:themeColor="background1" w:themeShade="A6"/>
              <w:bottom w:val="single" w:sz="4" w:space="0" w:color="A6A6A6" w:themeColor="background1" w:themeShade="A6"/>
            </w:tcBorders>
          </w:tcPr>
          <w:p w14:paraId="3734403D" w14:textId="77777777" w:rsidR="00370973" w:rsidRPr="00181EF3" w:rsidRDefault="00370973" w:rsidP="00370973">
            <w:pPr>
              <w:pStyle w:val="TableText"/>
              <w:keepNext/>
              <w:tabs>
                <w:tab w:val="decimal" w:pos="397"/>
              </w:tabs>
            </w:pPr>
            <w:r w:rsidRPr="00181EF3">
              <w:t>21.7</w:t>
            </w:r>
          </w:p>
        </w:tc>
        <w:tc>
          <w:tcPr>
            <w:tcW w:w="827" w:type="dxa"/>
            <w:tcBorders>
              <w:top w:val="single" w:sz="4" w:space="0" w:color="A6A6A6" w:themeColor="background1" w:themeShade="A6"/>
              <w:bottom w:val="single" w:sz="4" w:space="0" w:color="A6A6A6" w:themeColor="background1" w:themeShade="A6"/>
            </w:tcBorders>
          </w:tcPr>
          <w:p w14:paraId="6A913B4D" w14:textId="77777777" w:rsidR="00370973" w:rsidRPr="00181EF3" w:rsidRDefault="00370973" w:rsidP="00370973">
            <w:pPr>
              <w:pStyle w:val="TableText"/>
              <w:keepNext/>
              <w:tabs>
                <w:tab w:val="decimal" w:pos="397"/>
              </w:tabs>
            </w:pPr>
            <w:r w:rsidRPr="00181EF3">
              <w:t>18.4</w:t>
            </w:r>
          </w:p>
        </w:tc>
      </w:tr>
      <w:tr w:rsidR="00370973" w:rsidRPr="00181EF3" w14:paraId="12F0D990" w14:textId="77777777" w:rsidTr="00370973">
        <w:trPr>
          <w:cantSplit/>
        </w:trPr>
        <w:tc>
          <w:tcPr>
            <w:tcW w:w="3119"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CBD56CE" w14:textId="77777777" w:rsidR="00370973" w:rsidRPr="00181EF3" w:rsidRDefault="00370973" w:rsidP="00370973">
            <w:pPr>
              <w:pStyle w:val="TableText"/>
              <w:keepNext/>
            </w:pPr>
            <w:r w:rsidRPr="00181EF3">
              <w:t>Receiving income support, 15+ years</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6B82A4E" w14:textId="77777777" w:rsidR="00370973" w:rsidRPr="00181EF3" w:rsidRDefault="00370973" w:rsidP="00370973">
            <w:pPr>
              <w:pStyle w:val="TableText"/>
              <w:keepNext/>
              <w:tabs>
                <w:tab w:val="decimal" w:pos="397"/>
              </w:tabs>
            </w:pPr>
            <w:r w:rsidRPr="00181EF3">
              <w:t>23.1</w:t>
            </w:r>
          </w:p>
        </w:tc>
        <w:tc>
          <w:tcPr>
            <w:tcW w:w="827" w:type="dxa"/>
            <w:tcBorders>
              <w:top w:val="single" w:sz="4" w:space="0" w:color="A6A6A6" w:themeColor="background1" w:themeShade="A6"/>
              <w:bottom w:val="single" w:sz="4" w:space="0" w:color="A6A6A6" w:themeColor="background1" w:themeShade="A6"/>
            </w:tcBorders>
          </w:tcPr>
          <w:p w14:paraId="623BA36A" w14:textId="77777777" w:rsidR="00370973" w:rsidRPr="00181EF3" w:rsidRDefault="00370973" w:rsidP="00370973">
            <w:pPr>
              <w:pStyle w:val="TableText"/>
              <w:keepNext/>
              <w:tabs>
                <w:tab w:val="decimal" w:pos="397"/>
              </w:tabs>
            </w:pPr>
            <w:r w:rsidRPr="00181EF3">
              <w:t>36.7</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4F8F260" w14:textId="77777777" w:rsidR="00370973" w:rsidRPr="00181EF3" w:rsidRDefault="00370973" w:rsidP="00370973">
            <w:pPr>
              <w:pStyle w:val="TableText"/>
              <w:keepNext/>
              <w:tabs>
                <w:tab w:val="decimal" w:pos="397"/>
              </w:tabs>
            </w:pPr>
            <w:r w:rsidRPr="00181EF3">
              <w:t>30.4</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D7710AF" w14:textId="77777777" w:rsidR="00370973" w:rsidRPr="00181EF3" w:rsidRDefault="00370973" w:rsidP="00370973">
            <w:pPr>
              <w:pStyle w:val="TableText"/>
              <w:keepNext/>
              <w:tabs>
                <w:tab w:val="decimal" w:pos="397"/>
              </w:tabs>
            </w:pPr>
            <w:r w:rsidRPr="00181EF3">
              <w:t>10.9</w:t>
            </w:r>
          </w:p>
        </w:tc>
        <w:tc>
          <w:tcPr>
            <w:tcW w:w="827" w:type="dxa"/>
            <w:tcBorders>
              <w:top w:val="single" w:sz="4" w:space="0" w:color="A6A6A6" w:themeColor="background1" w:themeShade="A6"/>
              <w:bottom w:val="single" w:sz="4" w:space="0" w:color="A6A6A6" w:themeColor="background1" w:themeShade="A6"/>
            </w:tcBorders>
          </w:tcPr>
          <w:p w14:paraId="5BC7F22C" w14:textId="77777777" w:rsidR="00370973" w:rsidRPr="00181EF3" w:rsidRDefault="00370973" w:rsidP="00370973">
            <w:pPr>
              <w:pStyle w:val="TableText"/>
              <w:keepNext/>
              <w:tabs>
                <w:tab w:val="decimal" w:pos="397"/>
              </w:tabs>
            </w:pPr>
            <w:r w:rsidRPr="00181EF3">
              <w:t>16.4</w:t>
            </w:r>
          </w:p>
        </w:tc>
        <w:tc>
          <w:tcPr>
            <w:tcW w:w="827" w:type="dxa"/>
            <w:tcBorders>
              <w:top w:val="single" w:sz="4" w:space="0" w:color="A6A6A6" w:themeColor="background1" w:themeShade="A6"/>
              <w:bottom w:val="single" w:sz="4" w:space="0" w:color="A6A6A6" w:themeColor="background1" w:themeShade="A6"/>
            </w:tcBorders>
          </w:tcPr>
          <w:p w14:paraId="20A271B4" w14:textId="77777777" w:rsidR="00370973" w:rsidRPr="00181EF3" w:rsidRDefault="00370973" w:rsidP="00370973">
            <w:pPr>
              <w:pStyle w:val="TableText"/>
              <w:keepNext/>
              <w:tabs>
                <w:tab w:val="decimal" w:pos="397"/>
              </w:tabs>
            </w:pPr>
            <w:r w:rsidRPr="00181EF3">
              <w:t>13.8</w:t>
            </w:r>
          </w:p>
        </w:tc>
      </w:tr>
      <w:tr w:rsidR="00370973" w:rsidRPr="00181EF3" w14:paraId="35F0C487" w14:textId="77777777" w:rsidTr="00370973">
        <w:trPr>
          <w:cantSplit/>
        </w:trPr>
        <w:tc>
          <w:tcPr>
            <w:tcW w:w="3119"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CD7349E" w14:textId="77777777" w:rsidR="00370973" w:rsidRPr="00181EF3" w:rsidRDefault="00370973" w:rsidP="00370973">
            <w:pPr>
              <w:pStyle w:val="TableText"/>
              <w:keepNext/>
            </w:pPr>
            <w:r w:rsidRPr="00181EF3">
              <w:t>Living in household without any telecommunications,</w:t>
            </w:r>
            <w:r w:rsidRPr="00181EF3">
              <w:rPr>
                <w:vertAlign w:val="superscript"/>
              </w:rPr>
              <w:t>1</w:t>
            </w:r>
            <w:r w:rsidRPr="00181EF3">
              <w:t xml:space="preserve"> all age groups</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70A59EE" w14:textId="77777777" w:rsidR="00370973" w:rsidRPr="00181EF3" w:rsidRDefault="00370973" w:rsidP="00370973">
            <w:pPr>
              <w:pStyle w:val="TableText"/>
              <w:keepNext/>
              <w:tabs>
                <w:tab w:val="decimal" w:pos="397"/>
              </w:tabs>
            </w:pPr>
            <w:r w:rsidRPr="00181EF3">
              <w:t>3.1</w:t>
            </w:r>
          </w:p>
        </w:tc>
        <w:tc>
          <w:tcPr>
            <w:tcW w:w="827" w:type="dxa"/>
            <w:tcBorders>
              <w:top w:val="single" w:sz="4" w:space="0" w:color="A6A6A6" w:themeColor="background1" w:themeShade="A6"/>
              <w:bottom w:val="single" w:sz="4" w:space="0" w:color="A6A6A6" w:themeColor="background1" w:themeShade="A6"/>
            </w:tcBorders>
          </w:tcPr>
          <w:p w14:paraId="5328D2B5" w14:textId="77777777" w:rsidR="00370973" w:rsidRPr="00181EF3" w:rsidRDefault="00370973" w:rsidP="00370973">
            <w:pPr>
              <w:pStyle w:val="TableText"/>
              <w:keepNext/>
              <w:tabs>
                <w:tab w:val="decimal" w:pos="397"/>
              </w:tabs>
            </w:pPr>
            <w:r w:rsidRPr="00181EF3">
              <w:t>2.9</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0283C06" w14:textId="77777777" w:rsidR="00370973" w:rsidRPr="00181EF3" w:rsidRDefault="00370973" w:rsidP="00370973">
            <w:pPr>
              <w:pStyle w:val="TableText"/>
              <w:keepNext/>
              <w:tabs>
                <w:tab w:val="decimal" w:pos="397"/>
              </w:tabs>
            </w:pPr>
            <w:r w:rsidRPr="00181EF3">
              <w:t>3.0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2939CF5" w14:textId="77777777" w:rsidR="00370973" w:rsidRPr="00181EF3" w:rsidRDefault="00370973" w:rsidP="00370973">
            <w:pPr>
              <w:pStyle w:val="TableText"/>
              <w:keepNext/>
              <w:tabs>
                <w:tab w:val="decimal" w:pos="397"/>
              </w:tabs>
            </w:pPr>
            <w:r w:rsidRPr="00181EF3">
              <w:t>1.0</w:t>
            </w:r>
          </w:p>
        </w:tc>
        <w:tc>
          <w:tcPr>
            <w:tcW w:w="827" w:type="dxa"/>
            <w:tcBorders>
              <w:top w:val="single" w:sz="4" w:space="0" w:color="A6A6A6" w:themeColor="background1" w:themeShade="A6"/>
              <w:bottom w:val="single" w:sz="4" w:space="0" w:color="A6A6A6" w:themeColor="background1" w:themeShade="A6"/>
            </w:tcBorders>
          </w:tcPr>
          <w:p w14:paraId="73F91042" w14:textId="77777777" w:rsidR="00370973" w:rsidRPr="00181EF3" w:rsidRDefault="00370973" w:rsidP="00370973">
            <w:pPr>
              <w:pStyle w:val="TableText"/>
              <w:keepNext/>
              <w:tabs>
                <w:tab w:val="decimal" w:pos="397"/>
              </w:tabs>
            </w:pPr>
            <w:r w:rsidRPr="00181EF3">
              <w:t>0.8</w:t>
            </w:r>
          </w:p>
        </w:tc>
        <w:tc>
          <w:tcPr>
            <w:tcW w:w="827" w:type="dxa"/>
            <w:tcBorders>
              <w:top w:val="single" w:sz="4" w:space="0" w:color="A6A6A6" w:themeColor="background1" w:themeShade="A6"/>
              <w:bottom w:val="single" w:sz="4" w:space="0" w:color="A6A6A6" w:themeColor="background1" w:themeShade="A6"/>
            </w:tcBorders>
          </w:tcPr>
          <w:p w14:paraId="34F1A918" w14:textId="77777777" w:rsidR="00370973" w:rsidRPr="00181EF3" w:rsidRDefault="00370973" w:rsidP="00370973">
            <w:pPr>
              <w:pStyle w:val="TableText"/>
              <w:keepNext/>
              <w:tabs>
                <w:tab w:val="decimal" w:pos="397"/>
              </w:tabs>
            </w:pPr>
            <w:r w:rsidRPr="00181EF3">
              <w:t>0.9</w:t>
            </w:r>
          </w:p>
        </w:tc>
      </w:tr>
      <w:tr w:rsidR="00370973" w:rsidRPr="00181EF3" w14:paraId="6E543FB0" w14:textId="77777777" w:rsidTr="00370973">
        <w:trPr>
          <w:cantSplit/>
        </w:trPr>
        <w:tc>
          <w:tcPr>
            <w:tcW w:w="3119"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0B03B78" w14:textId="77777777" w:rsidR="00370973" w:rsidRPr="00181EF3" w:rsidRDefault="00370973" w:rsidP="00370973">
            <w:pPr>
              <w:pStyle w:val="TableText"/>
              <w:keepNext/>
            </w:pPr>
            <w:r w:rsidRPr="00181EF3">
              <w:t>Living in household with internet access, all age groups</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3E64EEC" w14:textId="77777777" w:rsidR="00370973" w:rsidRPr="00181EF3" w:rsidRDefault="00370973" w:rsidP="00370973">
            <w:pPr>
              <w:pStyle w:val="TableText"/>
              <w:keepNext/>
              <w:tabs>
                <w:tab w:val="decimal" w:pos="397"/>
              </w:tabs>
            </w:pPr>
            <w:r w:rsidRPr="00181EF3">
              <w:t>69.4</w:t>
            </w:r>
          </w:p>
        </w:tc>
        <w:tc>
          <w:tcPr>
            <w:tcW w:w="827" w:type="dxa"/>
            <w:tcBorders>
              <w:top w:val="single" w:sz="4" w:space="0" w:color="A6A6A6" w:themeColor="background1" w:themeShade="A6"/>
              <w:bottom w:val="single" w:sz="4" w:space="0" w:color="A6A6A6" w:themeColor="background1" w:themeShade="A6"/>
            </w:tcBorders>
          </w:tcPr>
          <w:p w14:paraId="256E95F8" w14:textId="77777777" w:rsidR="00370973" w:rsidRPr="00181EF3" w:rsidRDefault="00370973" w:rsidP="00370973">
            <w:pPr>
              <w:pStyle w:val="TableText"/>
              <w:keepNext/>
              <w:tabs>
                <w:tab w:val="decimal" w:pos="397"/>
              </w:tabs>
            </w:pPr>
            <w:r w:rsidRPr="00181EF3">
              <w:t>68.6</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E7C0398" w14:textId="77777777" w:rsidR="00370973" w:rsidRPr="00181EF3" w:rsidRDefault="00370973" w:rsidP="00370973">
            <w:pPr>
              <w:pStyle w:val="TableText"/>
              <w:keepNext/>
              <w:tabs>
                <w:tab w:val="decimal" w:pos="397"/>
              </w:tabs>
            </w:pPr>
            <w:r w:rsidRPr="00181EF3">
              <w:t>69.0</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6A2900D" w14:textId="77777777" w:rsidR="00370973" w:rsidRPr="00181EF3" w:rsidRDefault="00370973" w:rsidP="00370973">
            <w:pPr>
              <w:pStyle w:val="TableText"/>
              <w:keepNext/>
              <w:tabs>
                <w:tab w:val="decimal" w:pos="397"/>
              </w:tabs>
            </w:pPr>
            <w:r w:rsidRPr="00181EF3">
              <w:t>84.3</w:t>
            </w:r>
          </w:p>
        </w:tc>
        <w:tc>
          <w:tcPr>
            <w:tcW w:w="827" w:type="dxa"/>
            <w:tcBorders>
              <w:top w:val="single" w:sz="4" w:space="0" w:color="A6A6A6" w:themeColor="background1" w:themeShade="A6"/>
              <w:bottom w:val="single" w:sz="4" w:space="0" w:color="A6A6A6" w:themeColor="background1" w:themeShade="A6"/>
            </w:tcBorders>
          </w:tcPr>
          <w:p w14:paraId="757CEE2E" w14:textId="77777777" w:rsidR="00370973" w:rsidRPr="00181EF3" w:rsidRDefault="00370973" w:rsidP="00370973">
            <w:pPr>
              <w:pStyle w:val="TableText"/>
              <w:keepNext/>
              <w:tabs>
                <w:tab w:val="decimal" w:pos="397"/>
              </w:tabs>
            </w:pPr>
            <w:r w:rsidRPr="00181EF3">
              <w:t>83.2</w:t>
            </w:r>
          </w:p>
        </w:tc>
        <w:tc>
          <w:tcPr>
            <w:tcW w:w="827" w:type="dxa"/>
            <w:tcBorders>
              <w:top w:val="single" w:sz="4" w:space="0" w:color="A6A6A6" w:themeColor="background1" w:themeShade="A6"/>
              <w:bottom w:val="single" w:sz="4" w:space="0" w:color="A6A6A6" w:themeColor="background1" w:themeShade="A6"/>
            </w:tcBorders>
          </w:tcPr>
          <w:p w14:paraId="54CA4209" w14:textId="77777777" w:rsidR="00370973" w:rsidRPr="00181EF3" w:rsidRDefault="00370973" w:rsidP="00370973">
            <w:pPr>
              <w:pStyle w:val="TableText"/>
              <w:keepNext/>
              <w:tabs>
                <w:tab w:val="decimal" w:pos="397"/>
              </w:tabs>
            </w:pPr>
            <w:r w:rsidRPr="00181EF3">
              <w:t>83.8</w:t>
            </w:r>
          </w:p>
        </w:tc>
      </w:tr>
      <w:tr w:rsidR="00370973" w:rsidRPr="00181EF3" w14:paraId="7D3B3167" w14:textId="77777777" w:rsidTr="00370973">
        <w:trPr>
          <w:cantSplit/>
        </w:trPr>
        <w:tc>
          <w:tcPr>
            <w:tcW w:w="3119"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11C3CC6" w14:textId="77777777" w:rsidR="00370973" w:rsidRPr="00181EF3" w:rsidRDefault="00370973" w:rsidP="00370973">
            <w:pPr>
              <w:pStyle w:val="TableText"/>
              <w:keepNext/>
            </w:pPr>
            <w:r w:rsidRPr="00181EF3">
              <w:t>Living in household without motor vehicle access, all age groups</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35438E5" w14:textId="77777777" w:rsidR="00370973" w:rsidRPr="00181EF3" w:rsidRDefault="00370973" w:rsidP="00370973">
            <w:pPr>
              <w:pStyle w:val="TableText"/>
              <w:keepNext/>
              <w:tabs>
                <w:tab w:val="decimal" w:pos="397"/>
              </w:tabs>
            </w:pPr>
            <w:r w:rsidRPr="00181EF3">
              <w:t>8.1</w:t>
            </w:r>
          </w:p>
        </w:tc>
        <w:tc>
          <w:tcPr>
            <w:tcW w:w="827" w:type="dxa"/>
            <w:tcBorders>
              <w:top w:val="single" w:sz="4" w:space="0" w:color="A6A6A6" w:themeColor="background1" w:themeShade="A6"/>
              <w:bottom w:val="single" w:sz="4" w:space="0" w:color="A6A6A6" w:themeColor="background1" w:themeShade="A6"/>
            </w:tcBorders>
          </w:tcPr>
          <w:p w14:paraId="71176F2C" w14:textId="77777777" w:rsidR="00370973" w:rsidRPr="00181EF3" w:rsidRDefault="00370973" w:rsidP="00370973">
            <w:pPr>
              <w:pStyle w:val="TableText"/>
              <w:keepNext/>
              <w:tabs>
                <w:tab w:val="decimal" w:pos="397"/>
              </w:tabs>
            </w:pPr>
            <w:r w:rsidRPr="00181EF3">
              <w:t>9.3</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B10DDDA" w14:textId="77777777" w:rsidR="00370973" w:rsidRPr="00181EF3" w:rsidRDefault="00370973" w:rsidP="00370973">
            <w:pPr>
              <w:pStyle w:val="TableText"/>
              <w:keepNext/>
              <w:tabs>
                <w:tab w:val="decimal" w:pos="397"/>
              </w:tabs>
            </w:pPr>
            <w:r w:rsidRPr="00181EF3">
              <w:t>8.7</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11BB934" w14:textId="77777777" w:rsidR="00370973" w:rsidRPr="00181EF3" w:rsidRDefault="00370973" w:rsidP="00370973">
            <w:pPr>
              <w:pStyle w:val="TableText"/>
              <w:keepNext/>
              <w:tabs>
                <w:tab w:val="decimal" w:pos="397"/>
              </w:tabs>
            </w:pPr>
            <w:r w:rsidRPr="00181EF3">
              <w:t>3.7</w:t>
            </w:r>
          </w:p>
        </w:tc>
        <w:tc>
          <w:tcPr>
            <w:tcW w:w="827" w:type="dxa"/>
            <w:tcBorders>
              <w:top w:val="single" w:sz="4" w:space="0" w:color="A6A6A6" w:themeColor="background1" w:themeShade="A6"/>
              <w:bottom w:val="single" w:sz="4" w:space="0" w:color="A6A6A6" w:themeColor="background1" w:themeShade="A6"/>
            </w:tcBorders>
          </w:tcPr>
          <w:p w14:paraId="5F9CE4E4" w14:textId="77777777" w:rsidR="00370973" w:rsidRPr="00181EF3" w:rsidRDefault="00370973" w:rsidP="00370973">
            <w:pPr>
              <w:pStyle w:val="TableText"/>
              <w:keepNext/>
              <w:tabs>
                <w:tab w:val="decimal" w:pos="397"/>
              </w:tabs>
            </w:pPr>
            <w:r w:rsidRPr="00181EF3">
              <w:t>5.0</w:t>
            </w:r>
          </w:p>
        </w:tc>
        <w:tc>
          <w:tcPr>
            <w:tcW w:w="827" w:type="dxa"/>
            <w:tcBorders>
              <w:top w:val="single" w:sz="4" w:space="0" w:color="A6A6A6" w:themeColor="background1" w:themeShade="A6"/>
              <w:bottom w:val="single" w:sz="4" w:space="0" w:color="A6A6A6" w:themeColor="background1" w:themeShade="A6"/>
            </w:tcBorders>
          </w:tcPr>
          <w:p w14:paraId="2105F957" w14:textId="77777777" w:rsidR="00370973" w:rsidRPr="00181EF3" w:rsidRDefault="00370973" w:rsidP="00370973">
            <w:pPr>
              <w:pStyle w:val="TableText"/>
              <w:keepNext/>
              <w:tabs>
                <w:tab w:val="decimal" w:pos="397"/>
              </w:tabs>
            </w:pPr>
            <w:r w:rsidRPr="00181EF3">
              <w:t>4.4</w:t>
            </w:r>
          </w:p>
        </w:tc>
      </w:tr>
      <w:tr w:rsidR="00370973" w:rsidRPr="00181EF3" w14:paraId="36A4A79B" w14:textId="77777777" w:rsidTr="00370973">
        <w:trPr>
          <w:cantSplit/>
        </w:trPr>
        <w:tc>
          <w:tcPr>
            <w:tcW w:w="3119"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2E34276" w14:textId="77777777" w:rsidR="00370973" w:rsidRPr="00181EF3" w:rsidRDefault="00370973" w:rsidP="00370973">
            <w:pPr>
              <w:pStyle w:val="TableText"/>
              <w:keepNext/>
            </w:pPr>
            <w:r w:rsidRPr="00181EF3">
              <w:t>Living in rented accommodation, all age groups</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379A76C" w14:textId="77777777" w:rsidR="00370973" w:rsidRPr="00181EF3" w:rsidRDefault="00370973" w:rsidP="00370973">
            <w:pPr>
              <w:pStyle w:val="TableText"/>
              <w:keepNext/>
              <w:tabs>
                <w:tab w:val="decimal" w:pos="397"/>
              </w:tabs>
            </w:pPr>
            <w:r w:rsidRPr="00181EF3">
              <w:t>48.3</w:t>
            </w:r>
          </w:p>
        </w:tc>
        <w:tc>
          <w:tcPr>
            <w:tcW w:w="827" w:type="dxa"/>
            <w:tcBorders>
              <w:top w:val="single" w:sz="4" w:space="0" w:color="A6A6A6" w:themeColor="background1" w:themeShade="A6"/>
              <w:bottom w:val="single" w:sz="4" w:space="0" w:color="A6A6A6" w:themeColor="background1" w:themeShade="A6"/>
            </w:tcBorders>
          </w:tcPr>
          <w:p w14:paraId="2D18AC0F" w14:textId="77777777" w:rsidR="00370973" w:rsidRPr="00181EF3" w:rsidRDefault="00370973" w:rsidP="00370973">
            <w:pPr>
              <w:pStyle w:val="TableText"/>
              <w:keepNext/>
              <w:tabs>
                <w:tab w:val="decimal" w:pos="397"/>
              </w:tabs>
            </w:pPr>
            <w:r w:rsidRPr="00181EF3">
              <w:t>50.5</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68D7C6A" w14:textId="77777777" w:rsidR="00370973" w:rsidRPr="00181EF3" w:rsidRDefault="00370973" w:rsidP="00370973">
            <w:pPr>
              <w:pStyle w:val="TableText"/>
              <w:keepNext/>
              <w:tabs>
                <w:tab w:val="decimal" w:pos="397"/>
              </w:tabs>
            </w:pPr>
            <w:r w:rsidRPr="00181EF3">
              <w:t>49.5</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CEAB47E" w14:textId="77777777" w:rsidR="00370973" w:rsidRPr="00181EF3" w:rsidRDefault="00370973" w:rsidP="00370973">
            <w:pPr>
              <w:pStyle w:val="TableText"/>
              <w:keepNext/>
              <w:tabs>
                <w:tab w:val="decimal" w:pos="397"/>
              </w:tabs>
            </w:pPr>
            <w:r w:rsidRPr="00181EF3">
              <w:t>27.7</w:t>
            </w:r>
          </w:p>
        </w:tc>
        <w:tc>
          <w:tcPr>
            <w:tcW w:w="827" w:type="dxa"/>
            <w:tcBorders>
              <w:top w:val="single" w:sz="4" w:space="0" w:color="A6A6A6" w:themeColor="background1" w:themeShade="A6"/>
              <w:bottom w:val="single" w:sz="4" w:space="0" w:color="A6A6A6" w:themeColor="background1" w:themeShade="A6"/>
            </w:tcBorders>
          </w:tcPr>
          <w:p w14:paraId="731B1246" w14:textId="77777777" w:rsidR="00370973" w:rsidRPr="00181EF3" w:rsidRDefault="00370973" w:rsidP="00370973">
            <w:pPr>
              <w:pStyle w:val="TableText"/>
              <w:keepNext/>
              <w:tabs>
                <w:tab w:val="decimal" w:pos="397"/>
              </w:tabs>
            </w:pPr>
            <w:r w:rsidRPr="00181EF3">
              <w:t>27.3</w:t>
            </w:r>
          </w:p>
        </w:tc>
        <w:tc>
          <w:tcPr>
            <w:tcW w:w="827" w:type="dxa"/>
            <w:tcBorders>
              <w:top w:val="single" w:sz="4" w:space="0" w:color="A6A6A6" w:themeColor="background1" w:themeShade="A6"/>
              <w:bottom w:val="single" w:sz="4" w:space="0" w:color="A6A6A6" w:themeColor="background1" w:themeShade="A6"/>
            </w:tcBorders>
          </w:tcPr>
          <w:p w14:paraId="7098F2B9" w14:textId="77777777" w:rsidR="00370973" w:rsidRPr="00181EF3" w:rsidRDefault="00370973" w:rsidP="00370973">
            <w:pPr>
              <w:pStyle w:val="TableText"/>
              <w:keepNext/>
              <w:tabs>
                <w:tab w:val="decimal" w:pos="397"/>
              </w:tabs>
            </w:pPr>
            <w:r w:rsidRPr="00181EF3">
              <w:t>27.5</w:t>
            </w:r>
          </w:p>
        </w:tc>
      </w:tr>
      <w:tr w:rsidR="00370973" w:rsidRPr="00181EF3" w14:paraId="5B5ED2CD" w14:textId="77777777" w:rsidTr="00370973">
        <w:trPr>
          <w:cantSplit/>
        </w:trPr>
        <w:tc>
          <w:tcPr>
            <w:tcW w:w="3119"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5BEBDA6" w14:textId="77777777" w:rsidR="00370973" w:rsidRPr="00181EF3" w:rsidRDefault="00370973" w:rsidP="00370973">
            <w:pPr>
              <w:pStyle w:val="TableText"/>
              <w:keepNext/>
            </w:pPr>
            <w:r w:rsidRPr="00181EF3">
              <w:t>Household crowding,</w:t>
            </w:r>
            <w:r w:rsidRPr="00181EF3">
              <w:rPr>
                <w:vertAlign w:val="superscript"/>
              </w:rPr>
              <w:t>2</w:t>
            </w:r>
            <w:r w:rsidRPr="00181EF3">
              <w:t xml:space="preserve"> all age groups</w:t>
            </w:r>
          </w:p>
        </w:tc>
        <w:tc>
          <w:tcPr>
            <w:tcW w:w="82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17E6910" w14:textId="77777777" w:rsidR="00370973" w:rsidRPr="00181EF3" w:rsidRDefault="00370973" w:rsidP="00370973">
            <w:pPr>
              <w:pStyle w:val="TableText"/>
              <w:keepNext/>
              <w:tabs>
                <w:tab w:val="decimal" w:pos="397"/>
              </w:tabs>
            </w:pPr>
            <w:r w:rsidRPr="00181EF3">
              <w:t>18.3</w:t>
            </w:r>
          </w:p>
        </w:tc>
        <w:tc>
          <w:tcPr>
            <w:tcW w:w="827" w:type="dxa"/>
            <w:tcBorders>
              <w:top w:val="single" w:sz="4" w:space="0" w:color="A6A6A6" w:themeColor="background1" w:themeShade="A6"/>
              <w:bottom w:val="single" w:sz="4" w:space="0" w:color="A6A6A6" w:themeColor="background1" w:themeShade="A6"/>
            </w:tcBorders>
          </w:tcPr>
          <w:p w14:paraId="499169E5" w14:textId="77777777" w:rsidR="00370973" w:rsidRPr="00181EF3" w:rsidRDefault="00370973" w:rsidP="00370973">
            <w:pPr>
              <w:pStyle w:val="TableText"/>
              <w:keepNext/>
              <w:tabs>
                <w:tab w:val="decimal" w:pos="397"/>
              </w:tabs>
            </w:pPr>
            <w:r w:rsidRPr="00181EF3">
              <w:t>18.8</w:t>
            </w:r>
          </w:p>
        </w:tc>
        <w:tc>
          <w:tcPr>
            <w:tcW w:w="82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A986349" w14:textId="77777777" w:rsidR="00370973" w:rsidRPr="00181EF3" w:rsidRDefault="00370973" w:rsidP="00370973">
            <w:pPr>
              <w:pStyle w:val="TableText"/>
              <w:keepNext/>
              <w:tabs>
                <w:tab w:val="decimal" w:pos="397"/>
              </w:tabs>
            </w:pPr>
            <w:r w:rsidRPr="00181EF3">
              <w:t>18.6</w:t>
            </w:r>
          </w:p>
        </w:tc>
        <w:tc>
          <w:tcPr>
            <w:tcW w:w="82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325D357" w14:textId="77777777" w:rsidR="00370973" w:rsidRPr="00181EF3" w:rsidRDefault="00370973" w:rsidP="00370973">
            <w:pPr>
              <w:pStyle w:val="TableText"/>
              <w:keepNext/>
              <w:tabs>
                <w:tab w:val="decimal" w:pos="397"/>
              </w:tabs>
            </w:pPr>
            <w:r w:rsidRPr="00181EF3">
              <w:t>7.8</w:t>
            </w:r>
          </w:p>
        </w:tc>
        <w:tc>
          <w:tcPr>
            <w:tcW w:w="827" w:type="dxa"/>
            <w:tcBorders>
              <w:top w:val="single" w:sz="4" w:space="0" w:color="A6A6A6" w:themeColor="background1" w:themeShade="A6"/>
              <w:bottom w:val="single" w:sz="4" w:space="0" w:color="A6A6A6" w:themeColor="background1" w:themeShade="A6"/>
            </w:tcBorders>
          </w:tcPr>
          <w:p w14:paraId="0D29990F" w14:textId="77777777" w:rsidR="00370973" w:rsidRPr="00181EF3" w:rsidRDefault="00370973" w:rsidP="00370973">
            <w:pPr>
              <w:pStyle w:val="TableText"/>
              <w:keepNext/>
              <w:tabs>
                <w:tab w:val="decimal" w:pos="397"/>
              </w:tabs>
            </w:pPr>
            <w:r w:rsidRPr="00181EF3">
              <w:t>7.6</w:t>
            </w:r>
          </w:p>
        </w:tc>
        <w:tc>
          <w:tcPr>
            <w:tcW w:w="827" w:type="dxa"/>
            <w:tcBorders>
              <w:top w:val="single" w:sz="4" w:space="0" w:color="A6A6A6" w:themeColor="background1" w:themeShade="A6"/>
              <w:bottom w:val="single" w:sz="4" w:space="0" w:color="A6A6A6" w:themeColor="background1" w:themeShade="A6"/>
            </w:tcBorders>
          </w:tcPr>
          <w:p w14:paraId="0FE19005" w14:textId="77777777" w:rsidR="00370973" w:rsidRPr="00181EF3" w:rsidRDefault="00370973" w:rsidP="00370973">
            <w:pPr>
              <w:pStyle w:val="TableText"/>
              <w:keepNext/>
              <w:tabs>
                <w:tab w:val="decimal" w:pos="397"/>
              </w:tabs>
            </w:pPr>
            <w:r w:rsidRPr="00181EF3">
              <w:t>7.7</w:t>
            </w:r>
          </w:p>
        </w:tc>
      </w:tr>
    </w:tbl>
    <w:p w14:paraId="5FC9EB25" w14:textId="77777777" w:rsidR="00370973" w:rsidRPr="00181EF3" w:rsidRDefault="00370973" w:rsidP="00370973">
      <w:pPr>
        <w:pStyle w:val="Note"/>
        <w:keepNext/>
      </w:pPr>
      <w:r w:rsidRPr="00181EF3">
        <w:t>Notes:</w:t>
      </w:r>
    </w:p>
    <w:p w14:paraId="4D1F7E0A" w14:textId="77777777" w:rsidR="00370973" w:rsidRPr="00181EF3" w:rsidRDefault="00370973" w:rsidP="00370973">
      <w:pPr>
        <w:pStyle w:val="Note"/>
        <w:keepNext/>
      </w:pPr>
      <w:r w:rsidRPr="00181EF3">
        <w:t>1</w:t>
      </w:r>
      <w:r w:rsidRPr="00181EF3">
        <w:tab/>
        <w:t>Telecommunications include telephone, cell/mobile phone, facsimile and internet.</w:t>
      </w:r>
    </w:p>
    <w:p w14:paraId="4C33114F" w14:textId="77777777" w:rsidR="00370973" w:rsidRPr="00181EF3" w:rsidRDefault="00370973" w:rsidP="00EF58A1">
      <w:pPr>
        <w:pStyle w:val="Note"/>
        <w:keepNext/>
        <w:keepLines/>
      </w:pPr>
      <w:r w:rsidRPr="00181EF3">
        <w:t>2</w:t>
      </w:r>
      <w:r w:rsidRPr="00181EF3">
        <w:tab/>
        <w:t>Based on the Canadian National Crowding Index. A required number of bedrooms is calculated for each household (based on the age, sex and number of people living in the dwelling), which is compared with the actual number of bedrooms. A household is considered crowded when there are fewer bedrooms than required.</w:t>
      </w:r>
    </w:p>
    <w:p w14:paraId="5E2BEF12" w14:textId="1EC82355" w:rsidR="00370973" w:rsidRPr="00181EF3" w:rsidRDefault="00370973" w:rsidP="00EF58A1">
      <w:pPr>
        <w:pStyle w:val="Source"/>
      </w:pPr>
      <w:r w:rsidRPr="00181EF3">
        <w:t xml:space="preserve">Source: </w:t>
      </w:r>
      <w:r w:rsidR="008F0248">
        <w:t>Stats NZ</w:t>
      </w:r>
    </w:p>
    <w:p w14:paraId="567F6A8B" w14:textId="77777777" w:rsidR="00370973" w:rsidRPr="00181EF3" w:rsidRDefault="00370973" w:rsidP="00370973"/>
    <w:p w14:paraId="71272AA3" w14:textId="644B1D96" w:rsidR="00370973" w:rsidRPr="00181EF3" w:rsidRDefault="00370973" w:rsidP="00370973">
      <w:r w:rsidRPr="00181EF3">
        <w:t xml:space="preserve">The results from Tables </w:t>
      </w:r>
      <w:r>
        <w:t>9</w:t>
      </w:r>
      <w:r w:rsidRPr="00181EF3">
        <w:t xml:space="preserve">, </w:t>
      </w:r>
      <w:r>
        <w:t>10</w:t>
      </w:r>
      <w:r w:rsidRPr="00181EF3">
        <w:t xml:space="preserve"> and </w:t>
      </w:r>
      <w:r>
        <w:t>11</w:t>
      </w:r>
      <w:r w:rsidRPr="00181EF3">
        <w:t xml:space="preserve"> show that Māori are less advantaged than </w:t>
      </w:r>
      <w:r w:rsidR="00EC03A3">
        <w:t>non</w:t>
      </w:r>
      <w:r w:rsidR="00EC03A3">
        <w:noBreakHyphen/>
        <w:t>M</w:t>
      </w:r>
      <w:r w:rsidRPr="00181EF3">
        <w:t>āori across all socioeconomic indicators presented.</w:t>
      </w:r>
    </w:p>
    <w:p w14:paraId="069BAEBF" w14:textId="77777777" w:rsidR="00370973" w:rsidRPr="00181EF3" w:rsidRDefault="00370973" w:rsidP="00370973"/>
    <w:p w14:paraId="1D8B8EDC" w14:textId="77777777" w:rsidR="00370973" w:rsidRPr="00181EF3" w:rsidRDefault="00370973" w:rsidP="00370973">
      <w:r w:rsidRPr="00181EF3">
        <w:t>The indicators included in the socioeconomic variables have changed over time:</w:t>
      </w:r>
    </w:p>
    <w:p w14:paraId="0DF44D9D" w14:textId="77777777" w:rsidR="00370973" w:rsidRPr="00181EF3" w:rsidRDefault="00370973" w:rsidP="00370973">
      <w:pPr>
        <w:pStyle w:val="Bullet"/>
      </w:pPr>
      <w:r w:rsidRPr="00181EF3">
        <w:t>A new indicator was added between 2006 and 2013:</w:t>
      </w:r>
    </w:p>
    <w:p w14:paraId="705242A5" w14:textId="77777777" w:rsidR="00370973" w:rsidRPr="00181EF3" w:rsidRDefault="00370973" w:rsidP="00370973">
      <w:pPr>
        <w:pStyle w:val="Dash"/>
      </w:pPr>
      <w:r w:rsidRPr="00181EF3">
        <w:t>The percentage of people living in household with internet access.</w:t>
      </w:r>
    </w:p>
    <w:p w14:paraId="1ED3A024" w14:textId="77777777" w:rsidR="00370973" w:rsidRPr="00181EF3" w:rsidRDefault="00370973" w:rsidP="00370973">
      <w:pPr>
        <w:pStyle w:val="Bullet"/>
      </w:pPr>
      <w:r w:rsidRPr="00181EF3">
        <w:t>The conditions for four of the indicators were altered:</w:t>
      </w:r>
    </w:p>
    <w:p w14:paraId="43BFDC59" w14:textId="77777777" w:rsidR="00446D86" w:rsidRDefault="00446D86" w:rsidP="00370973">
      <w:pPr>
        <w:pStyle w:val="Dash"/>
      </w:pPr>
      <w:r>
        <w:t>School completion from 6th form certificate or higher to Level 2 Certificate or higher</w:t>
      </w:r>
    </w:p>
    <w:p w14:paraId="37B343A5" w14:textId="6EC98352" w:rsidR="00370973" w:rsidRPr="00181EF3" w:rsidRDefault="00370973" w:rsidP="00370973">
      <w:pPr>
        <w:pStyle w:val="Dash"/>
      </w:pPr>
      <w:r w:rsidRPr="00181EF3">
        <w:t>Means-tested benefit became receiving living income support.</w:t>
      </w:r>
    </w:p>
    <w:p w14:paraId="7336DE1D" w14:textId="77777777" w:rsidR="00370973" w:rsidRPr="00181EF3" w:rsidRDefault="00370973" w:rsidP="00370973">
      <w:pPr>
        <w:pStyle w:val="Dash"/>
      </w:pPr>
      <w:r w:rsidRPr="00181EF3">
        <w:t>Living without telephone access became living without telecommunications access.</w:t>
      </w:r>
    </w:p>
    <w:p w14:paraId="1AF40230" w14:textId="77777777" w:rsidR="00370973" w:rsidRPr="00181EF3" w:rsidRDefault="00370973" w:rsidP="00370973">
      <w:pPr>
        <w:pStyle w:val="Dash"/>
      </w:pPr>
      <w:r w:rsidRPr="00181EF3">
        <w:t>Not living in own home became living in rented accommodation.</w:t>
      </w:r>
    </w:p>
    <w:p w14:paraId="1E04A476" w14:textId="77777777" w:rsidR="00370973" w:rsidRPr="00181EF3" w:rsidRDefault="00370973" w:rsidP="00370973">
      <w:pPr>
        <w:pStyle w:val="Bullet"/>
      </w:pPr>
      <w:r w:rsidRPr="00181EF3">
        <w:t>The age range for three of the indicators were altered from 15+ years to all ages between 2006 and 2013:</w:t>
      </w:r>
    </w:p>
    <w:p w14:paraId="3325FF1C" w14:textId="77777777" w:rsidR="00370973" w:rsidRPr="00181EF3" w:rsidRDefault="00370973" w:rsidP="00370973">
      <w:pPr>
        <w:pStyle w:val="Dash"/>
      </w:pPr>
      <w:r w:rsidRPr="00181EF3">
        <w:t>Living without telephone access/living without telecommunications access.</w:t>
      </w:r>
    </w:p>
    <w:p w14:paraId="53B8B082" w14:textId="77777777" w:rsidR="00370973" w:rsidRPr="00181EF3" w:rsidRDefault="00370973" w:rsidP="00370973">
      <w:pPr>
        <w:pStyle w:val="Dash"/>
      </w:pPr>
      <w:r w:rsidRPr="00181EF3">
        <w:t>Living without motor vehicle access.</w:t>
      </w:r>
    </w:p>
    <w:p w14:paraId="6F58552C" w14:textId="77777777" w:rsidR="00370973" w:rsidRDefault="00370973" w:rsidP="00370973">
      <w:pPr>
        <w:pStyle w:val="Dash"/>
      </w:pPr>
      <w:r w:rsidRPr="00181EF3">
        <w:t>Not living in own home/living in rented accommodation.</w:t>
      </w:r>
    </w:p>
    <w:p w14:paraId="0B60ABE4" w14:textId="77777777" w:rsidR="00EF58A1" w:rsidRPr="00181EF3" w:rsidRDefault="00EF58A1" w:rsidP="00EF58A1"/>
    <w:p w14:paraId="76F91865" w14:textId="77777777" w:rsidR="004A7F24" w:rsidRPr="00975E34" w:rsidRDefault="00370973" w:rsidP="00EF58A1">
      <w:pPr>
        <w:pStyle w:val="Heading2"/>
      </w:pPr>
      <w:bookmarkStart w:id="44" w:name="_Toc19102295"/>
      <w:r>
        <w:lastRenderedPageBreak/>
        <w:t>Racial discrimination</w:t>
      </w:r>
      <w:bookmarkEnd w:id="44"/>
    </w:p>
    <w:p w14:paraId="4D29D2CD" w14:textId="77777777" w:rsidR="00370973" w:rsidRPr="00181EF3" w:rsidRDefault="00370973" w:rsidP="00EF58A1">
      <w:pPr>
        <w:keepLines/>
      </w:pPr>
      <w:bookmarkStart w:id="45" w:name="_Toc311786208"/>
      <w:r w:rsidRPr="00181EF3">
        <w:t xml:space="preserve">This </w:t>
      </w:r>
      <w:r w:rsidR="000565DB">
        <w:t>section</w:t>
      </w:r>
      <w:r w:rsidRPr="00181EF3">
        <w:t xml:space="preserve"> presents the prevalence of self-reported experience of racial discrimination ‘ever’ in a person’s lifetime in 2006/07, 2011/12 and 2016/17. ‘Racial discrimination’ refers to experience of ethnically motivated personal attack (physical or verbal) and experience of unfair treatment on the basis of ethnicity in any of three situations: healthcare, housing or work.</w:t>
      </w:r>
    </w:p>
    <w:p w14:paraId="5888E2E7" w14:textId="77777777" w:rsidR="00370973" w:rsidRPr="00181EF3" w:rsidRDefault="00370973" w:rsidP="00370973">
      <w:pPr>
        <w:rPr>
          <w:lang w:eastAsia="en-NZ"/>
        </w:rPr>
      </w:pPr>
    </w:p>
    <w:p w14:paraId="1675AF5B" w14:textId="77777777" w:rsidR="00370973" w:rsidRPr="00181EF3" w:rsidRDefault="00370973" w:rsidP="00370973">
      <w:r w:rsidRPr="00181EF3">
        <w:t>It is important to note the data on racial discrimination sourced from the NZHS is self-reported prevalence (from the victim’s perspective), which may incorrectly estimate the true prevalence resulting in lower or higher percentages. Therefore, caution should be taken when comparing results from this brief with reports that use a different data source.</w:t>
      </w:r>
    </w:p>
    <w:p w14:paraId="3BD4FE11" w14:textId="77777777" w:rsidR="00370973" w:rsidRPr="00181EF3" w:rsidRDefault="00370973" w:rsidP="00370973"/>
    <w:p w14:paraId="75239B01" w14:textId="77777777" w:rsidR="00370973" w:rsidRPr="00181EF3" w:rsidRDefault="00370973" w:rsidP="000565DB">
      <w:pPr>
        <w:pStyle w:val="Heading3"/>
      </w:pPr>
      <w:bookmarkStart w:id="46" w:name="_Toc19102296"/>
      <w:r w:rsidRPr="00181EF3">
        <w:t>Experience of any racial discrimination</w:t>
      </w:r>
      <w:bookmarkEnd w:id="46"/>
    </w:p>
    <w:p w14:paraId="71FE647B" w14:textId="0DDD9FA1" w:rsidR="00370973" w:rsidRPr="00181EF3" w:rsidRDefault="00370973" w:rsidP="00370973">
      <w:pPr>
        <w:pStyle w:val="Table"/>
      </w:pPr>
      <w:bookmarkStart w:id="47" w:name="_Toc18594752"/>
      <w:r w:rsidRPr="00181EF3">
        <w:t>Table</w:t>
      </w:r>
      <w:r w:rsidR="00EF17BE">
        <w:rPr>
          <w:noProof/>
        </w:rPr>
        <w:t>12</w:t>
      </w:r>
      <w:r w:rsidRPr="00181EF3">
        <w:t xml:space="preserve">: Self-reported experience of any racial discrimination, by gender, Māori and </w:t>
      </w:r>
      <w:r w:rsidR="00EC03A3">
        <w:t>non</w:t>
      </w:r>
      <w:r w:rsidR="00EC03A3">
        <w:noBreakHyphen/>
        <w:t>M</w:t>
      </w:r>
      <w:r w:rsidRPr="00181EF3">
        <w:t>āori, 2006/07 and 2011/12</w:t>
      </w:r>
      <w:bookmarkEnd w:id="47"/>
    </w:p>
    <w:tbl>
      <w:tblPr>
        <w:tblW w:w="8080" w:type="dxa"/>
        <w:tblInd w:w="57" w:type="dxa"/>
        <w:tblLayout w:type="fixed"/>
        <w:tblCellMar>
          <w:left w:w="57" w:type="dxa"/>
          <w:right w:w="57" w:type="dxa"/>
        </w:tblCellMar>
        <w:tblLook w:val="04A0" w:firstRow="1" w:lastRow="0" w:firstColumn="1" w:lastColumn="0" w:noHBand="0" w:noVBand="1"/>
      </w:tblPr>
      <w:tblGrid>
        <w:gridCol w:w="1701"/>
        <w:gridCol w:w="869"/>
        <w:gridCol w:w="918"/>
        <w:gridCol w:w="918"/>
        <w:gridCol w:w="919"/>
        <w:gridCol w:w="918"/>
        <w:gridCol w:w="918"/>
        <w:gridCol w:w="919"/>
      </w:tblGrid>
      <w:tr w:rsidR="00370973" w:rsidRPr="00181EF3" w14:paraId="0CACD926" w14:textId="77777777" w:rsidTr="00370973">
        <w:trPr>
          <w:cantSplit/>
        </w:trPr>
        <w:tc>
          <w:tcPr>
            <w:tcW w:w="1701" w:type="dxa"/>
            <w:vMerge w:val="restart"/>
            <w:shd w:val="clear" w:color="auto" w:fill="D9D9D9" w:themeFill="background1" w:themeFillShade="D9"/>
          </w:tcPr>
          <w:p w14:paraId="4761AAE9" w14:textId="77777777" w:rsidR="00370973" w:rsidRPr="00181EF3" w:rsidRDefault="00370973" w:rsidP="00370973">
            <w:pPr>
              <w:pStyle w:val="TableText"/>
              <w:rPr>
                <w:b/>
              </w:rPr>
            </w:pPr>
            <w:r w:rsidRPr="00181EF3">
              <w:rPr>
                <w:b/>
              </w:rPr>
              <w:t>Indicator</w:t>
            </w:r>
          </w:p>
        </w:tc>
        <w:tc>
          <w:tcPr>
            <w:tcW w:w="869" w:type="dxa"/>
            <w:vMerge w:val="restart"/>
            <w:tcBorders>
              <w:right w:val="single" w:sz="4" w:space="0" w:color="A6A6A6" w:themeColor="background1" w:themeShade="A6"/>
            </w:tcBorders>
            <w:shd w:val="clear" w:color="auto" w:fill="D9D9D9" w:themeFill="background1" w:themeFillShade="D9"/>
          </w:tcPr>
          <w:p w14:paraId="08E67999" w14:textId="77777777" w:rsidR="00370973" w:rsidRPr="00181EF3" w:rsidRDefault="00370973" w:rsidP="00370973">
            <w:pPr>
              <w:pStyle w:val="TableText"/>
              <w:jc w:val="center"/>
              <w:rPr>
                <w:b/>
              </w:rPr>
            </w:pPr>
            <w:r w:rsidRPr="00181EF3">
              <w:rPr>
                <w:b/>
              </w:rPr>
              <w:t>Year</w:t>
            </w:r>
          </w:p>
        </w:tc>
        <w:tc>
          <w:tcPr>
            <w:tcW w:w="2755" w:type="dxa"/>
            <w:gridSpan w:val="3"/>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0CD3AAF7" w14:textId="77777777" w:rsidR="00370973" w:rsidRPr="00181EF3" w:rsidRDefault="00370973" w:rsidP="00370973">
            <w:pPr>
              <w:pStyle w:val="TableText"/>
              <w:jc w:val="center"/>
              <w:rPr>
                <w:b/>
              </w:rPr>
            </w:pPr>
            <w:r w:rsidRPr="00181EF3">
              <w:rPr>
                <w:b/>
              </w:rPr>
              <w:t>Māori</w:t>
            </w:r>
          </w:p>
        </w:tc>
        <w:tc>
          <w:tcPr>
            <w:tcW w:w="2755" w:type="dxa"/>
            <w:gridSpan w:val="3"/>
            <w:tcBorders>
              <w:left w:val="single" w:sz="4" w:space="0" w:color="A6A6A6" w:themeColor="background1" w:themeShade="A6"/>
            </w:tcBorders>
            <w:shd w:val="clear" w:color="auto" w:fill="D9D9D9" w:themeFill="background1" w:themeFillShade="D9"/>
          </w:tcPr>
          <w:p w14:paraId="2F528B0A" w14:textId="4913BC9E" w:rsidR="00370973" w:rsidRPr="00181EF3" w:rsidRDefault="00EC03A3" w:rsidP="00370973">
            <w:pPr>
              <w:pStyle w:val="TableText"/>
              <w:jc w:val="center"/>
              <w:rPr>
                <w:b/>
              </w:rPr>
            </w:pPr>
            <w:r>
              <w:rPr>
                <w:b/>
              </w:rPr>
              <w:t>Non</w:t>
            </w:r>
            <w:r>
              <w:rPr>
                <w:b/>
              </w:rPr>
              <w:noBreakHyphen/>
              <w:t>M</w:t>
            </w:r>
            <w:r w:rsidR="00370973" w:rsidRPr="00181EF3">
              <w:rPr>
                <w:b/>
              </w:rPr>
              <w:t>āori</w:t>
            </w:r>
          </w:p>
        </w:tc>
      </w:tr>
      <w:tr w:rsidR="00370973" w:rsidRPr="00181EF3" w14:paraId="3745E3F8" w14:textId="77777777" w:rsidTr="00370973">
        <w:trPr>
          <w:cantSplit/>
        </w:trPr>
        <w:tc>
          <w:tcPr>
            <w:tcW w:w="1701" w:type="dxa"/>
            <w:vMerge/>
            <w:shd w:val="clear" w:color="auto" w:fill="D9D9D9" w:themeFill="background1" w:themeFillShade="D9"/>
          </w:tcPr>
          <w:p w14:paraId="5E134A77" w14:textId="77777777" w:rsidR="00370973" w:rsidRPr="00181EF3" w:rsidRDefault="00370973" w:rsidP="00370973">
            <w:pPr>
              <w:pStyle w:val="TableText"/>
              <w:rPr>
                <w:b/>
              </w:rPr>
            </w:pPr>
          </w:p>
        </w:tc>
        <w:tc>
          <w:tcPr>
            <w:tcW w:w="869" w:type="dxa"/>
            <w:vMerge/>
            <w:tcBorders>
              <w:right w:val="single" w:sz="4" w:space="0" w:color="A6A6A6" w:themeColor="background1" w:themeShade="A6"/>
            </w:tcBorders>
            <w:shd w:val="clear" w:color="auto" w:fill="D9D9D9" w:themeFill="background1" w:themeFillShade="D9"/>
          </w:tcPr>
          <w:p w14:paraId="251C91E5" w14:textId="77777777" w:rsidR="00370973" w:rsidRPr="00181EF3" w:rsidRDefault="00370973" w:rsidP="00370973">
            <w:pPr>
              <w:pStyle w:val="TableText"/>
              <w:jc w:val="center"/>
              <w:rPr>
                <w:b/>
              </w:rPr>
            </w:pPr>
          </w:p>
        </w:tc>
        <w:tc>
          <w:tcPr>
            <w:tcW w:w="918" w:type="dxa"/>
            <w:tcBorders>
              <w:left w:val="single" w:sz="4" w:space="0" w:color="A6A6A6" w:themeColor="background1" w:themeShade="A6"/>
            </w:tcBorders>
            <w:shd w:val="clear" w:color="auto" w:fill="D9D9D9" w:themeFill="background1" w:themeFillShade="D9"/>
          </w:tcPr>
          <w:p w14:paraId="5415CFCA" w14:textId="77777777" w:rsidR="00370973" w:rsidRPr="00181EF3" w:rsidRDefault="00370973" w:rsidP="00370973">
            <w:pPr>
              <w:pStyle w:val="TableText"/>
              <w:spacing w:before="0"/>
              <w:jc w:val="center"/>
              <w:rPr>
                <w:b/>
              </w:rPr>
            </w:pPr>
            <w:r w:rsidRPr="00181EF3">
              <w:rPr>
                <w:b/>
              </w:rPr>
              <w:t>Male</w:t>
            </w:r>
          </w:p>
        </w:tc>
        <w:tc>
          <w:tcPr>
            <w:tcW w:w="918" w:type="dxa"/>
            <w:shd w:val="clear" w:color="auto" w:fill="D9D9D9" w:themeFill="background1" w:themeFillShade="D9"/>
          </w:tcPr>
          <w:p w14:paraId="63D14ACD" w14:textId="77777777" w:rsidR="00370973" w:rsidRPr="00181EF3" w:rsidRDefault="00370973" w:rsidP="00370973">
            <w:pPr>
              <w:pStyle w:val="TableText"/>
              <w:spacing w:before="0"/>
              <w:jc w:val="center"/>
              <w:rPr>
                <w:b/>
              </w:rPr>
            </w:pPr>
            <w:r w:rsidRPr="00181EF3">
              <w:rPr>
                <w:b/>
              </w:rPr>
              <w:t>Female</w:t>
            </w:r>
          </w:p>
        </w:tc>
        <w:tc>
          <w:tcPr>
            <w:tcW w:w="919" w:type="dxa"/>
            <w:tcBorders>
              <w:right w:val="single" w:sz="4" w:space="0" w:color="A6A6A6" w:themeColor="background1" w:themeShade="A6"/>
            </w:tcBorders>
            <w:shd w:val="clear" w:color="auto" w:fill="D9D9D9" w:themeFill="background1" w:themeFillShade="D9"/>
          </w:tcPr>
          <w:p w14:paraId="6F2F932E" w14:textId="77777777" w:rsidR="00370973" w:rsidRPr="00181EF3" w:rsidRDefault="00370973" w:rsidP="00370973">
            <w:pPr>
              <w:pStyle w:val="TableText"/>
              <w:spacing w:before="0"/>
              <w:jc w:val="center"/>
              <w:rPr>
                <w:b/>
              </w:rPr>
            </w:pPr>
            <w:r w:rsidRPr="00181EF3">
              <w:rPr>
                <w:b/>
              </w:rPr>
              <w:t>Total</w:t>
            </w:r>
          </w:p>
        </w:tc>
        <w:tc>
          <w:tcPr>
            <w:tcW w:w="918" w:type="dxa"/>
            <w:tcBorders>
              <w:left w:val="single" w:sz="4" w:space="0" w:color="A6A6A6" w:themeColor="background1" w:themeShade="A6"/>
            </w:tcBorders>
            <w:shd w:val="clear" w:color="auto" w:fill="D9D9D9" w:themeFill="background1" w:themeFillShade="D9"/>
          </w:tcPr>
          <w:p w14:paraId="0F2E3D75" w14:textId="77777777" w:rsidR="00370973" w:rsidRPr="00181EF3" w:rsidRDefault="00370973" w:rsidP="00370973">
            <w:pPr>
              <w:pStyle w:val="TableText"/>
              <w:spacing w:before="0"/>
              <w:jc w:val="center"/>
              <w:rPr>
                <w:b/>
              </w:rPr>
            </w:pPr>
            <w:r w:rsidRPr="00181EF3">
              <w:rPr>
                <w:b/>
              </w:rPr>
              <w:t>Male</w:t>
            </w:r>
          </w:p>
        </w:tc>
        <w:tc>
          <w:tcPr>
            <w:tcW w:w="918" w:type="dxa"/>
            <w:shd w:val="clear" w:color="auto" w:fill="D9D9D9" w:themeFill="background1" w:themeFillShade="D9"/>
          </w:tcPr>
          <w:p w14:paraId="7BF85AC9" w14:textId="77777777" w:rsidR="00370973" w:rsidRPr="00181EF3" w:rsidRDefault="00370973" w:rsidP="00370973">
            <w:pPr>
              <w:pStyle w:val="TableText"/>
              <w:spacing w:before="0"/>
              <w:jc w:val="center"/>
              <w:rPr>
                <w:b/>
              </w:rPr>
            </w:pPr>
            <w:r w:rsidRPr="00181EF3">
              <w:rPr>
                <w:b/>
              </w:rPr>
              <w:t>Female</w:t>
            </w:r>
          </w:p>
        </w:tc>
        <w:tc>
          <w:tcPr>
            <w:tcW w:w="919" w:type="dxa"/>
            <w:shd w:val="clear" w:color="auto" w:fill="D9D9D9" w:themeFill="background1" w:themeFillShade="D9"/>
          </w:tcPr>
          <w:p w14:paraId="01BFD473" w14:textId="77777777" w:rsidR="00370973" w:rsidRPr="00181EF3" w:rsidRDefault="00370973" w:rsidP="00370973">
            <w:pPr>
              <w:pStyle w:val="TableText"/>
              <w:spacing w:before="0"/>
              <w:jc w:val="center"/>
              <w:rPr>
                <w:b/>
              </w:rPr>
            </w:pPr>
            <w:r w:rsidRPr="00181EF3">
              <w:rPr>
                <w:b/>
              </w:rPr>
              <w:t>Total</w:t>
            </w:r>
          </w:p>
        </w:tc>
      </w:tr>
      <w:tr w:rsidR="00370973" w:rsidRPr="00181EF3" w14:paraId="1DA55696" w14:textId="77777777" w:rsidTr="00EF58A1">
        <w:trPr>
          <w:cantSplit/>
          <w:trHeight w:val="1012"/>
        </w:trPr>
        <w:tc>
          <w:tcPr>
            <w:tcW w:w="1701" w:type="dxa"/>
            <w:vMerge w:val="restart"/>
            <w:tcBorders>
              <w:bottom w:val="single" w:sz="4" w:space="0" w:color="A6A6A6" w:themeColor="background1" w:themeShade="A6"/>
            </w:tcBorders>
          </w:tcPr>
          <w:p w14:paraId="0F4770AC" w14:textId="77777777" w:rsidR="00370973" w:rsidRPr="00181EF3" w:rsidRDefault="00370973" w:rsidP="00370973">
            <w:pPr>
              <w:pStyle w:val="TableText"/>
            </w:pPr>
            <w:r w:rsidRPr="00181EF3">
              <w:t xml:space="preserve">Self-reported experience of any </w:t>
            </w:r>
            <w:r w:rsidRPr="00181EF3">
              <w:rPr>
                <w:spacing w:val="-2"/>
              </w:rPr>
              <w:t>ethnically motivated</w:t>
            </w:r>
            <w:r w:rsidRPr="00181EF3">
              <w:t xml:space="preserve"> personal attack or </w:t>
            </w:r>
            <w:r w:rsidRPr="00181EF3">
              <w:rPr>
                <w:spacing w:val="-2"/>
              </w:rPr>
              <w:t>any unfair treatment</w:t>
            </w:r>
            <w:r w:rsidRPr="00181EF3">
              <w:t xml:space="preserve"> on the basis of ethnicity (ever), 15+ years, percentage</w:t>
            </w:r>
          </w:p>
        </w:tc>
        <w:tc>
          <w:tcPr>
            <w:tcW w:w="869" w:type="dxa"/>
            <w:tcBorders>
              <w:bottom w:val="single" w:sz="4" w:space="0" w:color="A6A6A6" w:themeColor="background1" w:themeShade="A6"/>
              <w:right w:val="single" w:sz="4" w:space="0" w:color="A6A6A6" w:themeColor="background1" w:themeShade="A6"/>
            </w:tcBorders>
            <w:vAlign w:val="center"/>
          </w:tcPr>
          <w:p w14:paraId="42BA3D38" w14:textId="77777777" w:rsidR="00370973" w:rsidRPr="00181EF3" w:rsidRDefault="00370973" w:rsidP="00EF58A1">
            <w:pPr>
              <w:pStyle w:val="TableText"/>
              <w:jc w:val="center"/>
            </w:pPr>
            <w:r w:rsidRPr="00181EF3">
              <w:t>2006/07</w:t>
            </w:r>
          </w:p>
        </w:tc>
        <w:tc>
          <w:tcPr>
            <w:tcW w:w="918" w:type="dxa"/>
            <w:tcBorders>
              <w:left w:val="single" w:sz="4" w:space="0" w:color="A6A6A6" w:themeColor="background1" w:themeShade="A6"/>
              <w:bottom w:val="single" w:sz="4" w:space="0" w:color="A6A6A6" w:themeColor="background1" w:themeShade="A6"/>
            </w:tcBorders>
            <w:vAlign w:val="center"/>
          </w:tcPr>
          <w:p w14:paraId="7DCB52CD" w14:textId="77777777" w:rsidR="00370973" w:rsidRPr="00181EF3" w:rsidRDefault="00370973" w:rsidP="00EF58A1">
            <w:pPr>
              <w:pStyle w:val="TableText"/>
              <w:spacing w:after="0"/>
              <w:jc w:val="center"/>
            </w:pPr>
            <w:r w:rsidRPr="00181EF3">
              <w:t>28.1</w:t>
            </w:r>
          </w:p>
          <w:p w14:paraId="7C346AEB" w14:textId="77777777" w:rsidR="00370973" w:rsidRPr="00181EF3" w:rsidRDefault="00370973" w:rsidP="00EF58A1">
            <w:pPr>
              <w:pStyle w:val="TableText"/>
              <w:spacing w:before="0"/>
              <w:ind w:left="-28" w:right="-28"/>
              <w:jc w:val="center"/>
            </w:pPr>
            <w:r w:rsidRPr="00181EF3">
              <w:t>(24.7–31.9)</w:t>
            </w:r>
          </w:p>
        </w:tc>
        <w:tc>
          <w:tcPr>
            <w:tcW w:w="918" w:type="dxa"/>
            <w:tcBorders>
              <w:bottom w:val="single" w:sz="4" w:space="0" w:color="A6A6A6" w:themeColor="background1" w:themeShade="A6"/>
            </w:tcBorders>
            <w:vAlign w:val="center"/>
          </w:tcPr>
          <w:p w14:paraId="01F6C1AB" w14:textId="77777777" w:rsidR="00370973" w:rsidRPr="00181EF3" w:rsidRDefault="00370973" w:rsidP="00EF58A1">
            <w:pPr>
              <w:pStyle w:val="TableText"/>
              <w:spacing w:after="0"/>
              <w:jc w:val="center"/>
            </w:pPr>
            <w:r w:rsidRPr="00181EF3">
              <w:t>30.5</w:t>
            </w:r>
          </w:p>
          <w:p w14:paraId="7270802E" w14:textId="77777777" w:rsidR="00370973" w:rsidRPr="00181EF3" w:rsidRDefault="00370973" w:rsidP="00EF58A1">
            <w:pPr>
              <w:pStyle w:val="TableText"/>
              <w:spacing w:before="0"/>
              <w:ind w:left="-28" w:right="-28"/>
              <w:jc w:val="center"/>
            </w:pPr>
            <w:r w:rsidRPr="00181EF3">
              <w:t>(27.9–33.3)</w:t>
            </w:r>
          </w:p>
        </w:tc>
        <w:tc>
          <w:tcPr>
            <w:tcW w:w="919" w:type="dxa"/>
            <w:tcBorders>
              <w:bottom w:val="single" w:sz="4" w:space="0" w:color="A6A6A6" w:themeColor="background1" w:themeShade="A6"/>
              <w:right w:val="single" w:sz="4" w:space="0" w:color="A6A6A6" w:themeColor="background1" w:themeShade="A6"/>
            </w:tcBorders>
            <w:vAlign w:val="center"/>
          </w:tcPr>
          <w:p w14:paraId="60F2545B" w14:textId="77777777" w:rsidR="00370973" w:rsidRPr="00181EF3" w:rsidRDefault="00370973" w:rsidP="00EF58A1">
            <w:pPr>
              <w:pStyle w:val="TableText"/>
              <w:spacing w:after="0"/>
              <w:jc w:val="center"/>
            </w:pPr>
            <w:r w:rsidRPr="00181EF3">
              <w:t>29.3</w:t>
            </w:r>
          </w:p>
          <w:p w14:paraId="4B9B0A57" w14:textId="77777777" w:rsidR="00370973" w:rsidRPr="00181EF3" w:rsidRDefault="00370973" w:rsidP="00EF58A1">
            <w:pPr>
              <w:pStyle w:val="TableText"/>
              <w:spacing w:before="0"/>
              <w:ind w:left="-28" w:right="-28"/>
              <w:jc w:val="center"/>
            </w:pPr>
            <w:r w:rsidRPr="00181EF3">
              <w:t>(27.0–31.8)</w:t>
            </w:r>
          </w:p>
        </w:tc>
        <w:tc>
          <w:tcPr>
            <w:tcW w:w="918" w:type="dxa"/>
            <w:tcBorders>
              <w:left w:val="single" w:sz="4" w:space="0" w:color="A6A6A6" w:themeColor="background1" w:themeShade="A6"/>
              <w:bottom w:val="single" w:sz="4" w:space="0" w:color="A6A6A6" w:themeColor="background1" w:themeShade="A6"/>
            </w:tcBorders>
            <w:vAlign w:val="center"/>
          </w:tcPr>
          <w:p w14:paraId="15E878EF" w14:textId="77777777" w:rsidR="00370973" w:rsidRPr="00181EF3" w:rsidRDefault="00370973" w:rsidP="00EF58A1">
            <w:pPr>
              <w:pStyle w:val="TableText"/>
              <w:spacing w:after="0"/>
              <w:jc w:val="center"/>
            </w:pPr>
            <w:r w:rsidRPr="00181EF3">
              <w:t>20.6</w:t>
            </w:r>
          </w:p>
          <w:p w14:paraId="12742DB0" w14:textId="77777777" w:rsidR="00370973" w:rsidRPr="00181EF3" w:rsidRDefault="00370973" w:rsidP="00EF58A1">
            <w:pPr>
              <w:pStyle w:val="TableText"/>
              <w:spacing w:before="0"/>
              <w:ind w:left="-28" w:right="-28"/>
              <w:jc w:val="center"/>
            </w:pPr>
            <w:r w:rsidRPr="00181EF3">
              <w:t>(18.7–22.5)</w:t>
            </w:r>
          </w:p>
        </w:tc>
        <w:tc>
          <w:tcPr>
            <w:tcW w:w="918" w:type="dxa"/>
            <w:tcBorders>
              <w:bottom w:val="single" w:sz="4" w:space="0" w:color="A6A6A6" w:themeColor="background1" w:themeShade="A6"/>
            </w:tcBorders>
            <w:vAlign w:val="center"/>
          </w:tcPr>
          <w:p w14:paraId="0E0969A5" w14:textId="77777777" w:rsidR="00370973" w:rsidRPr="00181EF3" w:rsidRDefault="00370973" w:rsidP="00EF58A1">
            <w:pPr>
              <w:pStyle w:val="TableText"/>
              <w:spacing w:after="0"/>
              <w:jc w:val="center"/>
            </w:pPr>
            <w:r w:rsidRPr="00181EF3">
              <w:t>16.0</w:t>
            </w:r>
          </w:p>
          <w:p w14:paraId="1A2694F8" w14:textId="77777777" w:rsidR="00370973" w:rsidRPr="00181EF3" w:rsidRDefault="00370973" w:rsidP="00EF58A1">
            <w:pPr>
              <w:pStyle w:val="TableText"/>
              <w:spacing w:before="0"/>
              <w:ind w:left="-28" w:right="-28"/>
              <w:jc w:val="center"/>
            </w:pPr>
            <w:r w:rsidRPr="00181EF3">
              <w:t>(14.6–17.5)</w:t>
            </w:r>
          </w:p>
        </w:tc>
        <w:tc>
          <w:tcPr>
            <w:tcW w:w="919" w:type="dxa"/>
            <w:tcBorders>
              <w:bottom w:val="single" w:sz="4" w:space="0" w:color="A6A6A6" w:themeColor="background1" w:themeShade="A6"/>
            </w:tcBorders>
            <w:vAlign w:val="center"/>
          </w:tcPr>
          <w:p w14:paraId="552DA025" w14:textId="77777777" w:rsidR="00370973" w:rsidRPr="00181EF3" w:rsidRDefault="00370973" w:rsidP="00EF58A1">
            <w:pPr>
              <w:pStyle w:val="TableText"/>
              <w:spacing w:after="0"/>
              <w:jc w:val="center"/>
            </w:pPr>
            <w:r w:rsidRPr="00181EF3">
              <w:t>18.2</w:t>
            </w:r>
          </w:p>
          <w:p w14:paraId="5265922B" w14:textId="77777777" w:rsidR="00370973" w:rsidRPr="00181EF3" w:rsidRDefault="00370973" w:rsidP="00EF58A1">
            <w:pPr>
              <w:pStyle w:val="TableText"/>
              <w:spacing w:before="0"/>
              <w:ind w:left="-28" w:right="-28"/>
              <w:jc w:val="center"/>
            </w:pPr>
            <w:r w:rsidRPr="00181EF3">
              <w:t>(17.1–19.4)</w:t>
            </w:r>
          </w:p>
        </w:tc>
      </w:tr>
      <w:tr w:rsidR="00370973" w:rsidRPr="00181EF3" w14:paraId="1A5307A3" w14:textId="77777777" w:rsidTr="00EF58A1">
        <w:trPr>
          <w:cantSplit/>
          <w:trHeight w:val="1013"/>
        </w:trPr>
        <w:tc>
          <w:tcPr>
            <w:tcW w:w="1701" w:type="dxa"/>
            <w:vMerge/>
            <w:tcBorders>
              <w:top w:val="single" w:sz="4" w:space="0" w:color="A6A6A6" w:themeColor="background1" w:themeShade="A6"/>
              <w:bottom w:val="single" w:sz="4" w:space="0" w:color="A6A6A6" w:themeColor="background1" w:themeShade="A6"/>
            </w:tcBorders>
          </w:tcPr>
          <w:p w14:paraId="6AF77F99" w14:textId="77777777" w:rsidR="00370973" w:rsidRPr="00181EF3" w:rsidRDefault="00370973" w:rsidP="00370973">
            <w:pPr>
              <w:pStyle w:val="TableText"/>
            </w:pPr>
          </w:p>
        </w:tc>
        <w:tc>
          <w:tcPr>
            <w:tcW w:w="869"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3E6F8E2" w14:textId="77777777" w:rsidR="00370973" w:rsidRPr="00181EF3" w:rsidRDefault="00370973" w:rsidP="00EF58A1">
            <w:pPr>
              <w:pStyle w:val="TableText"/>
              <w:jc w:val="center"/>
            </w:pPr>
            <w:r w:rsidRPr="00181EF3">
              <w:t>2011/12</w:t>
            </w:r>
          </w:p>
        </w:tc>
        <w:tc>
          <w:tcPr>
            <w:tcW w:w="918"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3EE6C9F2" w14:textId="77777777" w:rsidR="00370973" w:rsidRPr="00181EF3" w:rsidRDefault="00370973" w:rsidP="00EF58A1">
            <w:pPr>
              <w:pStyle w:val="TableText"/>
              <w:spacing w:after="0"/>
              <w:jc w:val="center"/>
            </w:pPr>
            <w:r w:rsidRPr="00181EF3">
              <w:t>29.2</w:t>
            </w:r>
          </w:p>
          <w:p w14:paraId="36DE2C92" w14:textId="77777777" w:rsidR="00370973" w:rsidRPr="00181EF3" w:rsidRDefault="00370973" w:rsidP="00EF58A1">
            <w:pPr>
              <w:pStyle w:val="TableText"/>
              <w:spacing w:before="0"/>
              <w:ind w:left="-28" w:right="-28"/>
              <w:jc w:val="center"/>
            </w:pPr>
            <w:r w:rsidRPr="00181EF3">
              <w:t>(25.2–33.6)</w:t>
            </w:r>
          </w:p>
        </w:tc>
        <w:tc>
          <w:tcPr>
            <w:tcW w:w="918" w:type="dxa"/>
            <w:tcBorders>
              <w:top w:val="single" w:sz="4" w:space="0" w:color="A6A6A6" w:themeColor="background1" w:themeShade="A6"/>
              <w:bottom w:val="single" w:sz="4" w:space="0" w:color="A6A6A6" w:themeColor="background1" w:themeShade="A6"/>
            </w:tcBorders>
            <w:vAlign w:val="center"/>
          </w:tcPr>
          <w:p w14:paraId="0460A6D9" w14:textId="77777777" w:rsidR="00370973" w:rsidRPr="00181EF3" w:rsidRDefault="00370973" w:rsidP="00EF58A1">
            <w:pPr>
              <w:pStyle w:val="TableText"/>
              <w:spacing w:after="0"/>
              <w:jc w:val="center"/>
            </w:pPr>
            <w:r w:rsidRPr="00181EF3">
              <w:t>24.3</w:t>
            </w:r>
          </w:p>
          <w:p w14:paraId="0AED8317" w14:textId="77777777" w:rsidR="00370973" w:rsidRPr="00181EF3" w:rsidRDefault="00370973" w:rsidP="00EF58A1">
            <w:pPr>
              <w:pStyle w:val="TableText"/>
              <w:spacing w:before="0"/>
              <w:ind w:left="-28" w:right="-28"/>
              <w:jc w:val="center"/>
            </w:pPr>
            <w:r w:rsidRPr="00181EF3">
              <w:t>(21.4–27.5)</w:t>
            </w:r>
          </w:p>
        </w:tc>
        <w:tc>
          <w:tcPr>
            <w:tcW w:w="919"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CABBEE" w14:textId="77777777" w:rsidR="00370973" w:rsidRPr="00181EF3" w:rsidRDefault="00370973" w:rsidP="00EF58A1">
            <w:pPr>
              <w:pStyle w:val="TableText"/>
              <w:spacing w:after="0"/>
              <w:jc w:val="center"/>
            </w:pPr>
            <w:r w:rsidRPr="00181EF3">
              <w:t>26.3</w:t>
            </w:r>
          </w:p>
          <w:p w14:paraId="00988A9B" w14:textId="77777777" w:rsidR="00370973" w:rsidRPr="00181EF3" w:rsidRDefault="00370973" w:rsidP="00EF58A1">
            <w:pPr>
              <w:pStyle w:val="TableText"/>
              <w:spacing w:before="0"/>
              <w:ind w:left="-28" w:right="-28"/>
              <w:jc w:val="center"/>
            </w:pPr>
            <w:r w:rsidRPr="00181EF3">
              <w:t>(24.1–28.7)</w:t>
            </w:r>
          </w:p>
        </w:tc>
        <w:tc>
          <w:tcPr>
            <w:tcW w:w="918"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770A1A6C" w14:textId="77777777" w:rsidR="00370973" w:rsidRPr="00181EF3" w:rsidRDefault="00370973" w:rsidP="00EF58A1">
            <w:pPr>
              <w:pStyle w:val="TableText"/>
              <w:spacing w:after="0"/>
              <w:jc w:val="center"/>
            </w:pPr>
            <w:r w:rsidRPr="00181EF3">
              <w:t>15.4</w:t>
            </w:r>
          </w:p>
          <w:p w14:paraId="59A49154" w14:textId="77777777" w:rsidR="00370973" w:rsidRPr="00181EF3" w:rsidRDefault="00370973" w:rsidP="00EF58A1">
            <w:pPr>
              <w:pStyle w:val="TableText"/>
              <w:spacing w:before="0"/>
              <w:ind w:left="-28" w:right="-28"/>
              <w:jc w:val="center"/>
            </w:pPr>
            <w:r w:rsidRPr="00181EF3">
              <w:t>(13.7–17.4)</w:t>
            </w:r>
          </w:p>
        </w:tc>
        <w:tc>
          <w:tcPr>
            <w:tcW w:w="918" w:type="dxa"/>
            <w:tcBorders>
              <w:top w:val="single" w:sz="4" w:space="0" w:color="A6A6A6" w:themeColor="background1" w:themeShade="A6"/>
              <w:bottom w:val="single" w:sz="4" w:space="0" w:color="A6A6A6" w:themeColor="background1" w:themeShade="A6"/>
            </w:tcBorders>
            <w:vAlign w:val="center"/>
          </w:tcPr>
          <w:p w14:paraId="19681EB5" w14:textId="77777777" w:rsidR="00370973" w:rsidRPr="00181EF3" w:rsidRDefault="00370973" w:rsidP="00EF58A1">
            <w:pPr>
              <w:pStyle w:val="TableText"/>
              <w:spacing w:after="0"/>
              <w:jc w:val="center"/>
            </w:pPr>
            <w:r w:rsidRPr="00181EF3">
              <w:t>13.2</w:t>
            </w:r>
          </w:p>
          <w:p w14:paraId="4A6EBB67" w14:textId="77777777" w:rsidR="00370973" w:rsidRPr="00181EF3" w:rsidRDefault="00370973" w:rsidP="00EF58A1">
            <w:pPr>
              <w:pStyle w:val="TableText"/>
              <w:spacing w:before="0"/>
              <w:ind w:left="-28" w:right="-28"/>
              <w:jc w:val="center"/>
            </w:pPr>
            <w:r w:rsidRPr="00181EF3">
              <w:t>(11.7–14.9)</w:t>
            </w:r>
          </w:p>
        </w:tc>
        <w:tc>
          <w:tcPr>
            <w:tcW w:w="919" w:type="dxa"/>
            <w:tcBorders>
              <w:top w:val="single" w:sz="4" w:space="0" w:color="A6A6A6" w:themeColor="background1" w:themeShade="A6"/>
              <w:bottom w:val="single" w:sz="4" w:space="0" w:color="A6A6A6" w:themeColor="background1" w:themeShade="A6"/>
            </w:tcBorders>
            <w:vAlign w:val="center"/>
          </w:tcPr>
          <w:p w14:paraId="15183A5C" w14:textId="77777777" w:rsidR="00370973" w:rsidRPr="00181EF3" w:rsidRDefault="00370973" w:rsidP="00EF58A1">
            <w:pPr>
              <w:pStyle w:val="TableText"/>
              <w:spacing w:after="0"/>
              <w:jc w:val="center"/>
            </w:pPr>
            <w:r w:rsidRPr="00181EF3">
              <w:t>14.3</w:t>
            </w:r>
          </w:p>
          <w:p w14:paraId="5D838A07" w14:textId="77777777" w:rsidR="00370973" w:rsidRPr="00181EF3" w:rsidRDefault="00370973" w:rsidP="00EF58A1">
            <w:pPr>
              <w:pStyle w:val="TableText"/>
              <w:spacing w:before="0"/>
              <w:ind w:left="-28" w:right="-28"/>
              <w:jc w:val="center"/>
            </w:pPr>
            <w:r w:rsidRPr="00181EF3">
              <w:t>(13.2–15.5)</w:t>
            </w:r>
          </w:p>
        </w:tc>
      </w:tr>
    </w:tbl>
    <w:p w14:paraId="5ECCED26" w14:textId="77777777" w:rsidR="008A5642" w:rsidRDefault="00370973" w:rsidP="00370973">
      <w:pPr>
        <w:pStyle w:val="Note"/>
      </w:pPr>
      <w:r w:rsidRPr="00181EF3">
        <w:t>Notes:</w:t>
      </w:r>
    </w:p>
    <w:p w14:paraId="3F743354" w14:textId="1967C30A" w:rsidR="008A5642" w:rsidRDefault="00446D86" w:rsidP="000565DB">
      <w:pPr>
        <w:pStyle w:val="Note"/>
      </w:pPr>
      <w:r>
        <w:t>Figures are age-standardised to the 2001 Census total Māori population</w:t>
      </w:r>
      <w:r w:rsidR="00370973" w:rsidRPr="00181EF3">
        <w:t>.</w:t>
      </w:r>
    </w:p>
    <w:p w14:paraId="1823D390" w14:textId="76B2ABC2" w:rsidR="000565DB" w:rsidRPr="000565DB" w:rsidRDefault="000565DB" w:rsidP="000565DB">
      <w:pPr>
        <w:pStyle w:val="Note"/>
      </w:pPr>
      <w:r>
        <w:t>Prioritised ethnicity has been used.</w:t>
      </w:r>
    </w:p>
    <w:p w14:paraId="31780AE3" w14:textId="2C121D1D" w:rsidR="00370973" w:rsidRPr="00181EF3" w:rsidRDefault="00370973" w:rsidP="00EF58A1">
      <w:pPr>
        <w:pStyle w:val="Source"/>
      </w:pPr>
      <w:r w:rsidRPr="00181EF3">
        <w:t>Source: New Zealand Health Survey (NZHS)</w:t>
      </w:r>
      <w:r w:rsidR="007977F4">
        <w:t xml:space="preserve">, </w:t>
      </w:r>
      <w:r w:rsidR="007977F4" w:rsidRPr="00181EF3">
        <w:t>Ministry of Health</w:t>
      </w:r>
      <w:r w:rsidRPr="00181EF3">
        <w:t xml:space="preserve">, </w:t>
      </w:r>
      <w:r w:rsidR="00CD34CF">
        <w:t>2006/07 and 2011/12</w:t>
      </w:r>
      <w:r w:rsidRPr="00181EF3">
        <w:t>.</w:t>
      </w:r>
    </w:p>
    <w:p w14:paraId="65467C8E" w14:textId="77777777" w:rsidR="00370973" w:rsidRPr="00181EF3" w:rsidRDefault="00370973" w:rsidP="00370973"/>
    <w:p w14:paraId="5C254879" w14:textId="0B91A264" w:rsidR="00370973" w:rsidRDefault="00370973" w:rsidP="00370973">
      <w:r w:rsidRPr="00181EF3">
        <w:t>Table 1</w:t>
      </w:r>
      <w:r w:rsidR="000565DB">
        <w:t>2</w:t>
      </w:r>
      <w:r w:rsidRPr="00181EF3">
        <w:t xml:space="preserve"> shows, overall, Māori adults were more than 1½ times as likely as </w:t>
      </w:r>
      <w:r w:rsidR="00EC03A3">
        <w:t>non</w:t>
      </w:r>
      <w:r w:rsidR="00EC03A3">
        <w:noBreakHyphen/>
        <w:t>M</w:t>
      </w:r>
      <w:r w:rsidRPr="00181EF3">
        <w:t xml:space="preserve">āori to report ever experiencing racial discrimination (age-standardised rate ratio (RR) 1.65 in 2006/07 and 1.84 in 2011/12). Between 2006/07 and 2011/12, the percentage of Māori adults who have experienced racial discrimination remained constant and the percentage of </w:t>
      </w:r>
      <w:r w:rsidR="00EC03A3">
        <w:t>non</w:t>
      </w:r>
      <w:r w:rsidR="00EC03A3">
        <w:noBreakHyphen/>
        <w:t>M</w:t>
      </w:r>
      <w:r w:rsidRPr="00181EF3">
        <w:t>āori adults who experienced racial discrimination decreased (18.2 percent to 14.3 percent).</w:t>
      </w:r>
    </w:p>
    <w:p w14:paraId="282D02FD" w14:textId="77777777" w:rsidR="00370973" w:rsidRPr="00181EF3" w:rsidRDefault="00370973" w:rsidP="00370973"/>
    <w:p w14:paraId="61D85FED" w14:textId="77777777" w:rsidR="00370973" w:rsidRPr="00181EF3" w:rsidRDefault="00370973" w:rsidP="000565DB">
      <w:pPr>
        <w:pStyle w:val="Heading3"/>
      </w:pPr>
      <w:bookmarkStart w:id="48" w:name="_Toc19102297"/>
      <w:r w:rsidRPr="00181EF3">
        <w:lastRenderedPageBreak/>
        <w:t>Ethnically motivated personal attack</w:t>
      </w:r>
      <w:bookmarkEnd w:id="48"/>
    </w:p>
    <w:p w14:paraId="44E4F3E5" w14:textId="09658728" w:rsidR="00370973" w:rsidRPr="00181EF3" w:rsidRDefault="00370973" w:rsidP="00370973">
      <w:pPr>
        <w:pStyle w:val="Table"/>
      </w:pPr>
      <w:bookmarkStart w:id="49" w:name="_Toc18594753"/>
      <w:r w:rsidRPr="00181EF3">
        <w:t xml:space="preserve">Table </w:t>
      </w:r>
      <w:r w:rsidR="000565DB">
        <w:t>13</w:t>
      </w:r>
      <w:r w:rsidRPr="00181EF3">
        <w:t xml:space="preserve">: Self-reported experience of ethnically motivated personal attack, by gender, Māori and </w:t>
      </w:r>
      <w:r w:rsidR="00EC03A3">
        <w:t>non</w:t>
      </w:r>
      <w:r w:rsidR="00EC03A3">
        <w:noBreakHyphen/>
        <w:t>M</w:t>
      </w:r>
      <w:r w:rsidRPr="00181EF3">
        <w:t>āori, 2006/07 to 2016/17</w:t>
      </w:r>
      <w:bookmarkEnd w:id="49"/>
    </w:p>
    <w:tbl>
      <w:tblPr>
        <w:tblW w:w="8080" w:type="dxa"/>
        <w:tblInd w:w="57" w:type="dxa"/>
        <w:tblLayout w:type="fixed"/>
        <w:tblCellMar>
          <w:left w:w="57" w:type="dxa"/>
          <w:right w:w="57" w:type="dxa"/>
        </w:tblCellMar>
        <w:tblLook w:val="04A0" w:firstRow="1" w:lastRow="0" w:firstColumn="1" w:lastColumn="0" w:noHBand="0" w:noVBand="1"/>
      </w:tblPr>
      <w:tblGrid>
        <w:gridCol w:w="1701"/>
        <w:gridCol w:w="851"/>
        <w:gridCol w:w="921"/>
        <w:gridCol w:w="921"/>
        <w:gridCol w:w="922"/>
        <w:gridCol w:w="921"/>
        <w:gridCol w:w="921"/>
        <w:gridCol w:w="922"/>
      </w:tblGrid>
      <w:tr w:rsidR="00370973" w:rsidRPr="00181EF3" w14:paraId="1AA09286" w14:textId="77777777" w:rsidTr="00370973">
        <w:trPr>
          <w:cantSplit/>
        </w:trPr>
        <w:tc>
          <w:tcPr>
            <w:tcW w:w="1701" w:type="dxa"/>
            <w:vMerge w:val="restart"/>
            <w:shd w:val="clear" w:color="auto" w:fill="D9D9D9" w:themeFill="background1" w:themeFillShade="D9"/>
          </w:tcPr>
          <w:p w14:paraId="1E6D6824" w14:textId="77777777" w:rsidR="00370973" w:rsidRPr="00181EF3" w:rsidRDefault="00370973" w:rsidP="00EF58A1">
            <w:pPr>
              <w:pStyle w:val="TableText"/>
              <w:keepNext/>
              <w:rPr>
                <w:b/>
              </w:rPr>
            </w:pPr>
            <w:r w:rsidRPr="00181EF3">
              <w:rPr>
                <w:b/>
              </w:rPr>
              <w:t>Indicator</w:t>
            </w:r>
          </w:p>
        </w:tc>
        <w:tc>
          <w:tcPr>
            <w:tcW w:w="851" w:type="dxa"/>
            <w:vMerge w:val="restart"/>
            <w:tcBorders>
              <w:right w:val="single" w:sz="4" w:space="0" w:color="A6A6A6" w:themeColor="background1" w:themeShade="A6"/>
            </w:tcBorders>
            <w:shd w:val="clear" w:color="auto" w:fill="D9D9D9" w:themeFill="background1" w:themeFillShade="D9"/>
          </w:tcPr>
          <w:p w14:paraId="6640FFA6" w14:textId="77777777" w:rsidR="00370973" w:rsidRPr="00181EF3" w:rsidRDefault="00370973" w:rsidP="00EF58A1">
            <w:pPr>
              <w:pStyle w:val="TableText"/>
              <w:keepNext/>
              <w:jc w:val="center"/>
              <w:rPr>
                <w:b/>
              </w:rPr>
            </w:pPr>
            <w:r w:rsidRPr="00181EF3">
              <w:rPr>
                <w:b/>
              </w:rPr>
              <w:t>Year</w:t>
            </w:r>
          </w:p>
        </w:tc>
        <w:tc>
          <w:tcPr>
            <w:tcW w:w="2764" w:type="dxa"/>
            <w:gridSpan w:val="3"/>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669C6396" w14:textId="77777777" w:rsidR="00370973" w:rsidRPr="00181EF3" w:rsidRDefault="00370973" w:rsidP="00EF58A1">
            <w:pPr>
              <w:pStyle w:val="TableText"/>
              <w:keepNext/>
              <w:jc w:val="center"/>
              <w:rPr>
                <w:b/>
              </w:rPr>
            </w:pPr>
            <w:r w:rsidRPr="00181EF3">
              <w:rPr>
                <w:b/>
              </w:rPr>
              <w:t>Māori</w:t>
            </w:r>
          </w:p>
        </w:tc>
        <w:tc>
          <w:tcPr>
            <w:tcW w:w="2764" w:type="dxa"/>
            <w:gridSpan w:val="3"/>
            <w:tcBorders>
              <w:left w:val="single" w:sz="4" w:space="0" w:color="A6A6A6" w:themeColor="background1" w:themeShade="A6"/>
            </w:tcBorders>
            <w:shd w:val="clear" w:color="auto" w:fill="D9D9D9" w:themeFill="background1" w:themeFillShade="D9"/>
          </w:tcPr>
          <w:p w14:paraId="18A55AFE" w14:textId="1A67948F" w:rsidR="00370973" w:rsidRPr="00181EF3" w:rsidRDefault="00EC03A3" w:rsidP="00EF58A1">
            <w:pPr>
              <w:pStyle w:val="TableText"/>
              <w:keepNext/>
              <w:jc w:val="center"/>
              <w:rPr>
                <w:b/>
              </w:rPr>
            </w:pPr>
            <w:r>
              <w:rPr>
                <w:b/>
              </w:rPr>
              <w:t>Non</w:t>
            </w:r>
            <w:r>
              <w:rPr>
                <w:b/>
              </w:rPr>
              <w:noBreakHyphen/>
              <w:t>M</w:t>
            </w:r>
            <w:r w:rsidR="00370973" w:rsidRPr="00181EF3">
              <w:rPr>
                <w:b/>
              </w:rPr>
              <w:t>āori</w:t>
            </w:r>
          </w:p>
        </w:tc>
      </w:tr>
      <w:tr w:rsidR="00370973" w:rsidRPr="00181EF3" w14:paraId="63F2EA21" w14:textId="77777777" w:rsidTr="00370973">
        <w:trPr>
          <w:cantSplit/>
        </w:trPr>
        <w:tc>
          <w:tcPr>
            <w:tcW w:w="1701" w:type="dxa"/>
            <w:vMerge/>
            <w:shd w:val="clear" w:color="auto" w:fill="D9D9D9" w:themeFill="background1" w:themeFillShade="D9"/>
          </w:tcPr>
          <w:p w14:paraId="1D21E6C3" w14:textId="77777777" w:rsidR="00370973" w:rsidRPr="00181EF3" w:rsidRDefault="00370973" w:rsidP="00370973">
            <w:pPr>
              <w:pStyle w:val="TableText"/>
              <w:rPr>
                <w:b/>
              </w:rPr>
            </w:pPr>
          </w:p>
        </w:tc>
        <w:tc>
          <w:tcPr>
            <w:tcW w:w="851" w:type="dxa"/>
            <w:vMerge/>
            <w:tcBorders>
              <w:right w:val="single" w:sz="4" w:space="0" w:color="A6A6A6" w:themeColor="background1" w:themeShade="A6"/>
            </w:tcBorders>
            <w:shd w:val="clear" w:color="auto" w:fill="D9D9D9" w:themeFill="background1" w:themeFillShade="D9"/>
          </w:tcPr>
          <w:p w14:paraId="389E96A4" w14:textId="77777777" w:rsidR="00370973" w:rsidRPr="00181EF3" w:rsidRDefault="00370973" w:rsidP="00370973">
            <w:pPr>
              <w:pStyle w:val="TableText"/>
              <w:jc w:val="center"/>
              <w:rPr>
                <w:b/>
              </w:rPr>
            </w:pPr>
          </w:p>
        </w:tc>
        <w:tc>
          <w:tcPr>
            <w:tcW w:w="921" w:type="dxa"/>
            <w:tcBorders>
              <w:left w:val="single" w:sz="4" w:space="0" w:color="A6A6A6" w:themeColor="background1" w:themeShade="A6"/>
            </w:tcBorders>
            <w:shd w:val="clear" w:color="auto" w:fill="D9D9D9" w:themeFill="background1" w:themeFillShade="D9"/>
          </w:tcPr>
          <w:p w14:paraId="3705D637" w14:textId="77777777" w:rsidR="00370973" w:rsidRPr="00181EF3" w:rsidRDefault="00370973" w:rsidP="00370973">
            <w:pPr>
              <w:pStyle w:val="TableText"/>
              <w:spacing w:before="0"/>
              <w:jc w:val="center"/>
              <w:rPr>
                <w:b/>
              </w:rPr>
            </w:pPr>
            <w:r w:rsidRPr="00181EF3">
              <w:rPr>
                <w:b/>
              </w:rPr>
              <w:t>Male</w:t>
            </w:r>
          </w:p>
        </w:tc>
        <w:tc>
          <w:tcPr>
            <w:tcW w:w="921" w:type="dxa"/>
            <w:shd w:val="clear" w:color="auto" w:fill="D9D9D9" w:themeFill="background1" w:themeFillShade="D9"/>
          </w:tcPr>
          <w:p w14:paraId="75F7BE24" w14:textId="77777777" w:rsidR="00370973" w:rsidRPr="00181EF3" w:rsidRDefault="00370973" w:rsidP="00370973">
            <w:pPr>
              <w:pStyle w:val="TableText"/>
              <w:spacing w:before="0"/>
              <w:jc w:val="center"/>
              <w:rPr>
                <w:b/>
              </w:rPr>
            </w:pPr>
            <w:r w:rsidRPr="00181EF3">
              <w:rPr>
                <w:b/>
              </w:rPr>
              <w:t>Female</w:t>
            </w:r>
          </w:p>
        </w:tc>
        <w:tc>
          <w:tcPr>
            <w:tcW w:w="922" w:type="dxa"/>
            <w:tcBorders>
              <w:right w:val="single" w:sz="4" w:space="0" w:color="A6A6A6" w:themeColor="background1" w:themeShade="A6"/>
            </w:tcBorders>
            <w:shd w:val="clear" w:color="auto" w:fill="D9D9D9" w:themeFill="background1" w:themeFillShade="D9"/>
          </w:tcPr>
          <w:p w14:paraId="3C4653D4" w14:textId="77777777" w:rsidR="00370973" w:rsidRPr="00181EF3" w:rsidRDefault="00370973" w:rsidP="00370973">
            <w:pPr>
              <w:pStyle w:val="TableText"/>
              <w:spacing w:before="0"/>
              <w:jc w:val="center"/>
              <w:rPr>
                <w:b/>
              </w:rPr>
            </w:pPr>
            <w:r w:rsidRPr="00181EF3">
              <w:rPr>
                <w:b/>
              </w:rPr>
              <w:t>Total</w:t>
            </w:r>
          </w:p>
        </w:tc>
        <w:tc>
          <w:tcPr>
            <w:tcW w:w="921" w:type="dxa"/>
            <w:tcBorders>
              <w:left w:val="single" w:sz="4" w:space="0" w:color="A6A6A6" w:themeColor="background1" w:themeShade="A6"/>
            </w:tcBorders>
            <w:shd w:val="clear" w:color="auto" w:fill="D9D9D9" w:themeFill="background1" w:themeFillShade="D9"/>
          </w:tcPr>
          <w:p w14:paraId="710AC374" w14:textId="77777777" w:rsidR="00370973" w:rsidRPr="00181EF3" w:rsidRDefault="00370973" w:rsidP="00370973">
            <w:pPr>
              <w:pStyle w:val="TableText"/>
              <w:spacing w:before="0"/>
              <w:jc w:val="center"/>
              <w:rPr>
                <w:b/>
              </w:rPr>
            </w:pPr>
            <w:r w:rsidRPr="00181EF3">
              <w:rPr>
                <w:b/>
              </w:rPr>
              <w:t>Male</w:t>
            </w:r>
          </w:p>
        </w:tc>
        <w:tc>
          <w:tcPr>
            <w:tcW w:w="921" w:type="dxa"/>
            <w:shd w:val="clear" w:color="auto" w:fill="D9D9D9" w:themeFill="background1" w:themeFillShade="D9"/>
          </w:tcPr>
          <w:p w14:paraId="44F9385E" w14:textId="77777777" w:rsidR="00370973" w:rsidRPr="00181EF3" w:rsidRDefault="00370973" w:rsidP="00370973">
            <w:pPr>
              <w:pStyle w:val="TableText"/>
              <w:spacing w:before="0"/>
              <w:jc w:val="center"/>
              <w:rPr>
                <w:b/>
              </w:rPr>
            </w:pPr>
            <w:r w:rsidRPr="00181EF3">
              <w:rPr>
                <w:b/>
              </w:rPr>
              <w:t>Female</w:t>
            </w:r>
          </w:p>
        </w:tc>
        <w:tc>
          <w:tcPr>
            <w:tcW w:w="922" w:type="dxa"/>
            <w:shd w:val="clear" w:color="auto" w:fill="D9D9D9" w:themeFill="background1" w:themeFillShade="D9"/>
          </w:tcPr>
          <w:p w14:paraId="27F45879" w14:textId="77777777" w:rsidR="00370973" w:rsidRPr="00181EF3" w:rsidRDefault="00370973" w:rsidP="00370973">
            <w:pPr>
              <w:pStyle w:val="TableText"/>
              <w:spacing w:before="0"/>
              <w:jc w:val="center"/>
              <w:rPr>
                <w:b/>
              </w:rPr>
            </w:pPr>
            <w:r w:rsidRPr="00181EF3">
              <w:rPr>
                <w:b/>
              </w:rPr>
              <w:t>Total</w:t>
            </w:r>
          </w:p>
        </w:tc>
      </w:tr>
      <w:tr w:rsidR="00370973" w:rsidRPr="00181EF3" w14:paraId="2BC5418B" w14:textId="77777777" w:rsidTr="00370973">
        <w:trPr>
          <w:cantSplit/>
        </w:trPr>
        <w:tc>
          <w:tcPr>
            <w:tcW w:w="1701" w:type="dxa"/>
            <w:vMerge w:val="restart"/>
          </w:tcPr>
          <w:p w14:paraId="790CDB76" w14:textId="77777777" w:rsidR="00370973" w:rsidRPr="00181EF3" w:rsidRDefault="00370973" w:rsidP="00370973">
            <w:pPr>
              <w:pStyle w:val="TableText"/>
              <w:rPr>
                <w:spacing w:val="-2"/>
              </w:rPr>
            </w:pPr>
            <w:r w:rsidRPr="00181EF3">
              <w:rPr>
                <w:spacing w:val="-2"/>
              </w:rPr>
              <w:t>Self-reported experience of any ethnically motivated personal (physical or verbal) attack (ever), 15+ years, percentage</w:t>
            </w:r>
          </w:p>
        </w:tc>
        <w:tc>
          <w:tcPr>
            <w:tcW w:w="851" w:type="dxa"/>
            <w:tcBorders>
              <w:bottom w:val="single" w:sz="4" w:space="0" w:color="A6A6A6" w:themeColor="background1" w:themeShade="A6"/>
              <w:right w:val="single" w:sz="4" w:space="0" w:color="A6A6A6" w:themeColor="background1" w:themeShade="A6"/>
            </w:tcBorders>
          </w:tcPr>
          <w:p w14:paraId="7D4C3826" w14:textId="77777777" w:rsidR="00370973" w:rsidRPr="00181EF3" w:rsidRDefault="00370973" w:rsidP="00370973">
            <w:pPr>
              <w:pStyle w:val="TableText"/>
              <w:jc w:val="center"/>
            </w:pPr>
            <w:r w:rsidRPr="00181EF3">
              <w:t>2006/07</w:t>
            </w:r>
          </w:p>
        </w:tc>
        <w:tc>
          <w:tcPr>
            <w:tcW w:w="921" w:type="dxa"/>
            <w:tcBorders>
              <w:left w:val="single" w:sz="4" w:space="0" w:color="A6A6A6" w:themeColor="background1" w:themeShade="A6"/>
              <w:bottom w:val="single" w:sz="4" w:space="0" w:color="A6A6A6" w:themeColor="background1" w:themeShade="A6"/>
            </w:tcBorders>
          </w:tcPr>
          <w:p w14:paraId="7012F46D" w14:textId="77777777" w:rsidR="00370973" w:rsidRPr="00181EF3" w:rsidRDefault="00370973" w:rsidP="00370973">
            <w:pPr>
              <w:pStyle w:val="TableText"/>
              <w:spacing w:after="0"/>
              <w:ind w:left="-28" w:right="-28"/>
              <w:jc w:val="center"/>
            </w:pPr>
            <w:r w:rsidRPr="00181EF3">
              <w:t>24.1</w:t>
            </w:r>
          </w:p>
          <w:p w14:paraId="2237E5B9" w14:textId="77777777" w:rsidR="00370973" w:rsidRPr="00181EF3" w:rsidRDefault="00370973" w:rsidP="00370973">
            <w:pPr>
              <w:pStyle w:val="TableText"/>
              <w:spacing w:before="0"/>
              <w:ind w:left="-28" w:right="-28"/>
              <w:jc w:val="center"/>
            </w:pPr>
            <w:r w:rsidRPr="00181EF3">
              <w:t>(20.9–27.6)</w:t>
            </w:r>
          </w:p>
        </w:tc>
        <w:tc>
          <w:tcPr>
            <w:tcW w:w="921" w:type="dxa"/>
            <w:tcBorders>
              <w:bottom w:val="single" w:sz="4" w:space="0" w:color="A6A6A6" w:themeColor="background1" w:themeShade="A6"/>
            </w:tcBorders>
          </w:tcPr>
          <w:p w14:paraId="5574A1E1" w14:textId="77777777" w:rsidR="00370973" w:rsidRPr="00181EF3" w:rsidRDefault="00370973" w:rsidP="00370973">
            <w:pPr>
              <w:pStyle w:val="TableText"/>
              <w:spacing w:after="0"/>
              <w:ind w:left="-28" w:right="-28"/>
              <w:jc w:val="center"/>
            </w:pPr>
            <w:r w:rsidRPr="00181EF3">
              <w:t>24.1</w:t>
            </w:r>
          </w:p>
          <w:p w14:paraId="76730D00" w14:textId="77777777" w:rsidR="00370973" w:rsidRPr="00181EF3" w:rsidRDefault="00370973" w:rsidP="00370973">
            <w:pPr>
              <w:pStyle w:val="TableText"/>
              <w:spacing w:before="0"/>
              <w:ind w:left="-28" w:right="-28"/>
              <w:jc w:val="center"/>
            </w:pPr>
            <w:r w:rsidRPr="00181EF3">
              <w:t>(21.7–26.6)</w:t>
            </w:r>
          </w:p>
        </w:tc>
        <w:tc>
          <w:tcPr>
            <w:tcW w:w="922" w:type="dxa"/>
            <w:tcBorders>
              <w:bottom w:val="single" w:sz="4" w:space="0" w:color="A6A6A6" w:themeColor="background1" w:themeShade="A6"/>
              <w:right w:val="single" w:sz="4" w:space="0" w:color="A6A6A6" w:themeColor="background1" w:themeShade="A6"/>
            </w:tcBorders>
          </w:tcPr>
          <w:p w14:paraId="36C6B827" w14:textId="77777777" w:rsidR="00370973" w:rsidRPr="00181EF3" w:rsidRDefault="00370973" w:rsidP="00370973">
            <w:pPr>
              <w:pStyle w:val="TableText"/>
              <w:spacing w:after="0"/>
              <w:ind w:left="-28" w:right="-28"/>
              <w:jc w:val="center"/>
            </w:pPr>
            <w:r w:rsidRPr="00181EF3">
              <w:t>24.0</w:t>
            </w:r>
          </w:p>
          <w:p w14:paraId="00939374" w14:textId="77777777" w:rsidR="00370973" w:rsidRPr="00181EF3" w:rsidRDefault="00370973" w:rsidP="00370973">
            <w:pPr>
              <w:pStyle w:val="TableText"/>
              <w:spacing w:before="0"/>
              <w:ind w:left="-28" w:right="-28"/>
              <w:jc w:val="center"/>
            </w:pPr>
            <w:r w:rsidRPr="00181EF3">
              <w:t>(22.0–26.3)</w:t>
            </w:r>
          </w:p>
        </w:tc>
        <w:tc>
          <w:tcPr>
            <w:tcW w:w="921" w:type="dxa"/>
            <w:tcBorders>
              <w:left w:val="single" w:sz="4" w:space="0" w:color="A6A6A6" w:themeColor="background1" w:themeShade="A6"/>
              <w:bottom w:val="single" w:sz="4" w:space="0" w:color="A6A6A6" w:themeColor="background1" w:themeShade="A6"/>
            </w:tcBorders>
          </w:tcPr>
          <w:p w14:paraId="388C701B" w14:textId="77777777" w:rsidR="00370973" w:rsidRPr="00181EF3" w:rsidRDefault="00370973" w:rsidP="00370973">
            <w:pPr>
              <w:pStyle w:val="TableText"/>
              <w:spacing w:after="0"/>
              <w:ind w:left="-28" w:right="-28"/>
              <w:jc w:val="center"/>
            </w:pPr>
            <w:r w:rsidRPr="00181EF3">
              <w:t>17.9</w:t>
            </w:r>
          </w:p>
          <w:p w14:paraId="7EB580AA" w14:textId="77777777" w:rsidR="00370973" w:rsidRPr="00181EF3" w:rsidRDefault="00370973" w:rsidP="00370973">
            <w:pPr>
              <w:pStyle w:val="TableText"/>
              <w:spacing w:before="0"/>
              <w:ind w:left="-28" w:right="-28"/>
              <w:jc w:val="center"/>
            </w:pPr>
            <w:r w:rsidRPr="00181EF3">
              <w:t>(16.1–19.7)</w:t>
            </w:r>
          </w:p>
        </w:tc>
        <w:tc>
          <w:tcPr>
            <w:tcW w:w="921" w:type="dxa"/>
            <w:tcBorders>
              <w:bottom w:val="single" w:sz="4" w:space="0" w:color="A6A6A6" w:themeColor="background1" w:themeShade="A6"/>
            </w:tcBorders>
          </w:tcPr>
          <w:p w14:paraId="141602A8" w14:textId="77777777" w:rsidR="00370973" w:rsidRPr="00181EF3" w:rsidRDefault="00370973" w:rsidP="00370973">
            <w:pPr>
              <w:pStyle w:val="TableText"/>
              <w:spacing w:after="0"/>
              <w:ind w:left="-28" w:right="-28"/>
              <w:jc w:val="center"/>
            </w:pPr>
            <w:r w:rsidRPr="00181EF3">
              <w:t>13.3</w:t>
            </w:r>
          </w:p>
          <w:p w14:paraId="2B70951D" w14:textId="77777777" w:rsidR="00370973" w:rsidRPr="00181EF3" w:rsidRDefault="00370973" w:rsidP="00370973">
            <w:pPr>
              <w:pStyle w:val="TableText"/>
              <w:spacing w:before="0"/>
              <w:ind w:left="-28" w:right="-28"/>
              <w:jc w:val="center"/>
            </w:pPr>
            <w:r w:rsidRPr="00181EF3">
              <w:t>(12.0–14.7)</w:t>
            </w:r>
          </w:p>
        </w:tc>
        <w:tc>
          <w:tcPr>
            <w:tcW w:w="922" w:type="dxa"/>
            <w:tcBorders>
              <w:bottom w:val="single" w:sz="4" w:space="0" w:color="A6A6A6" w:themeColor="background1" w:themeShade="A6"/>
            </w:tcBorders>
          </w:tcPr>
          <w:p w14:paraId="19154836" w14:textId="77777777" w:rsidR="00370973" w:rsidRPr="00181EF3" w:rsidRDefault="00370973" w:rsidP="00370973">
            <w:pPr>
              <w:pStyle w:val="TableText"/>
              <w:spacing w:after="0"/>
              <w:ind w:left="-28" w:right="-28"/>
              <w:jc w:val="center"/>
            </w:pPr>
            <w:r w:rsidRPr="00181EF3">
              <w:t>15.5</w:t>
            </w:r>
          </w:p>
          <w:p w14:paraId="60800ED1" w14:textId="77777777" w:rsidR="00370973" w:rsidRPr="00181EF3" w:rsidRDefault="00370973" w:rsidP="00370973">
            <w:pPr>
              <w:pStyle w:val="TableText"/>
              <w:spacing w:before="0"/>
              <w:ind w:left="-28" w:right="-28"/>
              <w:jc w:val="center"/>
            </w:pPr>
            <w:r w:rsidRPr="00181EF3">
              <w:t>(14.5–16.6)</w:t>
            </w:r>
          </w:p>
        </w:tc>
      </w:tr>
      <w:tr w:rsidR="00370973" w:rsidRPr="00181EF3" w14:paraId="762EFB99" w14:textId="77777777" w:rsidTr="00370973">
        <w:trPr>
          <w:cantSplit/>
        </w:trPr>
        <w:tc>
          <w:tcPr>
            <w:tcW w:w="1701" w:type="dxa"/>
            <w:vMerge/>
          </w:tcPr>
          <w:p w14:paraId="49702E43" w14:textId="77777777" w:rsidR="00370973" w:rsidRPr="00181EF3" w:rsidRDefault="00370973" w:rsidP="00370973">
            <w:pPr>
              <w:pStyle w:val="TableText"/>
              <w:rPr>
                <w:spacing w:val="-2"/>
              </w:rPr>
            </w:pPr>
          </w:p>
        </w:tc>
        <w:tc>
          <w:tcPr>
            <w:tcW w:w="851"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FABA617" w14:textId="77777777" w:rsidR="00370973" w:rsidRPr="00181EF3" w:rsidRDefault="00370973" w:rsidP="00370973">
            <w:pPr>
              <w:pStyle w:val="TableText"/>
              <w:jc w:val="center"/>
            </w:pPr>
            <w:r w:rsidRPr="00181EF3">
              <w:t>2011/12</w:t>
            </w:r>
          </w:p>
        </w:tc>
        <w:tc>
          <w:tcPr>
            <w:tcW w:w="92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70FB3D2" w14:textId="77777777" w:rsidR="00370973" w:rsidRPr="00181EF3" w:rsidRDefault="00370973" w:rsidP="00370973">
            <w:pPr>
              <w:pStyle w:val="TableText"/>
              <w:spacing w:after="0"/>
              <w:ind w:left="-28" w:right="-28"/>
              <w:jc w:val="center"/>
            </w:pPr>
            <w:r w:rsidRPr="00181EF3">
              <w:t>26.3</w:t>
            </w:r>
          </w:p>
          <w:p w14:paraId="207255AF" w14:textId="77777777" w:rsidR="00370973" w:rsidRPr="00181EF3" w:rsidRDefault="00370973" w:rsidP="00370973">
            <w:pPr>
              <w:pStyle w:val="TableText"/>
              <w:spacing w:before="0"/>
              <w:ind w:left="-28" w:right="-28"/>
              <w:jc w:val="center"/>
            </w:pPr>
            <w:r w:rsidRPr="00181EF3">
              <w:t>(22.3–30.7)</w:t>
            </w:r>
          </w:p>
        </w:tc>
        <w:tc>
          <w:tcPr>
            <w:tcW w:w="921" w:type="dxa"/>
            <w:tcBorders>
              <w:top w:val="single" w:sz="4" w:space="0" w:color="A6A6A6" w:themeColor="background1" w:themeShade="A6"/>
              <w:bottom w:val="single" w:sz="4" w:space="0" w:color="A6A6A6" w:themeColor="background1" w:themeShade="A6"/>
            </w:tcBorders>
          </w:tcPr>
          <w:p w14:paraId="5D4DDE9C" w14:textId="77777777" w:rsidR="00370973" w:rsidRPr="00181EF3" w:rsidRDefault="00370973" w:rsidP="00370973">
            <w:pPr>
              <w:pStyle w:val="TableText"/>
              <w:spacing w:after="0"/>
              <w:ind w:left="-28" w:right="-28"/>
              <w:jc w:val="center"/>
            </w:pPr>
            <w:r w:rsidRPr="00181EF3">
              <w:t>18.6</w:t>
            </w:r>
          </w:p>
          <w:p w14:paraId="0F61DDD1" w14:textId="77777777" w:rsidR="00370973" w:rsidRPr="00181EF3" w:rsidRDefault="00370973" w:rsidP="00370973">
            <w:pPr>
              <w:pStyle w:val="TableText"/>
              <w:spacing w:before="0"/>
              <w:ind w:left="-28" w:right="-28"/>
              <w:jc w:val="center"/>
            </w:pPr>
            <w:r w:rsidRPr="00181EF3">
              <w:t>(15.9–21.6)</w:t>
            </w:r>
          </w:p>
        </w:tc>
        <w:tc>
          <w:tcPr>
            <w:tcW w:w="922"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88757EB" w14:textId="77777777" w:rsidR="00370973" w:rsidRPr="00181EF3" w:rsidRDefault="00370973" w:rsidP="00370973">
            <w:pPr>
              <w:pStyle w:val="TableText"/>
              <w:spacing w:after="0"/>
              <w:ind w:left="-28" w:right="-28"/>
              <w:jc w:val="center"/>
            </w:pPr>
            <w:r w:rsidRPr="00181EF3">
              <w:t>21.9</w:t>
            </w:r>
          </w:p>
          <w:p w14:paraId="3B44A6AB" w14:textId="77777777" w:rsidR="00370973" w:rsidRPr="00181EF3" w:rsidRDefault="00370973" w:rsidP="00370973">
            <w:pPr>
              <w:pStyle w:val="TableText"/>
              <w:spacing w:before="0"/>
              <w:ind w:left="-28" w:right="-28"/>
              <w:jc w:val="center"/>
            </w:pPr>
            <w:r w:rsidRPr="00181EF3">
              <w:t>(19.7–24.4)</w:t>
            </w:r>
          </w:p>
        </w:tc>
        <w:tc>
          <w:tcPr>
            <w:tcW w:w="92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3BAAEDC" w14:textId="77777777" w:rsidR="00370973" w:rsidRPr="00181EF3" w:rsidRDefault="00370973" w:rsidP="00370973">
            <w:pPr>
              <w:pStyle w:val="TableText"/>
              <w:spacing w:after="0"/>
              <w:ind w:left="-28" w:right="-28"/>
              <w:jc w:val="center"/>
            </w:pPr>
            <w:r w:rsidRPr="00181EF3">
              <w:t>13.7</w:t>
            </w:r>
          </w:p>
          <w:p w14:paraId="3BD3055D" w14:textId="77777777" w:rsidR="00370973" w:rsidRPr="00181EF3" w:rsidRDefault="00370973" w:rsidP="00370973">
            <w:pPr>
              <w:pStyle w:val="TableText"/>
              <w:spacing w:before="0"/>
              <w:ind w:left="-28" w:right="-28"/>
              <w:jc w:val="center"/>
            </w:pPr>
            <w:r w:rsidRPr="00181EF3">
              <w:t>(12.1–15.6)</w:t>
            </w:r>
          </w:p>
        </w:tc>
        <w:tc>
          <w:tcPr>
            <w:tcW w:w="921" w:type="dxa"/>
            <w:tcBorders>
              <w:top w:val="single" w:sz="4" w:space="0" w:color="A6A6A6" w:themeColor="background1" w:themeShade="A6"/>
              <w:bottom w:val="single" w:sz="4" w:space="0" w:color="A6A6A6" w:themeColor="background1" w:themeShade="A6"/>
            </w:tcBorders>
          </w:tcPr>
          <w:p w14:paraId="298199A7" w14:textId="77777777" w:rsidR="00370973" w:rsidRPr="00181EF3" w:rsidRDefault="00370973" w:rsidP="00370973">
            <w:pPr>
              <w:pStyle w:val="TableText"/>
              <w:spacing w:after="0"/>
              <w:ind w:left="-28" w:right="-28"/>
              <w:jc w:val="center"/>
            </w:pPr>
            <w:r w:rsidRPr="00181EF3">
              <w:t>11.3</w:t>
            </w:r>
          </w:p>
          <w:p w14:paraId="6BF05F7A" w14:textId="77777777" w:rsidR="00370973" w:rsidRPr="00181EF3" w:rsidRDefault="00370973" w:rsidP="00370973">
            <w:pPr>
              <w:pStyle w:val="TableText"/>
              <w:spacing w:before="0"/>
              <w:ind w:left="-28" w:right="-28"/>
              <w:jc w:val="center"/>
            </w:pPr>
            <w:r w:rsidRPr="00181EF3">
              <w:t>(9.9–12.9)</w:t>
            </w:r>
          </w:p>
        </w:tc>
        <w:tc>
          <w:tcPr>
            <w:tcW w:w="922" w:type="dxa"/>
            <w:tcBorders>
              <w:top w:val="single" w:sz="4" w:space="0" w:color="A6A6A6" w:themeColor="background1" w:themeShade="A6"/>
              <w:bottom w:val="single" w:sz="4" w:space="0" w:color="A6A6A6" w:themeColor="background1" w:themeShade="A6"/>
            </w:tcBorders>
          </w:tcPr>
          <w:p w14:paraId="7F8BB3EB" w14:textId="77777777" w:rsidR="00370973" w:rsidRPr="00181EF3" w:rsidRDefault="00370973" w:rsidP="00370973">
            <w:pPr>
              <w:pStyle w:val="TableText"/>
              <w:spacing w:after="0"/>
              <w:ind w:left="-28" w:right="-28"/>
              <w:jc w:val="center"/>
            </w:pPr>
            <w:r w:rsidRPr="00181EF3">
              <w:t>12.5</w:t>
            </w:r>
          </w:p>
          <w:p w14:paraId="2D822E17" w14:textId="77777777" w:rsidR="00370973" w:rsidRPr="00181EF3" w:rsidRDefault="00370973" w:rsidP="00370973">
            <w:pPr>
              <w:pStyle w:val="TableText"/>
              <w:spacing w:before="0"/>
              <w:ind w:left="-28" w:right="-28"/>
              <w:jc w:val="center"/>
            </w:pPr>
            <w:r w:rsidRPr="00181EF3">
              <w:t>(11.4–13.7)</w:t>
            </w:r>
          </w:p>
        </w:tc>
      </w:tr>
      <w:tr w:rsidR="00370973" w:rsidRPr="00181EF3" w14:paraId="2ACCCE94" w14:textId="77777777" w:rsidTr="00370973">
        <w:trPr>
          <w:cantSplit/>
        </w:trPr>
        <w:tc>
          <w:tcPr>
            <w:tcW w:w="1701" w:type="dxa"/>
            <w:vMerge/>
            <w:tcBorders>
              <w:bottom w:val="single" w:sz="4" w:space="0" w:color="A6A6A6" w:themeColor="background1" w:themeShade="A6"/>
            </w:tcBorders>
          </w:tcPr>
          <w:p w14:paraId="03771538" w14:textId="77777777" w:rsidR="00370973" w:rsidRPr="00181EF3" w:rsidRDefault="00370973" w:rsidP="00370973">
            <w:pPr>
              <w:pStyle w:val="TableText"/>
              <w:rPr>
                <w:spacing w:val="-2"/>
              </w:rPr>
            </w:pPr>
          </w:p>
        </w:tc>
        <w:tc>
          <w:tcPr>
            <w:tcW w:w="851"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A75C9E8" w14:textId="77777777" w:rsidR="00370973" w:rsidRPr="00181EF3" w:rsidRDefault="00370973" w:rsidP="00370973">
            <w:pPr>
              <w:pStyle w:val="TableText"/>
              <w:jc w:val="center"/>
            </w:pPr>
            <w:r w:rsidRPr="00181EF3">
              <w:t>2016/17</w:t>
            </w:r>
          </w:p>
        </w:tc>
        <w:tc>
          <w:tcPr>
            <w:tcW w:w="92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3CF8479" w14:textId="77777777" w:rsidR="00370973" w:rsidRPr="00181EF3" w:rsidRDefault="00370973" w:rsidP="00370973">
            <w:pPr>
              <w:pStyle w:val="TableText"/>
              <w:spacing w:after="0"/>
              <w:ind w:left="-28" w:right="-28"/>
              <w:jc w:val="center"/>
            </w:pPr>
            <w:r w:rsidRPr="00181EF3">
              <w:t>24.9</w:t>
            </w:r>
          </w:p>
          <w:p w14:paraId="2B1A02D4" w14:textId="77777777" w:rsidR="00370973" w:rsidRPr="00181EF3" w:rsidRDefault="00370973" w:rsidP="00370973">
            <w:pPr>
              <w:pStyle w:val="TableText"/>
              <w:spacing w:before="0"/>
              <w:ind w:left="-28" w:right="-28"/>
              <w:jc w:val="center"/>
            </w:pPr>
            <w:r w:rsidRPr="00181EF3">
              <w:t>(21.0–29.2)</w:t>
            </w:r>
          </w:p>
        </w:tc>
        <w:tc>
          <w:tcPr>
            <w:tcW w:w="921" w:type="dxa"/>
            <w:tcBorders>
              <w:top w:val="single" w:sz="4" w:space="0" w:color="A6A6A6" w:themeColor="background1" w:themeShade="A6"/>
              <w:bottom w:val="single" w:sz="4" w:space="0" w:color="A6A6A6" w:themeColor="background1" w:themeShade="A6"/>
            </w:tcBorders>
          </w:tcPr>
          <w:p w14:paraId="1FEB55EF" w14:textId="77777777" w:rsidR="00370973" w:rsidRPr="00181EF3" w:rsidRDefault="00370973" w:rsidP="00370973">
            <w:pPr>
              <w:pStyle w:val="TableText"/>
              <w:spacing w:after="0"/>
              <w:ind w:left="-28" w:right="-28"/>
              <w:jc w:val="center"/>
            </w:pPr>
            <w:r w:rsidRPr="00181EF3">
              <w:t>22.4</w:t>
            </w:r>
          </w:p>
          <w:p w14:paraId="224C8047" w14:textId="77777777" w:rsidR="00370973" w:rsidRPr="00181EF3" w:rsidRDefault="00370973" w:rsidP="00370973">
            <w:pPr>
              <w:pStyle w:val="TableText"/>
              <w:spacing w:before="0"/>
              <w:ind w:left="-28" w:right="-28"/>
              <w:jc w:val="center"/>
            </w:pPr>
            <w:r w:rsidRPr="00181EF3">
              <w:t>(19.7–25.2)</w:t>
            </w:r>
          </w:p>
        </w:tc>
        <w:tc>
          <w:tcPr>
            <w:tcW w:w="922"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BE1DE16" w14:textId="77777777" w:rsidR="00370973" w:rsidRPr="00181EF3" w:rsidRDefault="00370973" w:rsidP="00370973">
            <w:pPr>
              <w:pStyle w:val="TableText"/>
              <w:spacing w:after="0"/>
              <w:ind w:left="-28" w:right="-28"/>
              <w:jc w:val="center"/>
            </w:pPr>
            <w:r w:rsidRPr="00181EF3">
              <w:t>23.6</w:t>
            </w:r>
          </w:p>
          <w:p w14:paraId="5311D7F8" w14:textId="77777777" w:rsidR="00370973" w:rsidRPr="00181EF3" w:rsidRDefault="00370973" w:rsidP="00370973">
            <w:pPr>
              <w:pStyle w:val="TableText"/>
              <w:spacing w:before="0"/>
              <w:ind w:left="-28" w:right="-28"/>
              <w:jc w:val="center"/>
            </w:pPr>
            <w:r w:rsidRPr="00181EF3">
              <w:t>(21.4–25.9)</w:t>
            </w:r>
          </w:p>
        </w:tc>
        <w:tc>
          <w:tcPr>
            <w:tcW w:w="92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E97272C" w14:textId="77777777" w:rsidR="00370973" w:rsidRPr="00181EF3" w:rsidRDefault="00370973" w:rsidP="00370973">
            <w:pPr>
              <w:pStyle w:val="TableText"/>
              <w:spacing w:after="0"/>
              <w:ind w:left="-28" w:right="-28"/>
              <w:jc w:val="center"/>
            </w:pPr>
            <w:r w:rsidRPr="00181EF3">
              <w:t>16.7</w:t>
            </w:r>
          </w:p>
          <w:p w14:paraId="37C6BA45" w14:textId="77777777" w:rsidR="00370973" w:rsidRPr="00181EF3" w:rsidRDefault="00370973" w:rsidP="00370973">
            <w:pPr>
              <w:pStyle w:val="TableText"/>
              <w:spacing w:before="0"/>
              <w:ind w:left="-28" w:right="-28"/>
              <w:jc w:val="center"/>
            </w:pPr>
            <w:r w:rsidRPr="00181EF3">
              <w:t>(15.1–18.6)</w:t>
            </w:r>
          </w:p>
        </w:tc>
        <w:tc>
          <w:tcPr>
            <w:tcW w:w="921" w:type="dxa"/>
            <w:tcBorders>
              <w:top w:val="single" w:sz="4" w:space="0" w:color="A6A6A6" w:themeColor="background1" w:themeShade="A6"/>
              <w:bottom w:val="single" w:sz="4" w:space="0" w:color="A6A6A6" w:themeColor="background1" w:themeShade="A6"/>
            </w:tcBorders>
          </w:tcPr>
          <w:p w14:paraId="5DE4C97F" w14:textId="77777777" w:rsidR="00370973" w:rsidRPr="00181EF3" w:rsidRDefault="00370973" w:rsidP="00370973">
            <w:pPr>
              <w:pStyle w:val="TableText"/>
              <w:spacing w:after="0"/>
              <w:ind w:left="-28" w:right="-28"/>
              <w:jc w:val="center"/>
            </w:pPr>
            <w:r w:rsidRPr="00181EF3">
              <w:t>11.3</w:t>
            </w:r>
          </w:p>
          <w:p w14:paraId="2D130493" w14:textId="77777777" w:rsidR="00370973" w:rsidRPr="00181EF3" w:rsidRDefault="00370973" w:rsidP="00370973">
            <w:pPr>
              <w:pStyle w:val="TableText"/>
              <w:spacing w:before="0"/>
              <w:ind w:left="-28" w:right="-28"/>
              <w:jc w:val="center"/>
            </w:pPr>
            <w:r w:rsidRPr="00181EF3">
              <w:t>(10.1–12.5)</w:t>
            </w:r>
          </w:p>
        </w:tc>
        <w:tc>
          <w:tcPr>
            <w:tcW w:w="922" w:type="dxa"/>
            <w:tcBorders>
              <w:top w:val="single" w:sz="4" w:space="0" w:color="A6A6A6" w:themeColor="background1" w:themeShade="A6"/>
              <w:bottom w:val="single" w:sz="4" w:space="0" w:color="A6A6A6" w:themeColor="background1" w:themeShade="A6"/>
            </w:tcBorders>
          </w:tcPr>
          <w:p w14:paraId="4DA34368" w14:textId="77777777" w:rsidR="00370973" w:rsidRPr="00181EF3" w:rsidRDefault="00370973" w:rsidP="00370973">
            <w:pPr>
              <w:pStyle w:val="TableText"/>
              <w:spacing w:after="0"/>
              <w:ind w:left="-28" w:right="-28"/>
              <w:jc w:val="center"/>
            </w:pPr>
            <w:r w:rsidRPr="00181EF3">
              <w:t>14.0</w:t>
            </w:r>
          </w:p>
          <w:p w14:paraId="0B5DDBFA" w14:textId="77777777" w:rsidR="00370973" w:rsidRPr="00181EF3" w:rsidRDefault="00370973" w:rsidP="00370973">
            <w:pPr>
              <w:pStyle w:val="TableText"/>
              <w:spacing w:before="0"/>
              <w:ind w:left="-28" w:right="-28"/>
              <w:jc w:val="center"/>
            </w:pPr>
            <w:r w:rsidRPr="00181EF3">
              <w:t>(12.9–15.1)</w:t>
            </w:r>
          </w:p>
        </w:tc>
      </w:tr>
      <w:tr w:rsidR="00370973" w:rsidRPr="00181EF3" w14:paraId="64115447" w14:textId="77777777" w:rsidTr="00370973">
        <w:trPr>
          <w:cantSplit/>
        </w:trPr>
        <w:tc>
          <w:tcPr>
            <w:tcW w:w="1701" w:type="dxa"/>
            <w:vMerge w:val="restart"/>
            <w:tcBorders>
              <w:top w:val="single" w:sz="4" w:space="0" w:color="A6A6A6" w:themeColor="background1" w:themeShade="A6"/>
              <w:bottom w:val="single" w:sz="4" w:space="0" w:color="A6A6A6" w:themeColor="background1" w:themeShade="A6"/>
            </w:tcBorders>
          </w:tcPr>
          <w:p w14:paraId="0E1DC58E" w14:textId="77777777" w:rsidR="00370973" w:rsidRPr="00181EF3" w:rsidRDefault="00370973" w:rsidP="00370973">
            <w:pPr>
              <w:pStyle w:val="TableText"/>
              <w:rPr>
                <w:spacing w:val="-2"/>
              </w:rPr>
            </w:pPr>
            <w:r w:rsidRPr="00181EF3">
              <w:rPr>
                <w:spacing w:val="-2"/>
              </w:rPr>
              <w:t>Self-reported experience of any ethnically motivated personal physical attack (ever), 15+ years, percentage</w:t>
            </w:r>
          </w:p>
        </w:tc>
        <w:tc>
          <w:tcPr>
            <w:tcW w:w="851"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7309E7F" w14:textId="77777777" w:rsidR="00370973" w:rsidRPr="00181EF3" w:rsidRDefault="00370973" w:rsidP="00370973">
            <w:pPr>
              <w:pStyle w:val="TableText"/>
              <w:jc w:val="center"/>
            </w:pPr>
            <w:r w:rsidRPr="00181EF3">
              <w:t>2006/07</w:t>
            </w:r>
          </w:p>
        </w:tc>
        <w:tc>
          <w:tcPr>
            <w:tcW w:w="92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F3D33AC" w14:textId="77777777" w:rsidR="00370973" w:rsidRPr="00181EF3" w:rsidRDefault="00370973" w:rsidP="00370973">
            <w:pPr>
              <w:pStyle w:val="TableText"/>
              <w:spacing w:after="0"/>
              <w:ind w:left="-28" w:right="-28"/>
              <w:jc w:val="center"/>
            </w:pPr>
            <w:r w:rsidRPr="00181EF3">
              <w:t>7.3</w:t>
            </w:r>
          </w:p>
          <w:p w14:paraId="39F4168A" w14:textId="77777777" w:rsidR="00370973" w:rsidRPr="00181EF3" w:rsidRDefault="00370973" w:rsidP="00370973">
            <w:pPr>
              <w:pStyle w:val="TableText"/>
              <w:spacing w:before="0"/>
              <w:ind w:left="-28" w:right="-28"/>
              <w:jc w:val="center"/>
            </w:pPr>
            <w:r w:rsidRPr="00181EF3">
              <w:t>(5.4–9.7)</w:t>
            </w:r>
          </w:p>
        </w:tc>
        <w:tc>
          <w:tcPr>
            <w:tcW w:w="921" w:type="dxa"/>
            <w:tcBorders>
              <w:top w:val="single" w:sz="4" w:space="0" w:color="A6A6A6" w:themeColor="background1" w:themeShade="A6"/>
              <w:bottom w:val="single" w:sz="4" w:space="0" w:color="A6A6A6" w:themeColor="background1" w:themeShade="A6"/>
            </w:tcBorders>
          </w:tcPr>
          <w:p w14:paraId="641189CB" w14:textId="77777777" w:rsidR="00370973" w:rsidRPr="00181EF3" w:rsidRDefault="00370973" w:rsidP="00370973">
            <w:pPr>
              <w:pStyle w:val="TableText"/>
              <w:spacing w:after="0"/>
              <w:ind w:left="-28" w:right="-28"/>
              <w:jc w:val="center"/>
            </w:pPr>
            <w:r w:rsidRPr="00181EF3">
              <w:t>3.9</w:t>
            </w:r>
          </w:p>
          <w:p w14:paraId="0FE00C89" w14:textId="77777777" w:rsidR="00370973" w:rsidRPr="00181EF3" w:rsidRDefault="00370973" w:rsidP="00370973">
            <w:pPr>
              <w:pStyle w:val="TableText"/>
              <w:spacing w:before="0"/>
              <w:ind w:left="-28" w:right="-28"/>
              <w:jc w:val="center"/>
            </w:pPr>
            <w:r w:rsidRPr="00181EF3">
              <w:t>(3.0–5.0)</w:t>
            </w:r>
          </w:p>
        </w:tc>
        <w:tc>
          <w:tcPr>
            <w:tcW w:w="922"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14DAACE" w14:textId="77777777" w:rsidR="00370973" w:rsidRPr="00181EF3" w:rsidRDefault="00370973" w:rsidP="00370973">
            <w:pPr>
              <w:pStyle w:val="TableText"/>
              <w:spacing w:after="0"/>
              <w:ind w:left="-28" w:right="-28"/>
              <w:jc w:val="center"/>
            </w:pPr>
            <w:r w:rsidRPr="00181EF3">
              <w:t>5.5</w:t>
            </w:r>
          </w:p>
          <w:p w14:paraId="3B9E5BCE" w14:textId="77777777" w:rsidR="00370973" w:rsidRPr="00181EF3" w:rsidRDefault="00370973" w:rsidP="00370973">
            <w:pPr>
              <w:pStyle w:val="TableText"/>
              <w:spacing w:before="0"/>
              <w:ind w:left="-28" w:right="-28"/>
              <w:jc w:val="center"/>
            </w:pPr>
            <w:r w:rsidRPr="00181EF3">
              <w:t>(4.4–6.7)</w:t>
            </w:r>
          </w:p>
        </w:tc>
        <w:tc>
          <w:tcPr>
            <w:tcW w:w="92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534C5CD" w14:textId="77777777" w:rsidR="00370973" w:rsidRPr="00181EF3" w:rsidRDefault="00370973" w:rsidP="00370973">
            <w:pPr>
              <w:pStyle w:val="TableText"/>
              <w:spacing w:after="0"/>
              <w:ind w:left="-28" w:right="-28"/>
              <w:jc w:val="center"/>
            </w:pPr>
            <w:r w:rsidRPr="00181EF3">
              <w:t>5.1</w:t>
            </w:r>
          </w:p>
          <w:p w14:paraId="14952CC1" w14:textId="77777777" w:rsidR="00370973" w:rsidRPr="00181EF3" w:rsidRDefault="00370973" w:rsidP="00370973">
            <w:pPr>
              <w:pStyle w:val="TableText"/>
              <w:spacing w:before="0"/>
              <w:ind w:left="-28" w:right="-28"/>
              <w:jc w:val="center"/>
            </w:pPr>
            <w:r w:rsidRPr="00181EF3">
              <w:t>(4.2–6.2)</w:t>
            </w:r>
          </w:p>
        </w:tc>
        <w:tc>
          <w:tcPr>
            <w:tcW w:w="921" w:type="dxa"/>
            <w:tcBorders>
              <w:top w:val="single" w:sz="4" w:space="0" w:color="A6A6A6" w:themeColor="background1" w:themeShade="A6"/>
              <w:bottom w:val="single" w:sz="4" w:space="0" w:color="A6A6A6" w:themeColor="background1" w:themeShade="A6"/>
            </w:tcBorders>
          </w:tcPr>
          <w:p w14:paraId="39E2B571" w14:textId="77777777" w:rsidR="00370973" w:rsidRPr="00181EF3" w:rsidRDefault="00370973" w:rsidP="00370973">
            <w:pPr>
              <w:pStyle w:val="TableText"/>
              <w:spacing w:after="0"/>
              <w:ind w:left="-28" w:right="-28"/>
              <w:jc w:val="center"/>
            </w:pPr>
            <w:r w:rsidRPr="00181EF3">
              <w:t>1.9</w:t>
            </w:r>
          </w:p>
          <w:p w14:paraId="495774E9" w14:textId="77777777" w:rsidR="00370973" w:rsidRPr="00181EF3" w:rsidRDefault="00370973" w:rsidP="00370973">
            <w:pPr>
              <w:pStyle w:val="TableText"/>
              <w:spacing w:before="0"/>
              <w:ind w:left="-28" w:right="-28"/>
              <w:jc w:val="center"/>
            </w:pPr>
            <w:r w:rsidRPr="00181EF3">
              <w:t>(1.4–2.4)</w:t>
            </w:r>
          </w:p>
        </w:tc>
        <w:tc>
          <w:tcPr>
            <w:tcW w:w="922" w:type="dxa"/>
            <w:tcBorders>
              <w:top w:val="single" w:sz="4" w:space="0" w:color="A6A6A6" w:themeColor="background1" w:themeShade="A6"/>
              <w:bottom w:val="single" w:sz="4" w:space="0" w:color="A6A6A6" w:themeColor="background1" w:themeShade="A6"/>
            </w:tcBorders>
          </w:tcPr>
          <w:p w14:paraId="3B2CE5B6" w14:textId="77777777" w:rsidR="00370973" w:rsidRPr="00181EF3" w:rsidRDefault="00370973" w:rsidP="00370973">
            <w:pPr>
              <w:pStyle w:val="TableText"/>
              <w:spacing w:after="0"/>
              <w:ind w:left="-28" w:right="-28"/>
              <w:jc w:val="center"/>
            </w:pPr>
            <w:r w:rsidRPr="00181EF3">
              <w:t>3.5</w:t>
            </w:r>
          </w:p>
          <w:p w14:paraId="44755381" w14:textId="77777777" w:rsidR="00370973" w:rsidRPr="00181EF3" w:rsidRDefault="00370973" w:rsidP="00370973">
            <w:pPr>
              <w:pStyle w:val="TableText"/>
              <w:spacing w:before="0"/>
              <w:ind w:left="-28" w:right="-28"/>
              <w:jc w:val="center"/>
            </w:pPr>
            <w:r w:rsidRPr="00181EF3">
              <w:t>(3.0–4.0)</w:t>
            </w:r>
          </w:p>
        </w:tc>
      </w:tr>
      <w:tr w:rsidR="00370973" w:rsidRPr="00181EF3" w14:paraId="374E1CFD" w14:textId="77777777" w:rsidTr="00370973">
        <w:trPr>
          <w:cantSplit/>
        </w:trPr>
        <w:tc>
          <w:tcPr>
            <w:tcW w:w="1701" w:type="dxa"/>
            <w:vMerge/>
            <w:tcBorders>
              <w:top w:val="single" w:sz="4" w:space="0" w:color="A6A6A6" w:themeColor="background1" w:themeShade="A6"/>
              <w:bottom w:val="single" w:sz="4" w:space="0" w:color="A6A6A6" w:themeColor="background1" w:themeShade="A6"/>
            </w:tcBorders>
          </w:tcPr>
          <w:p w14:paraId="07DB0E86" w14:textId="77777777" w:rsidR="00370973" w:rsidRPr="00181EF3" w:rsidRDefault="00370973" w:rsidP="00370973">
            <w:pPr>
              <w:pStyle w:val="TableText"/>
              <w:rPr>
                <w:spacing w:val="-2"/>
              </w:rPr>
            </w:pPr>
          </w:p>
        </w:tc>
        <w:tc>
          <w:tcPr>
            <w:tcW w:w="851"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9C8DF47" w14:textId="77777777" w:rsidR="00370973" w:rsidRPr="00181EF3" w:rsidRDefault="00370973" w:rsidP="00370973">
            <w:pPr>
              <w:pStyle w:val="TableText"/>
              <w:jc w:val="center"/>
            </w:pPr>
            <w:r w:rsidRPr="00181EF3">
              <w:t>2011/12</w:t>
            </w:r>
          </w:p>
        </w:tc>
        <w:tc>
          <w:tcPr>
            <w:tcW w:w="92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A2A9444" w14:textId="77777777" w:rsidR="00370973" w:rsidRPr="00181EF3" w:rsidRDefault="00370973" w:rsidP="00370973">
            <w:pPr>
              <w:pStyle w:val="TableText"/>
              <w:spacing w:after="0"/>
              <w:ind w:left="-28" w:right="-28"/>
              <w:jc w:val="center"/>
            </w:pPr>
            <w:r w:rsidRPr="00181EF3">
              <w:t>12.1</w:t>
            </w:r>
          </w:p>
          <w:p w14:paraId="3E86B6B7" w14:textId="77777777" w:rsidR="00370973" w:rsidRPr="00181EF3" w:rsidRDefault="00370973" w:rsidP="00370973">
            <w:pPr>
              <w:pStyle w:val="TableText"/>
              <w:spacing w:before="0"/>
              <w:ind w:left="-28" w:right="-28"/>
              <w:jc w:val="center"/>
            </w:pPr>
            <w:r w:rsidRPr="00181EF3">
              <w:t>(9.2–15.7)</w:t>
            </w:r>
          </w:p>
        </w:tc>
        <w:tc>
          <w:tcPr>
            <w:tcW w:w="921" w:type="dxa"/>
            <w:tcBorders>
              <w:top w:val="single" w:sz="4" w:space="0" w:color="A6A6A6" w:themeColor="background1" w:themeShade="A6"/>
              <w:bottom w:val="single" w:sz="4" w:space="0" w:color="A6A6A6" w:themeColor="background1" w:themeShade="A6"/>
            </w:tcBorders>
          </w:tcPr>
          <w:p w14:paraId="511C654B" w14:textId="77777777" w:rsidR="00370973" w:rsidRPr="00181EF3" w:rsidRDefault="00370973" w:rsidP="00370973">
            <w:pPr>
              <w:pStyle w:val="TableText"/>
              <w:spacing w:after="0"/>
              <w:ind w:left="-28" w:right="-28"/>
              <w:jc w:val="center"/>
            </w:pPr>
            <w:r w:rsidRPr="00181EF3">
              <w:t>3.8</w:t>
            </w:r>
          </w:p>
          <w:p w14:paraId="4966CDC8" w14:textId="77777777" w:rsidR="00370973" w:rsidRPr="00181EF3" w:rsidRDefault="00370973" w:rsidP="00370973">
            <w:pPr>
              <w:pStyle w:val="TableText"/>
              <w:spacing w:before="0"/>
              <w:ind w:left="-28" w:right="-28"/>
              <w:jc w:val="center"/>
            </w:pPr>
            <w:r w:rsidRPr="00181EF3">
              <w:t>(2.6–5.3)</w:t>
            </w:r>
          </w:p>
        </w:tc>
        <w:tc>
          <w:tcPr>
            <w:tcW w:w="922"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7F13BD7" w14:textId="77777777" w:rsidR="00370973" w:rsidRPr="00181EF3" w:rsidRDefault="00370973" w:rsidP="00370973">
            <w:pPr>
              <w:pStyle w:val="TableText"/>
              <w:spacing w:after="0"/>
              <w:ind w:left="-28" w:right="-28"/>
              <w:jc w:val="center"/>
            </w:pPr>
            <w:r w:rsidRPr="00181EF3">
              <w:t>7.5</w:t>
            </w:r>
          </w:p>
          <w:p w14:paraId="4C9153D6" w14:textId="77777777" w:rsidR="00370973" w:rsidRPr="00181EF3" w:rsidRDefault="00370973" w:rsidP="00370973">
            <w:pPr>
              <w:pStyle w:val="TableText"/>
              <w:spacing w:before="0"/>
              <w:ind w:left="-28" w:right="-28"/>
              <w:jc w:val="center"/>
            </w:pPr>
            <w:r w:rsidRPr="00181EF3">
              <w:t>(6.1–9.4)</w:t>
            </w:r>
          </w:p>
        </w:tc>
        <w:tc>
          <w:tcPr>
            <w:tcW w:w="92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E4A2370" w14:textId="77777777" w:rsidR="00370973" w:rsidRPr="00181EF3" w:rsidRDefault="00370973" w:rsidP="00370973">
            <w:pPr>
              <w:pStyle w:val="TableText"/>
              <w:spacing w:after="0"/>
              <w:ind w:left="-28" w:right="-28"/>
              <w:jc w:val="center"/>
            </w:pPr>
            <w:r w:rsidRPr="00181EF3">
              <w:t>4.4</w:t>
            </w:r>
          </w:p>
          <w:p w14:paraId="7D3E72B3" w14:textId="77777777" w:rsidR="00370973" w:rsidRPr="00181EF3" w:rsidRDefault="00370973" w:rsidP="00370973">
            <w:pPr>
              <w:pStyle w:val="TableText"/>
              <w:spacing w:before="0"/>
              <w:ind w:left="-28" w:right="-28"/>
              <w:jc w:val="center"/>
            </w:pPr>
            <w:r w:rsidRPr="00181EF3">
              <w:t>(3.6–5.3)</w:t>
            </w:r>
          </w:p>
        </w:tc>
        <w:tc>
          <w:tcPr>
            <w:tcW w:w="921" w:type="dxa"/>
            <w:tcBorders>
              <w:top w:val="single" w:sz="4" w:space="0" w:color="A6A6A6" w:themeColor="background1" w:themeShade="A6"/>
              <w:bottom w:val="single" w:sz="4" w:space="0" w:color="A6A6A6" w:themeColor="background1" w:themeShade="A6"/>
            </w:tcBorders>
          </w:tcPr>
          <w:p w14:paraId="5FC33656" w14:textId="77777777" w:rsidR="00370973" w:rsidRPr="00181EF3" w:rsidRDefault="00370973" w:rsidP="00370973">
            <w:pPr>
              <w:pStyle w:val="TableText"/>
              <w:spacing w:after="0"/>
              <w:ind w:left="-28" w:right="-28"/>
              <w:jc w:val="center"/>
            </w:pPr>
            <w:r w:rsidRPr="00181EF3">
              <w:t>2.1</w:t>
            </w:r>
            <w:r w:rsidRPr="00181EF3">
              <w:br/>
              <w:t>(1.7–2.7)</w:t>
            </w:r>
          </w:p>
        </w:tc>
        <w:tc>
          <w:tcPr>
            <w:tcW w:w="922" w:type="dxa"/>
            <w:tcBorders>
              <w:top w:val="single" w:sz="4" w:space="0" w:color="A6A6A6" w:themeColor="background1" w:themeShade="A6"/>
              <w:bottom w:val="single" w:sz="4" w:space="0" w:color="A6A6A6" w:themeColor="background1" w:themeShade="A6"/>
            </w:tcBorders>
          </w:tcPr>
          <w:p w14:paraId="5F085E14" w14:textId="77777777" w:rsidR="00370973" w:rsidRPr="00181EF3" w:rsidRDefault="00370973" w:rsidP="00370973">
            <w:pPr>
              <w:pStyle w:val="TableText"/>
              <w:spacing w:after="0"/>
              <w:ind w:left="-28" w:right="-28"/>
              <w:jc w:val="center"/>
            </w:pPr>
            <w:r w:rsidRPr="00181EF3">
              <w:t>3.2</w:t>
            </w:r>
          </w:p>
          <w:p w14:paraId="5F0E0120" w14:textId="77777777" w:rsidR="00370973" w:rsidRPr="00181EF3" w:rsidRDefault="00370973" w:rsidP="00370973">
            <w:pPr>
              <w:pStyle w:val="TableText"/>
              <w:spacing w:before="0"/>
              <w:ind w:left="-28" w:right="-28"/>
              <w:jc w:val="center"/>
            </w:pPr>
            <w:r w:rsidRPr="00181EF3">
              <w:t>(2.8–3.7)</w:t>
            </w:r>
          </w:p>
        </w:tc>
      </w:tr>
      <w:tr w:rsidR="00370973" w:rsidRPr="00181EF3" w14:paraId="1805506F" w14:textId="77777777" w:rsidTr="00370973">
        <w:trPr>
          <w:cantSplit/>
        </w:trPr>
        <w:tc>
          <w:tcPr>
            <w:tcW w:w="1701" w:type="dxa"/>
            <w:vMerge/>
            <w:tcBorders>
              <w:top w:val="single" w:sz="4" w:space="0" w:color="A6A6A6" w:themeColor="background1" w:themeShade="A6"/>
              <w:bottom w:val="single" w:sz="4" w:space="0" w:color="A6A6A6" w:themeColor="background1" w:themeShade="A6"/>
            </w:tcBorders>
          </w:tcPr>
          <w:p w14:paraId="4ABAF31F" w14:textId="77777777" w:rsidR="00370973" w:rsidRPr="00181EF3" w:rsidRDefault="00370973" w:rsidP="00370973">
            <w:pPr>
              <w:pStyle w:val="TableText"/>
              <w:rPr>
                <w:spacing w:val="-2"/>
              </w:rPr>
            </w:pPr>
          </w:p>
        </w:tc>
        <w:tc>
          <w:tcPr>
            <w:tcW w:w="851"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10DC49B" w14:textId="77777777" w:rsidR="00370973" w:rsidRPr="00181EF3" w:rsidRDefault="00370973" w:rsidP="00370973">
            <w:pPr>
              <w:pStyle w:val="TableText"/>
              <w:jc w:val="center"/>
            </w:pPr>
            <w:r w:rsidRPr="00181EF3">
              <w:t>2016/17</w:t>
            </w:r>
          </w:p>
        </w:tc>
        <w:tc>
          <w:tcPr>
            <w:tcW w:w="92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83C27B5" w14:textId="77777777" w:rsidR="00370973" w:rsidRPr="00181EF3" w:rsidRDefault="00370973" w:rsidP="00370973">
            <w:pPr>
              <w:pStyle w:val="TableText"/>
              <w:spacing w:after="0"/>
              <w:ind w:left="-28" w:right="-28"/>
              <w:jc w:val="center"/>
            </w:pPr>
            <w:r w:rsidRPr="00181EF3">
              <w:t>9.8</w:t>
            </w:r>
          </w:p>
          <w:p w14:paraId="06CC037B" w14:textId="77777777" w:rsidR="00370973" w:rsidRPr="00181EF3" w:rsidRDefault="00370973" w:rsidP="00370973">
            <w:pPr>
              <w:pStyle w:val="TableText"/>
              <w:spacing w:before="0"/>
              <w:ind w:left="-28" w:right="-28"/>
              <w:jc w:val="center"/>
            </w:pPr>
            <w:r w:rsidRPr="00181EF3">
              <w:t>(7.4–13.0)</w:t>
            </w:r>
          </w:p>
        </w:tc>
        <w:tc>
          <w:tcPr>
            <w:tcW w:w="921" w:type="dxa"/>
            <w:tcBorders>
              <w:top w:val="single" w:sz="4" w:space="0" w:color="A6A6A6" w:themeColor="background1" w:themeShade="A6"/>
              <w:bottom w:val="single" w:sz="4" w:space="0" w:color="A6A6A6" w:themeColor="background1" w:themeShade="A6"/>
            </w:tcBorders>
          </w:tcPr>
          <w:p w14:paraId="5BAE318E" w14:textId="77777777" w:rsidR="00370973" w:rsidRPr="00181EF3" w:rsidRDefault="00370973" w:rsidP="00370973">
            <w:pPr>
              <w:pStyle w:val="TableText"/>
              <w:spacing w:after="0"/>
              <w:ind w:left="-28" w:right="-28"/>
              <w:jc w:val="center"/>
            </w:pPr>
            <w:r w:rsidRPr="00181EF3">
              <w:t>5.1</w:t>
            </w:r>
          </w:p>
          <w:p w14:paraId="44AFE8B1" w14:textId="77777777" w:rsidR="00370973" w:rsidRPr="00181EF3" w:rsidRDefault="00370973" w:rsidP="00370973">
            <w:pPr>
              <w:pStyle w:val="TableText"/>
              <w:spacing w:before="0"/>
              <w:ind w:left="-28" w:right="-28"/>
              <w:jc w:val="center"/>
            </w:pPr>
            <w:r w:rsidRPr="00181EF3">
              <w:t>(3.9–6.7)</w:t>
            </w:r>
          </w:p>
        </w:tc>
        <w:tc>
          <w:tcPr>
            <w:tcW w:w="922"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B7EB734" w14:textId="77777777" w:rsidR="00370973" w:rsidRPr="00181EF3" w:rsidRDefault="00370973" w:rsidP="00370973">
            <w:pPr>
              <w:pStyle w:val="TableText"/>
              <w:spacing w:after="0"/>
              <w:ind w:left="-28" w:right="-28"/>
              <w:jc w:val="center"/>
            </w:pPr>
            <w:r w:rsidRPr="00181EF3">
              <w:t>7.3</w:t>
            </w:r>
          </w:p>
          <w:p w14:paraId="374704C2" w14:textId="77777777" w:rsidR="00370973" w:rsidRPr="00181EF3" w:rsidRDefault="00370973" w:rsidP="00370973">
            <w:pPr>
              <w:pStyle w:val="TableText"/>
              <w:spacing w:before="0"/>
              <w:ind w:left="-28" w:right="-28"/>
              <w:jc w:val="center"/>
            </w:pPr>
            <w:r w:rsidRPr="00181EF3">
              <w:t>(6.0–8.9)</w:t>
            </w:r>
          </w:p>
        </w:tc>
        <w:tc>
          <w:tcPr>
            <w:tcW w:w="92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A8E492A" w14:textId="77777777" w:rsidR="00370973" w:rsidRPr="00181EF3" w:rsidRDefault="00370973" w:rsidP="00370973">
            <w:pPr>
              <w:pStyle w:val="TableText"/>
              <w:spacing w:after="0"/>
              <w:ind w:left="-28" w:right="-28"/>
              <w:jc w:val="center"/>
            </w:pPr>
            <w:r w:rsidRPr="00181EF3">
              <w:t>5.1</w:t>
            </w:r>
          </w:p>
          <w:p w14:paraId="7F999D0E" w14:textId="77777777" w:rsidR="00370973" w:rsidRPr="00181EF3" w:rsidRDefault="00370973" w:rsidP="00370973">
            <w:pPr>
              <w:pStyle w:val="TableText"/>
              <w:spacing w:before="0"/>
              <w:ind w:left="-28" w:right="-28"/>
              <w:jc w:val="center"/>
            </w:pPr>
            <w:r w:rsidRPr="00181EF3">
              <w:t>(4.3–6.0)</w:t>
            </w:r>
          </w:p>
        </w:tc>
        <w:tc>
          <w:tcPr>
            <w:tcW w:w="921" w:type="dxa"/>
            <w:tcBorders>
              <w:top w:val="single" w:sz="4" w:space="0" w:color="A6A6A6" w:themeColor="background1" w:themeShade="A6"/>
              <w:bottom w:val="single" w:sz="4" w:space="0" w:color="A6A6A6" w:themeColor="background1" w:themeShade="A6"/>
            </w:tcBorders>
          </w:tcPr>
          <w:p w14:paraId="432B2942" w14:textId="77777777" w:rsidR="00370973" w:rsidRPr="00181EF3" w:rsidRDefault="00370973" w:rsidP="00370973">
            <w:pPr>
              <w:pStyle w:val="TableText"/>
              <w:spacing w:after="0"/>
              <w:ind w:left="-28" w:right="-28"/>
              <w:jc w:val="center"/>
            </w:pPr>
            <w:r w:rsidRPr="00181EF3">
              <w:t>1.5</w:t>
            </w:r>
          </w:p>
          <w:p w14:paraId="69DA9686" w14:textId="77777777" w:rsidR="00370973" w:rsidRPr="00181EF3" w:rsidRDefault="00370973" w:rsidP="00370973">
            <w:pPr>
              <w:pStyle w:val="TableText"/>
              <w:spacing w:before="0"/>
              <w:ind w:left="-28" w:right="-28"/>
              <w:jc w:val="center"/>
            </w:pPr>
            <w:r w:rsidRPr="00181EF3">
              <w:t>(1.1–1.9)</w:t>
            </w:r>
          </w:p>
        </w:tc>
        <w:tc>
          <w:tcPr>
            <w:tcW w:w="922" w:type="dxa"/>
            <w:tcBorders>
              <w:top w:val="single" w:sz="4" w:space="0" w:color="A6A6A6" w:themeColor="background1" w:themeShade="A6"/>
              <w:bottom w:val="single" w:sz="4" w:space="0" w:color="A6A6A6" w:themeColor="background1" w:themeShade="A6"/>
            </w:tcBorders>
          </w:tcPr>
          <w:p w14:paraId="01CD92D0" w14:textId="77777777" w:rsidR="00370973" w:rsidRPr="00181EF3" w:rsidRDefault="00370973" w:rsidP="00370973">
            <w:pPr>
              <w:pStyle w:val="TableText"/>
              <w:spacing w:after="0"/>
              <w:ind w:left="-28" w:right="-28"/>
              <w:jc w:val="center"/>
            </w:pPr>
            <w:r w:rsidRPr="00181EF3">
              <w:t>3.2</w:t>
            </w:r>
          </w:p>
          <w:p w14:paraId="4685D9E7" w14:textId="77777777" w:rsidR="00370973" w:rsidRPr="00181EF3" w:rsidRDefault="00370973" w:rsidP="00370973">
            <w:pPr>
              <w:pStyle w:val="TableText"/>
              <w:spacing w:before="0"/>
              <w:ind w:left="-28" w:right="-28"/>
              <w:jc w:val="center"/>
            </w:pPr>
            <w:r w:rsidRPr="00181EF3">
              <w:t>(2.8–3.7)</w:t>
            </w:r>
          </w:p>
        </w:tc>
      </w:tr>
      <w:tr w:rsidR="00370973" w:rsidRPr="00181EF3" w14:paraId="1DE7B5B0" w14:textId="77777777" w:rsidTr="00370973">
        <w:trPr>
          <w:cantSplit/>
        </w:trPr>
        <w:tc>
          <w:tcPr>
            <w:tcW w:w="1701" w:type="dxa"/>
            <w:vMerge w:val="restart"/>
            <w:tcBorders>
              <w:top w:val="single" w:sz="4" w:space="0" w:color="A6A6A6" w:themeColor="background1" w:themeShade="A6"/>
              <w:bottom w:val="single" w:sz="4" w:space="0" w:color="A6A6A6" w:themeColor="background1" w:themeShade="A6"/>
            </w:tcBorders>
          </w:tcPr>
          <w:p w14:paraId="1EEB70D1" w14:textId="77777777" w:rsidR="00370973" w:rsidRPr="00181EF3" w:rsidRDefault="00370973" w:rsidP="00370973">
            <w:pPr>
              <w:pStyle w:val="TableText"/>
              <w:rPr>
                <w:spacing w:val="-2"/>
              </w:rPr>
            </w:pPr>
            <w:r w:rsidRPr="00181EF3">
              <w:rPr>
                <w:spacing w:val="-2"/>
              </w:rPr>
              <w:t>Self-reported experience of any ethnically motivated personal verbal attack (ever), 15+ years, percentage</w:t>
            </w:r>
          </w:p>
        </w:tc>
        <w:tc>
          <w:tcPr>
            <w:tcW w:w="851"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953C822" w14:textId="77777777" w:rsidR="00370973" w:rsidRPr="00181EF3" w:rsidRDefault="00370973" w:rsidP="00370973">
            <w:pPr>
              <w:pStyle w:val="TableText"/>
              <w:jc w:val="center"/>
            </w:pPr>
            <w:r w:rsidRPr="00181EF3">
              <w:t>2006/07</w:t>
            </w:r>
          </w:p>
        </w:tc>
        <w:tc>
          <w:tcPr>
            <w:tcW w:w="92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E31A1C2" w14:textId="77777777" w:rsidR="00370973" w:rsidRPr="00181EF3" w:rsidRDefault="00370973" w:rsidP="00370973">
            <w:pPr>
              <w:pStyle w:val="TableText"/>
              <w:spacing w:after="0"/>
              <w:ind w:left="-28" w:right="-28"/>
              <w:jc w:val="center"/>
            </w:pPr>
            <w:r w:rsidRPr="00181EF3">
              <w:t>22.2</w:t>
            </w:r>
          </w:p>
          <w:p w14:paraId="41176E69" w14:textId="77777777" w:rsidR="00370973" w:rsidRPr="00181EF3" w:rsidRDefault="00370973" w:rsidP="00370973">
            <w:pPr>
              <w:pStyle w:val="TableText"/>
              <w:spacing w:before="0"/>
              <w:ind w:left="-28" w:right="-28"/>
              <w:jc w:val="center"/>
            </w:pPr>
            <w:r w:rsidRPr="00181EF3">
              <w:t>(19.2–25.4)</w:t>
            </w:r>
          </w:p>
        </w:tc>
        <w:tc>
          <w:tcPr>
            <w:tcW w:w="921" w:type="dxa"/>
            <w:tcBorders>
              <w:top w:val="single" w:sz="4" w:space="0" w:color="A6A6A6" w:themeColor="background1" w:themeShade="A6"/>
              <w:bottom w:val="single" w:sz="4" w:space="0" w:color="A6A6A6" w:themeColor="background1" w:themeShade="A6"/>
            </w:tcBorders>
          </w:tcPr>
          <w:p w14:paraId="3AF3914E" w14:textId="77777777" w:rsidR="00370973" w:rsidRPr="00181EF3" w:rsidRDefault="00370973" w:rsidP="00370973">
            <w:pPr>
              <w:pStyle w:val="TableText"/>
              <w:spacing w:after="0"/>
              <w:ind w:left="-28" w:right="-28"/>
              <w:jc w:val="center"/>
            </w:pPr>
            <w:r w:rsidRPr="00181EF3">
              <w:t>22.5</w:t>
            </w:r>
          </w:p>
          <w:p w14:paraId="2D1A2B0A" w14:textId="77777777" w:rsidR="00370973" w:rsidRPr="00181EF3" w:rsidRDefault="00370973" w:rsidP="00370973">
            <w:pPr>
              <w:pStyle w:val="TableText"/>
              <w:spacing w:before="0"/>
              <w:ind w:left="-28" w:right="-28"/>
              <w:jc w:val="center"/>
            </w:pPr>
            <w:r w:rsidRPr="00181EF3">
              <w:t>(20.2–25.1)</w:t>
            </w:r>
          </w:p>
        </w:tc>
        <w:tc>
          <w:tcPr>
            <w:tcW w:w="922"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FF1DFF8" w14:textId="77777777" w:rsidR="00370973" w:rsidRPr="00181EF3" w:rsidRDefault="00370973" w:rsidP="00370973">
            <w:pPr>
              <w:pStyle w:val="TableText"/>
              <w:spacing w:after="0"/>
              <w:ind w:left="-28" w:right="-28"/>
              <w:jc w:val="center"/>
            </w:pPr>
            <w:r w:rsidRPr="00181EF3">
              <w:t>22.3</w:t>
            </w:r>
          </w:p>
          <w:p w14:paraId="5D2A15EB" w14:textId="77777777" w:rsidR="00370973" w:rsidRPr="00181EF3" w:rsidRDefault="00370973" w:rsidP="00370973">
            <w:pPr>
              <w:pStyle w:val="TableText"/>
              <w:spacing w:before="0"/>
              <w:ind w:left="-28" w:right="-28"/>
              <w:jc w:val="center"/>
            </w:pPr>
            <w:r w:rsidRPr="00181EF3">
              <w:t>(20.3–24.5)</w:t>
            </w:r>
          </w:p>
        </w:tc>
        <w:tc>
          <w:tcPr>
            <w:tcW w:w="92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297B6A2" w14:textId="77777777" w:rsidR="00370973" w:rsidRPr="00181EF3" w:rsidRDefault="00370973" w:rsidP="00370973">
            <w:pPr>
              <w:pStyle w:val="TableText"/>
              <w:spacing w:after="0"/>
              <w:ind w:left="-28" w:right="-28"/>
              <w:jc w:val="center"/>
            </w:pPr>
            <w:r w:rsidRPr="00181EF3">
              <w:t>16.0</w:t>
            </w:r>
          </w:p>
          <w:p w14:paraId="01462BAA" w14:textId="77777777" w:rsidR="00370973" w:rsidRPr="00181EF3" w:rsidRDefault="00370973" w:rsidP="00370973">
            <w:pPr>
              <w:pStyle w:val="TableText"/>
              <w:spacing w:before="0"/>
              <w:ind w:left="-28" w:right="-28"/>
              <w:jc w:val="center"/>
            </w:pPr>
            <w:r w:rsidRPr="00181EF3">
              <w:t>(14.3–17.8)</w:t>
            </w:r>
          </w:p>
        </w:tc>
        <w:tc>
          <w:tcPr>
            <w:tcW w:w="921" w:type="dxa"/>
            <w:tcBorders>
              <w:top w:val="single" w:sz="4" w:space="0" w:color="A6A6A6" w:themeColor="background1" w:themeShade="A6"/>
              <w:bottom w:val="single" w:sz="4" w:space="0" w:color="A6A6A6" w:themeColor="background1" w:themeShade="A6"/>
            </w:tcBorders>
          </w:tcPr>
          <w:p w14:paraId="7C05BED1" w14:textId="77777777" w:rsidR="00370973" w:rsidRPr="00181EF3" w:rsidRDefault="00370973" w:rsidP="00370973">
            <w:pPr>
              <w:pStyle w:val="TableText"/>
              <w:spacing w:after="0"/>
              <w:ind w:left="-28" w:right="-28"/>
              <w:jc w:val="center"/>
            </w:pPr>
            <w:r w:rsidRPr="00181EF3">
              <w:t>12.3</w:t>
            </w:r>
          </w:p>
          <w:p w14:paraId="037662A0" w14:textId="77777777" w:rsidR="00370973" w:rsidRPr="00181EF3" w:rsidRDefault="00370973" w:rsidP="00370973">
            <w:pPr>
              <w:pStyle w:val="TableText"/>
              <w:spacing w:before="0"/>
              <w:ind w:left="-28" w:right="-28"/>
              <w:jc w:val="center"/>
            </w:pPr>
            <w:r w:rsidRPr="00181EF3">
              <w:t>(11.0–13.7)</w:t>
            </w:r>
          </w:p>
        </w:tc>
        <w:tc>
          <w:tcPr>
            <w:tcW w:w="922" w:type="dxa"/>
            <w:tcBorders>
              <w:top w:val="single" w:sz="4" w:space="0" w:color="A6A6A6" w:themeColor="background1" w:themeShade="A6"/>
              <w:bottom w:val="single" w:sz="4" w:space="0" w:color="A6A6A6" w:themeColor="background1" w:themeShade="A6"/>
            </w:tcBorders>
          </w:tcPr>
          <w:p w14:paraId="6FB2352A" w14:textId="77777777" w:rsidR="00370973" w:rsidRPr="00181EF3" w:rsidRDefault="00370973" w:rsidP="00370973">
            <w:pPr>
              <w:pStyle w:val="TableText"/>
              <w:spacing w:after="0"/>
              <w:ind w:left="-28" w:right="-28"/>
              <w:jc w:val="center"/>
            </w:pPr>
            <w:r w:rsidRPr="00181EF3">
              <w:t>14.1</w:t>
            </w:r>
          </w:p>
          <w:p w14:paraId="22AE906F" w14:textId="77777777" w:rsidR="00370973" w:rsidRPr="00181EF3" w:rsidRDefault="00370973" w:rsidP="00370973">
            <w:pPr>
              <w:pStyle w:val="TableText"/>
              <w:spacing w:before="0"/>
              <w:ind w:left="-28" w:right="-28"/>
              <w:jc w:val="center"/>
            </w:pPr>
            <w:r w:rsidRPr="00181EF3">
              <w:t>(13.1–15.2)</w:t>
            </w:r>
          </w:p>
        </w:tc>
      </w:tr>
      <w:tr w:rsidR="00370973" w:rsidRPr="00181EF3" w14:paraId="14B9C363" w14:textId="77777777" w:rsidTr="00370973">
        <w:trPr>
          <w:cantSplit/>
        </w:trPr>
        <w:tc>
          <w:tcPr>
            <w:tcW w:w="1701" w:type="dxa"/>
            <w:vMerge/>
            <w:tcBorders>
              <w:top w:val="single" w:sz="4" w:space="0" w:color="A6A6A6" w:themeColor="background1" w:themeShade="A6"/>
              <w:bottom w:val="single" w:sz="4" w:space="0" w:color="A6A6A6" w:themeColor="background1" w:themeShade="A6"/>
            </w:tcBorders>
          </w:tcPr>
          <w:p w14:paraId="5D31DFBA" w14:textId="77777777" w:rsidR="00370973" w:rsidRPr="00181EF3" w:rsidRDefault="00370973" w:rsidP="00370973">
            <w:pPr>
              <w:pStyle w:val="TableText"/>
            </w:pPr>
          </w:p>
        </w:tc>
        <w:tc>
          <w:tcPr>
            <w:tcW w:w="851"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D60C4A6" w14:textId="77777777" w:rsidR="00370973" w:rsidRPr="00181EF3" w:rsidRDefault="00370973" w:rsidP="00370973">
            <w:pPr>
              <w:pStyle w:val="TableText"/>
              <w:jc w:val="center"/>
            </w:pPr>
            <w:r w:rsidRPr="00181EF3">
              <w:t>2011/12</w:t>
            </w:r>
          </w:p>
        </w:tc>
        <w:tc>
          <w:tcPr>
            <w:tcW w:w="92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4650B97" w14:textId="77777777" w:rsidR="00370973" w:rsidRPr="00181EF3" w:rsidRDefault="00370973" w:rsidP="00370973">
            <w:pPr>
              <w:pStyle w:val="TableText"/>
              <w:spacing w:after="0"/>
              <w:ind w:left="-28" w:right="-28"/>
              <w:jc w:val="center"/>
            </w:pPr>
            <w:r w:rsidRPr="00181EF3">
              <w:t>23.9</w:t>
            </w:r>
          </w:p>
          <w:p w14:paraId="137A804B" w14:textId="77777777" w:rsidR="00370973" w:rsidRPr="00181EF3" w:rsidRDefault="00370973" w:rsidP="00370973">
            <w:pPr>
              <w:pStyle w:val="TableText"/>
              <w:spacing w:before="0"/>
              <w:ind w:left="-28" w:right="-28"/>
              <w:jc w:val="center"/>
            </w:pPr>
            <w:r w:rsidRPr="00181EF3">
              <w:t>(20.1–28.2)</w:t>
            </w:r>
          </w:p>
        </w:tc>
        <w:tc>
          <w:tcPr>
            <w:tcW w:w="921" w:type="dxa"/>
            <w:tcBorders>
              <w:top w:val="single" w:sz="4" w:space="0" w:color="A6A6A6" w:themeColor="background1" w:themeShade="A6"/>
              <w:bottom w:val="single" w:sz="4" w:space="0" w:color="A6A6A6" w:themeColor="background1" w:themeShade="A6"/>
            </w:tcBorders>
          </w:tcPr>
          <w:p w14:paraId="5D9867F4" w14:textId="77777777" w:rsidR="00370973" w:rsidRPr="00181EF3" w:rsidRDefault="00370973" w:rsidP="00370973">
            <w:pPr>
              <w:pStyle w:val="TableText"/>
              <w:spacing w:after="0"/>
              <w:ind w:left="-28" w:right="-28"/>
              <w:jc w:val="center"/>
            </w:pPr>
            <w:r w:rsidRPr="00181EF3">
              <w:t>18.1</w:t>
            </w:r>
          </w:p>
          <w:p w14:paraId="3AD8EA03" w14:textId="77777777" w:rsidR="00370973" w:rsidRPr="00181EF3" w:rsidRDefault="00370973" w:rsidP="00370973">
            <w:pPr>
              <w:pStyle w:val="TableText"/>
              <w:spacing w:before="0"/>
              <w:ind w:left="-28" w:right="-28"/>
              <w:jc w:val="center"/>
            </w:pPr>
            <w:r w:rsidRPr="00181EF3">
              <w:t>(15.4–21.1)</w:t>
            </w:r>
          </w:p>
        </w:tc>
        <w:tc>
          <w:tcPr>
            <w:tcW w:w="922"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E963DEC" w14:textId="77777777" w:rsidR="00370973" w:rsidRPr="00181EF3" w:rsidRDefault="00370973" w:rsidP="00370973">
            <w:pPr>
              <w:pStyle w:val="TableText"/>
              <w:spacing w:after="0"/>
              <w:ind w:left="-28" w:right="-28"/>
              <w:jc w:val="center"/>
            </w:pPr>
            <w:r w:rsidRPr="00181EF3">
              <w:t>20.6</w:t>
            </w:r>
          </w:p>
          <w:p w14:paraId="54D24F7D" w14:textId="77777777" w:rsidR="00370973" w:rsidRPr="00181EF3" w:rsidRDefault="00370973" w:rsidP="00370973">
            <w:pPr>
              <w:pStyle w:val="TableText"/>
              <w:spacing w:before="0"/>
              <w:ind w:left="-28" w:right="-28"/>
              <w:jc w:val="center"/>
            </w:pPr>
            <w:r w:rsidRPr="00181EF3">
              <w:t>(18.4–23.0)</w:t>
            </w:r>
          </w:p>
        </w:tc>
        <w:tc>
          <w:tcPr>
            <w:tcW w:w="92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3405690" w14:textId="77777777" w:rsidR="00370973" w:rsidRPr="00181EF3" w:rsidRDefault="00370973" w:rsidP="00370973">
            <w:pPr>
              <w:pStyle w:val="TableText"/>
              <w:spacing w:after="0"/>
              <w:ind w:left="-28" w:right="-28"/>
              <w:jc w:val="center"/>
            </w:pPr>
            <w:r w:rsidRPr="00181EF3">
              <w:t>12.6</w:t>
            </w:r>
          </w:p>
          <w:p w14:paraId="76459838" w14:textId="77777777" w:rsidR="00370973" w:rsidRPr="00181EF3" w:rsidRDefault="00370973" w:rsidP="00370973">
            <w:pPr>
              <w:pStyle w:val="TableText"/>
              <w:spacing w:before="0"/>
              <w:ind w:left="-28" w:right="-28"/>
              <w:jc w:val="center"/>
            </w:pPr>
            <w:r w:rsidRPr="00181EF3">
              <w:t>(10.9–14.5)</w:t>
            </w:r>
          </w:p>
        </w:tc>
        <w:tc>
          <w:tcPr>
            <w:tcW w:w="921" w:type="dxa"/>
            <w:tcBorders>
              <w:top w:val="single" w:sz="4" w:space="0" w:color="A6A6A6" w:themeColor="background1" w:themeShade="A6"/>
              <w:bottom w:val="single" w:sz="4" w:space="0" w:color="A6A6A6" w:themeColor="background1" w:themeShade="A6"/>
            </w:tcBorders>
          </w:tcPr>
          <w:p w14:paraId="66ED883D" w14:textId="77777777" w:rsidR="00370973" w:rsidRPr="00181EF3" w:rsidRDefault="00370973" w:rsidP="00370973">
            <w:pPr>
              <w:pStyle w:val="TableText"/>
              <w:spacing w:after="0"/>
              <w:ind w:left="-28" w:right="-28"/>
              <w:jc w:val="center"/>
            </w:pPr>
            <w:r w:rsidRPr="00181EF3">
              <w:t>10.6</w:t>
            </w:r>
          </w:p>
          <w:p w14:paraId="41907B94" w14:textId="77777777" w:rsidR="00370973" w:rsidRPr="00181EF3" w:rsidRDefault="00370973" w:rsidP="00370973">
            <w:pPr>
              <w:pStyle w:val="TableText"/>
              <w:spacing w:before="0"/>
              <w:ind w:left="-28" w:right="-28"/>
              <w:jc w:val="center"/>
            </w:pPr>
            <w:r w:rsidRPr="00181EF3">
              <w:t>(9.3–12.0)</w:t>
            </w:r>
          </w:p>
        </w:tc>
        <w:tc>
          <w:tcPr>
            <w:tcW w:w="922" w:type="dxa"/>
            <w:tcBorders>
              <w:top w:val="single" w:sz="4" w:space="0" w:color="A6A6A6" w:themeColor="background1" w:themeShade="A6"/>
              <w:bottom w:val="single" w:sz="4" w:space="0" w:color="A6A6A6" w:themeColor="background1" w:themeShade="A6"/>
            </w:tcBorders>
          </w:tcPr>
          <w:p w14:paraId="5EE1BA6D" w14:textId="77777777" w:rsidR="00370973" w:rsidRPr="00181EF3" w:rsidRDefault="00370973" w:rsidP="00370973">
            <w:pPr>
              <w:pStyle w:val="TableText"/>
              <w:spacing w:after="0"/>
              <w:ind w:left="-28" w:right="-28"/>
              <w:jc w:val="center"/>
            </w:pPr>
            <w:r w:rsidRPr="00181EF3">
              <w:t>11.6</w:t>
            </w:r>
            <w:r w:rsidRPr="00181EF3">
              <w:br/>
              <w:t>(10.5–12.7)</w:t>
            </w:r>
          </w:p>
        </w:tc>
      </w:tr>
      <w:tr w:rsidR="00370973" w:rsidRPr="00181EF3" w14:paraId="2B7929A8" w14:textId="77777777" w:rsidTr="00370973">
        <w:trPr>
          <w:cantSplit/>
        </w:trPr>
        <w:tc>
          <w:tcPr>
            <w:tcW w:w="1701" w:type="dxa"/>
            <w:vMerge/>
            <w:tcBorders>
              <w:top w:val="single" w:sz="4" w:space="0" w:color="A6A6A6" w:themeColor="background1" w:themeShade="A6"/>
              <w:bottom w:val="single" w:sz="4" w:space="0" w:color="A6A6A6" w:themeColor="background1" w:themeShade="A6"/>
            </w:tcBorders>
          </w:tcPr>
          <w:p w14:paraId="358973FF" w14:textId="77777777" w:rsidR="00370973" w:rsidRPr="00181EF3" w:rsidRDefault="00370973" w:rsidP="00370973">
            <w:pPr>
              <w:pStyle w:val="TableText"/>
            </w:pPr>
          </w:p>
        </w:tc>
        <w:tc>
          <w:tcPr>
            <w:tcW w:w="851"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533DEF7" w14:textId="77777777" w:rsidR="00370973" w:rsidRPr="00181EF3" w:rsidRDefault="00370973" w:rsidP="00370973">
            <w:pPr>
              <w:pStyle w:val="TableText"/>
              <w:jc w:val="center"/>
            </w:pPr>
            <w:r w:rsidRPr="00181EF3">
              <w:t>2016/17</w:t>
            </w:r>
          </w:p>
        </w:tc>
        <w:tc>
          <w:tcPr>
            <w:tcW w:w="92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1FDA80F" w14:textId="77777777" w:rsidR="00370973" w:rsidRPr="00181EF3" w:rsidRDefault="00370973" w:rsidP="00370973">
            <w:pPr>
              <w:pStyle w:val="TableText"/>
              <w:spacing w:after="0"/>
              <w:ind w:left="-28" w:right="-28"/>
              <w:jc w:val="center"/>
            </w:pPr>
            <w:r w:rsidRPr="00181EF3">
              <w:t>23.5</w:t>
            </w:r>
          </w:p>
          <w:p w14:paraId="5B252AE1" w14:textId="77777777" w:rsidR="00370973" w:rsidRPr="00181EF3" w:rsidRDefault="00370973" w:rsidP="00370973">
            <w:pPr>
              <w:pStyle w:val="TableText"/>
              <w:spacing w:before="0"/>
              <w:ind w:left="-28" w:right="-28"/>
              <w:jc w:val="center"/>
            </w:pPr>
            <w:r w:rsidRPr="00181EF3">
              <w:t>(19.8–27.6)</w:t>
            </w:r>
          </w:p>
        </w:tc>
        <w:tc>
          <w:tcPr>
            <w:tcW w:w="921" w:type="dxa"/>
            <w:tcBorders>
              <w:top w:val="single" w:sz="4" w:space="0" w:color="A6A6A6" w:themeColor="background1" w:themeShade="A6"/>
              <w:bottom w:val="single" w:sz="4" w:space="0" w:color="A6A6A6" w:themeColor="background1" w:themeShade="A6"/>
            </w:tcBorders>
          </w:tcPr>
          <w:p w14:paraId="3BEAD500" w14:textId="77777777" w:rsidR="00370973" w:rsidRPr="00181EF3" w:rsidRDefault="00370973" w:rsidP="00370973">
            <w:pPr>
              <w:pStyle w:val="TableText"/>
              <w:spacing w:after="0"/>
              <w:ind w:left="-28" w:right="-28"/>
              <w:jc w:val="center"/>
            </w:pPr>
            <w:r w:rsidRPr="00181EF3">
              <w:t>21.8</w:t>
            </w:r>
          </w:p>
          <w:p w14:paraId="3AFA43FB" w14:textId="77777777" w:rsidR="00370973" w:rsidRPr="00181EF3" w:rsidRDefault="00370973" w:rsidP="00370973">
            <w:pPr>
              <w:pStyle w:val="TableText"/>
              <w:spacing w:before="0"/>
              <w:ind w:left="-28" w:right="-28"/>
              <w:jc w:val="center"/>
            </w:pPr>
            <w:r w:rsidRPr="00181EF3">
              <w:t>(19.3–24.5)</w:t>
            </w:r>
          </w:p>
        </w:tc>
        <w:tc>
          <w:tcPr>
            <w:tcW w:w="922"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E0ECC00" w14:textId="77777777" w:rsidR="00370973" w:rsidRPr="00181EF3" w:rsidRDefault="00370973" w:rsidP="00370973">
            <w:pPr>
              <w:pStyle w:val="TableText"/>
              <w:spacing w:after="0"/>
              <w:ind w:left="-28" w:right="-28"/>
              <w:jc w:val="center"/>
            </w:pPr>
            <w:r w:rsidRPr="00181EF3">
              <w:t>22.6</w:t>
            </w:r>
          </w:p>
          <w:p w14:paraId="08B4F159" w14:textId="77777777" w:rsidR="00370973" w:rsidRPr="00181EF3" w:rsidRDefault="00370973" w:rsidP="00370973">
            <w:pPr>
              <w:pStyle w:val="TableText"/>
              <w:spacing w:before="0"/>
              <w:ind w:left="-28" w:right="-28"/>
              <w:jc w:val="center"/>
            </w:pPr>
            <w:r w:rsidRPr="00181EF3">
              <w:t>(20.5–24.8)</w:t>
            </w:r>
          </w:p>
        </w:tc>
        <w:tc>
          <w:tcPr>
            <w:tcW w:w="92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09B928A" w14:textId="77777777" w:rsidR="00370973" w:rsidRPr="00181EF3" w:rsidRDefault="00370973" w:rsidP="00370973">
            <w:pPr>
              <w:pStyle w:val="TableText"/>
              <w:spacing w:after="0"/>
              <w:ind w:left="-28" w:right="-28"/>
              <w:jc w:val="center"/>
            </w:pPr>
            <w:r w:rsidRPr="00181EF3">
              <w:t>15.6</w:t>
            </w:r>
          </w:p>
          <w:p w14:paraId="0B517C3F" w14:textId="77777777" w:rsidR="00370973" w:rsidRPr="00181EF3" w:rsidRDefault="00370973" w:rsidP="00370973">
            <w:pPr>
              <w:pStyle w:val="TableText"/>
              <w:spacing w:before="0"/>
              <w:ind w:left="-28" w:right="-28"/>
              <w:jc w:val="center"/>
            </w:pPr>
            <w:r w:rsidRPr="00181EF3">
              <w:t>(14.0–17.4)</w:t>
            </w:r>
          </w:p>
        </w:tc>
        <w:tc>
          <w:tcPr>
            <w:tcW w:w="921" w:type="dxa"/>
            <w:tcBorders>
              <w:top w:val="single" w:sz="4" w:space="0" w:color="A6A6A6" w:themeColor="background1" w:themeShade="A6"/>
              <w:bottom w:val="single" w:sz="4" w:space="0" w:color="A6A6A6" w:themeColor="background1" w:themeShade="A6"/>
            </w:tcBorders>
          </w:tcPr>
          <w:p w14:paraId="501834A2" w14:textId="77777777" w:rsidR="00370973" w:rsidRPr="00181EF3" w:rsidRDefault="00370973" w:rsidP="00370973">
            <w:pPr>
              <w:pStyle w:val="TableText"/>
              <w:spacing w:after="0"/>
              <w:ind w:left="-28" w:right="-28"/>
              <w:jc w:val="center"/>
            </w:pPr>
            <w:r w:rsidRPr="00181EF3">
              <w:t>11.0</w:t>
            </w:r>
          </w:p>
          <w:p w14:paraId="4BA80A16" w14:textId="77777777" w:rsidR="00370973" w:rsidRPr="00181EF3" w:rsidRDefault="00370973" w:rsidP="00370973">
            <w:pPr>
              <w:pStyle w:val="TableText"/>
              <w:spacing w:before="0"/>
              <w:ind w:left="-28" w:right="-28"/>
              <w:jc w:val="center"/>
            </w:pPr>
            <w:r w:rsidRPr="00181EF3">
              <w:t>(9.9–12.2)</w:t>
            </w:r>
          </w:p>
        </w:tc>
        <w:tc>
          <w:tcPr>
            <w:tcW w:w="922" w:type="dxa"/>
            <w:tcBorders>
              <w:top w:val="single" w:sz="4" w:space="0" w:color="A6A6A6" w:themeColor="background1" w:themeShade="A6"/>
              <w:bottom w:val="single" w:sz="4" w:space="0" w:color="A6A6A6" w:themeColor="background1" w:themeShade="A6"/>
            </w:tcBorders>
          </w:tcPr>
          <w:p w14:paraId="0897C2AA" w14:textId="77777777" w:rsidR="00370973" w:rsidRPr="00181EF3" w:rsidRDefault="00370973" w:rsidP="00370973">
            <w:pPr>
              <w:pStyle w:val="TableText"/>
              <w:spacing w:after="0"/>
              <w:ind w:left="-28" w:right="-28"/>
              <w:jc w:val="center"/>
            </w:pPr>
            <w:r w:rsidRPr="00181EF3">
              <w:t>13.3</w:t>
            </w:r>
          </w:p>
          <w:p w14:paraId="4113B0F9" w14:textId="77777777" w:rsidR="00370973" w:rsidRPr="00181EF3" w:rsidRDefault="00370973" w:rsidP="00370973">
            <w:pPr>
              <w:pStyle w:val="TableText"/>
              <w:spacing w:before="0"/>
              <w:ind w:left="-28" w:right="-28"/>
              <w:jc w:val="center"/>
            </w:pPr>
            <w:r w:rsidRPr="00181EF3">
              <w:t>(12.3–14.4)</w:t>
            </w:r>
          </w:p>
        </w:tc>
      </w:tr>
    </w:tbl>
    <w:p w14:paraId="619EFDF4" w14:textId="77777777" w:rsidR="008A5642" w:rsidRDefault="000565DB" w:rsidP="000565DB">
      <w:pPr>
        <w:pStyle w:val="Note"/>
      </w:pPr>
      <w:r w:rsidRPr="00181EF3">
        <w:t>Notes:</w:t>
      </w:r>
    </w:p>
    <w:p w14:paraId="200CB213" w14:textId="143DB13A" w:rsidR="008A5642" w:rsidRDefault="00446D86" w:rsidP="000565DB">
      <w:pPr>
        <w:pStyle w:val="Note"/>
      </w:pPr>
      <w:r>
        <w:t>Figures are age-standardised to the 2001 Census total Māori population</w:t>
      </w:r>
      <w:r w:rsidR="000565DB" w:rsidRPr="00181EF3">
        <w:t>.</w:t>
      </w:r>
    </w:p>
    <w:p w14:paraId="2CD658A7" w14:textId="2B81725A" w:rsidR="000565DB" w:rsidRPr="000565DB" w:rsidRDefault="000565DB" w:rsidP="000565DB">
      <w:pPr>
        <w:pStyle w:val="Note"/>
      </w:pPr>
      <w:r>
        <w:t>Prioritised ethnicity has been used.</w:t>
      </w:r>
    </w:p>
    <w:p w14:paraId="3613D164" w14:textId="77777777" w:rsidR="00370973" w:rsidRPr="00181EF3" w:rsidRDefault="00370973" w:rsidP="00753785">
      <w:pPr>
        <w:pStyle w:val="Note"/>
        <w:ind w:left="0" w:firstLine="0"/>
      </w:pPr>
      <w:r w:rsidRPr="00181EF3">
        <w:t>Due to the nature of the survey, the individual figures for physical and verbal do not equal the figures for physical or verbal.</w:t>
      </w:r>
    </w:p>
    <w:p w14:paraId="3154B130" w14:textId="569E7416" w:rsidR="00370973" w:rsidRPr="00181EF3" w:rsidRDefault="00370973" w:rsidP="00EF58A1">
      <w:pPr>
        <w:pStyle w:val="Source"/>
      </w:pPr>
      <w:r w:rsidRPr="00181EF3">
        <w:t>Source: New Zealand Health Survey (NZHS)</w:t>
      </w:r>
      <w:r w:rsidR="009116B8">
        <w:t xml:space="preserve">, </w:t>
      </w:r>
      <w:r w:rsidR="009116B8" w:rsidRPr="00181EF3">
        <w:t>Ministry of Health</w:t>
      </w:r>
      <w:r w:rsidRPr="00181EF3">
        <w:t xml:space="preserve">, </w:t>
      </w:r>
      <w:r w:rsidR="00CD34CF">
        <w:t>2006/07, 2011/12 and 2016/17</w:t>
      </w:r>
      <w:r w:rsidRPr="00181EF3">
        <w:t>.</w:t>
      </w:r>
    </w:p>
    <w:p w14:paraId="191E3955" w14:textId="77777777" w:rsidR="00370973" w:rsidRPr="00181EF3" w:rsidRDefault="00370973" w:rsidP="00370973"/>
    <w:p w14:paraId="378A42E1" w14:textId="51FE2EE7" w:rsidR="00370973" w:rsidRPr="00181EF3" w:rsidRDefault="00370973" w:rsidP="00370973">
      <w:r w:rsidRPr="00181EF3">
        <w:t xml:space="preserve">Table </w:t>
      </w:r>
      <w:r w:rsidR="000565DB">
        <w:t>13</w:t>
      </w:r>
      <w:r w:rsidRPr="00181EF3">
        <w:t xml:space="preserve"> shows, overall, Māori adults were more than 1½ times as likely as </w:t>
      </w:r>
      <w:r w:rsidR="00EC03A3">
        <w:t>non</w:t>
      </w:r>
      <w:r w:rsidR="00EC03A3">
        <w:noBreakHyphen/>
        <w:t>M</w:t>
      </w:r>
      <w:r w:rsidRPr="00181EF3">
        <w:t>āori to have experienced any ethnically motivated personal (physical or verbal) attack (RR</w:t>
      </w:r>
      <w:r w:rsidR="00EF58A1">
        <w:t> </w:t>
      </w:r>
      <w:r w:rsidRPr="00181EF3">
        <w:t xml:space="preserve">1.57 in 2006/07, 1.76 in 2011/12 and 1.73 in 2016/17). The disparity was greater for rates of experience of a physical attack and the gap is widening: Māori adults were more than twice as likely as </w:t>
      </w:r>
      <w:r w:rsidR="00EC03A3">
        <w:t>non</w:t>
      </w:r>
      <w:r w:rsidR="00EC03A3">
        <w:noBreakHyphen/>
        <w:t>M</w:t>
      </w:r>
      <w:r w:rsidRPr="00181EF3">
        <w:t>āori to have experienced a physical attack in 2016/17 (RR 1.63 in 2006/07, 1.76 in 2011/12 and 2.41 in</w:t>
      </w:r>
      <w:r w:rsidR="00EF58A1">
        <w:t xml:space="preserve"> </w:t>
      </w:r>
      <w:r w:rsidRPr="00181EF3">
        <w:t>2016/17).</w:t>
      </w:r>
    </w:p>
    <w:p w14:paraId="4E3472C7" w14:textId="77777777" w:rsidR="00370973" w:rsidRPr="00181EF3" w:rsidRDefault="00370973" w:rsidP="00370973"/>
    <w:p w14:paraId="4D24093E" w14:textId="77777777" w:rsidR="00370973" w:rsidRPr="00181EF3" w:rsidRDefault="00370973" w:rsidP="000565DB">
      <w:pPr>
        <w:pStyle w:val="Heading3"/>
      </w:pPr>
      <w:bookmarkStart w:id="50" w:name="_Toc19102298"/>
      <w:r w:rsidRPr="00181EF3">
        <w:lastRenderedPageBreak/>
        <w:t>Unfair treatment based on ethnicity</w:t>
      </w:r>
      <w:bookmarkEnd w:id="50"/>
    </w:p>
    <w:p w14:paraId="7A837E44" w14:textId="50EF4AAD" w:rsidR="00370973" w:rsidRPr="00181EF3" w:rsidRDefault="00370973" w:rsidP="00370973">
      <w:pPr>
        <w:pStyle w:val="Table"/>
      </w:pPr>
      <w:bookmarkStart w:id="51" w:name="_Toc18594754"/>
      <w:r w:rsidRPr="00181EF3">
        <w:t xml:space="preserve">Table </w:t>
      </w:r>
      <w:r w:rsidR="000565DB">
        <w:t>14</w:t>
      </w:r>
      <w:r w:rsidRPr="00181EF3">
        <w:t xml:space="preserve">: Self-reported experience of unfair treatment on the basis of ethnicity, by gender, Māori and </w:t>
      </w:r>
      <w:r w:rsidR="00EC03A3">
        <w:t>non</w:t>
      </w:r>
      <w:r w:rsidR="00EC03A3">
        <w:noBreakHyphen/>
        <w:t>M</w:t>
      </w:r>
      <w:r w:rsidRPr="00181EF3">
        <w:t>āori, 2006/07 and 2011/12</w:t>
      </w:r>
      <w:bookmarkEnd w:id="51"/>
    </w:p>
    <w:tbl>
      <w:tblPr>
        <w:tblW w:w="8080" w:type="dxa"/>
        <w:tblInd w:w="57" w:type="dxa"/>
        <w:tblLayout w:type="fixed"/>
        <w:tblCellMar>
          <w:left w:w="57" w:type="dxa"/>
          <w:right w:w="57" w:type="dxa"/>
        </w:tblCellMar>
        <w:tblLook w:val="04A0" w:firstRow="1" w:lastRow="0" w:firstColumn="1" w:lastColumn="0" w:noHBand="0" w:noVBand="1"/>
      </w:tblPr>
      <w:tblGrid>
        <w:gridCol w:w="1843"/>
        <w:gridCol w:w="851"/>
        <w:gridCol w:w="897"/>
        <w:gridCol w:w="898"/>
        <w:gridCol w:w="898"/>
        <w:gridCol w:w="897"/>
        <w:gridCol w:w="898"/>
        <w:gridCol w:w="898"/>
      </w:tblGrid>
      <w:tr w:rsidR="00370973" w:rsidRPr="00181EF3" w14:paraId="6F5A0733" w14:textId="77777777" w:rsidTr="00370973">
        <w:trPr>
          <w:cantSplit/>
        </w:trPr>
        <w:tc>
          <w:tcPr>
            <w:tcW w:w="1843" w:type="dxa"/>
            <w:vMerge w:val="restart"/>
            <w:shd w:val="clear" w:color="auto" w:fill="D9D9D9" w:themeFill="background1" w:themeFillShade="D9"/>
          </w:tcPr>
          <w:p w14:paraId="218FE261" w14:textId="77777777" w:rsidR="00370973" w:rsidRPr="00181EF3" w:rsidRDefault="00370973" w:rsidP="00370973">
            <w:pPr>
              <w:pStyle w:val="TableText"/>
              <w:keepNext/>
              <w:rPr>
                <w:b/>
              </w:rPr>
            </w:pPr>
            <w:r w:rsidRPr="00181EF3">
              <w:rPr>
                <w:b/>
              </w:rPr>
              <w:t>Indicator</w:t>
            </w:r>
          </w:p>
        </w:tc>
        <w:tc>
          <w:tcPr>
            <w:tcW w:w="851" w:type="dxa"/>
            <w:vMerge w:val="restart"/>
            <w:tcBorders>
              <w:right w:val="single" w:sz="4" w:space="0" w:color="A6A6A6" w:themeColor="background1" w:themeShade="A6"/>
            </w:tcBorders>
            <w:shd w:val="clear" w:color="auto" w:fill="D9D9D9" w:themeFill="background1" w:themeFillShade="D9"/>
          </w:tcPr>
          <w:p w14:paraId="27EC5777" w14:textId="77777777" w:rsidR="00370973" w:rsidRPr="00181EF3" w:rsidRDefault="00370973" w:rsidP="00370973">
            <w:pPr>
              <w:pStyle w:val="TableText"/>
              <w:keepNext/>
              <w:jc w:val="center"/>
              <w:rPr>
                <w:b/>
              </w:rPr>
            </w:pPr>
            <w:r w:rsidRPr="00181EF3">
              <w:rPr>
                <w:b/>
              </w:rPr>
              <w:t>Year</w:t>
            </w:r>
          </w:p>
        </w:tc>
        <w:tc>
          <w:tcPr>
            <w:tcW w:w="2693" w:type="dxa"/>
            <w:gridSpan w:val="3"/>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30E43ADC" w14:textId="77777777" w:rsidR="00370973" w:rsidRPr="00181EF3" w:rsidRDefault="00370973" w:rsidP="00370973">
            <w:pPr>
              <w:pStyle w:val="TableText"/>
              <w:keepNext/>
              <w:jc w:val="center"/>
              <w:rPr>
                <w:b/>
              </w:rPr>
            </w:pPr>
            <w:r w:rsidRPr="00181EF3">
              <w:rPr>
                <w:b/>
              </w:rPr>
              <w:t>Māori</w:t>
            </w:r>
          </w:p>
        </w:tc>
        <w:tc>
          <w:tcPr>
            <w:tcW w:w="2693" w:type="dxa"/>
            <w:gridSpan w:val="3"/>
            <w:tcBorders>
              <w:left w:val="single" w:sz="4" w:space="0" w:color="A6A6A6" w:themeColor="background1" w:themeShade="A6"/>
            </w:tcBorders>
            <w:shd w:val="clear" w:color="auto" w:fill="D9D9D9" w:themeFill="background1" w:themeFillShade="D9"/>
          </w:tcPr>
          <w:p w14:paraId="3EB2E077" w14:textId="27A710C5" w:rsidR="00370973" w:rsidRPr="00181EF3" w:rsidRDefault="00EC03A3" w:rsidP="00370973">
            <w:pPr>
              <w:pStyle w:val="TableText"/>
              <w:keepNext/>
              <w:jc w:val="center"/>
              <w:rPr>
                <w:b/>
              </w:rPr>
            </w:pPr>
            <w:r>
              <w:rPr>
                <w:b/>
              </w:rPr>
              <w:t>Non</w:t>
            </w:r>
            <w:r>
              <w:rPr>
                <w:b/>
              </w:rPr>
              <w:noBreakHyphen/>
              <w:t>M</w:t>
            </w:r>
            <w:r w:rsidR="00370973" w:rsidRPr="00181EF3">
              <w:rPr>
                <w:b/>
              </w:rPr>
              <w:t>āori</w:t>
            </w:r>
          </w:p>
        </w:tc>
      </w:tr>
      <w:tr w:rsidR="00370973" w:rsidRPr="00181EF3" w14:paraId="0C50CF80" w14:textId="77777777" w:rsidTr="00370973">
        <w:trPr>
          <w:cantSplit/>
        </w:trPr>
        <w:tc>
          <w:tcPr>
            <w:tcW w:w="1843" w:type="dxa"/>
            <w:vMerge/>
            <w:shd w:val="clear" w:color="auto" w:fill="D9D9D9" w:themeFill="background1" w:themeFillShade="D9"/>
          </w:tcPr>
          <w:p w14:paraId="6BD324CA" w14:textId="77777777" w:rsidR="00370973" w:rsidRPr="00181EF3" w:rsidRDefault="00370973" w:rsidP="00370973">
            <w:pPr>
              <w:pStyle w:val="TableText"/>
              <w:keepNext/>
              <w:rPr>
                <w:b/>
              </w:rPr>
            </w:pPr>
          </w:p>
        </w:tc>
        <w:tc>
          <w:tcPr>
            <w:tcW w:w="851" w:type="dxa"/>
            <w:vMerge/>
            <w:tcBorders>
              <w:right w:val="single" w:sz="4" w:space="0" w:color="A6A6A6" w:themeColor="background1" w:themeShade="A6"/>
            </w:tcBorders>
            <w:shd w:val="clear" w:color="auto" w:fill="D9D9D9" w:themeFill="background1" w:themeFillShade="D9"/>
          </w:tcPr>
          <w:p w14:paraId="1E373D90" w14:textId="77777777" w:rsidR="00370973" w:rsidRPr="00181EF3" w:rsidRDefault="00370973" w:rsidP="00370973">
            <w:pPr>
              <w:pStyle w:val="TableText"/>
              <w:keepNext/>
              <w:jc w:val="center"/>
              <w:rPr>
                <w:b/>
              </w:rPr>
            </w:pPr>
          </w:p>
        </w:tc>
        <w:tc>
          <w:tcPr>
            <w:tcW w:w="897" w:type="dxa"/>
            <w:tcBorders>
              <w:left w:val="single" w:sz="4" w:space="0" w:color="A6A6A6" w:themeColor="background1" w:themeShade="A6"/>
            </w:tcBorders>
            <w:shd w:val="clear" w:color="auto" w:fill="D9D9D9" w:themeFill="background1" w:themeFillShade="D9"/>
          </w:tcPr>
          <w:p w14:paraId="4841919B" w14:textId="77777777" w:rsidR="00370973" w:rsidRPr="00181EF3" w:rsidRDefault="00370973" w:rsidP="00370973">
            <w:pPr>
              <w:pStyle w:val="TableText"/>
              <w:keepNext/>
              <w:spacing w:before="0"/>
              <w:jc w:val="center"/>
              <w:rPr>
                <w:b/>
              </w:rPr>
            </w:pPr>
            <w:r w:rsidRPr="00181EF3">
              <w:rPr>
                <w:b/>
              </w:rPr>
              <w:t>Male</w:t>
            </w:r>
          </w:p>
        </w:tc>
        <w:tc>
          <w:tcPr>
            <w:tcW w:w="898" w:type="dxa"/>
            <w:shd w:val="clear" w:color="auto" w:fill="D9D9D9" w:themeFill="background1" w:themeFillShade="D9"/>
          </w:tcPr>
          <w:p w14:paraId="167BCE6A" w14:textId="77777777" w:rsidR="00370973" w:rsidRPr="00181EF3" w:rsidRDefault="00370973" w:rsidP="00370973">
            <w:pPr>
              <w:pStyle w:val="TableText"/>
              <w:keepNext/>
              <w:spacing w:before="0"/>
              <w:jc w:val="center"/>
              <w:rPr>
                <w:b/>
              </w:rPr>
            </w:pPr>
            <w:r w:rsidRPr="00181EF3">
              <w:rPr>
                <w:b/>
              </w:rPr>
              <w:t>Female</w:t>
            </w:r>
          </w:p>
        </w:tc>
        <w:tc>
          <w:tcPr>
            <w:tcW w:w="898" w:type="dxa"/>
            <w:tcBorders>
              <w:right w:val="single" w:sz="4" w:space="0" w:color="A6A6A6" w:themeColor="background1" w:themeShade="A6"/>
            </w:tcBorders>
            <w:shd w:val="clear" w:color="auto" w:fill="D9D9D9" w:themeFill="background1" w:themeFillShade="D9"/>
          </w:tcPr>
          <w:p w14:paraId="26AA6996" w14:textId="77777777" w:rsidR="00370973" w:rsidRPr="00181EF3" w:rsidRDefault="00370973" w:rsidP="00370973">
            <w:pPr>
              <w:pStyle w:val="TableText"/>
              <w:keepNext/>
              <w:spacing w:before="0"/>
              <w:jc w:val="center"/>
              <w:rPr>
                <w:b/>
              </w:rPr>
            </w:pPr>
            <w:r w:rsidRPr="00181EF3">
              <w:rPr>
                <w:b/>
              </w:rPr>
              <w:t>Total</w:t>
            </w:r>
          </w:p>
        </w:tc>
        <w:tc>
          <w:tcPr>
            <w:tcW w:w="897" w:type="dxa"/>
            <w:tcBorders>
              <w:left w:val="single" w:sz="4" w:space="0" w:color="A6A6A6" w:themeColor="background1" w:themeShade="A6"/>
            </w:tcBorders>
            <w:shd w:val="clear" w:color="auto" w:fill="D9D9D9" w:themeFill="background1" w:themeFillShade="D9"/>
          </w:tcPr>
          <w:p w14:paraId="72A1785B" w14:textId="77777777" w:rsidR="00370973" w:rsidRPr="00181EF3" w:rsidRDefault="00370973" w:rsidP="00370973">
            <w:pPr>
              <w:pStyle w:val="TableText"/>
              <w:keepNext/>
              <w:spacing w:before="0"/>
              <w:jc w:val="center"/>
              <w:rPr>
                <w:b/>
              </w:rPr>
            </w:pPr>
            <w:r w:rsidRPr="00181EF3">
              <w:rPr>
                <w:b/>
              </w:rPr>
              <w:t>Male</w:t>
            </w:r>
          </w:p>
        </w:tc>
        <w:tc>
          <w:tcPr>
            <w:tcW w:w="898" w:type="dxa"/>
            <w:shd w:val="clear" w:color="auto" w:fill="D9D9D9" w:themeFill="background1" w:themeFillShade="D9"/>
          </w:tcPr>
          <w:p w14:paraId="3793253C" w14:textId="77777777" w:rsidR="00370973" w:rsidRPr="00181EF3" w:rsidRDefault="00370973" w:rsidP="00370973">
            <w:pPr>
              <w:pStyle w:val="TableText"/>
              <w:keepNext/>
              <w:spacing w:before="0"/>
              <w:jc w:val="center"/>
              <w:rPr>
                <w:b/>
              </w:rPr>
            </w:pPr>
            <w:r w:rsidRPr="00181EF3">
              <w:rPr>
                <w:b/>
              </w:rPr>
              <w:t>Female</w:t>
            </w:r>
          </w:p>
        </w:tc>
        <w:tc>
          <w:tcPr>
            <w:tcW w:w="898" w:type="dxa"/>
            <w:shd w:val="clear" w:color="auto" w:fill="D9D9D9" w:themeFill="background1" w:themeFillShade="D9"/>
          </w:tcPr>
          <w:p w14:paraId="2308311C" w14:textId="77777777" w:rsidR="00370973" w:rsidRPr="00181EF3" w:rsidRDefault="00370973" w:rsidP="00370973">
            <w:pPr>
              <w:pStyle w:val="TableText"/>
              <w:keepNext/>
              <w:spacing w:before="0"/>
              <w:jc w:val="center"/>
              <w:rPr>
                <w:b/>
              </w:rPr>
            </w:pPr>
            <w:r w:rsidRPr="00181EF3">
              <w:rPr>
                <w:b/>
              </w:rPr>
              <w:t>Total</w:t>
            </w:r>
          </w:p>
        </w:tc>
      </w:tr>
      <w:tr w:rsidR="00370973" w:rsidRPr="00181EF3" w14:paraId="74904465" w14:textId="77777777" w:rsidTr="00EF58A1">
        <w:trPr>
          <w:cantSplit/>
          <w:trHeight w:val="893"/>
        </w:trPr>
        <w:tc>
          <w:tcPr>
            <w:tcW w:w="1843" w:type="dxa"/>
            <w:vMerge w:val="restart"/>
          </w:tcPr>
          <w:p w14:paraId="13350A30" w14:textId="77777777" w:rsidR="00370973" w:rsidRPr="00181EF3" w:rsidRDefault="00370973" w:rsidP="00370973">
            <w:pPr>
              <w:pStyle w:val="TableText"/>
              <w:keepNext/>
              <w:rPr>
                <w:spacing w:val="-2"/>
              </w:rPr>
            </w:pPr>
            <w:r w:rsidRPr="00181EF3">
              <w:rPr>
                <w:spacing w:val="-2"/>
              </w:rPr>
              <w:t>Self-reported experience of unfair treatment by a health professional on the basis of ethnicity (ever), 15+ years, percentage</w:t>
            </w:r>
          </w:p>
        </w:tc>
        <w:tc>
          <w:tcPr>
            <w:tcW w:w="851" w:type="dxa"/>
            <w:tcBorders>
              <w:bottom w:val="single" w:sz="4" w:space="0" w:color="A6A6A6" w:themeColor="background1" w:themeShade="A6"/>
              <w:right w:val="single" w:sz="4" w:space="0" w:color="A6A6A6" w:themeColor="background1" w:themeShade="A6"/>
            </w:tcBorders>
            <w:vAlign w:val="center"/>
          </w:tcPr>
          <w:p w14:paraId="74D49F1D" w14:textId="77777777" w:rsidR="00370973" w:rsidRPr="00181EF3" w:rsidRDefault="00370973" w:rsidP="00EF58A1">
            <w:pPr>
              <w:pStyle w:val="TableText"/>
              <w:keepNext/>
              <w:jc w:val="center"/>
            </w:pPr>
            <w:r w:rsidRPr="00181EF3">
              <w:t>2006/07</w:t>
            </w:r>
          </w:p>
        </w:tc>
        <w:tc>
          <w:tcPr>
            <w:tcW w:w="897" w:type="dxa"/>
            <w:tcBorders>
              <w:left w:val="single" w:sz="4" w:space="0" w:color="A6A6A6" w:themeColor="background1" w:themeShade="A6"/>
              <w:bottom w:val="single" w:sz="4" w:space="0" w:color="A6A6A6" w:themeColor="background1" w:themeShade="A6"/>
            </w:tcBorders>
            <w:vAlign w:val="center"/>
          </w:tcPr>
          <w:p w14:paraId="1BE906E9" w14:textId="77777777" w:rsidR="00370973" w:rsidRPr="00181EF3" w:rsidRDefault="00370973" w:rsidP="00EF58A1">
            <w:pPr>
              <w:pStyle w:val="TableText"/>
              <w:keepNext/>
              <w:spacing w:after="0"/>
              <w:ind w:left="-28" w:right="-28"/>
              <w:jc w:val="center"/>
            </w:pPr>
            <w:r w:rsidRPr="00181EF3">
              <w:t>3.3</w:t>
            </w:r>
          </w:p>
          <w:p w14:paraId="55BAD75C" w14:textId="77777777" w:rsidR="00370973" w:rsidRPr="00181EF3" w:rsidRDefault="00370973" w:rsidP="00EF58A1">
            <w:pPr>
              <w:pStyle w:val="TableText"/>
              <w:keepNext/>
              <w:spacing w:before="0"/>
              <w:ind w:left="-28" w:right="-28"/>
              <w:jc w:val="center"/>
            </w:pPr>
            <w:r w:rsidRPr="00181EF3">
              <w:t>(2.3–4.6)</w:t>
            </w:r>
          </w:p>
        </w:tc>
        <w:tc>
          <w:tcPr>
            <w:tcW w:w="898" w:type="dxa"/>
            <w:tcBorders>
              <w:bottom w:val="single" w:sz="4" w:space="0" w:color="A6A6A6" w:themeColor="background1" w:themeShade="A6"/>
            </w:tcBorders>
            <w:vAlign w:val="center"/>
          </w:tcPr>
          <w:p w14:paraId="7BE4BF88" w14:textId="77777777" w:rsidR="00370973" w:rsidRPr="00181EF3" w:rsidRDefault="00370973" w:rsidP="00EF58A1">
            <w:pPr>
              <w:pStyle w:val="TableText"/>
              <w:keepNext/>
              <w:spacing w:after="0"/>
              <w:ind w:left="-28" w:right="-28"/>
              <w:jc w:val="center"/>
            </w:pPr>
            <w:r w:rsidRPr="00181EF3">
              <w:t>6.4</w:t>
            </w:r>
          </w:p>
          <w:p w14:paraId="1194BFD1" w14:textId="77777777" w:rsidR="00370973" w:rsidRPr="00181EF3" w:rsidRDefault="00370973" w:rsidP="00EF58A1">
            <w:pPr>
              <w:pStyle w:val="TableText"/>
              <w:keepNext/>
              <w:spacing w:before="0"/>
              <w:ind w:left="-28" w:right="-28"/>
              <w:jc w:val="center"/>
            </w:pPr>
            <w:r w:rsidRPr="00181EF3">
              <w:t>(5.2–7.8)</w:t>
            </w:r>
          </w:p>
        </w:tc>
        <w:tc>
          <w:tcPr>
            <w:tcW w:w="898" w:type="dxa"/>
            <w:tcBorders>
              <w:bottom w:val="single" w:sz="4" w:space="0" w:color="A6A6A6" w:themeColor="background1" w:themeShade="A6"/>
              <w:right w:val="single" w:sz="4" w:space="0" w:color="A6A6A6" w:themeColor="background1" w:themeShade="A6"/>
            </w:tcBorders>
            <w:vAlign w:val="center"/>
          </w:tcPr>
          <w:p w14:paraId="128F6EB3" w14:textId="77777777" w:rsidR="00370973" w:rsidRPr="00181EF3" w:rsidRDefault="00370973" w:rsidP="00EF58A1">
            <w:pPr>
              <w:pStyle w:val="TableText"/>
              <w:keepNext/>
              <w:spacing w:after="0"/>
              <w:ind w:left="-28" w:right="-28"/>
              <w:jc w:val="center"/>
            </w:pPr>
            <w:r w:rsidRPr="00181EF3">
              <w:t>4.9</w:t>
            </w:r>
          </w:p>
          <w:p w14:paraId="23967E3A" w14:textId="77777777" w:rsidR="00370973" w:rsidRPr="00181EF3" w:rsidRDefault="00370973" w:rsidP="00EF58A1">
            <w:pPr>
              <w:pStyle w:val="TableText"/>
              <w:keepNext/>
              <w:spacing w:before="0"/>
              <w:ind w:left="-28" w:right="-28"/>
              <w:jc w:val="center"/>
            </w:pPr>
            <w:r w:rsidRPr="00181EF3">
              <w:t>(4.1–5.8)</w:t>
            </w:r>
          </w:p>
        </w:tc>
        <w:tc>
          <w:tcPr>
            <w:tcW w:w="897" w:type="dxa"/>
            <w:tcBorders>
              <w:left w:val="single" w:sz="4" w:space="0" w:color="A6A6A6" w:themeColor="background1" w:themeShade="A6"/>
              <w:bottom w:val="single" w:sz="4" w:space="0" w:color="A6A6A6" w:themeColor="background1" w:themeShade="A6"/>
            </w:tcBorders>
            <w:vAlign w:val="center"/>
          </w:tcPr>
          <w:p w14:paraId="5F754F8F" w14:textId="77777777" w:rsidR="00370973" w:rsidRPr="00181EF3" w:rsidRDefault="00370973" w:rsidP="00EF58A1">
            <w:pPr>
              <w:pStyle w:val="TableText"/>
              <w:keepNext/>
              <w:spacing w:after="0"/>
              <w:ind w:left="-28" w:right="-28"/>
              <w:jc w:val="center"/>
            </w:pPr>
            <w:r w:rsidRPr="00181EF3">
              <w:t>1.7</w:t>
            </w:r>
          </w:p>
          <w:p w14:paraId="327A0EA5" w14:textId="77777777" w:rsidR="00370973" w:rsidRPr="00181EF3" w:rsidRDefault="00370973" w:rsidP="00EF58A1">
            <w:pPr>
              <w:pStyle w:val="TableText"/>
              <w:keepNext/>
              <w:spacing w:before="0"/>
              <w:ind w:left="-28" w:right="-28"/>
              <w:jc w:val="center"/>
            </w:pPr>
            <w:r w:rsidRPr="00181EF3">
              <w:t>(1.3–2.3)</w:t>
            </w:r>
          </w:p>
        </w:tc>
        <w:tc>
          <w:tcPr>
            <w:tcW w:w="898" w:type="dxa"/>
            <w:tcBorders>
              <w:bottom w:val="single" w:sz="4" w:space="0" w:color="A6A6A6" w:themeColor="background1" w:themeShade="A6"/>
            </w:tcBorders>
            <w:vAlign w:val="center"/>
          </w:tcPr>
          <w:p w14:paraId="0F90A6C9" w14:textId="77777777" w:rsidR="00370973" w:rsidRPr="00181EF3" w:rsidRDefault="00370973" w:rsidP="00EF58A1">
            <w:pPr>
              <w:pStyle w:val="TableText"/>
              <w:keepNext/>
              <w:spacing w:after="0"/>
              <w:ind w:left="-28" w:right="-28"/>
              <w:jc w:val="center"/>
            </w:pPr>
            <w:r w:rsidRPr="00181EF3">
              <w:t>1.8</w:t>
            </w:r>
          </w:p>
          <w:p w14:paraId="3B5B3480" w14:textId="77777777" w:rsidR="00370973" w:rsidRPr="00181EF3" w:rsidRDefault="00370973" w:rsidP="00EF58A1">
            <w:pPr>
              <w:pStyle w:val="TableText"/>
              <w:keepNext/>
              <w:spacing w:before="0"/>
              <w:ind w:left="-28" w:right="-28"/>
              <w:jc w:val="center"/>
            </w:pPr>
            <w:r w:rsidRPr="00181EF3">
              <w:t>(1.4–2.3)</w:t>
            </w:r>
          </w:p>
        </w:tc>
        <w:tc>
          <w:tcPr>
            <w:tcW w:w="898" w:type="dxa"/>
            <w:tcBorders>
              <w:bottom w:val="single" w:sz="4" w:space="0" w:color="A6A6A6" w:themeColor="background1" w:themeShade="A6"/>
            </w:tcBorders>
            <w:vAlign w:val="center"/>
          </w:tcPr>
          <w:p w14:paraId="34F9F748" w14:textId="77777777" w:rsidR="00370973" w:rsidRPr="00181EF3" w:rsidRDefault="00370973" w:rsidP="00EF58A1">
            <w:pPr>
              <w:pStyle w:val="TableText"/>
              <w:keepNext/>
              <w:spacing w:after="0"/>
              <w:ind w:left="-28" w:right="-28"/>
              <w:jc w:val="center"/>
            </w:pPr>
            <w:r w:rsidRPr="00181EF3">
              <w:t>1.8</w:t>
            </w:r>
            <w:r w:rsidRPr="00181EF3">
              <w:br/>
              <w:t>(1.4–2.1)</w:t>
            </w:r>
          </w:p>
        </w:tc>
      </w:tr>
      <w:tr w:rsidR="00370973" w:rsidRPr="00181EF3" w14:paraId="3BF6ED5E" w14:textId="77777777" w:rsidTr="00EF58A1">
        <w:trPr>
          <w:cantSplit/>
          <w:trHeight w:val="893"/>
        </w:trPr>
        <w:tc>
          <w:tcPr>
            <w:tcW w:w="1843" w:type="dxa"/>
            <w:vMerge/>
            <w:tcBorders>
              <w:bottom w:val="single" w:sz="4" w:space="0" w:color="A6A6A6" w:themeColor="background1" w:themeShade="A6"/>
            </w:tcBorders>
          </w:tcPr>
          <w:p w14:paraId="5D9CBC38" w14:textId="77777777" w:rsidR="00370973" w:rsidRPr="00181EF3" w:rsidRDefault="00370973" w:rsidP="00370973">
            <w:pPr>
              <w:pStyle w:val="TableText"/>
              <w:rPr>
                <w:spacing w:val="-2"/>
              </w:rPr>
            </w:pPr>
          </w:p>
        </w:tc>
        <w:tc>
          <w:tcPr>
            <w:tcW w:w="851"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0ED8EFA" w14:textId="77777777" w:rsidR="00370973" w:rsidRPr="00181EF3" w:rsidRDefault="00370973" w:rsidP="00EF58A1">
            <w:pPr>
              <w:pStyle w:val="TableText"/>
              <w:jc w:val="center"/>
            </w:pPr>
            <w:r w:rsidRPr="00181EF3">
              <w:t>2011/12</w:t>
            </w:r>
          </w:p>
        </w:tc>
        <w:tc>
          <w:tcPr>
            <w:tcW w:w="897"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1492F679" w14:textId="77777777" w:rsidR="00370973" w:rsidRPr="00181EF3" w:rsidRDefault="00370973" w:rsidP="00EF58A1">
            <w:pPr>
              <w:pStyle w:val="TableText"/>
              <w:keepNext/>
              <w:spacing w:after="0"/>
              <w:ind w:left="-28" w:right="-28"/>
              <w:jc w:val="center"/>
            </w:pPr>
            <w:r w:rsidRPr="00181EF3">
              <w:t>3.7</w:t>
            </w:r>
          </w:p>
          <w:p w14:paraId="650637C7" w14:textId="77777777" w:rsidR="00370973" w:rsidRPr="00181EF3" w:rsidRDefault="00370973" w:rsidP="00EF58A1">
            <w:pPr>
              <w:pStyle w:val="TableText"/>
              <w:keepNext/>
              <w:spacing w:before="0"/>
              <w:ind w:left="-28" w:right="-28"/>
              <w:jc w:val="center"/>
            </w:pPr>
            <w:r w:rsidRPr="00181EF3">
              <w:t>(2.0–6.0)</w:t>
            </w:r>
          </w:p>
        </w:tc>
        <w:tc>
          <w:tcPr>
            <w:tcW w:w="898" w:type="dxa"/>
            <w:tcBorders>
              <w:top w:val="single" w:sz="4" w:space="0" w:color="A6A6A6" w:themeColor="background1" w:themeShade="A6"/>
              <w:bottom w:val="single" w:sz="4" w:space="0" w:color="A6A6A6" w:themeColor="background1" w:themeShade="A6"/>
            </w:tcBorders>
            <w:vAlign w:val="center"/>
          </w:tcPr>
          <w:p w14:paraId="3A96B37F" w14:textId="77777777" w:rsidR="00370973" w:rsidRPr="00181EF3" w:rsidRDefault="00370973" w:rsidP="00EF58A1">
            <w:pPr>
              <w:pStyle w:val="TableText"/>
              <w:keepNext/>
              <w:spacing w:after="0"/>
              <w:ind w:left="-28" w:right="-28"/>
              <w:jc w:val="center"/>
            </w:pPr>
            <w:r w:rsidRPr="00181EF3">
              <w:t>4.9</w:t>
            </w:r>
          </w:p>
          <w:p w14:paraId="4270DFAF" w14:textId="77777777" w:rsidR="00370973" w:rsidRPr="00181EF3" w:rsidRDefault="00370973" w:rsidP="00EF58A1">
            <w:pPr>
              <w:pStyle w:val="TableText"/>
              <w:keepNext/>
              <w:spacing w:before="0"/>
              <w:ind w:left="-28" w:right="-28"/>
              <w:jc w:val="center"/>
            </w:pPr>
            <w:r w:rsidRPr="00181EF3">
              <w:t>(3.7–6.2)</w:t>
            </w:r>
          </w:p>
        </w:tc>
        <w:tc>
          <w:tcPr>
            <w:tcW w:w="898"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F422086" w14:textId="77777777" w:rsidR="00370973" w:rsidRPr="00181EF3" w:rsidRDefault="00370973" w:rsidP="00EF58A1">
            <w:pPr>
              <w:pStyle w:val="TableText"/>
              <w:keepNext/>
              <w:spacing w:after="0"/>
              <w:ind w:left="-28" w:right="-28"/>
              <w:jc w:val="center"/>
            </w:pPr>
            <w:r w:rsidRPr="00181EF3">
              <w:t>4.3</w:t>
            </w:r>
            <w:r w:rsidRPr="00181EF3">
              <w:br/>
              <w:t>(3.3–5.4)</w:t>
            </w:r>
          </w:p>
        </w:tc>
        <w:tc>
          <w:tcPr>
            <w:tcW w:w="897"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26E6C0B9" w14:textId="77777777" w:rsidR="00370973" w:rsidRPr="00181EF3" w:rsidRDefault="00370973" w:rsidP="00EF58A1">
            <w:pPr>
              <w:pStyle w:val="TableText"/>
              <w:keepNext/>
              <w:spacing w:after="0"/>
              <w:ind w:left="-28" w:right="-28"/>
              <w:jc w:val="center"/>
            </w:pPr>
            <w:r w:rsidRPr="00181EF3">
              <w:t>0.9</w:t>
            </w:r>
          </w:p>
          <w:p w14:paraId="7D7C3F69" w14:textId="77777777" w:rsidR="00370973" w:rsidRPr="00181EF3" w:rsidRDefault="00370973" w:rsidP="00EF58A1">
            <w:pPr>
              <w:pStyle w:val="TableText"/>
              <w:keepNext/>
              <w:spacing w:before="0"/>
              <w:ind w:left="-28" w:right="-28"/>
              <w:jc w:val="center"/>
            </w:pPr>
            <w:r w:rsidRPr="00181EF3">
              <w:t>(0.6–1.2)</w:t>
            </w:r>
          </w:p>
        </w:tc>
        <w:tc>
          <w:tcPr>
            <w:tcW w:w="898" w:type="dxa"/>
            <w:tcBorders>
              <w:top w:val="single" w:sz="4" w:space="0" w:color="A6A6A6" w:themeColor="background1" w:themeShade="A6"/>
              <w:bottom w:val="single" w:sz="4" w:space="0" w:color="A6A6A6" w:themeColor="background1" w:themeShade="A6"/>
            </w:tcBorders>
            <w:vAlign w:val="center"/>
          </w:tcPr>
          <w:p w14:paraId="2299A6EB" w14:textId="77777777" w:rsidR="00370973" w:rsidRPr="00181EF3" w:rsidRDefault="00370973" w:rsidP="00EF58A1">
            <w:pPr>
              <w:pStyle w:val="TableText"/>
              <w:keepNext/>
              <w:spacing w:after="0"/>
              <w:ind w:left="-28" w:right="-28"/>
              <w:jc w:val="center"/>
            </w:pPr>
            <w:r w:rsidRPr="00181EF3">
              <w:t>1.6</w:t>
            </w:r>
          </w:p>
          <w:p w14:paraId="7BA53DF0" w14:textId="77777777" w:rsidR="00370973" w:rsidRPr="00181EF3" w:rsidRDefault="00370973" w:rsidP="00EF58A1">
            <w:pPr>
              <w:pStyle w:val="TableText"/>
              <w:keepNext/>
              <w:spacing w:before="0"/>
              <w:ind w:left="-28" w:right="-28"/>
              <w:jc w:val="center"/>
            </w:pPr>
            <w:r w:rsidRPr="00181EF3">
              <w:t>(1.2–2.1)</w:t>
            </w:r>
          </w:p>
        </w:tc>
        <w:tc>
          <w:tcPr>
            <w:tcW w:w="898" w:type="dxa"/>
            <w:tcBorders>
              <w:top w:val="single" w:sz="4" w:space="0" w:color="A6A6A6" w:themeColor="background1" w:themeShade="A6"/>
              <w:bottom w:val="single" w:sz="4" w:space="0" w:color="A6A6A6" w:themeColor="background1" w:themeShade="A6"/>
            </w:tcBorders>
            <w:vAlign w:val="center"/>
          </w:tcPr>
          <w:p w14:paraId="0D4625B7" w14:textId="77777777" w:rsidR="00370973" w:rsidRPr="00181EF3" w:rsidRDefault="00370973" w:rsidP="00EF58A1">
            <w:pPr>
              <w:pStyle w:val="TableText"/>
              <w:keepNext/>
              <w:spacing w:after="0"/>
              <w:ind w:left="-28" w:right="-28"/>
              <w:jc w:val="center"/>
            </w:pPr>
            <w:r w:rsidRPr="00181EF3">
              <w:t>1.3</w:t>
            </w:r>
          </w:p>
          <w:p w14:paraId="572184F7" w14:textId="77777777" w:rsidR="00370973" w:rsidRPr="00181EF3" w:rsidRDefault="00370973" w:rsidP="00EF58A1">
            <w:pPr>
              <w:pStyle w:val="TableText"/>
              <w:keepNext/>
              <w:spacing w:before="0"/>
              <w:ind w:left="-28" w:right="-28"/>
              <w:jc w:val="center"/>
            </w:pPr>
            <w:r w:rsidRPr="00181EF3">
              <w:t>(1.0–1.5)</w:t>
            </w:r>
          </w:p>
        </w:tc>
      </w:tr>
      <w:tr w:rsidR="00370973" w:rsidRPr="00181EF3" w14:paraId="40F72D79" w14:textId="77777777" w:rsidTr="00EF58A1">
        <w:trPr>
          <w:cantSplit/>
          <w:trHeight w:val="893"/>
        </w:trPr>
        <w:tc>
          <w:tcPr>
            <w:tcW w:w="1843" w:type="dxa"/>
            <w:vMerge w:val="restart"/>
            <w:tcBorders>
              <w:top w:val="single" w:sz="4" w:space="0" w:color="A6A6A6" w:themeColor="background1" w:themeShade="A6"/>
              <w:bottom w:val="single" w:sz="4" w:space="0" w:color="A6A6A6" w:themeColor="background1" w:themeShade="A6"/>
            </w:tcBorders>
          </w:tcPr>
          <w:p w14:paraId="0AFD0FBC" w14:textId="77777777" w:rsidR="00370973" w:rsidRPr="00181EF3" w:rsidRDefault="00370973" w:rsidP="00370973">
            <w:pPr>
              <w:pStyle w:val="TableText"/>
              <w:rPr>
                <w:spacing w:val="-2"/>
              </w:rPr>
            </w:pPr>
            <w:r w:rsidRPr="00181EF3">
              <w:rPr>
                <w:spacing w:val="-2"/>
              </w:rPr>
              <w:t>Self-reported experience of unfair treatment at work or being refused a job unfairly because of ethnicity (ever), 15+ years, percentage</w:t>
            </w:r>
          </w:p>
        </w:tc>
        <w:tc>
          <w:tcPr>
            <w:tcW w:w="851"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95157F2" w14:textId="77777777" w:rsidR="00370973" w:rsidRPr="00181EF3" w:rsidRDefault="00370973" w:rsidP="00EF58A1">
            <w:pPr>
              <w:pStyle w:val="TableText"/>
              <w:jc w:val="center"/>
            </w:pPr>
            <w:r w:rsidRPr="00181EF3">
              <w:t>2006/07</w:t>
            </w:r>
          </w:p>
        </w:tc>
        <w:tc>
          <w:tcPr>
            <w:tcW w:w="897"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30A79EAE" w14:textId="77777777" w:rsidR="00370973" w:rsidRPr="00181EF3" w:rsidRDefault="00370973" w:rsidP="00EF58A1">
            <w:pPr>
              <w:pStyle w:val="TableText"/>
              <w:keepNext/>
              <w:spacing w:after="0"/>
              <w:ind w:left="-28" w:right="-28"/>
              <w:jc w:val="center"/>
            </w:pPr>
            <w:r w:rsidRPr="00181EF3">
              <w:t>4.7</w:t>
            </w:r>
            <w:r w:rsidRPr="00181EF3">
              <w:br/>
              <w:t>(3.5–6.1)</w:t>
            </w:r>
          </w:p>
        </w:tc>
        <w:tc>
          <w:tcPr>
            <w:tcW w:w="898" w:type="dxa"/>
            <w:tcBorders>
              <w:top w:val="single" w:sz="4" w:space="0" w:color="A6A6A6" w:themeColor="background1" w:themeShade="A6"/>
              <w:bottom w:val="single" w:sz="4" w:space="0" w:color="A6A6A6" w:themeColor="background1" w:themeShade="A6"/>
            </w:tcBorders>
            <w:vAlign w:val="center"/>
          </w:tcPr>
          <w:p w14:paraId="297F42CB" w14:textId="77777777" w:rsidR="00370973" w:rsidRPr="00181EF3" w:rsidRDefault="00370973" w:rsidP="00EF58A1">
            <w:pPr>
              <w:pStyle w:val="TableText"/>
              <w:keepNext/>
              <w:spacing w:after="0"/>
              <w:ind w:left="-28" w:right="-28"/>
              <w:jc w:val="center"/>
            </w:pPr>
            <w:r w:rsidRPr="00181EF3">
              <w:t>5.9</w:t>
            </w:r>
            <w:r w:rsidRPr="00181EF3">
              <w:br/>
              <w:t>(4.7–7.3)</w:t>
            </w:r>
          </w:p>
        </w:tc>
        <w:tc>
          <w:tcPr>
            <w:tcW w:w="898"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2322776" w14:textId="77777777" w:rsidR="00370973" w:rsidRPr="00181EF3" w:rsidRDefault="00370973" w:rsidP="00EF58A1">
            <w:pPr>
              <w:pStyle w:val="TableText"/>
              <w:keepNext/>
              <w:spacing w:after="0"/>
              <w:ind w:left="-28" w:right="-28"/>
              <w:jc w:val="center"/>
            </w:pPr>
            <w:r w:rsidRPr="00181EF3">
              <w:t>5.3</w:t>
            </w:r>
          </w:p>
          <w:p w14:paraId="292098CF" w14:textId="77777777" w:rsidR="00370973" w:rsidRPr="00181EF3" w:rsidRDefault="00370973" w:rsidP="00EF58A1">
            <w:pPr>
              <w:pStyle w:val="TableText"/>
              <w:keepNext/>
              <w:spacing w:before="0"/>
              <w:ind w:left="-28" w:right="-28"/>
              <w:jc w:val="center"/>
            </w:pPr>
            <w:r w:rsidRPr="00181EF3">
              <w:t>(4.4–6.3)</w:t>
            </w:r>
          </w:p>
        </w:tc>
        <w:tc>
          <w:tcPr>
            <w:tcW w:w="897"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629306DA" w14:textId="77777777" w:rsidR="00370973" w:rsidRPr="00181EF3" w:rsidRDefault="00370973" w:rsidP="00EF58A1">
            <w:pPr>
              <w:pStyle w:val="TableText"/>
              <w:keepNext/>
              <w:spacing w:after="0"/>
              <w:ind w:left="-28" w:right="-28"/>
              <w:jc w:val="center"/>
            </w:pPr>
            <w:r w:rsidRPr="00181EF3">
              <w:t>3.8</w:t>
            </w:r>
          </w:p>
          <w:p w14:paraId="3D7AC83D" w14:textId="77777777" w:rsidR="00370973" w:rsidRPr="00181EF3" w:rsidRDefault="00370973" w:rsidP="00EF58A1">
            <w:pPr>
              <w:pStyle w:val="TableText"/>
              <w:keepNext/>
              <w:spacing w:before="0"/>
              <w:ind w:left="-28" w:right="-28"/>
              <w:jc w:val="center"/>
            </w:pPr>
            <w:r w:rsidRPr="00181EF3">
              <w:t>(3.1–4.5)</w:t>
            </w:r>
          </w:p>
        </w:tc>
        <w:tc>
          <w:tcPr>
            <w:tcW w:w="898" w:type="dxa"/>
            <w:tcBorders>
              <w:top w:val="single" w:sz="4" w:space="0" w:color="A6A6A6" w:themeColor="background1" w:themeShade="A6"/>
              <w:bottom w:val="single" w:sz="4" w:space="0" w:color="A6A6A6" w:themeColor="background1" w:themeShade="A6"/>
            </w:tcBorders>
            <w:vAlign w:val="center"/>
          </w:tcPr>
          <w:p w14:paraId="2A60AD58" w14:textId="77777777" w:rsidR="00370973" w:rsidRPr="00181EF3" w:rsidRDefault="00370973" w:rsidP="00EF58A1">
            <w:pPr>
              <w:pStyle w:val="TableText"/>
              <w:keepNext/>
              <w:spacing w:after="0"/>
              <w:ind w:left="-28" w:right="-28"/>
              <w:jc w:val="center"/>
            </w:pPr>
            <w:r w:rsidRPr="00181EF3">
              <w:t>3.6</w:t>
            </w:r>
            <w:r w:rsidRPr="00181EF3">
              <w:br/>
              <w:t>(3.1–4.1)</w:t>
            </w:r>
          </w:p>
        </w:tc>
        <w:tc>
          <w:tcPr>
            <w:tcW w:w="898" w:type="dxa"/>
            <w:tcBorders>
              <w:top w:val="single" w:sz="4" w:space="0" w:color="A6A6A6" w:themeColor="background1" w:themeShade="A6"/>
              <w:bottom w:val="single" w:sz="4" w:space="0" w:color="A6A6A6" w:themeColor="background1" w:themeShade="A6"/>
            </w:tcBorders>
            <w:vAlign w:val="center"/>
          </w:tcPr>
          <w:p w14:paraId="59E6D2FF" w14:textId="77777777" w:rsidR="00370973" w:rsidRPr="00181EF3" w:rsidRDefault="00370973" w:rsidP="00EF58A1">
            <w:pPr>
              <w:pStyle w:val="TableText"/>
              <w:keepNext/>
              <w:spacing w:after="0"/>
              <w:ind w:left="-28" w:right="-28"/>
              <w:jc w:val="center"/>
            </w:pPr>
            <w:r w:rsidRPr="00181EF3">
              <w:t>3.7</w:t>
            </w:r>
          </w:p>
          <w:p w14:paraId="07396C2A" w14:textId="77777777" w:rsidR="00370973" w:rsidRPr="00181EF3" w:rsidRDefault="00370973" w:rsidP="00EF58A1">
            <w:pPr>
              <w:pStyle w:val="TableText"/>
              <w:keepNext/>
              <w:spacing w:before="0"/>
              <w:ind w:left="-28" w:right="-28"/>
              <w:jc w:val="center"/>
            </w:pPr>
            <w:r w:rsidRPr="00181EF3">
              <w:t>(3.3–4.1)</w:t>
            </w:r>
          </w:p>
        </w:tc>
      </w:tr>
      <w:tr w:rsidR="00370973" w:rsidRPr="00181EF3" w14:paraId="5F85E4DA" w14:textId="77777777" w:rsidTr="00EF58A1">
        <w:trPr>
          <w:cantSplit/>
          <w:trHeight w:val="893"/>
        </w:trPr>
        <w:tc>
          <w:tcPr>
            <w:tcW w:w="1843" w:type="dxa"/>
            <w:vMerge/>
            <w:tcBorders>
              <w:top w:val="single" w:sz="4" w:space="0" w:color="A6A6A6" w:themeColor="background1" w:themeShade="A6"/>
              <w:bottom w:val="single" w:sz="4" w:space="0" w:color="A6A6A6" w:themeColor="background1" w:themeShade="A6"/>
            </w:tcBorders>
          </w:tcPr>
          <w:p w14:paraId="659846DC" w14:textId="77777777" w:rsidR="00370973" w:rsidRPr="00181EF3" w:rsidRDefault="00370973" w:rsidP="00370973">
            <w:pPr>
              <w:pStyle w:val="TableText"/>
              <w:rPr>
                <w:spacing w:val="-2"/>
              </w:rPr>
            </w:pPr>
          </w:p>
        </w:tc>
        <w:tc>
          <w:tcPr>
            <w:tcW w:w="851"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DE33FD7" w14:textId="77777777" w:rsidR="00370973" w:rsidRPr="00181EF3" w:rsidRDefault="00370973" w:rsidP="00EF58A1">
            <w:pPr>
              <w:pStyle w:val="TableText"/>
              <w:jc w:val="center"/>
            </w:pPr>
            <w:r w:rsidRPr="00181EF3">
              <w:t>2011/12</w:t>
            </w:r>
          </w:p>
        </w:tc>
        <w:tc>
          <w:tcPr>
            <w:tcW w:w="897"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3214CD62" w14:textId="77777777" w:rsidR="00370973" w:rsidRPr="00181EF3" w:rsidRDefault="00370973" w:rsidP="00EF58A1">
            <w:pPr>
              <w:pStyle w:val="TableText"/>
              <w:keepNext/>
              <w:spacing w:after="0"/>
              <w:ind w:left="-28" w:right="-28"/>
              <w:jc w:val="center"/>
            </w:pPr>
            <w:r w:rsidRPr="00181EF3">
              <w:t>8.0</w:t>
            </w:r>
            <w:r w:rsidRPr="00181EF3">
              <w:br/>
              <w:t>(6.0–10.5)</w:t>
            </w:r>
          </w:p>
        </w:tc>
        <w:tc>
          <w:tcPr>
            <w:tcW w:w="898" w:type="dxa"/>
            <w:tcBorders>
              <w:top w:val="single" w:sz="4" w:space="0" w:color="A6A6A6" w:themeColor="background1" w:themeShade="A6"/>
              <w:bottom w:val="single" w:sz="4" w:space="0" w:color="A6A6A6" w:themeColor="background1" w:themeShade="A6"/>
            </w:tcBorders>
            <w:vAlign w:val="center"/>
          </w:tcPr>
          <w:p w14:paraId="6317FDDE" w14:textId="77777777" w:rsidR="00370973" w:rsidRPr="00181EF3" w:rsidRDefault="00370973" w:rsidP="00EF58A1">
            <w:pPr>
              <w:pStyle w:val="TableText"/>
              <w:keepNext/>
              <w:spacing w:after="0"/>
              <w:ind w:left="-28" w:right="-28"/>
              <w:jc w:val="center"/>
            </w:pPr>
            <w:r w:rsidRPr="00181EF3">
              <w:t>5.0</w:t>
            </w:r>
          </w:p>
          <w:p w14:paraId="2A73229D" w14:textId="77777777" w:rsidR="00370973" w:rsidRPr="00181EF3" w:rsidRDefault="00370973" w:rsidP="00EF58A1">
            <w:pPr>
              <w:pStyle w:val="TableText"/>
              <w:keepNext/>
              <w:spacing w:before="0"/>
              <w:ind w:left="-28" w:right="-28"/>
              <w:jc w:val="center"/>
            </w:pPr>
            <w:r w:rsidRPr="00181EF3">
              <w:t>(3.8–6.6)</w:t>
            </w:r>
          </w:p>
        </w:tc>
        <w:tc>
          <w:tcPr>
            <w:tcW w:w="898"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E03A945" w14:textId="77777777" w:rsidR="00370973" w:rsidRPr="00181EF3" w:rsidRDefault="00370973" w:rsidP="00EF58A1">
            <w:pPr>
              <w:pStyle w:val="TableText"/>
              <w:keepNext/>
              <w:spacing w:after="0"/>
              <w:ind w:left="-28" w:right="-28"/>
              <w:jc w:val="center"/>
            </w:pPr>
            <w:r w:rsidRPr="00181EF3">
              <w:t>6.4</w:t>
            </w:r>
          </w:p>
          <w:p w14:paraId="0D817371" w14:textId="77777777" w:rsidR="00370973" w:rsidRPr="00181EF3" w:rsidRDefault="00370973" w:rsidP="00EF58A1">
            <w:pPr>
              <w:pStyle w:val="TableText"/>
              <w:keepNext/>
              <w:spacing w:before="0"/>
              <w:ind w:left="-28" w:right="-28"/>
              <w:jc w:val="center"/>
            </w:pPr>
            <w:r w:rsidRPr="00181EF3">
              <w:t>(5.2–7.8)</w:t>
            </w:r>
          </w:p>
        </w:tc>
        <w:tc>
          <w:tcPr>
            <w:tcW w:w="897"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3A367272" w14:textId="77777777" w:rsidR="00370973" w:rsidRPr="00181EF3" w:rsidRDefault="00370973" w:rsidP="00EF58A1">
            <w:pPr>
              <w:pStyle w:val="TableText"/>
              <w:keepNext/>
              <w:spacing w:after="0"/>
              <w:ind w:left="-28" w:right="-28"/>
              <w:jc w:val="center"/>
            </w:pPr>
            <w:r w:rsidRPr="00181EF3">
              <w:t>2.8</w:t>
            </w:r>
          </w:p>
          <w:p w14:paraId="55D14253" w14:textId="77777777" w:rsidR="00370973" w:rsidRPr="00181EF3" w:rsidRDefault="00370973" w:rsidP="00EF58A1">
            <w:pPr>
              <w:pStyle w:val="TableText"/>
              <w:keepNext/>
              <w:spacing w:before="0"/>
              <w:ind w:left="-28" w:right="-28"/>
              <w:jc w:val="center"/>
            </w:pPr>
            <w:r w:rsidRPr="00181EF3">
              <w:t>(2.2–3.4)</w:t>
            </w:r>
          </w:p>
        </w:tc>
        <w:tc>
          <w:tcPr>
            <w:tcW w:w="898" w:type="dxa"/>
            <w:tcBorders>
              <w:top w:val="single" w:sz="4" w:space="0" w:color="A6A6A6" w:themeColor="background1" w:themeShade="A6"/>
              <w:bottom w:val="single" w:sz="4" w:space="0" w:color="A6A6A6" w:themeColor="background1" w:themeShade="A6"/>
            </w:tcBorders>
            <w:vAlign w:val="center"/>
          </w:tcPr>
          <w:p w14:paraId="57EA4BDC" w14:textId="77777777" w:rsidR="00370973" w:rsidRPr="00181EF3" w:rsidRDefault="00370973" w:rsidP="00EF58A1">
            <w:pPr>
              <w:pStyle w:val="TableText"/>
              <w:keepNext/>
              <w:spacing w:after="0"/>
              <w:ind w:left="-28" w:right="-28"/>
              <w:jc w:val="center"/>
            </w:pPr>
            <w:r w:rsidRPr="00181EF3">
              <w:t>3.2</w:t>
            </w:r>
          </w:p>
          <w:p w14:paraId="526D0B5E" w14:textId="77777777" w:rsidR="00370973" w:rsidRPr="00181EF3" w:rsidRDefault="00370973" w:rsidP="00EF58A1">
            <w:pPr>
              <w:pStyle w:val="TableText"/>
              <w:keepNext/>
              <w:spacing w:before="0"/>
              <w:ind w:left="-28" w:right="-28"/>
              <w:jc w:val="center"/>
            </w:pPr>
            <w:r w:rsidRPr="00181EF3">
              <w:t>(2.5–4.0)</w:t>
            </w:r>
          </w:p>
        </w:tc>
        <w:tc>
          <w:tcPr>
            <w:tcW w:w="898" w:type="dxa"/>
            <w:tcBorders>
              <w:top w:val="single" w:sz="4" w:space="0" w:color="A6A6A6" w:themeColor="background1" w:themeShade="A6"/>
              <w:bottom w:val="single" w:sz="4" w:space="0" w:color="A6A6A6" w:themeColor="background1" w:themeShade="A6"/>
            </w:tcBorders>
            <w:vAlign w:val="center"/>
          </w:tcPr>
          <w:p w14:paraId="3C59E3D3" w14:textId="77777777" w:rsidR="00370973" w:rsidRPr="00181EF3" w:rsidRDefault="00370973" w:rsidP="00EF58A1">
            <w:pPr>
              <w:pStyle w:val="TableText"/>
              <w:keepNext/>
              <w:spacing w:after="0"/>
              <w:ind w:left="-28" w:right="-28"/>
              <w:jc w:val="center"/>
            </w:pPr>
            <w:r w:rsidRPr="00181EF3">
              <w:t>3.0</w:t>
            </w:r>
            <w:r w:rsidRPr="00181EF3">
              <w:br/>
              <w:t>(2.5–3.5)</w:t>
            </w:r>
          </w:p>
        </w:tc>
      </w:tr>
      <w:tr w:rsidR="00370973" w:rsidRPr="00181EF3" w14:paraId="5D6BD307" w14:textId="77777777" w:rsidTr="00EF58A1">
        <w:trPr>
          <w:cantSplit/>
          <w:trHeight w:val="893"/>
        </w:trPr>
        <w:tc>
          <w:tcPr>
            <w:tcW w:w="1843" w:type="dxa"/>
            <w:vMerge w:val="restart"/>
            <w:tcBorders>
              <w:top w:val="single" w:sz="4" w:space="0" w:color="A6A6A6" w:themeColor="background1" w:themeShade="A6"/>
              <w:bottom w:val="single" w:sz="4" w:space="0" w:color="A6A6A6" w:themeColor="background1" w:themeShade="A6"/>
            </w:tcBorders>
          </w:tcPr>
          <w:p w14:paraId="2EA958D0" w14:textId="77777777" w:rsidR="00370973" w:rsidRPr="00181EF3" w:rsidRDefault="00370973" w:rsidP="00370973">
            <w:pPr>
              <w:pStyle w:val="TableText"/>
              <w:rPr>
                <w:spacing w:val="-2"/>
              </w:rPr>
            </w:pPr>
            <w:r w:rsidRPr="00181EF3">
              <w:rPr>
                <w:spacing w:val="-2"/>
              </w:rPr>
              <w:t>Self-reported experience of unfair treatment when renting or buying a house on the basis of ethnicity (ever), 15+ years, percentage</w:t>
            </w:r>
          </w:p>
        </w:tc>
        <w:tc>
          <w:tcPr>
            <w:tcW w:w="851"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1C0E055" w14:textId="77777777" w:rsidR="00370973" w:rsidRPr="00181EF3" w:rsidRDefault="00370973" w:rsidP="00EF58A1">
            <w:pPr>
              <w:pStyle w:val="TableText"/>
              <w:jc w:val="center"/>
            </w:pPr>
            <w:r w:rsidRPr="00181EF3">
              <w:t>2006/07</w:t>
            </w:r>
          </w:p>
        </w:tc>
        <w:tc>
          <w:tcPr>
            <w:tcW w:w="897"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4F6ADC45" w14:textId="77777777" w:rsidR="00370973" w:rsidRPr="00181EF3" w:rsidRDefault="00370973" w:rsidP="00EF58A1">
            <w:pPr>
              <w:pStyle w:val="TableText"/>
              <w:keepNext/>
              <w:spacing w:after="0"/>
              <w:ind w:left="-28" w:right="-28"/>
              <w:jc w:val="center"/>
            </w:pPr>
            <w:r w:rsidRPr="00181EF3">
              <w:t>4.0</w:t>
            </w:r>
            <w:r w:rsidRPr="00181EF3">
              <w:br/>
              <w:t>(2.8–5.5)</w:t>
            </w:r>
          </w:p>
        </w:tc>
        <w:tc>
          <w:tcPr>
            <w:tcW w:w="898" w:type="dxa"/>
            <w:tcBorders>
              <w:top w:val="single" w:sz="4" w:space="0" w:color="A6A6A6" w:themeColor="background1" w:themeShade="A6"/>
              <w:bottom w:val="single" w:sz="4" w:space="0" w:color="A6A6A6" w:themeColor="background1" w:themeShade="A6"/>
            </w:tcBorders>
            <w:vAlign w:val="center"/>
          </w:tcPr>
          <w:p w14:paraId="5191102B" w14:textId="77777777" w:rsidR="00370973" w:rsidRPr="00181EF3" w:rsidRDefault="00370973" w:rsidP="00EF58A1">
            <w:pPr>
              <w:pStyle w:val="TableText"/>
              <w:keepNext/>
              <w:spacing w:after="0"/>
              <w:ind w:left="-28" w:right="-28"/>
              <w:jc w:val="center"/>
            </w:pPr>
            <w:r w:rsidRPr="00181EF3">
              <w:t>8.4</w:t>
            </w:r>
          </w:p>
          <w:p w14:paraId="452617F0" w14:textId="77777777" w:rsidR="00370973" w:rsidRPr="00181EF3" w:rsidRDefault="00370973" w:rsidP="00EF58A1">
            <w:pPr>
              <w:pStyle w:val="TableText"/>
              <w:keepNext/>
              <w:spacing w:before="0"/>
              <w:ind w:left="-28" w:right="-28"/>
              <w:jc w:val="center"/>
            </w:pPr>
            <w:r w:rsidRPr="00181EF3">
              <w:t>(7.1–9.8)</w:t>
            </w:r>
          </w:p>
        </w:tc>
        <w:tc>
          <w:tcPr>
            <w:tcW w:w="898"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171359E" w14:textId="77777777" w:rsidR="00370973" w:rsidRPr="00181EF3" w:rsidRDefault="00370973" w:rsidP="00EF58A1">
            <w:pPr>
              <w:pStyle w:val="TableText"/>
              <w:keepNext/>
              <w:spacing w:after="0"/>
              <w:ind w:left="-28" w:right="-28"/>
              <w:jc w:val="center"/>
            </w:pPr>
            <w:r w:rsidRPr="00181EF3">
              <w:t>6.3</w:t>
            </w:r>
          </w:p>
          <w:p w14:paraId="4F22C9A9" w14:textId="77777777" w:rsidR="00370973" w:rsidRPr="00181EF3" w:rsidRDefault="00370973" w:rsidP="00EF58A1">
            <w:pPr>
              <w:pStyle w:val="TableText"/>
              <w:keepNext/>
              <w:spacing w:before="0"/>
              <w:ind w:left="-28" w:right="-28"/>
              <w:jc w:val="center"/>
            </w:pPr>
            <w:r w:rsidRPr="00181EF3">
              <w:t>(5.4–7.3)</w:t>
            </w:r>
          </w:p>
        </w:tc>
        <w:tc>
          <w:tcPr>
            <w:tcW w:w="897"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049F3B61" w14:textId="77777777" w:rsidR="00370973" w:rsidRPr="00181EF3" w:rsidRDefault="00370973" w:rsidP="00EF58A1">
            <w:pPr>
              <w:pStyle w:val="TableText"/>
              <w:keepNext/>
              <w:spacing w:after="0"/>
              <w:ind w:left="-28" w:right="-28"/>
              <w:jc w:val="center"/>
            </w:pPr>
            <w:r w:rsidRPr="00181EF3">
              <w:t>1.5</w:t>
            </w:r>
          </w:p>
          <w:p w14:paraId="6BB5A9B0" w14:textId="77777777" w:rsidR="00370973" w:rsidRPr="00181EF3" w:rsidRDefault="00370973" w:rsidP="00EF58A1">
            <w:pPr>
              <w:pStyle w:val="TableText"/>
              <w:keepNext/>
              <w:spacing w:before="0"/>
              <w:ind w:left="-28" w:right="-28"/>
              <w:jc w:val="center"/>
            </w:pPr>
            <w:r w:rsidRPr="00181EF3">
              <w:t>(1.1–1.9)</w:t>
            </w:r>
          </w:p>
        </w:tc>
        <w:tc>
          <w:tcPr>
            <w:tcW w:w="898" w:type="dxa"/>
            <w:tcBorders>
              <w:top w:val="single" w:sz="4" w:space="0" w:color="A6A6A6" w:themeColor="background1" w:themeShade="A6"/>
              <w:bottom w:val="single" w:sz="4" w:space="0" w:color="A6A6A6" w:themeColor="background1" w:themeShade="A6"/>
            </w:tcBorders>
            <w:vAlign w:val="center"/>
          </w:tcPr>
          <w:p w14:paraId="333BC0A5" w14:textId="77777777" w:rsidR="00370973" w:rsidRPr="00181EF3" w:rsidRDefault="00370973" w:rsidP="00EF58A1">
            <w:pPr>
              <w:pStyle w:val="TableText"/>
              <w:keepNext/>
              <w:spacing w:after="0"/>
              <w:ind w:left="-28" w:right="-28"/>
              <w:jc w:val="center"/>
            </w:pPr>
            <w:r w:rsidRPr="00181EF3">
              <w:t>1.1</w:t>
            </w:r>
          </w:p>
          <w:p w14:paraId="165A4F96" w14:textId="77777777" w:rsidR="00370973" w:rsidRPr="00181EF3" w:rsidRDefault="00370973" w:rsidP="00EF58A1">
            <w:pPr>
              <w:pStyle w:val="TableText"/>
              <w:keepNext/>
              <w:spacing w:before="0"/>
              <w:ind w:left="-28" w:right="-28"/>
              <w:jc w:val="center"/>
            </w:pPr>
            <w:r w:rsidRPr="00181EF3">
              <w:t>(0.9–1.4)</w:t>
            </w:r>
          </w:p>
        </w:tc>
        <w:tc>
          <w:tcPr>
            <w:tcW w:w="898" w:type="dxa"/>
            <w:tcBorders>
              <w:top w:val="single" w:sz="4" w:space="0" w:color="A6A6A6" w:themeColor="background1" w:themeShade="A6"/>
              <w:bottom w:val="single" w:sz="4" w:space="0" w:color="A6A6A6" w:themeColor="background1" w:themeShade="A6"/>
            </w:tcBorders>
            <w:vAlign w:val="center"/>
          </w:tcPr>
          <w:p w14:paraId="21ABF893" w14:textId="77777777" w:rsidR="00370973" w:rsidRPr="00181EF3" w:rsidRDefault="00370973" w:rsidP="00EF58A1">
            <w:pPr>
              <w:pStyle w:val="TableText"/>
              <w:keepNext/>
              <w:spacing w:after="0"/>
              <w:ind w:left="-28" w:right="-28"/>
              <w:jc w:val="center"/>
            </w:pPr>
            <w:r w:rsidRPr="00181EF3">
              <w:t>1.3</w:t>
            </w:r>
            <w:r w:rsidRPr="00181EF3">
              <w:br/>
              <w:t>(1.0–1.6)</w:t>
            </w:r>
          </w:p>
        </w:tc>
      </w:tr>
      <w:tr w:rsidR="00370973" w:rsidRPr="00181EF3" w14:paraId="44BBBE6C" w14:textId="77777777" w:rsidTr="00EF58A1">
        <w:trPr>
          <w:cantSplit/>
          <w:trHeight w:val="893"/>
        </w:trPr>
        <w:tc>
          <w:tcPr>
            <w:tcW w:w="1843" w:type="dxa"/>
            <w:vMerge/>
            <w:tcBorders>
              <w:top w:val="single" w:sz="4" w:space="0" w:color="A6A6A6" w:themeColor="background1" w:themeShade="A6"/>
              <w:bottom w:val="single" w:sz="4" w:space="0" w:color="A6A6A6" w:themeColor="background1" w:themeShade="A6"/>
            </w:tcBorders>
          </w:tcPr>
          <w:p w14:paraId="0C8B9328" w14:textId="77777777" w:rsidR="00370973" w:rsidRPr="00181EF3" w:rsidRDefault="00370973" w:rsidP="00370973">
            <w:pPr>
              <w:pStyle w:val="TableText"/>
              <w:rPr>
                <w:spacing w:val="-2"/>
              </w:rPr>
            </w:pPr>
          </w:p>
        </w:tc>
        <w:tc>
          <w:tcPr>
            <w:tcW w:w="851"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1991050" w14:textId="77777777" w:rsidR="00370973" w:rsidRPr="00181EF3" w:rsidRDefault="00370973" w:rsidP="00EF58A1">
            <w:pPr>
              <w:pStyle w:val="TableText"/>
              <w:jc w:val="center"/>
            </w:pPr>
            <w:r w:rsidRPr="00181EF3">
              <w:t>2011/12</w:t>
            </w:r>
          </w:p>
        </w:tc>
        <w:tc>
          <w:tcPr>
            <w:tcW w:w="897"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4813C266" w14:textId="77777777" w:rsidR="00370973" w:rsidRPr="00181EF3" w:rsidRDefault="00370973" w:rsidP="00EF58A1">
            <w:pPr>
              <w:pStyle w:val="TableText"/>
              <w:keepNext/>
              <w:spacing w:after="0"/>
              <w:ind w:left="-28" w:right="-28"/>
              <w:jc w:val="center"/>
            </w:pPr>
            <w:r w:rsidRPr="00181EF3">
              <w:t>3.9</w:t>
            </w:r>
          </w:p>
          <w:p w14:paraId="3915AE21" w14:textId="77777777" w:rsidR="00370973" w:rsidRPr="00181EF3" w:rsidRDefault="00370973" w:rsidP="00EF58A1">
            <w:pPr>
              <w:pStyle w:val="TableText"/>
              <w:keepNext/>
              <w:spacing w:before="0"/>
              <w:ind w:left="-28" w:right="-28"/>
              <w:jc w:val="center"/>
            </w:pPr>
            <w:r w:rsidRPr="00181EF3">
              <w:t>(2.4–5.9)</w:t>
            </w:r>
          </w:p>
        </w:tc>
        <w:tc>
          <w:tcPr>
            <w:tcW w:w="898" w:type="dxa"/>
            <w:tcBorders>
              <w:top w:val="single" w:sz="4" w:space="0" w:color="A6A6A6" w:themeColor="background1" w:themeShade="A6"/>
              <w:bottom w:val="single" w:sz="4" w:space="0" w:color="A6A6A6" w:themeColor="background1" w:themeShade="A6"/>
            </w:tcBorders>
            <w:vAlign w:val="center"/>
          </w:tcPr>
          <w:p w14:paraId="0FC5F11F" w14:textId="77777777" w:rsidR="00370973" w:rsidRPr="00181EF3" w:rsidRDefault="00370973" w:rsidP="00EF58A1">
            <w:pPr>
              <w:pStyle w:val="TableText"/>
              <w:keepNext/>
              <w:spacing w:after="0"/>
              <w:ind w:left="-28" w:right="-28"/>
              <w:jc w:val="center"/>
            </w:pPr>
            <w:r w:rsidRPr="00181EF3">
              <w:t>6.3</w:t>
            </w:r>
          </w:p>
          <w:p w14:paraId="37BFF087" w14:textId="77777777" w:rsidR="00370973" w:rsidRPr="00181EF3" w:rsidRDefault="00370973" w:rsidP="00EF58A1">
            <w:pPr>
              <w:pStyle w:val="TableText"/>
              <w:keepNext/>
              <w:spacing w:before="0"/>
              <w:ind w:left="-28" w:right="-28"/>
              <w:jc w:val="center"/>
            </w:pPr>
            <w:r w:rsidRPr="00181EF3">
              <w:t>(5.0–8.0)</w:t>
            </w:r>
          </w:p>
        </w:tc>
        <w:tc>
          <w:tcPr>
            <w:tcW w:w="898"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97B42B5" w14:textId="77777777" w:rsidR="00370973" w:rsidRPr="00181EF3" w:rsidRDefault="00370973" w:rsidP="00EF58A1">
            <w:pPr>
              <w:pStyle w:val="TableText"/>
              <w:keepNext/>
              <w:spacing w:after="0"/>
              <w:ind w:left="-28" w:right="-28"/>
              <w:jc w:val="center"/>
            </w:pPr>
            <w:r w:rsidRPr="00181EF3">
              <w:t>5.2</w:t>
            </w:r>
          </w:p>
          <w:p w14:paraId="68BB0786" w14:textId="77777777" w:rsidR="00370973" w:rsidRPr="00181EF3" w:rsidRDefault="00370973" w:rsidP="00EF58A1">
            <w:pPr>
              <w:pStyle w:val="TableText"/>
              <w:keepNext/>
              <w:spacing w:before="0"/>
              <w:ind w:left="-28" w:right="-28"/>
              <w:jc w:val="center"/>
            </w:pPr>
            <w:r w:rsidRPr="00181EF3">
              <w:t>(4.1–6.5)</w:t>
            </w:r>
          </w:p>
        </w:tc>
        <w:tc>
          <w:tcPr>
            <w:tcW w:w="897"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6A1C7D7D" w14:textId="77777777" w:rsidR="00370973" w:rsidRPr="00181EF3" w:rsidRDefault="00370973" w:rsidP="00EF58A1">
            <w:pPr>
              <w:pStyle w:val="TableText"/>
              <w:keepNext/>
              <w:spacing w:after="0"/>
              <w:ind w:left="-28" w:right="-28"/>
              <w:jc w:val="center"/>
            </w:pPr>
            <w:r w:rsidRPr="00181EF3">
              <w:t>0.8</w:t>
            </w:r>
          </w:p>
          <w:p w14:paraId="62070E22" w14:textId="77777777" w:rsidR="00370973" w:rsidRPr="00181EF3" w:rsidRDefault="00370973" w:rsidP="00EF58A1">
            <w:pPr>
              <w:pStyle w:val="TableText"/>
              <w:keepNext/>
              <w:spacing w:before="0"/>
              <w:ind w:left="-28" w:right="-28"/>
              <w:jc w:val="center"/>
            </w:pPr>
            <w:r w:rsidRPr="00181EF3">
              <w:t>(0.6–1.2)</w:t>
            </w:r>
          </w:p>
        </w:tc>
        <w:tc>
          <w:tcPr>
            <w:tcW w:w="898" w:type="dxa"/>
            <w:tcBorders>
              <w:top w:val="single" w:sz="4" w:space="0" w:color="A6A6A6" w:themeColor="background1" w:themeShade="A6"/>
              <w:bottom w:val="single" w:sz="4" w:space="0" w:color="A6A6A6" w:themeColor="background1" w:themeShade="A6"/>
            </w:tcBorders>
            <w:vAlign w:val="center"/>
          </w:tcPr>
          <w:p w14:paraId="43B61381" w14:textId="77777777" w:rsidR="00370973" w:rsidRPr="00181EF3" w:rsidRDefault="00370973" w:rsidP="00EF58A1">
            <w:pPr>
              <w:pStyle w:val="TableText"/>
              <w:keepNext/>
              <w:spacing w:after="0"/>
              <w:ind w:left="-28" w:right="-28"/>
              <w:jc w:val="center"/>
            </w:pPr>
            <w:r w:rsidRPr="00181EF3">
              <w:t>0.9</w:t>
            </w:r>
          </w:p>
          <w:p w14:paraId="3B171DF2" w14:textId="77777777" w:rsidR="00370973" w:rsidRPr="00181EF3" w:rsidRDefault="00370973" w:rsidP="00EF58A1">
            <w:pPr>
              <w:pStyle w:val="TableText"/>
              <w:keepNext/>
              <w:spacing w:before="0"/>
              <w:ind w:left="-28" w:right="-28"/>
              <w:jc w:val="center"/>
            </w:pPr>
            <w:r w:rsidRPr="00181EF3">
              <w:t>(0.6–1.1)</w:t>
            </w:r>
          </w:p>
        </w:tc>
        <w:tc>
          <w:tcPr>
            <w:tcW w:w="898" w:type="dxa"/>
            <w:tcBorders>
              <w:top w:val="single" w:sz="4" w:space="0" w:color="A6A6A6" w:themeColor="background1" w:themeShade="A6"/>
              <w:bottom w:val="single" w:sz="4" w:space="0" w:color="A6A6A6" w:themeColor="background1" w:themeShade="A6"/>
            </w:tcBorders>
            <w:vAlign w:val="center"/>
          </w:tcPr>
          <w:p w14:paraId="00E49DD7" w14:textId="77777777" w:rsidR="00370973" w:rsidRPr="00181EF3" w:rsidRDefault="00370973" w:rsidP="00EF58A1">
            <w:pPr>
              <w:pStyle w:val="TableText"/>
              <w:keepNext/>
              <w:spacing w:after="0"/>
              <w:ind w:left="-28" w:right="-28"/>
              <w:jc w:val="center"/>
            </w:pPr>
            <w:r w:rsidRPr="00181EF3">
              <w:t>0.9</w:t>
            </w:r>
          </w:p>
          <w:p w14:paraId="5D87FB2C" w14:textId="77777777" w:rsidR="00370973" w:rsidRPr="00181EF3" w:rsidRDefault="00370973" w:rsidP="00EF58A1">
            <w:pPr>
              <w:pStyle w:val="TableText"/>
              <w:keepNext/>
              <w:spacing w:before="0"/>
              <w:ind w:left="-28" w:right="-28"/>
              <w:jc w:val="center"/>
            </w:pPr>
            <w:r w:rsidRPr="00181EF3">
              <w:t>(0.7–1.0)</w:t>
            </w:r>
          </w:p>
        </w:tc>
      </w:tr>
      <w:tr w:rsidR="00370973" w:rsidRPr="00181EF3" w14:paraId="640C5019" w14:textId="77777777" w:rsidTr="00EF58A1">
        <w:trPr>
          <w:cantSplit/>
          <w:trHeight w:val="773"/>
        </w:trPr>
        <w:tc>
          <w:tcPr>
            <w:tcW w:w="1843" w:type="dxa"/>
            <w:vMerge w:val="restart"/>
            <w:tcBorders>
              <w:top w:val="single" w:sz="4" w:space="0" w:color="A6A6A6" w:themeColor="background1" w:themeShade="A6"/>
              <w:bottom w:val="single" w:sz="4" w:space="0" w:color="A6A6A6" w:themeColor="background1" w:themeShade="A6"/>
            </w:tcBorders>
          </w:tcPr>
          <w:p w14:paraId="718508B4" w14:textId="77777777" w:rsidR="00370973" w:rsidRPr="00181EF3" w:rsidRDefault="00370973" w:rsidP="00370973">
            <w:pPr>
              <w:pStyle w:val="TableText"/>
              <w:rPr>
                <w:spacing w:val="-2"/>
              </w:rPr>
            </w:pPr>
            <w:r w:rsidRPr="00181EF3">
              <w:rPr>
                <w:spacing w:val="-2"/>
              </w:rPr>
              <w:t>Self-reported experience of any unfair treatment on the basis of ethnicity (ever), 15+ years, percentage</w:t>
            </w:r>
          </w:p>
        </w:tc>
        <w:tc>
          <w:tcPr>
            <w:tcW w:w="851"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7ABC892" w14:textId="77777777" w:rsidR="00370973" w:rsidRPr="00181EF3" w:rsidRDefault="00370973" w:rsidP="00EF58A1">
            <w:pPr>
              <w:pStyle w:val="TableText"/>
              <w:jc w:val="center"/>
            </w:pPr>
            <w:r w:rsidRPr="00181EF3">
              <w:t>2006/07</w:t>
            </w:r>
          </w:p>
        </w:tc>
        <w:tc>
          <w:tcPr>
            <w:tcW w:w="897"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343A4129" w14:textId="77777777" w:rsidR="00370973" w:rsidRPr="00181EF3" w:rsidRDefault="00370973" w:rsidP="00EF58A1">
            <w:pPr>
              <w:pStyle w:val="TableText"/>
              <w:keepNext/>
              <w:spacing w:after="0"/>
              <w:ind w:left="-28" w:right="-28"/>
              <w:jc w:val="center"/>
            </w:pPr>
            <w:r w:rsidRPr="00181EF3">
              <w:t>9.8</w:t>
            </w:r>
          </w:p>
          <w:p w14:paraId="39E29D9C" w14:textId="77777777" w:rsidR="00370973" w:rsidRPr="00181EF3" w:rsidRDefault="00370973" w:rsidP="00EF58A1">
            <w:pPr>
              <w:pStyle w:val="TableText"/>
              <w:keepNext/>
              <w:spacing w:before="0"/>
              <w:ind w:left="-28" w:right="-28"/>
              <w:jc w:val="center"/>
            </w:pPr>
            <w:r w:rsidRPr="00181EF3">
              <w:t>(8.1–11.9)</w:t>
            </w:r>
          </w:p>
        </w:tc>
        <w:tc>
          <w:tcPr>
            <w:tcW w:w="898" w:type="dxa"/>
            <w:tcBorders>
              <w:top w:val="single" w:sz="4" w:space="0" w:color="A6A6A6" w:themeColor="background1" w:themeShade="A6"/>
              <w:bottom w:val="single" w:sz="4" w:space="0" w:color="A6A6A6" w:themeColor="background1" w:themeShade="A6"/>
            </w:tcBorders>
            <w:vAlign w:val="center"/>
          </w:tcPr>
          <w:p w14:paraId="45C529BC" w14:textId="77777777" w:rsidR="00370973" w:rsidRPr="00181EF3" w:rsidRDefault="00370973" w:rsidP="00EF58A1">
            <w:pPr>
              <w:pStyle w:val="TableText"/>
              <w:keepNext/>
              <w:spacing w:after="0"/>
              <w:ind w:left="-28" w:right="-28"/>
              <w:jc w:val="center"/>
            </w:pPr>
            <w:r w:rsidRPr="00181EF3">
              <w:t>15.1</w:t>
            </w:r>
          </w:p>
          <w:p w14:paraId="37DEF6C0" w14:textId="77777777" w:rsidR="00370973" w:rsidRPr="00181EF3" w:rsidRDefault="00370973" w:rsidP="00EF58A1">
            <w:pPr>
              <w:pStyle w:val="TableText"/>
              <w:keepNext/>
              <w:spacing w:before="0"/>
              <w:ind w:left="-28" w:right="-28"/>
              <w:jc w:val="center"/>
              <w:rPr>
                <w:spacing w:val="-2"/>
              </w:rPr>
            </w:pPr>
            <w:r w:rsidRPr="00181EF3">
              <w:rPr>
                <w:spacing w:val="-2"/>
              </w:rPr>
              <w:t>(13.1–17.4)</w:t>
            </w:r>
          </w:p>
        </w:tc>
        <w:tc>
          <w:tcPr>
            <w:tcW w:w="898"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FACFB56" w14:textId="77777777" w:rsidR="00370973" w:rsidRPr="00181EF3" w:rsidRDefault="00370973" w:rsidP="00EF58A1">
            <w:pPr>
              <w:pStyle w:val="TableText"/>
              <w:keepNext/>
              <w:spacing w:after="0"/>
              <w:ind w:left="-28" w:right="-28"/>
              <w:jc w:val="center"/>
            </w:pPr>
            <w:r w:rsidRPr="00181EF3">
              <w:t>12.6</w:t>
            </w:r>
          </w:p>
          <w:p w14:paraId="2A331F69" w14:textId="77777777" w:rsidR="00370973" w:rsidRPr="00181EF3" w:rsidRDefault="00370973" w:rsidP="00EF58A1">
            <w:pPr>
              <w:pStyle w:val="TableText"/>
              <w:keepNext/>
              <w:spacing w:before="0"/>
              <w:ind w:left="-28" w:right="-28"/>
              <w:jc w:val="center"/>
              <w:rPr>
                <w:spacing w:val="-2"/>
              </w:rPr>
            </w:pPr>
            <w:r w:rsidRPr="00181EF3">
              <w:rPr>
                <w:spacing w:val="-2"/>
              </w:rPr>
              <w:t>(11.2–14.1)</w:t>
            </w:r>
          </w:p>
        </w:tc>
        <w:tc>
          <w:tcPr>
            <w:tcW w:w="897"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0648BAB7" w14:textId="77777777" w:rsidR="00370973" w:rsidRPr="00181EF3" w:rsidRDefault="00370973" w:rsidP="00EF58A1">
            <w:pPr>
              <w:pStyle w:val="TableText"/>
              <w:keepNext/>
              <w:spacing w:after="0"/>
              <w:ind w:left="-28" w:right="-28"/>
              <w:jc w:val="center"/>
            </w:pPr>
            <w:r w:rsidRPr="00181EF3">
              <w:t>5.9</w:t>
            </w:r>
            <w:r w:rsidRPr="00181EF3">
              <w:br/>
              <w:t>(5.0–6.9)</w:t>
            </w:r>
          </w:p>
        </w:tc>
        <w:tc>
          <w:tcPr>
            <w:tcW w:w="898" w:type="dxa"/>
            <w:tcBorders>
              <w:top w:val="single" w:sz="4" w:space="0" w:color="A6A6A6" w:themeColor="background1" w:themeShade="A6"/>
              <w:bottom w:val="single" w:sz="4" w:space="0" w:color="A6A6A6" w:themeColor="background1" w:themeShade="A6"/>
            </w:tcBorders>
            <w:vAlign w:val="center"/>
          </w:tcPr>
          <w:p w14:paraId="2F2FC178" w14:textId="77777777" w:rsidR="00370973" w:rsidRPr="00181EF3" w:rsidRDefault="00370973" w:rsidP="00EF58A1">
            <w:pPr>
              <w:pStyle w:val="TableText"/>
              <w:keepNext/>
              <w:spacing w:after="0"/>
              <w:ind w:left="-28" w:right="-28"/>
              <w:jc w:val="center"/>
            </w:pPr>
            <w:r w:rsidRPr="00181EF3">
              <w:t>5.5</w:t>
            </w:r>
          </w:p>
          <w:p w14:paraId="561DDAE7" w14:textId="77777777" w:rsidR="00370973" w:rsidRPr="00181EF3" w:rsidRDefault="00370973" w:rsidP="00EF58A1">
            <w:pPr>
              <w:pStyle w:val="TableText"/>
              <w:keepNext/>
              <w:spacing w:before="0"/>
              <w:ind w:left="-28" w:right="-28"/>
              <w:jc w:val="center"/>
            </w:pPr>
            <w:r w:rsidRPr="00181EF3">
              <w:t>(4.8–6.2)</w:t>
            </w:r>
          </w:p>
        </w:tc>
        <w:tc>
          <w:tcPr>
            <w:tcW w:w="898" w:type="dxa"/>
            <w:tcBorders>
              <w:top w:val="single" w:sz="4" w:space="0" w:color="A6A6A6" w:themeColor="background1" w:themeShade="A6"/>
              <w:bottom w:val="single" w:sz="4" w:space="0" w:color="A6A6A6" w:themeColor="background1" w:themeShade="A6"/>
            </w:tcBorders>
            <w:vAlign w:val="center"/>
          </w:tcPr>
          <w:p w14:paraId="5263C69B" w14:textId="77777777" w:rsidR="00370973" w:rsidRPr="00181EF3" w:rsidRDefault="00370973" w:rsidP="00EF58A1">
            <w:pPr>
              <w:pStyle w:val="TableText"/>
              <w:keepNext/>
              <w:spacing w:after="0"/>
              <w:ind w:left="-28" w:right="-28"/>
              <w:jc w:val="center"/>
            </w:pPr>
            <w:r w:rsidRPr="00181EF3">
              <w:t>5.7</w:t>
            </w:r>
          </w:p>
          <w:p w14:paraId="58C6F75B" w14:textId="77777777" w:rsidR="00370973" w:rsidRPr="00181EF3" w:rsidRDefault="00370973" w:rsidP="00EF58A1">
            <w:pPr>
              <w:pStyle w:val="TableText"/>
              <w:keepNext/>
              <w:spacing w:before="0"/>
              <w:ind w:left="-28" w:right="-28"/>
              <w:jc w:val="center"/>
            </w:pPr>
            <w:r w:rsidRPr="00181EF3">
              <w:t>(5.1–6.3)</w:t>
            </w:r>
          </w:p>
        </w:tc>
      </w:tr>
      <w:tr w:rsidR="00370973" w:rsidRPr="00181EF3" w14:paraId="73FAAD11" w14:textId="77777777" w:rsidTr="00EF58A1">
        <w:trPr>
          <w:cantSplit/>
          <w:trHeight w:val="773"/>
        </w:trPr>
        <w:tc>
          <w:tcPr>
            <w:tcW w:w="1843" w:type="dxa"/>
            <w:vMerge/>
            <w:tcBorders>
              <w:top w:val="single" w:sz="4" w:space="0" w:color="A6A6A6" w:themeColor="background1" w:themeShade="A6"/>
              <w:bottom w:val="single" w:sz="4" w:space="0" w:color="A6A6A6" w:themeColor="background1" w:themeShade="A6"/>
            </w:tcBorders>
          </w:tcPr>
          <w:p w14:paraId="4769BA74" w14:textId="77777777" w:rsidR="00370973" w:rsidRPr="00181EF3" w:rsidRDefault="00370973" w:rsidP="00370973">
            <w:pPr>
              <w:pStyle w:val="TableText"/>
            </w:pPr>
          </w:p>
        </w:tc>
        <w:tc>
          <w:tcPr>
            <w:tcW w:w="851"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E22D925" w14:textId="77777777" w:rsidR="00370973" w:rsidRPr="00181EF3" w:rsidRDefault="00370973" w:rsidP="00EF58A1">
            <w:pPr>
              <w:pStyle w:val="TableText"/>
              <w:jc w:val="center"/>
            </w:pPr>
            <w:r w:rsidRPr="00181EF3">
              <w:t>2011/12</w:t>
            </w:r>
          </w:p>
        </w:tc>
        <w:tc>
          <w:tcPr>
            <w:tcW w:w="897"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59F13496" w14:textId="77777777" w:rsidR="00370973" w:rsidRPr="00181EF3" w:rsidRDefault="00370973" w:rsidP="00EF58A1">
            <w:pPr>
              <w:pStyle w:val="TableText"/>
              <w:keepNext/>
              <w:spacing w:after="0"/>
              <w:ind w:left="-28" w:right="-28"/>
              <w:jc w:val="center"/>
            </w:pPr>
            <w:r w:rsidRPr="00181EF3">
              <w:t>12.4</w:t>
            </w:r>
          </w:p>
          <w:p w14:paraId="157B37A9" w14:textId="77777777" w:rsidR="00370973" w:rsidRPr="00181EF3" w:rsidRDefault="00370973" w:rsidP="00EF58A1">
            <w:pPr>
              <w:pStyle w:val="TableText"/>
              <w:keepNext/>
              <w:spacing w:before="0"/>
              <w:ind w:left="-28" w:right="-28"/>
              <w:jc w:val="center"/>
            </w:pPr>
            <w:r w:rsidRPr="00181EF3">
              <w:t>(9.6–15.8)</w:t>
            </w:r>
          </w:p>
        </w:tc>
        <w:tc>
          <w:tcPr>
            <w:tcW w:w="898" w:type="dxa"/>
            <w:tcBorders>
              <w:top w:val="single" w:sz="4" w:space="0" w:color="A6A6A6" w:themeColor="background1" w:themeShade="A6"/>
              <w:bottom w:val="single" w:sz="4" w:space="0" w:color="A6A6A6" w:themeColor="background1" w:themeShade="A6"/>
            </w:tcBorders>
            <w:vAlign w:val="center"/>
          </w:tcPr>
          <w:p w14:paraId="331307B7" w14:textId="77777777" w:rsidR="00370973" w:rsidRPr="00181EF3" w:rsidRDefault="00370973" w:rsidP="00EF58A1">
            <w:pPr>
              <w:pStyle w:val="TableText"/>
              <w:keepNext/>
              <w:spacing w:after="0"/>
              <w:ind w:left="-28" w:right="-28"/>
              <w:jc w:val="center"/>
            </w:pPr>
            <w:r w:rsidRPr="00181EF3">
              <w:t>12.5</w:t>
            </w:r>
            <w:r w:rsidRPr="00181EF3">
              <w:br/>
            </w:r>
            <w:r w:rsidRPr="00181EF3">
              <w:rPr>
                <w:spacing w:val="-2"/>
              </w:rPr>
              <w:t>(10.3–15.0)</w:t>
            </w:r>
          </w:p>
        </w:tc>
        <w:tc>
          <w:tcPr>
            <w:tcW w:w="898"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C1BCF98" w14:textId="77777777" w:rsidR="00370973" w:rsidRPr="00181EF3" w:rsidRDefault="00370973" w:rsidP="00EF58A1">
            <w:pPr>
              <w:pStyle w:val="TableText"/>
              <w:keepNext/>
              <w:spacing w:after="0"/>
              <w:ind w:left="-28" w:right="-28"/>
              <w:jc w:val="center"/>
            </w:pPr>
            <w:r w:rsidRPr="00181EF3">
              <w:t>12.3</w:t>
            </w:r>
          </w:p>
          <w:p w14:paraId="51F7EB6F" w14:textId="77777777" w:rsidR="00370973" w:rsidRPr="00181EF3" w:rsidRDefault="00370973" w:rsidP="00EF58A1">
            <w:pPr>
              <w:pStyle w:val="TableText"/>
              <w:keepNext/>
              <w:spacing w:before="0"/>
              <w:ind w:left="-28" w:right="-28"/>
              <w:jc w:val="center"/>
              <w:rPr>
                <w:spacing w:val="-2"/>
              </w:rPr>
            </w:pPr>
            <w:r w:rsidRPr="00181EF3">
              <w:rPr>
                <w:spacing w:val="-2"/>
              </w:rPr>
              <w:t>(10.6–14.3)</w:t>
            </w:r>
          </w:p>
        </w:tc>
        <w:tc>
          <w:tcPr>
            <w:tcW w:w="897"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2F0FECD9" w14:textId="77777777" w:rsidR="00370973" w:rsidRPr="00181EF3" w:rsidRDefault="00370973" w:rsidP="00EF58A1">
            <w:pPr>
              <w:pStyle w:val="TableText"/>
              <w:keepNext/>
              <w:spacing w:after="0"/>
              <w:ind w:left="-28" w:right="-28"/>
              <w:jc w:val="center"/>
            </w:pPr>
            <w:r w:rsidRPr="00181EF3">
              <w:t>3.9</w:t>
            </w:r>
            <w:r w:rsidRPr="00181EF3">
              <w:br/>
              <w:t>(3.3–4.6)</w:t>
            </w:r>
          </w:p>
        </w:tc>
        <w:tc>
          <w:tcPr>
            <w:tcW w:w="898" w:type="dxa"/>
            <w:tcBorders>
              <w:top w:val="single" w:sz="4" w:space="0" w:color="A6A6A6" w:themeColor="background1" w:themeShade="A6"/>
              <w:bottom w:val="single" w:sz="4" w:space="0" w:color="A6A6A6" w:themeColor="background1" w:themeShade="A6"/>
            </w:tcBorders>
            <w:vAlign w:val="center"/>
          </w:tcPr>
          <w:p w14:paraId="10FE0D69" w14:textId="77777777" w:rsidR="00370973" w:rsidRPr="00181EF3" w:rsidRDefault="00370973" w:rsidP="00EF58A1">
            <w:pPr>
              <w:pStyle w:val="TableText"/>
              <w:keepNext/>
              <w:spacing w:after="0"/>
              <w:ind w:left="-28" w:right="-28"/>
              <w:jc w:val="center"/>
            </w:pPr>
            <w:r w:rsidRPr="00181EF3">
              <w:t>4.7</w:t>
            </w:r>
            <w:r w:rsidRPr="00181EF3">
              <w:br/>
              <w:t>(3.9–5.6)</w:t>
            </w:r>
          </w:p>
        </w:tc>
        <w:tc>
          <w:tcPr>
            <w:tcW w:w="898" w:type="dxa"/>
            <w:tcBorders>
              <w:top w:val="single" w:sz="4" w:space="0" w:color="A6A6A6" w:themeColor="background1" w:themeShade="A6"/>
              <w:bottom w:val="single" w:sz="4" w:space="0" w:color="A6A6A6" w:themeColor="background1" w:themeShade="A6"/>
            </w:tcBorders>
            <w:vAlign w:val="center"/>
          </w:tcPr>
          <w:p w14:paraId="7D55410B" w14:textId="77777777" w:rsidR="00370973" w:rsidRPr="00181EF3" w:rsidRDefault="00370973" w:rsidP="00EF58A1">
            <w:pPr>
              <w:pStyle w:val="TableText"/>
              <w:keepNext/>
              <w:spacing w:after="0"/>
              <w:ind w:left="-28" w:right="-28"/>
              <w:jc w:val="center"/>
            </w:pPr>
            <w:r w:rsidRPr="00181EF3">
              <w:t>4.3</w:t>
            </w:r>
          </w:p>
          <w:p w14:paraId="4AAD4346" w14:textId="77777777" w:rsidR="00370973" w:rsidRPr="00181EF3" w:rsidRDefault="00370973" w:rsidP="00EF58A1">
            <w:pPr>
              <w:pStyle w:val="TableText"/>
              <w:keepNext/>
              <w:spacing w:before="0"/>
              <w:ind w:left="-28" w:right="-28"/>
              <w:jc w:val="center"/>
            </w:pPr>
            <w:r w:rsidRPr="00181EF3">
              <w:t>(3.8–4.8)</w:t>
            </w:r>
          </w:p>
        </w:tc>
      </w:tr>
    </w:tbl>
    <w:p w14:paraId="1A1E088B" w14:textId="77777777" w:rsidR="008A5642" w:rsidRDefault="000565DB" w:rsidP="000565DB">
      <w:pPr>
        <w:pStyle w:val="Note"/>
      </w:pPr>
      <w:r w:rsidRPr="00181EF3">
        <w:t>Notes:</w:t>
      </w:r>
    </w:p>
    <w:p w14:paraId="1A923F55" w14:textId="2065BC4E" w:rsidR="008A5642" w:rsidRDefault="00446D86" w:rsidP="000565DB">
      <w:pPr>
        <w:pStyle w:val="Note"/>
      </w:pPr>
      <w:r>
        <w:t>Figures are age-standardised to the 2001 Census total Māori population</w:t>
      </w:r>
      <w:r w:rsidR="000565DB" w:rsidRPr="00181EF3">
        <w:t>.</w:t>
      </w:r>
    </w:p>
    <w:p w14:paraId="1C584786" w14:textId="0D3A8F25" w:rsidR="000565DB" w:rsidRPr="000565DB" w:rsidRDefault="000565DB" w:rsidP="000565DB">
      <w:pPr>
        <w:pStyle w:val="Note"/>
      </w:pPr>
      <w:r>
        <w:t>Prioritised ethnicity has been used.</w:t>
      </w:r>
    </w:p>
    <w:p w14:paraId="01BC95DB" w14:textId="77777777" w:rsidR="00370973" w:rsidRPr="00181EF3" w:rsidRDefault="00370973" w:rsidP="00753785">
      <w:pPr>
        <w:pStyle w:val="Note"/>
        <w:ind w:left="0" w:firstLine="0"/>
      </w:pPr>
      <w:r w:rsidRPr="00181EF3">
        <w:t>Due to the nature of the survey, the individual figures for health, job or house do not equal the figures for any unfair treatment.</w:t>
      </w:r>
    </w:p>
    <w:p w14:paraId="3ACDB28C" w14:textId="43663AE1" w:rsidR="00370973" w:rsidRPr="00181EF3" w:rsidRDefault="00370973" w:rsidP="00EF58A1">
      <w:pPr>
        <w:pStyle w:val="Source"/>
      </w:pPr>
      <w:r w:rsidRPr="00181EF3">
        <w:t>Source: New Zealand Health Survey (NZHS)</w:t>
      </w:r>
      <w:r w:rsidR="009116B8">
        <w:t xml:space="preserve">, </w:t>
      </w:r>
      <w:r w:rsidR="009116B8" w:rsidRPr="00181EF3">
        <w:t>Ministry of Health</w:t>
      </w:r>
      <w:r w:rsidRPr="00181EF3">
        <w:t xml:space="preserve">, </w:t>
      </w:r>
      <w:r w:rsidR="00CD34CF">
        <w:t>2006/07 and 2011/12</w:t>
      </w:r>
      <w:r w:rsidRPr="00181EF3">
        <w:t>.</w:t>
      </w:r>
    </w:p>
    <w:p w14:paraId="0047835A" w14:textId="77777777" w:rsidR="00370973" w:rsidRPr="00181EF3" w:rsidRDefault="00370973" w:rsidP="00370973"/>
    <w:p w14:paraId="5286B9AF" w14:textId="3E80F6D1" w:rsidR="004A7F24" w:rsidRDefault="00370973" w:rsidP="000565DB">
      <w:r w:rsidRPr="00181EF3">
        <w:t xml:space="preserve">Table </w:t>
      </w:r>
      <w:r w:rsidR="000565DB">
        <w:t>14</w:t>
      </w:r>
      <w:r w:rsidRPr="00181EF3">
        <w:t xml:space="preserve"> shows, overall, Māori adults were more than twice as likely as </w:t>
      </w:r>
      <w:r w:rsidR="00EC03A3">
        <w:t>non</w:t>
      </w:r>
      <w:r w:rsidR="00EC03A3">
        <w:noBreakHyphen/>
        <w:t>M</w:t>
      </w:r>
      <w:r w:rsidRPr="00181EF3">
        <w:t xml:space="preserve">āori to have experienced any unfair treatment on the basis of ethnicity (RR 2.29 in 2006/07). This rose to nearly three times as likely in 2011/12 (RR 2.90 in 2011/12). The disparity was greater for rates of experience of unfair treatment in housing among females: Māori females were more than seven times as likely as </w:t>
      </w:r>
      <w:r w:rsidR="00EC03A3">
        <w:t>non</w:t>
      </w:r>
      <w:r w:rsidR="00EC03A3">
        <w:noBreakHyphen/>
        <w:t>M</w:t>
      </w:r>
      <w:r w:rsidRPr="00181EF3">
        <w:t>āori females to have experienced unfair treatment in renting or buying houses because of ethnicity (RR 7.03 in 2006/07 and 7.27 in 2011/12).</w:t>
      </w:r>
    </w:p>
    <w:p w14:paraId="27A12EDC" w14:textId="77777777" w:rsidR="00EF58A1" w:rsidRPr="008E76DC" w:rsidRDefault="00EF58A1" w:rsidP="000565DB"/>
    <w:p w14:paraId="0F04047E" w14:textId="77777777" w:rsidR="004A7F24" w:rsidRPr="00CA4308" w:rsidRDefault="00932BA7" w:rsidP="00CD5434">
      <w:pPr>
        <w:pStyle w:val="Heading1"/>
      </w:pPr>
      <w:bookmarkStart w:id="52" w:name="_Toc19102299"/>
      <w:bookmarkEnd w:id="45"/>
      <w:r>
        <w:lastRenderedPageBreak/>
        <w:t>Risk and protective factors</w:t>
      </w:r>
      <w:bookmarkEnd w:id="52"/>
    </w:p>
    <w:p w14:paraId="282D0222" w14:textId="77777777" w:rsidR="0038762A" w:rsidRDefault="0038762A" w:rsidP="0038762A">
      <w:pPr>
        <w:pStyle w:val="Heading2"/>
      </w:pPr>
      <w:bookmarkStart w:id="53" w:name="_Toc19102300"/>
      <w:bookmarkStart w:id="54" w:name="_Toc311786215"/>
      <w:r>
        <w:t>Tobacco</w:t>
      </w:r>
      <w:r w:rsidRPr="00181EF3">
        <w:t xml:space="preserve"> smoking</w:t>
      </w:r>
      <w:bookmarkEnd w:id="53"/>
    </w:p>
    <w:p w14:paraId="5BA3C482" w14:textId="43EDA53A" w:rsidR="0038762A" w:rsidRDefault="0038762A" w:rsidP="0038762A">
      <w:pPr>
        <w:rPr>
          <w:noProof/>
          <w:lang w:eastAsia="en-NZ"/>
        </w:rPr>
      </w:pPr>
      <w:r w:rsidRPr="00181EF3">
        <w:rPr>
          <w:noProof/>
          <w:lang w:eastAsia="en-NZ"/>
        </w:rPr>
        <w:t xml:space="preserve">This </w:t>
      </w:r>
      <w:r>
        <w:rPr>
          <w:noProof/>
          <w:lang w:eastAsia="en-NZ"/>
        </w:rPr>
        <w:t>section</w:t>
      </w:r>
      <w:r w:rsidRPr="00181EF3">
        <w:rPr>
          <w:noProof/>
          <w:lang w:eastAsia="en-NZ"/>
        </w:rPr>
        <w:t xml:space="preserve"> presents results over time for tobacco smoking, data sources are self-reported but they do give a good indication of change over time as the methods have not changed.</w:t>
      </w:r>
    </w:p>
    <w:p w14:paraId="03B3E13C" w14:textId="77777777" w:rsidR="00EF58A1" w:rsidRPr="00181EF3" w:rsidRDefault="00EF58A1" w:rsidP="0038762A">
      <w:pPr>
        <w:rPr>
          <w:noProof/>
          <w:lang w:eastAsia="en-NZ"/>
        </w:rPr>
      </w:pPr>
    </w:p>
    <w:p w14:paraId="34B6A697" w14:textId="77777777" w:rsidR="0038762A" w:rsidRPr="00181EF3" w:rsidRDefault="0038762A" w:rsidP="0038762A">
      <w:pPr>
        <w:pStyle w:val="Heading3"/>
      </w:pPr>
      <w:bookmarkStart w:id="55" w:name="_Toc19102301"/>
      <w:r w:rsidRPr="00181EF3">
        <w:t>What is the data telling us?</w:t>
      </w:r>
      <w:bookmarkEnd w:id="55"/>
    </w:p>
    <w:p w14:paraId="5E21AFE4" w14:textId="77777777" w:rsidR="0038762A" w:rsidRPr="00181EF3" w:rsidRDefault="0038762A" w:rsidP="0038762A">
      <w:pPr>
        <w:pStyle w:val="Shadedboxtext"/>
      </w:pPr>
      <w:r w:rsidRPr="00181EF3">
        <w:t>Overall the data shows that:</w:t>
      </w:r>
    </w:p>
    <w:p w14:paraId="4D65B124" w14:textId="5B54776D" w:rsidR="0038762A" w:rsidRPr="00181EF3" w:rsidRDefault="0038762A" w:rsidP="0038762A">
      <w:pPr>
        <w:pStyle w:val="Shadedboxbullet"/>
      </w:pPr>
      <w:r w:rsidRPr="00181EF3">
        <w:t xml:space="preserve">Māori youth aged 14–15 years (Year 10) have a higher prevalence of daily smoking than </w:t>
      </w:r>
      <w:r w:rsidR="00EC03A3">
        <w:t>non</w:t>
      </w:r>
      <w:r w:rsidR="00EC03A3">
        <w:noBreakHyphen/>
        <w:t>M</w:t>
      </w:r>
      <w:r w:rsidRPr="00181EF3">
        <w:t>āori youth from 1999 to 2015.</w:t>
      </w:r>
    </w:p>
    <w:p w14:paraId="5149A0D2" w14:textId="257649FF" w:rsidR="0038762A" w:rsidRPr="00181EF3" w:rsidRDefault="0038762A" w:rsidP="0038762A">
      <w:pPr>
        <w:pStyle w:val="Shadedboxbullet"/>
      </w:pPr>
      <w:r w:rsidRPr="00181EF3">
        <w:t xml:space="preserve">Youth smoking rates have declined substantially over time, however, smoking rates for Māori girls remain disproportionately high – four times as high as those of </w:t>
      </w:r>
      <w:r w:rsidR="00EC03A3">
        <w:t>non</w:t>
      </w:r>
      <w:r w:rsidR="00EC03A3">
        <w:noBreakHyphen/>
        <w:t>M</w:t>
      </w:r>
      <w:r w:rsidRPr="00181EF3">
        <w:t>āori girls.</w:t>
      </w:r>
    </w:p>
    <w:p w14:paraId="10AB83F7" w14:textId="77777777" w:rsidR="0038762A" w:rsidRPr="00181EF3" w:rsidRDefault="0038762A" w:rsidP="0038762A">
      <w:pPr>
        <w:pStyle w:val="Shadedboxbullet"/>
      </w:pPr>
      <w:r w:rsidRPr="00181EF3">
        <w:t>Daily and current smoking rates for Māori adults aged 15 and over have decreased slightly over time.</w:t>
      </w:r>
    </w:p>
    <w:p w14:paraId="1EF24EE2" w14:textId="44494C95" w:rsidR="0038762A" w:rsidRPr="00181EF3" w:rsidRDefault="0038762A" w:rsidP="0038762A">
      <w:pPr>
        <w:pStyle w:val="Shadedboxbullet"/>
      </w:pPr>
      <w:r w:rsidRPr="00181EF3">
        <w:t xml:space="preserve">Persistent disparities remain over time for Māori compared </w:t>
      </w:r>
      <w:r w:rsidR="00074A01">
        <w:t>with</w:t>
      </w:r>
      <w:r w:rsidR="00074A01" w:rsidRPr="00181EF3">
        <w:t xml:space="preserve"> </w:t>
      </w:r>
      <w:r w:rsidR="00EC03A3">
        <w:t>non</w:t>
      </w:r>
      <w:r w:rsidR="00EC03A3">
        <w:noBreakHyphen/>
        <w:t>M</w:t>
      </w:r>
      <w:r w:rsidRPr="00181EF3">
        <w:t>āori for both current and daily smoking. Disparities are particularly pronounced for Māori females.</w:t>
      </w:r>
    </w:p>
    <w:p w14:paraId="50C8F7C3" w14:textId="1BFFDB69" w:rsidR="0038762A" w:rsidRPr="00181EF3" w:rsidRDefault="0038762A" w:rsidP="0038762A">
      <w:pPr>
        <w:pStyle w:val="Shadedboxbullet"/>
      </w:pPr>
      <w:r w:rsidRPr="00181EF3">
        <w:t xml:space="preserve">Māori females were more likely to be an ex-smoker than </w:t>
      </w:r>
      <w:r w:rsidR="00EC03A3">
        <w:t>non</w:t>
      </w:r>
      <w:r w:rsidR="00EC03A3">
        <w:noBreakHyphen/>
        <w:t>M</w:t>
      </w:r>
      <w:r w:rsidRPr="00181EF3">
        <w:t>āori females.</w:t>
      </w:r>
    </w:p>
    <w:p w14:paraId="48D5CE81" w14:textId="77777777" w:rsidR="0038762A" w:rsidRPr="00181EF3" w:rsidRDefault="0038762A" w:rsidP="0038762A"/>
    <w:p w14:paraId="4D5FFC76" w14:textId="629CC518" w:rsidR="0038762A" w:rsidRPr="00181EF3" w:rsidRDefault="0038762A" w:rsidP="0038762A">
      <w:pPr>
        <w:pStyle w:val="Heading3"/>
      </w:pPr>
      <w:bookmarkStart w:id="56" w:name="_Toc19102302"/>
      <w:r w:rsidRPr="00181EF3">
        <w:lastRenderedPageBreak/>
        <w:t>Youth smoking (aged 14–15 years)</w:t>
      </w:r>
      <w:bookmarkEnd w:id="56"/>
    </w:p>
    <w:p w14:paraId="5D27F1F3" w14:textId="77777777" w:rsidR="009116B8" w:rsidRDefault="0038762A" w:rsidP="00EF58A1">
      <w:pPr>
        <w:keepNext/>
        <w:rPr>
          <w:noProof/>
          <w:lang w:eastAsia="en-NZ"/>
        </w:rPr>
      </w:pPr>
      <w:r w:rsidRPr="00181EF3">
        <w:rPr>
          <w:noProof/>
          <w:lang w:eastAsia="en-NZ"/>
        </w:rPr>
        <w:t>Youth smoking is sourced from the</w:t>
      </w:r>
      <w:r w:rsidRPr="00181EF3">
        <w:t xml:space="preserve"> Action for Smokefree 2025 (ASH) Year 10 Snapshot Survey.</w:t>
      </w:r>
      <w:r w:rsidRPr="00181EF3">
        <w:rPr>
          <w:noProof/>
          <w:lang w:eastAsia="en-NZ"/>
        </w:rPr>
        <w:t xml:space="preserve"> The ASH Year 10 Snapshot Survey samples 20,000–30,000 students aged 14–15 years (in Year 10 at school) every year on their smoking behaviours and attitudes.</w:t>
      </w:r>
    </w:p>
    <w:p w14:paraId="3FDED4F6" w14:textId="77777777" w:rsidR="009116B8" w:rsidRDefault="009116B8" w:rsidP="00EF58A1">
      <w:pPr>
        <w:keepNext/>
        <w:rPr>
          <w:noProof/>
          <w:lang w:eastAsia="en-NZ"/>
        </w:rPr>
      </w:pPr>
    </w:p>
    <w:p w14:paraId="424B7CE3" w14:textId="733163AC" w:rsidR="0038762A" w:rsidRDefault="0038762A" w:rsidP="00EF58A1">
      <w:pPr>
        <w:keepNext/>
      </w:pPr>
      <w:r w:rsidRPr="00181EF3">
        <w:t xml:space="preserve">The ASH Survey shows that Māori students in Year 10 at school (aged 14–15 years) had a higher prevalence of daily smoking than </w:t>
      </w:r>
      <w:r w:rsidR="00EC03A3">
        <w:t>non</w:t>
      </w:r>
      <w:r w:rsidR="00EC03A3">
        <w:noBreakHyphen/>
        <w:t>M</w:t>
      </w:r>
      <w:r w:rsidRPr="00181EF3">
        <w:t>āori in the same age group. Daily smoking is defined as smoking at least once a day.</w:t>
      </w:r>
    </w:p>
    <w:p w14:paraId="3BD424EB" w14:textId="77777777" w:rsidR="00EF58A1" w:rsidRPr="00181EF3" w:rsidRDefault="00EF58A1" w:rsidP="00EF58A1">
      <w:pPr>
        <w:keepNext/>
      </w:pPr>
    </w:p>
    <w:p w14:paraId="3B6229D4" w14:textId="7BDE38F1" w:rsidR="0038762A" w:rsidRPr="00181EF3" w:rsidRDefault="0038762A" w:rsidP="0038762A">
      <w:pPr>
        <w:pStyle w:val="Figure"/>
      </w:pPr>
      <w:bookmarkStart w:id="57" w:name="_Toc19101856"/>
      <w:r w:rsidRPr="00181EF3">
        <w:t xml:space="preserve">Figure </w:t>
      </w:r>
      <w:r w:rsidR="006C1237">
        <w:t>5</w:t>
      </w:r>
      <w:r w:rsidRPr="00181EF3">
        <w:t xml:space="preserve">: </w:t>
      </w:r>
      <w:r w:rsidR="00114338">
        <w:t>D</w:t>
      </w:r>
      <w:r w:rsidRPr="00181EF3">
        <w:t xml:space="preserve">aily </w:t>
      </w:r>
      <w:r w:rsidR="00114338">
        <w:t>smoking in people aged 14–15 years</w:t>
      </w:r>
      <w:r w:rsidRPr="00181EF3">
        <w:t xml:space="preserve">, by gender, </w:t>
      </w:r>
      <w:r w:rsidR="00114338">
        <w:t xml:space="preserve">Māori and </w:t>
      </w:r>
      <w:r w:rsidR="00EC03A3">
        <w:t>non</w:t>
      </w:r>
      <w:r w:rsidR="00EC03A3">
        <w:noBreakHyphen/>
        <w:t>M</w:t>
      </w:r>
      <w:r w:rsidR="00114338">
        <w:t xml:space="preserve">āori, </w:t>
      </w:r>
      <w:r w:rsidRPr="00181EF3">
        <w:t>1999–2015</w:t>
      </w:r>
      <w:bookmarkEnd w:id="57"/>
    </w:p>
    <w:p w14:paraId="3FEB7D09" w14:textId="77777777" w:rsidR="0038762A" w:rsidRPr="00181EF3" w:rsidRDefault="0038762A" w:rsidP="0038762A">
      <w:r w:rsidRPr="00181EF3">
        <w:rPr>
          <w:noProof/>
          <w:lang w:eastAsia="en-NZ"/>
        </w:rPr>
        <w:drawing>
          <wp:inline distT="0" distB="0" distL="0" distR="0" wp14:anchorId="388AEE8A" wp14:editId="5E0398A9">
            <wp:extent cx="5130165" cy="2887910"/>
            <wp:effectExtent l="0" t="0" r="0" b="8255"/>
            <wp:docPr id="275" name="Picture 275" descr="The graphs show that smoking rates have declined among boys and girls between 1999 and 2015. Māori girls are the most likely to smoke, followed by Māori boys and non-Māori girls and boys." title="Figure 5: Daily smoking in people aged 14-15 years, by gender, Māori and non-Māori, 1999 to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130165" cy="2887910"/>
                    </a:xfrm>
                    <a:prstGeom prst="rect">
                      <a:avLst/>
                    </a:prstGeom>
                  </pic:spPr>
                </pic:pic>
              </a:graphicData>
            </a:graphic>
          </wp:inline>
        </w:drawing>
      </w:r>
    </w:p>
    <w:p w14:paraId="4828A600" w14:textId="77777777" w:rsidR="0038762A" w:rsidRPr="00181EF3" w:rsidRDefault="0038762A" w:rsidP="0038762A">
      <w:pPr>
        <w:pStyle w:val="Note"/>
      </w:pPr>
      <w:r w:rsidRPr="00181EF3">
        <w:t>Note: Daily smoking consists of participants who report smoking at least once a day.</w:t>
      </w:r>
    </w:p>
    <w:p w14:paraId="5A751EC5" w14:textId="77777777" w:rsidR="0038762A" w:rsidRPr="00181EF3" w:rsidRDefault="0038762A" w:rsidP="0038762A">
      <w:pPr>
        <w:pStyle w:val="Source"/>
      </w:pPr>
      <w:r w:rsidRPr="00181EF3">
        <w:t>Source: ASH Year 10 Snapshot Surveys, 1999–2015.</w:t>
      </w:r>
    </w:p>
    <w:p w14:paraId="5A2A646D" w14:textId="77777777" w:rsidR="0038762A" w:rsidRDefault="0038762A" w:rsidP="0038762A"/>
    <w:p w14:paraId="275B82EA" w14:textId="5E358034" w:rsidR="006A632C" w:rsidRPr="00181EF3" w:rsidRDefault="006A632C" w:rsidP="006A632C">
      <w:r w:rsidRPr="00181EF3">
        <w:t xml:space="preserve">Figure </w:t>
      </w:r>
      <w:r>
        <w:t>5</w:t>
      </w:r>
      <w:r w:rsidRPr="00181EF3">
        <w:t xml:space="preserve"> shows that daily smoking rates for both Māori and </w:t>
      </w:r>
      <w:r w:rsidR="00EC03A3">
        <w:t>non</w:t>
      </w:r>
      <w:r w:rsidR="00EC03A3">
        <w:noBreakHyphen/>
        <w:t>M</w:t>
      </w:r>
      <w:r w:rsidRPr="00181EF3">
        <w:t xml:space="preserve">āori youth steadily declined from 1999 to 2015, however, rates for Māori girls remain twice as high as rates for Māori boys, and four times as high as those of </w:t>
      </w:r>
      <w:r w:rsidR="00EC03A3">
        <w:t>non</w:t>
      </w:r>
      <w:r w:rsidR="00EC03A3">
        <w:noBreakHyphen/>
        <w:t>M</w:t>
      </w:r>
      <w:r w:rsidRPr="00181EF3">
        <w:t>āori girls.</w:t>
      </w:r>
    </w:p>
    <w:p w14:paraId="7CBA1243" w14:textId="77777777" w:rsidR="006A632C" w:rsidRPr="00181EF3" w:rsidRDefault="006A632C" w:rsidP="006A632C"/>
    <w:p w14:paraId="095B8A95" w14:textId="6D44722A" w:rsidR="006A632C" w:rsidRPr="00181EF3" w:rsidRDefault="006A632C" w:rsidP="006A632C">
      <w:r w:rsidRPr="00181EF3">
        <w:t xml:space="preserve">Between 1999 and 2015, Māori boys’ daily smoking rates decreased by 82 percent, while </w:t>
      </w:r>
      <w:r w:rsidR="00EC03A3">
        <w:t>non</w:t>
      </w:r>
      <w:r w:rsidR="00EC03A3">
        <w:noBreakHyphen/>
        <w:t>M</w:t>
      </w:r>
      <w:r w:rsidRPr="00181EF3">
        <w:t xml:space="preserve">āori boys’ rates decreased by 89 percent. During the same time, Māori girls’ daily smoking rates reduced by 78 percent while </w:t>
      </w:r>
      <w:r w:rsidR="00EC03A3">
        <w:t>non</w:t>
      </w:r>
      <w:r w:rsidR="00EC03A3">
        <w:noBreakHyphen/>
        <w:t>M</w:t>
      </w:r>
      <w:r w:rsidRPr="00181EF3">
        <w:t>āori girls’ rates decreased by 88 percent.</w:t>
      </w:r>
    </w:p>
    <w:p w14:paraId="17E01B85" w14:textId="77777777" w:rsidR="006A632C" w:rsidRPr="00181EF3" w:rsidRDefault="006A632C" w:rsidP="006A632C"/>
    <w:p w14:paraId="0B8C894C" w14:textId="478B19ED" w:rsidR="006A632C" w:rsidRPr="00181EF3" w:rsidRDefault="006A632C" w:rsidP="006A632C">
      <w:r w:rsidRPr="00181EF3">
        <w:t xml:space="preserve">Between 1999 and 2015, the difference between Māori and </w:t>
      </w:r>
      <w:r w:rsidR="00EC03A3">
        <w:t>non</w:t>
      </w:r>
      <w:r w:rsidR="00EC03A3">
        <w:noBreakHyphen/>
        <w:t>M</w:t>
      </w:r>
      <w:r w:rsidRPr="00181EF3">
        <w:t xml:space="preserve">āori boys’ daily smoking rates decreased by 75 percent, decreasing from 11 percentage points (the difference in 1999) to 3 percentage points (the difference in 2015). For girls, the difference between Māori and </w:t>
      </w:r>
      <w:r w:rsidR="00EC03A3">
        <w:t>non</w:t>
      </w:r>
      <w:r w:rsidR="00EC03A3">
        <w:noBreakHyphen/>
        <w:t>M</w:t>
      </w:r>
      <w:r w:rsidRPr="00181EF3">
        <w:t>āori rates decreased by 73 percent (from 23 to 6 percentage points).</w:t>
      </w:r>
    </w:p>
    <w:p w14:paraId="297BE321" w14:textId="77777777" w:rsidR="006A632C" w:rsidRPr="00181EF3" w:rsidRDefault="006A632C" w:rsidP="006A632C"/>
    <w:p w14:paraId="3186A667" w14:textId="2861EB21" w:rsidR="009116B8" w:rsidRDefault="006A632C">
      <w:r>
        <w:t>F</w:t>
      </w:r>
      <w:r w:rsidRPr="00181EF3">
        <w:t xml:space="preserve">urther information regarding never smoked and daily smoking rates for Māori compared </w:t>
      </w:r>
      <w:r w:rsidR="00074A01">
        <w:t>with</w:t>
      </w:r>
      <w:r w:rsidR="00074A01" w:rsidRPr="00181EF3">
        <w:t xml:space="preserve"> </w:t>
      </w:r>
      <w:r w:rsidR="00EC03A3">
        <w:t>non</w:t>
      </w:r>
      <w:r w:rsidR="00EC03A3">
        <w:noBreakHyphen/>
        <w:t>M</w:t>
      </w:r>
      <w:r w:rsidRPr="00181EF3">
        <w:t xml:space="preserve">āori </w:t>
      </w:r>
      <w:r w:rsidR="00EC03A3">
        <w:t>non</w:t>
      </w:r>
      <w:r w:rsidR="00EC03A3">
        <w:noBreakHyphen/>
        <w:t>P</w:t>
      </w:r>
      <w:r w:rsidRPr="00181EF3">
        <w:t>acific over time (2000–2016)</w:t>
      </w:r>
      <w:r>
        <w:t xml:space="preserve"> can be found in the </w:t>
      </w:r>
      <w:r w:rsidR="0029182F">
        <w:t xml:space="preserve">factsheet </w:t>
      </w:r>
      <w:r w:rsidRPr="00EF17BE">
        <w:rPr>
          <w:i/>
        </w:rPr>
        <w:t>2016 ASH Year 10 Snapshot: Smoking Among Māori Youth</w:t>
      </w:r>
      <w:r>
        <w:t xml:space="preserve"> (</w:t>
      </w:r>
      <w:r w:rsidR="0029182F">
        <w:t>ASH n.d.)</w:t>
      </w:r>
      <w:r w:rsidR="009116B8">
        <w:t>.</w:t>
      </w:r>
    </w:p>
    <w:p w14:paraId="60CEEB7E" w14:textId="0AF3440F" w:rsidR="0038762A" w:rsidRPr="00181EF3" w:rsidRDefault="0038762A" w:rsidP="00EF58A1">
      <w:pPr>
        <w:pStyle w:val="Heading3"/>
        <w:spacing w:before="600"/>
      </w:pPr>
      <w:bookmarkStart w:id="58" w:name="_Toc19102303"/>
      <w:r w:rsidRPr="00181EF3">
        <w:lastRenderedPageBreak/>
        <w:t>Current smoking</w:t>
      </w:r>
      <w:r w:rsidR="006C1237">
        <w:t xml:space="preserve"> </w:t>
      </w:r>
      <w:r w:rsidR="006C1237" w:rsidRPr="00181EF3">
        <w:t>(aged 15 and over)</w:t>
      </w:r>
      <w:bookmarkEnd w:id="58"/>
    </w:p>
    <w:p w14:paraId="7D2D2E51" w14:textId="77777777" w:rsidR="006C1237" w:rsidRPr="00181EF3" w:rsidRDefault="006C1237" w:rsidP="006C1237">
      <w:r w:rsidRPr="00181EF3">
        <w:t>The New Zealand Health Survey (NZHS) collects self-reported data on tobacco smoking for adults aged 15 and over and examines current smoking, daily smoking and ex-smoker status in 2006/07 and then in a continuous survey cycle from 2011/12 to 2016/17.</w:t>
      </w:r>
    </w:p>
    <w:p w14:paraId="4956C8B2" w14:textId="77777777" w:rsidR="006C1237" w:rsidRPr="00181EF3" w:rsidRDefault="006C1237" w:rsidP="006C1237"/>
    <w:p w14:paraId="215E2477" w14:textId="03B258F5" w:rsidR="0038762A" w:rsidRPr="00181EF3" w:rsidRDefault="0038762A" w:rsidP="0038762A">
      <w:r w:rsidRPr="00181EF3">
        <w:t xml:space="preserve">The NZHS results show that the prevalence of current smoking has decreased slowly over time for both Māori and </w:t>
      </w:r>
      <w:r w:rsidR="00EC03A3">
        <w:t>non</w:t>
      </w:r>
      <w:r w:rsidR="00EC03A3">
        <w:noBreakHyphen/>
        <w:t>M</w:t>
      </w:r>
      <w:r w:rsidRPr="00181EF3">
        <w:t xml:space="preserve">āori. From 2006/07 to 2016/17, rates of current smoking for Māori decreased by 17 percent compared </w:t>
      </w:r>
      <w:r w:rsidR="00074A01">
        <w:t>with</w:t>
      </w:r>
      <w:r w:rsidR="00074A01" w:rsidRPr="00181EF3">
        <w:t xml:space="preserve"> </w:t>
      </w:r>
      <w:r w:rsidRPr="00181EF3">
        <w:t xml:space="preserve">25 percent for </w:t>
      </w:r>
      <w:r w:rsidR="00EC03A3">
        <w:t>non</w:t>
      </w:r>
      <w:r w:rsidR="00EC03A3">
        <w:noBreakHyphen/>
        <w:t>M</w:t>
      </w:r>
      <w:r w:rsidRPr="00181EF3">
        <w:t xml:space="preserve">āori. A persisting disparity is evident for Māori when compared </w:t>
      </w:r>
      <w:r w:rsidR="00074A01">
        <w:t>with</w:t>
      </w:r>
      <w:r w:rsidR="00074A01" w:rsidRPr="00181EF3">
        <w:t xml:space="preserve"> </w:t>
      </w:r>
      <w:r w:rsidR="00EC03A3">
        <w:t>non</w:t>
      </w:r>
      <w:r w:rsidR="00EC03A3">
        <w:noBreakHyphen/>
        <w:t>M</w:t>
      </w:r>
      <w:r w:rsidRPr="00181EF3">
        <w:t xml:space="preserve">āori – with Māori being at least 2½ times </w:t>
      </w:r>
      <w:r>
        <w:t>as</w:t>
      </w:r>
      <w:r w:rsidRPr="00181EF3">
        <w:t xml:space="preserve"> likely </w:t>
      </w:r>
      <w:r>
        <w:t>as</w:t>
      </w:r>
      <w:r w:rsidRPr="00181EF3">
        <w:t xml:space="preserve"> </w:t>
      </w:r>
      <w:r w:rsidR="00EC03A3">
        <w:t>non</w:t>
      </w:r>
      <w:r w:rsidR="00EC03A3">
        <w:noBreakHyphen/>
        <w:t>M</w:t>
      </w:r>
      <w:r w:rsidRPr="00181EF3">
        <w:t>āori to be a current smoker over the time period.</w:t>
      </w:r>
    </w:p>
    <w:p w14:paraId="33A9ADDE" w14:textId="77777777" w:rsidR="0038762A" w:rsidRPr="00181EF3" w:rsidRDefault="0038762A" w:rsidP="0038762A"/>
    <w:p w14:paraId="0F7FDFD0" w14:textId="0E269F54" w:rsidR="0038762A" w:rsidRPr="00181EF3" w:rsidRDefault="0038762A" w:rsidP="0038762A">
      <w:pPr>
        <w:pStyle w:val="Figure"/>
        <w:spacing w:before="60" w:after="60"/>
      </w:pPr>
      <w:bookmarkStart w:id="59" w:name="_Toc19101857"/>
      <w:r w:rsidRPr="00181EF3">
        <w:t xml:space="preserve">Figure </w:t>
      </w:r>
      <w:r w:rsidR="006C1237">
        <w:t>6</w:t>
      </w:r>
      <w:r w:rsidRPr="00181EF3">
        <w:t xml:space="preserve">: Current smoking </w:t>
      </w:r>
      <w:r w:rsidR="00114338">
        <w:t>in people aged 15 and over</w:t>
      </w:r>
      <w:r w:rsidRPr="00181EF3">
        <w:t xml:space="preserve">, by </w:t>
      </w:r>
      <w:r w:rsidR="00114338">
        <w:t>gender</w:t>
      </w:r>
      <w:r w:rsidRPr="00181EF3">
        <w:t xml:space="preserve">, </w:t>
      </w:r>
      <w:r w:rsidR="00114338">
        <w:t xml:space="preserve">Māori and </w:t>
      </w:r>
      <w:r w:rsidR="00EC03A3">
        <w:t>non</w:t>
      </w:r>
      <w:r w:rsidR="00EC03A3">
        <w:noBreakHyphen/>
        <w:t>M</w:t>
      </w:r>
      <w:r w:rsidR="00114338">
        <w:t xml:space="preserve">āori, </w:t>
      </w:r>
      <w:r w:rsidRPr="00181EF3">
        <w:t>2006/07–2016/17</w:t>
      </w:r>
      <w:bookmarkEnd w:id="59"/>
    </w:p>
    <w:p w14:paraId="37B9F0F3" w14:textId="77777777" w:rsidR="0038762A" w:rsidRPr="00181EF3" w:rsidRDefault="0038762A" w:rsidP="0038762A">
      <w:r w:rsidRPr="00181EF3">
        <w:rPr>
          <w:noProof/>
          <w:lang w:eastAsia="en-NZ"/>
        </w:rPr>
        <w:drawing>
          <wp:inline distT="0" distB="0" distL="0" distR="0" wp14:anchorId="78F00E3B" wp14:editId="21724489">
            <wp:extent cx="5026133" cy="2427316"/>
            <wp:effectExtent l="0" t="0" r="3175" b="0"/>
            <wp:docPr id="278" name="Picture 278" descr="The graph shows that smoking rates among Māori men and women have intermittently declined, while non-Māori smoking rates have gone down more consistently, but at a slower pace, and fewer non-Māori smoke overall." title="Figure 6: Current smoking – adults, age-standardised percentages (%), by sex, 2006/07–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t="2273" b="2922"/>
                    <a:stretch/>
                  </pic:blipFill>
                  <pic:spPr bwMode="auto">
                    <a:xfrm>
                      <a:off x="0" y="0"/>
                      <a:ext cx="5035211" cy="2431700"/>
                    </a:xfrm>
                    <a:prstGeom prst="rect">
                      <a:avLst/>
                    </a:prstGeom>
                    <a:ln>
                      <a:noFill/>
                    </a:ln>
                    <a:extLst>
                      <a:ext uri="{53640926-AAD7-44D8-BBD7-CCE9431645EC}">
                        <a14:shadowObscured xmlns:a14="http://schemas.microsoft.com/office/drawing/2010/main"/>
                      </a:ext>
                    </a:extLst>
                  </pic:spPr>
                </pic:pic>
              </a:graphicData>
            </a:graphic>
          </wp:inline>
        </w:drawing>
      </w:r>
    </w:p>
    <w:p w14:paraId="120947D1" w14:textId="77777777" w:rsidR="008A5642" w:rsidRDefault="0038762A" w:rsidP="0038762A">
      <w:pPr>
        <w:pStyle w:val="Note"/>
      </w:pPr>
      <w:r w:rsidRPr="00181EF3">
        <w:t>Note</w:t>
      </w:r>
      <w:r w:rsidR="006C1237">
        <w:t>s</w:t>
      </w:r>
      <w:r w:rsidRPr="00181EF3">
        <w:t>:</w:t>
      </w:r>
    </w:p>
    <w:p w14:paraId="011B339C" w14:textId="7A4C51EA" w:rsidR="008A5642" w:rsidRDefault="00446D86" w:rsidP="00886EED">
      <w:pPr>
        <w:pStyle w:val="Note"/>
      </w:pPr>
      <w:r>
        <w:t>Figures are age-standardised to the 2001 Census total Māori population</w:t>
      </w:r>
      <w:r w:rsidR="006C1237" w:rsidRPr="00181EF3">
        <w:t>.</w:t>
      </w:r>
    </w:p>
    <w:p w14:paraId="7BF6CE25" w14:textId="0914E17D" w:rsidR="0038762A" w:rsidRPr="00181EF3" w:rsidRDefault="006C1237" w:rsidP="00886EED">
      <w:pPr>
        <w:pStyle w:val="Note"/>
      </w:pPr>
      <w:r>
        <w:t>Prioritised ethnicity has been used.</w:t>
      </w:r>
    </w:p>
    <w:p w14:paraId="464F494B" w14:textId="77777777" w:rsidR="0038762A" w:rsidRDefault="0038762A" w:rsidP="00886EED">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6ABB92CB" w14:textId="77777777" w:rsidR="006C1237" w:rsidRPr="006C1237" w:rsidRDefault="006C1237" w:rsidP="00886EED">
      <w:pPr>
        <w:pStyle w:val="Note"/>
        <w:ind w:left="0" w:firstLine="0"/>
        <w:rPr>
          <w:szCs w:val="17"/>
        </w:rPr>
      </w:pPr>
      <w:r w:rsidRPr="006C1237">
        <w:rPr>
          <w:szCs w:val="17"/>
        </w:rPr>
        <w:t>Current smoking is defined as having smoked more than 100 cigarettes in lifetime and currently smoking at least once a month.</w:t>
      </w:r>
    </w:p>
    <w:p w14:paraId="38FB59B4" w14:textId="088D6A7A" w:rsidR="0038762A" w:rsidRPr="00181EF3" w:rsidRDefault="0038762A" w:rsidP="00886EED">
      <w:pPr>
        <w:pStyle w:val="Note"/>
      </w:pPr>
      <w:bookmarkStart w:id="60" w:name="_Hlk17815209"/>
      <w:r w:rsidRPr="00181EF3">
        <w:t>Source: New Zealand Health Survey (NZHS)</w:t>
      </w:r>
      <w:r w:rsidR="009116B8">
        <w:t xml:space="preserve">, </w:t>
      </w:r>
      <w:r w:rsidR="009116B8" w:rsidRPr="00181EF3">
        <w:t>Ministry of Health</w:t>
      </w:r>
      <w:r w:rsidRPr="00181EF3">
        <w:t xml:space="preserve">, </w:t>
      </w:r>
      <w:r w:rsidR="00CD34CF">
        <w:t>2006/07–2016/17</w:t>
      </w:r>
      <w:r w:rsidRPr="00181EF3">
        <w:t>.</w:t>
      </w:r>
      <w:bookmarkEnd w:id="60"/>
    </w:p>
    <w:p w14:paraId="1DAD0DB5" w14:textId="77777777" w:rsidR="006A632C" w:rsidRDefault="006A632C" w:rsidP="006A632C"/>
    <w:p w14:paraId="12F39EE4" w14:textId="78079A40" w:rsidR="006A632C" w:rsidRPr="00181EF3" w:rsidRDefault="006A632C" w:rsidP="006A632C">
      <w:r w:rsidRPr="00181EF3">
        <w:t xml:space="preserve">Figure </w:t>
      </w:r>
      <w:r>
        <w:t>6</w:t>
      </w:r>
      <w:r w:rsidRPr="00181EF3">
        <w:t xml:space="preserve"> shows that rates of current smoking have declined over time and Māori females have the highest rates of current smoking. In 2016/17, 39 percent of Māori females were current smokers compared </w:t>
      </w:r>
      <w:r w:rsidR="00074A01">
        <w:t>with</w:t>
      </w:r>
      <w:r w:rsidR="00074A01" w:rsidRPr="00181EF3">
        <w:t xml:space="preserve"> </w:t>
      </w:r>
      <w:r w:rsidRPr="00181EF3">
        <w:t xml:space="preserve">11 percent of </w:t>
      </w:r>
      <w:r w:rsidR="00EC03A3">
        <w:t>non</w:t>
      </w:r>
      <w:r w:rsidR="00EC03A3">
        <w:noBreakHyphen/>
        <w:t>M</w:t>
      </w:r>
      <w:r w:rsidRPr="00181EF3">
        <w:t>āori females.</w:t>
      </w:r>
    </w:p>
    <w:p w14:paraId="272344E8" w14:textId="77777777" w:rsidR="006A632C" w:rsidRPr="00181EF3" w:rsidRDefault="006A632C" w:rsidP="006A632C"/>
    <w:p w14:paraId="7F013432" w14:textId="62E7AE25" w:rsidR="009116B8" w:rsidRPr="00EF58A1" w:rsidRDefault="006A632C">
      <w:r w:rsidRPr="00181EF3">
        <w:t xml:space="preserve">The disparity between Māori and </w:t>
      </w:r>
      <w:r w:rsidR="00EC03A3">
        <w:t>non</w:t>
      </w:r>
      <w:r w:rsidR="00EC03A3">
        <w:noBreakHyphen/>
        <w:t>M</w:t>
      </w:r>
      <w:r w:rsidRPr="00181EF3">
        <w:t xml:space="preserve">āori is particularly pronounced for females. In 2016/17, Māori females were nearly 3½ times as likely as </w:t>
      </w:r>
      <w:r w:rsidR="00446D86">
        <w:t>n</w:t>
      </w:r>
      <w:r w:rsidR="00EC03A3">
        <w:t>on</w:t>
      </w:r>
      <w:r w:rsidR="00EC03A3">
        <w:noBreakHyphen/>
        <w:t>M</w:t>
      </w:r>
      <w:r w:rsidRPr="00181EF3">
        <w:t xml:space="preserve">āori females to be a current smoker compared </w:t>
      </w:r>
      <w:r w:rsidR="00074A01">
        <w:t>with</w:t>
      </w:r>
      <w:r w:rsidR="00074A01" w:rsidRPr="00181EF3">
        <w:t xml:space="preserve"> </w:t>
      </w:r>
      <w:r w:rsidRPr="00181EF3">
        <w:t xml:space="preserve">just over 2½ times in 2006/07. This is due to a faster decline in current smoking rates for </w:t>
      </w:r>
      <w:r w:rsidR="00EC03A3">
        <w:t>non</w:t>
      </w:r>
      <w:r w:rsidR="00EC03A3">
        <w:noBreakHyphen/>
        <w:t>M</w:t>
      </w:r>
      <w:r w:rsidRPr="00181EF3">
        <w:t xml:space="preserve">āori females over the time period (33 percent decline for </w:t>
      </w:r>
      <w:r w:rsidR="00EC03A3">
        <w:t>non</w:t>
      </w:r>
      <w:r w:rsidR="00EC03A3">
        <w:noBreakHyphen/>
        <w:t>M</w:t>
      </w:r>
      <w:r w:rsidRPr="00181EF3">
        <w:t xml:space="preserve">āori females compared </w:t>
      </w:r>
      <w:r w:rsidR="00074A01">
        <w:t>with</w:t>
      </w:r>
      <w:r w:rsidR="00074A01" w:rsidRPr="00181EF3">
        <w:t xml:space="preserve"> </w:t>
      </w:r>
      <w:r w:rsidRPr="00181EF3">
        <w:t>16 percent for Māori females).</w:t>
      </w:r>
      <w:r w:rsidR="00753785">
        <w:t xml:space="preserve"> </w:t>
      </w:r>
      <w:r w:rsidRPr="00181EF3">
        <w:t xml:space="preserve">Māori males are around twice as likely as </w:t>
      </w:r>
      <w:r w:rsidR="00EC03A3">
        <w:t>non</w:t>
      </w:r>
      <w:r w:rsidR="00EC03A3">
        <w:noBreakHyphen/>
        <w:t>M</w:t>
      </w:r>
      <w:r w:rsidRPr="00181EF3">
        <w:t>āori males to be current smokers and this has remained stable over the time period.</w:t>
      </w:r>
    </w:p>
    <w:p w14:paraId="7A612F54" w14:textId="0F53055B" w:rsidR="0038762A" w:rsidRPr="00181EF3" w:rsidRDefault="0038762A" w:rsidP="00EF58A1">
      <w:pPr>
        <w:pStyle w:val="Heading3"/>
        <w:spacing w:before="600"/>
      </w:pPr>
      <w:bookmarkStart w:id="61" w:name="_Toc19102304"/>
      <w:r w:rsidRPr="00181EF3">
        <w:lastRenderedPageBreak/>
        <w:t>Daily smoking</w:t>
      </w:r>
      <w:r w:rsidR="006C1237">
        <w:t xml:space="preserve"> </w:t>
      </w:r>
      <w:r w:rsidR="006C1237" w:rsidRPr="00181EF3">
        <w:t>(aged 15 and over)</w:t>
      </w:r>
      <w:bookmarkEnd w:id="61"/>
    </w:p>
    <w:p w14:paraId="7D619077" w14:textId="1653AA70" w:rsidR="0038762A" w:rsidRPr="00181EF3" w:rsidRDefault="0038762A" w:rsidP="0038762A">
      <w:pPr>
        <w:pStyle w:val="Figure"/>
      </w:pPr>
      <w:bookmarkStart w:id="62" w:name="_Toc19101858"/>
      <w:r w:rsidRPr="00181EF3">
        <w:t xml:space="preserve">Figure </w:t>
      </w:r>
      <w:r w:rsidR="006C1237">
        <w:t>7</w:t>
      </w:r>
      <w:r w:rsidRPr="00181EF3">
        <w:t xml:space="preserve">: </w:t>
      </w:r>
      <w:r w:rsidR="00114338">
        <w:t>Daily</w:t>
      </w:r>
      <w:r w:rsidR="00114338" w:rsidRPr="00181EF3">
        <w:t xml:space="preserve"> smoking </w:t>
      </w:r>
      <w:r w:rsidR="00114338">
        <w:t>in people aged 15 and over</w:t>
      </w:r>
      <w:r w:rsidR="00114338" w:rsidRPr="00181EF3">
        <w:t xml:space="preserve">, by </w:t>
      </w:r>
      <w:r w:rsidR="00114338">
        <w:t>gender</w:t>
      </w:r>
      <w:r w:rsidR="00114338" w:rsidRPr="00181EF3">
        <w:t xml:space="preserve">, </w:t>
      </w:r>
      <w:r w:rsidR="00114338">
        <w:t xml:space="preserve">Māori and </w:t>
      </w:r>
      <w:r w:rsidR="00EC03A3">
        <w:t>non</w:t>
      </w:r>
      <w:r w:rsidR="00EC03A3">
        <w:noBreakHyphen/>
        <w:t>M</w:t>
      </w:r>
      <w:r w:rsidR="00114338">
        <w:t>āori</w:t>
      </w:r>
      <w:r w:rsidRPr="00181EF3">
        <w:t>,</w:t>
      </w:r>
      <w:r w:rsidR="00114338">
        <w:t xml:space="preserve"> </w:t>
      </w:r>
      <w:r w:rsidRPr="00181EF3">
        <w:t>2006/07–2016/17</w:t>
      </w:r>
      <w:bookmarkEnd w:id="62"/>
    </w:p>
    <w:p w14:paraId="22F01540" w14:textId="77777777" w:rsidR="0038762A" w:rsidRPr="00181EF3" w:rsidRDefault="0038762A" w:rsidP="0038762A">
      <w:r w:rsidRPr="00181EF3">
        <w:rPr>
          <w:noProof/>
          <w:lang w:eastAsia="en-NZ"/>
        </w:rPr>
        <w:drawing>
          <wp:inline distT="0" distB="0" distL="0" distR="0" wp14:anchorId="4E5134AC" wp14:editId="0FBCEC9C">
            <wp:extent cx="5130165" cy="2613315"/>
            <wp:effectExtent l="0" t="0" r="0" b="0"/>
            <wp:docPr id="277" name="Picture 277" descr="These graphs show that daily smoking rates are higher among Māori than non-Māori. Rates for both groups have declined since 2007." title="Figure 7: Daily smoking – adults, age-standardised percentages (%), by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130165" cy="2613315"/>
                    </a:xfrm>
                    <a:prstGeom prst="rect">
                      <a:avLst/>
                    </a:prstGeom>
                  </pic:spPr>
                </pic:pic>
              </a:graphicData>
            </a:graphic>
          </wp:inline>
        </w:drawing>
      </w:r>
    </w:p>
    <w:p w14:paraId="4F4233D8" w14:textId="77777777" w:rsidR="008A5642" w:rsidRDefault="006C1237" w:rsidP="006C1237">
      <w:pPr>
        <w:pStyle w:val="Note"/>
      </w:pPr>
      <w:r w:rsidRPr="00181EF3">
        <w:t>Note</w:t>
      </w:r>
      <w:r>
        <w:t>s</w:t>
      </w:r>
      <w:r w:rsidRPr="00181EF3">
        <w:t>:</w:t>
      </w:r>
    </w:p>
    <w:p w14:paraId="587B5B37" w14:textId="66FB3B21" w:rsidR="008A5642" w:rsidRDefault="00446D86" w:rsidP="006C1237">
      <w:pPr>
        <w:pStyle w:val="Note"/>
      </w:pPr>
      <w:r>
        <w:t>Figures are age-standardised to the 2001 Census total Māori population</w:t>
      </w:r>
      <w:r w:rsidR="006C1237" w:rsidRPr="00181EF3">
        <w:t>.</w:t>
      </w:r>
    </w:p>
    <w:p w14:paraId="567C6D03" w14:textId="39CBBF6C" w:rsidR="006C1237" w:rsidRPr="00181EF3" w:rsidRDefault="006C1237" w:rsidP="00886EED">
      <w:pPr>
        <w:pStyle w:val="Note"/>
      </w:pPr>
      <w:r>
        <w:t>Prioritised ethnicity has been used.</w:t>
      </w:r>
    </w:p>
    <w:p w14:paraId="7E6EDF8E" w14:textId="77777777" w:rsidR="006C1237" w:rsidRDefault="006C1237" w:rsidP="00886EED">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7E83581F" w14:textId="6D10AF82" w:rsidR="0038762A" w:rsidRPr="00181EF3" w:rsidRDefault="006C1237" w:rsidP="00886EED">
      <w:pPr>
        <w:pStyle w:val="Note"/>
        <w:ind w:left="0" w:firstLine="0"/>
      </w:pPr>
      <w:r w:rsidRPr="006C1237">
        <w:t>Daily smoking is defined as having smoked more than 100 cigarettes in a respondent’s lifetime and currently smoking at least once a day.</w:t>
      </w:r>
    </w:p>
    <w:p w14:paraId="0FD8A21D" w14:textId="609FA409" w:rsidR="0038762A" w:rsidRPr="00181EF3" w:rsidRDefault="009116B8" w:rsidP="00886EED">
      <w:pPr>
        <w:pStyle w:val="Note"/>
      </w:pPr>
      <w:r w:rsidRPr="00181EF3">
        <w:t>Source: New Zealand Health Survey (NZHS)</w:t>
      </w:r>
      <w:r>
        <w:t xml:space="preserve">, </w:t>
      </w:r>
      <w:r w:rsidRPr="00181EF3">
        <w:t xml:space="preserve">Ministry of Health, </w:t>
      </w:r>
      <w:r>
        <w:t>2006/07–2016/17</w:t>
      </w:r>
      <w:r w:rsidRPr="00181EF3">
        <w:t>.</w:t>
      </w:r>
    </w:p>
    <w:p w14:paraId="04CFE7F7" w14:textId="77777777" w:rsidR="0038762A" w:rsidRDefault="0038762A" w:rsidP="0038762A"/>
    <w:p w14:paraId="37028F66" w14:textId="30AA5D77" w:rsidR="006A632C" w:rsidRDefault="006A632C" w:rsidP="006A632C">
      <w:r w:rsidRPr="00181EF3">
        <w:t xml:space="preserve">Trends for daily smoking are similar to that of current smoking, with Māori more likely to smoke daily than </w:t>
      </w:r>
      <w:r w:rsidR="00EC03A3">
        <w:t>non</w:t>
      </w:r>
      <w:r w:rsidR="00EC03A3">
        <w:noBreakHyphen/>
        <w:t>M</w:t>
      </w:r>
      <w:r w:rsidRPr="00181EF3">
        <w:t xml:space="preserve">āori with decreases in daily smoking evident over time for both Māori and </w:t>
      </w:r>
      <w:r w:rsidR="00EC03A3">
        <w:t>non</w:t>
      </w:r>
      <w:r w:rsidR="00EC03A3">
        <w:noBreakHyphen/>
        <w:t>M</w:t>
      </w:r>
      <w:r w:rsidRPr="00181EF3">
        <w:t xml:space="preserve">āori. Māori females have the highest rates of daily smoking with some decrease since 2014/15 (Figure </w:t>
      </w:r>
      <w:r>
        <w:t>7</w:t>
      </w:r>
      <w:r w:rsidRPr="00181EF3">
        <w:t xml:space="preserve">). In 2016/17, Māori females were over 3½ times </w:t>
      </w:r>
      <w:r>
        <w:t>as</w:t>
      </w:r>
      <w:r w:rsidRPr="00181EF3">
        <w:t xml:space="preserve"> likely to be daily smokers </w:t>
      </w:r>
      <w:r>
        <w:t>as</w:t>
      </w:r>
      <w:r w:rsidRPr="00181EF3">
        <w:t xml:space="preserve"> </w:t>
      </w:r>
      <w:r w:rsidR="00EC03A3">
        <w:t>non</w:t>
      </w:r>
      <w:r w:rsidR="00EC03A3">
        <w:noBreakHyphen/>
        <w:t>M</w:t>
      </w:r>
      <w:r w:rsidRPr="00181EF3">
        <w:t xml:space="preserve">āori females and Māori males were twice as likely to be daily smokers as </w:t>
      </w:r>
      <w:r w:rsidR="00EC03A3">
        <w:t>non</w:t>
      </w:r>
      <w:r w:rsidR="00EC03A3">
        <w:noBreakHyphen/>
        <w:t>M</w:t>
      </w:r>
      <w:r w:rsidRPr="00181EF3">
        <w:t>āori males.</w:t>
      </w:r>
    </w:p>
    <w:p w14:paraId="3CA3C0D6" w14:textId="77777777" w:rsidR="00EF58A1" w:rsidRPr="00181EF3" w:rsidRDefault="00EF58A1" w:rsidP="006A632C"/>
    <w:p w14:paraId="78441D62" w14:textId="77777777" w:rsidR="0038762A" w:rsidRPr="00181EF3" w:rsidRDefault="0038762A" w:rsidP="0038762A">
      <w:pPr>
        <w:pStyle w:val="Heading3"/>
      </w:pPr>
      <w:bookmarkStart w:id="63" w:name="_Toc19102305"/>
      <w:r w:rsidRPr="00181EF3">
        <w:lastRenderedPageBreak/>
        <w:t>Ex-smokers</w:t>
      </w:r>
      <w:r w:rsidR="00321DA2">
        <w:t xml:space="preserve"> </w:t>
      </w:r>
      <w:r w:rsidR="00321DA2" w:rsidRPr="00181EF3">
        <w:t>(aged 15 and over)</w:t>
      </w:r>
      <w:bookmarkEnd w:id="63"/>
    </w:p>
    <w:p w14:paraId="682836EE" w14:textId="61398C1E" w:rsidR="0038762A" w:rsidRPr="00181EF3" w:rsidRDefault="0038762A" w:rsidP="0038762A">
      <w:pPr>
        <w:pStyle w:val="Figure"/>
      </w:pPr>
      <w:bookmarkStart w:id="64" w:name="_Toc19101859"/>
      <w:bookmarkStart w:id="65" w:name="_Hlk17021668"/>
      <w:r w:rsidRPr="00181EF3">
        <w:t xml:space="preserve">Figure </w:t>
      </w:r>
      <w:r w:rsidR="00114338">
        <w:t>8</w:t>
      </w:r>
      <w:r w:rsidRPr="00181EF3">
        <w:t xml:space="preserve">: </w:t>
      </w:r>
      <w:r w:rsidR="00114338">
        <w:t>Ex-smokers</w:t>
      </w:r>
      <w:r w:rsidR="00114338" w:rsidRPr="00181EF3">
        <w:t xml:space="preserve"> </w:t>
      </w:r>
      <w:r w:rsidR="00114338">
        <w:t>in people aged 15 and over</w:t>
      </w:r>
      <w:r w:rsidR="00114338" w:rsidRPr="00181EF3">
        <w:t xml:space="preserve">, by </w:t>
      </w:r>
      <w:r w:rsidR="00114338">
        <w:t>gender</w:t>
      </w:r>
      <w:r w:rsidR="00114338" w:rsidRPr="00181EF3">
        <w:t xml:space="preserve">, </w:t>
      </w:r>
      <w:r w:rsidR="00114338">
        <w:t xml:space="preserve">Māori and </w:t>
      </w:r>
      <w:r w:rsidR="00EC03A3">
        <w:t>non</w:t>
      </w:r>
      <w:r w:rsidR="00EC03A3">
        <w:noBreakHyphen/>
        <w:t>M</w:t>
      </w:r>
      <w:r w:rsidR="00114338">
        <w:t>āori</w:t>
      </w:r>
      <w:r w:rsidR="00114338" w:rsidRPr="00181EF3">
        <w:t>,</w:t>
      </w:r>
      <w:r w:rsidRPr="00181EF3">
        <w:br/>
        <w:t>2006/07–2016/17</w:t>
      </w:r>
      <w:bookmarkEnd w:id="64"/>
    </w:p>
    <w:p w14:paraId="69D02BE3" w14:textId="77777777" w:rsidR="0038762A" w:rsidRPr="00181EF3" w:rsidRDefault="0038762A" w:rsidP="0038762A">
      <w:r w:rsidRPr="00181EF3">
        <w:rPr>
          <w:noProof/>
          <w:lang w:eastAsia="en-NZ"/>
        </w:rPr>
        <w:drawing>
          <wp:inline distT="0" distB="0" distL="0" distR="0" wp14:anchorId="712114A8" wp14:editId="0B2560CE">
            <wp:extent cx="5130165" cy="2613315"/>
            <wp:effectExtent l="0" t="0" r="0" b="0"/>
            <wp:docPr id="279" name="Picture 279" descr="The graphs show that the percentage of ex-smokers is about the same for Māori and non-Māori men, while Māori women are more likely than non-Māori women to be ex-smokers. About 25 percent of Māori women are former smokers, the largest percentage shown." title="Figure 8: Ex-smoker – adults, age-standardised percentages (%), by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130165" cy="2613315"/>
                    </a:xfrm>
                    <a:prstGeom prst="rect">
                      <a:avLst/>
                    </a:prstGeom>
                  </pic:spPr>
                </pic:pic>
              </a:graphicData>
            </a:graphic>
          </wp:inline>
        </w:drawing>
      </w:r>
    </w:p>
    <w:p w14:paraId="02D05D66" w14:textId="77777777" w:rsidR="008A5642" w:rsidRDefault="00114338" w:rsidP="00114338">
      <w:pPr>
        <w:pStyle w:val="Note"/>
      </w:pPr>
      <w:r w:rsidRPr="00181EF3">
        <w:t>Note</w:t>
      </w:r>
      <w:r>
        <w:t>s</w:t>
      </w:r>
      <w:r w:rsidRPr="00181EF3">
        <w:t>:</w:t>
      </w:r>
    </w:p>
    <w:p w14:paraId="0615E531" w14:textId="71E8ADEA" w:rsidR="008A5642" w:rsidRDefault="00446D86" w:rsidP="00114338">
      <w:pPr>
        <w:pStyle w:val="Note"/>
      </w:pPr>
      <w:r>
        <w:t>Figures are age-standardised to the 2001 Census total Māori population</w:t>
      </w:r>
      <w:r w:rsidR="00114338" w:rsidRPr="00181EF3">
        <w:t>.</w:t>
      </w:r>
    </w:p>
    <w:p w14:paraId="09A92923" w14:textId="0E9BB25A" w:rsidR="00114338" w:rsidRPr="00886EED" w:rsidRDefault="00114338" w:rsidP="00886EED">
      <w:pPr>
        <w:pStyle w:val="Note"/>
      </w:pPr>
      <w:r w:rsidRPr="00886EED">
        <w:t>Prioritised ethnicity has been used.</w:t>
      </w:r>
    </w:p>
    <w:p w14:paraId="37C49BA5" w14:textId="77777777" w:rsidR="008A5642" w:rsidRDefault="00114338" w:rsidP="00886EED">
      <w:pPr>
        <w:pStyle w:val="Note"/>
        <w:ind w:left="0" w:firstLine="0"/>
      </w:pPr>
      <w:r w:rsidRPr="00886EED">
        <w:t>If the confidence intervals of two rates do not overlap, the difference in rates is said to be statistically significant.</w:t>
      </w:r>
    </w:p>
    <w:p w14:paraId="2AFA2035" w14:textId="47A51AC1" w:rsidR="00114338" w:rsidRPr="00886EED" w:rsidRDefault="00114338" w:rsidP="00886EED">
      <w:pPr>
        <w:pStyle w:val="Note"/>
        <w:ind w:left="0" w:firstLine="0"/>
      </w:pPr>
      <w:r w:rsidRPr="00886EED">
        <w:t xml:space="preserve">An ex-smoker is defined </w:t>
      </w:r>
      <w:r w:rsidR="00446D86">
        <w:t>as</w:t>
      </w:r>
      <w:r w:rsidRPr="00886EED">
        <w:t xml:space="preserve"> having smoked more than 100 cigarettes in a lifetime and has now stopped for more than one month.</w:t>
      </w:r>
    </w:p>
    <w:p w14:paraId="58B255BD" w14:textId="23452BAB" w:rsidR="0030324C" w:rsidRDefault="009116B8" w:rsidP="0038762A">
      <w:pPr>
        <w:pStyle w:val="Note"/>
      </w:pPr>
      <w:r w:rsidRPr="00181EF3">
        <w:t>Source: New Zealand Health Survey (NZHS)</w:t>
      </w:r>
      <w:r>
        <w:t xml:space="preserve">, </w:t>
      </w:r>
      <w:r w:rsidRPr="00181EF3">
        <w:t xml:space="preserve">Ministry of Health, </w:t>
      </w:r>
      <w:r>
        <w:t>2006/07–2016/17</w:t>
      </w:r>
      <w:r w:rsidRPr="00181EF3">
        <w:t>.</w:t>
      </w:r>
    </w:p>
    <w:bookmarkEnd w:id="65"/>
    <w:p w14:paraId="4C900E3F" w14:textId="77777777" w:rsidR="006A632C" w:rsidRDefault="006A632C" w:rsidP="006A632C"/>
    <w:p w14:paraId="4D7F77E1" w14:textId="45A5100C" w:rsidR="006A632C" w:rsidRPr="00181EF3" w:rsidRDefault="006A632C" w:rsidP="006A632C">
      <w:r w:rsidRPr="00181EF3">
        <w:t xml:space="preserve">Māori are more likely than </w:t>
      </w:r>
      <w:r w:rsidR="00EC03A3">
        <w:t>non</w:t>
      </w:r>
      <w:r w:rsidR="00EC03A3">
        <w:noBreakHyphen/>
        <w:t>M</w:t>
      </w:r>
      <w:r w:rsidRPr="00181EF3">
        <w:t xml:space="preserve">āori to be ex-smokers. In 2016/17, 23 percent of Māori were ex-smokers compared </w:t>
      </w:r>
      <w:r w:rsidR="00FF1892">
        <w:t>with</w:t>
      </w:r>
      <w:r w:rsidR="00FF1892" w:rsidRPr="00181EF3">
        <w:t xml:space="preserve"> </w:t>
      </w:r>
      <w:r w:rsidRPr="00181EF3">
        <w:t xml:space="preserve">20 percent of </w:t>
      </w:r>
      <w:r w:rsidR="00EC03A3">
        <w:t>non</w:t>
      </w:r>
      <w:r w:rsidR="00EC03A3">
        <w:noBreakHyphen/>
        <w:t>M</w:t>
      </w:r>
      <w:r w:rsidRPr="00181EF3">
        <w:t>āori.</w:t>
      </w:r>
    </w:p>
    <w:p w14:paraId="2E26C948" w14:textId="77777777" w:rsidR="006A632C" w:rsidRPr="00181EF3" w:rsidRDefault="006A632C" w:rsidP="006A632C"/>
    <w:p w14:paraId="2104A121" w14:textId="17DBCF8C" w:rsidR="006A632C" w:rsidRPr="00181EF3" w:rsidRDefault="006A632C" w:rsidP="006A632C">
      <w:r w:rsidRPr="00181EF3">
        <w:t xml:space="preserve">Figure </w:t>
      </w:r>
      <w:r>
        <w:t>8</w:t>
      </w:r>
      <w:r w:rsidRPr="00181EF3">
        <w:t xml:space="preserve"> shows that the proportion of Māori females and males becoming ex-smokers increased over time between 2006/07 and 2016/17 (by 31 percent for Māori females and 12 percent for Māori males). Māori females were more likely to be an ex-smoker than </w:t>
      </w:r>
      <w:r w:rsidR="00EC03A3">
        <w:t>non</w:t>
      </w:r>
      <w:r w:rsidR="00EC03A3">
        <w:noBreakHyphen/>
        <w:t>M</w:t>
      </w:r>
      <w:r w:rsidRPr="00181EF3">
        <w:t>āori females.</w:t>
      </w:r>
    </w:p>
    <w:p w14:paraId="49A63DE3" w14:textId="20C49EC3" w:rsidR="004E385E" w:rsidRDefault="004E385E">
      <w:r>
        <w:br w:type="page"/>
      </w:r>
    </w:p>
    <w:p w14:paraId="44888A23" w14:textId="77777777" w:rsidR="0030324C" w:rsidRPr="00181EF3" w:rsidRDefault="0030324C" w:rsidP="0030324C">
      <w:pPr>
        <w:pStyle w:val="Heading2"/>
        <w:rPr>
          <w:noProof/>
          <w:lang w:eastAsia="en-NZ"/>
        </w:rPr>
      </w:pPr>
      <w:bookmarkStart w:id="66" w:name="_Toc14718651"/>
      <w:bookmarkStart w:id="67" w:name="_Toc14787441"/>
      <w:bookmarkStart w:id="68" w:name="_Toc19102306"/>
      <w:r w:rsidRPr="00181EF3">
        <w:rPr>
          <w:noProof/>
          <w:lang w:eastAsia="en-NZ"/>
        </w:rPr>
        <w:lastRenderedPageBreak/>
        <w:t>Alcohol and drug use</w:t>
      </w:r>
      <w:bookmarkEnd w:id="66"/>
      <w:bookmarkEnd w:id="67"/>
      <w:bookmarkEnd w:id="68"/>
    </w:p>
    <w:p w14:paraId="45283BE8" w14:textId="6B44A9E5" w:rsidR="0030324C" w:rsidRDefault="0030324C" w:rsidP="00EF58A1">
      <w:pPr>
        <w:keepNext/>
      </w:pPr>
      <w:r w:rsidRPr="00181EF3">
        <w:rPr>
          <w:noProof/>
          <w:lang w:eastAsia="en-NZ"/>
        </w:rPr>
        <w:t xml:space="preserve">This </w:t>
      </w:r>
      <w:r>
        <w:rPr>
          <w:noProof/>
          <w:lang w:eastAsia="en-NZ"/>
        </w:rPr>
        <w:t>section</w:t>
      </w:r>
      <w:r w:rsidRPr="00181EF3">
        <w:rPr>
          <w:noProof/>
          <w:lang w:eastAsia="en-NZ"/>
        </w:rPr>
        <w:t xml:space="preserve"> presents results </w:t>
      </w:r>
      <w:r>
        <w:rPr>
          <w:noProof/>
          <w:lang w:eastAsia="en-NZ"/>
        </w:rPr>
        <w:t>for alcohol and drug use</w:t>
      </w:r>
      <w:r w:rsidRPr="00181EF3">
        <w:rPr>
          <w:noProof/>
          <w:lang w:eastAsia="en-NZ"/>
        </w:rPr>
        <w:t xml:space="preserve"> for </w:t>
      </w:r>
      <w:r>
        <w:rPr>
          <w:noProof/>
          <w:lang w:eastAsia="en-NZ"/>
        </w:rPr>
        <w:t xml:space="preserve">Māori and </w:t>
      </w:r>
      <w:r w:rsidR="00EC03A3">
        <w:rPr>
          <w:noProof/>
          <w:lang w:eastAsia="en-NZ"/>
        </w:rPr>
        <w:t>non</w:t>
      </w:r>
      <w:r w:rsidR="00EC03A3">
        <w:rPr>
          <w:noProof/>
          <w:lang w:eastAsia="en-NZ"/>
        </w:rPr>
        <w:noBreakHyphen/>
        <w:t>M</w:t>
      </w:r>
      <w:r>
        <w:rPr>
          <w:noProof/>
          <w:lang w:eastAsia="en-NZ"/>
        </w:rPr>
        <w:t>āori</w:t>
      </w:r>
      <w:r w:rsidRPr="00181EF3">
        <w:rPr>
          <w:noProof/>
          <w:lang w:eastAsia="en-NZ"/>
        </w:rPr>
        <w:t xml:space="preserve"> aged 15 and over.</w:t>
      </w:r>
      <w:r>
        <w:rPr>
          <w:noProof/>
          <w:lang w:eastAsia="en-NZ"/>
        </w:rPr>
        <w:t xml:space="preserve"> </w:t>
      </w:r>
      <w:r>
        <w:t>T</w:t>
      </w:r>
      <w:r w:rsidRPr="00181EF3">
        <w:t xml:space="preserve">his </w:t>
      </w:r>
      <w:r w:rsidR="00B202D2">
        <w:t>is</w:t>
      </w:r>
      <w:r w:rsidRPr="00181EF3">
        <w:t xml:space="preserve"> self-reported behaviour, which may be an underestimate but it is the best data we have. This is useful for exploring changes over time because the survey method hasn’t changed.</w:t>
      </w:r>
    </w:p>
    <w:p w14:paraId="1D6AD2BD" w14:textId="77777777" w:rsidR="00EF58A1" w:rsidRPr="00181EF3" w:rsidRDefault="00EF58A1" w:rsidP="00EF58A1">
      <w:pPr>
        <w:keepNext/>
      </w:pPr>
    </w:p>
    <w:p w14:paraId="0FFD46B3" w14:textId="77777777" w:rsidR="0030324C" w:rsidRPr="00181EF3" w:rsidRDefault="0030324C" w:rsidP="0030324C">
      <w:pPr>
        <w:pStyle w:val="Heading3"/>
      </w:pPr>
      <w:bookmarkStart w:id="69" w:name="_Toc19102307"/>
      <w:r w:rsidRPr="00181EF3">
        <w:t>What is the data telling us?</w:t>
      </w:r>
      <w:bookmarkEnd w:id="69"/>
    </w:p>
    <w:p w14:paraId="028DF076" w14:textId="77777777" w:rsidR="0030324C" w:rsidRPr="00181EF3" w:rsidRDefault="0030324C" w:rsidP="0030324C">
      <w:pPr>
        <w:pStyle w:val="Shadedboxheading"/>
      </w:pPr>
      <w:bookmarkStart w:id="70" w:name="_Hlk16936807"/>
      <w:r w:rsidRPr="00181EF3">
        <w:t>Alcohol use</w:t>
      </w:r>
      <w:bookmarkEnd w:id="70"/>
    </w:p>
    <w:p w14:paraId="1A4E9185" w14:textId="7E233EEC" w:rsidR="0030324C" w:rsidRPr="00181EF3" w:rsidRDefault="0030324C" w:rsidP="0030324C">
      <w:pPr>
        <w:pStyle w:val="Shadedboxbullet"/>
      </w:pPr>
      <w:r w:rsidRPr="00181EF3">
        <w:t xml:space="preserve">Māori and </w:t>
      </w:r>
      <w:r w:rsidR="00EC03A3">
        <w:t>non</w:t>
      </w:r>
      <w:r w:rsidR="00EC03A3">
        <w:noBreakHyphen/>
        <w:t>M</w:t>
      </w:r>
      <w:r w:rsidRPr="00181EF3">
        <w:t>āori adults aged 15 and over were equally likely to have consumed alcohol in the past year and this was consistent over time from 2006/07 to 2016/17.</w:t>
      </w:r>
    </w:p>
    <w:p w14:paraId="53316D11" w14:textId="7AB757B5" w:rsidR="0030324C" w:rsidRPr="00181EF3" w:rsidRDefault="0030324C" w:rsidP="0030324C">
      <w:pPr>
        <w:pStyle w:val="Shadedboxbullet"/>
      </w:pPr>
      <w:r w:rsidRPr="00181EF3">
        <w:t xml:space="preserve">Māori drinkers were less likely than </w:t>
      </w:r>
      <w:r w:rsidR="00EC03A3">
        <w:t>non</w:t>
      </w:r>
      <w:r w:rsidR="00EC03A3">
        <w:noBreakHyphen/>
        <w:t>M</w:t>
      </w:r>
      <w:r w:rsidRPr="00181EF3">
        <w:t>āori drinkers to have drunk alcohol four or more times a week in the past year and this hasn’t changed over time.</w:t>
      </w:r>
    </w:p>
    <w:p w14:paraId="2A31F62D" w14:textId="0CD1EC11" w:rsidR="0030324C" w:rsidRPr="00181EF3" w:rsidRDefault="0030324C" w:rsidP="0030324C">
      <w:pPr>
        <w:pStyle w:val="Shadedboxbullet"/>
      </w:pPr>
      <w:r w:rsidRPr="00181EF3">
        <w:t xml:space="preserve">Of those who had consumed alcohol in the past year, Māori were more likely to score 8 points or more on AUDIT test (hazardous drinking indicator) than </w:t>
      </w:r>
      <w:r w:rsidR="00EC03A3">
        <w:t>non</w:t>
      </w:r>
      <w:r w:rsidR="00EC03A3">
        <w:noBreakHyphen/>
        <w:t>M</w:t>
      </w:r>
      <w:r w:rsidRPr="00181EF3">
        <w:t>āori at each time period presented.</w:t>
      </w:r>
    </w:p>
    <w:p w14:paraId="59BDDD62" w14:textId="77777777" w:rsidR="0030324C" w:rsidRPr="00181EF3" w:rsidRDefault="0030324C" w:rsidP="0030324C">
      <w:pPr>
        <w:pStyle w:val="Shadedboxheading"/>
      </w:pPr>
      <w:r w:rsidRPr="00181EF3">
        <w:t>Drug use</w:t>
      </w:r>
    </w:p>
    <w:p w14:paraId="63E2EBEA" w14:textId="523AB14C" w:rsidR="0030324C" w:rsidRPr="00181EF3" w:rsidRDefault="0030324C" w:rsidP="0030324C">
      <w:pPr>
        <w:pStyle w:val="Shadedboxbullet"/>
      </w:pPr>
      <w:r w:rsidRPr="00181EF3">
        <w:t xml:space="preserve">Māori were about twice as likely as </w:t>
      </w:r>
      <w:r w:rsidR="00EC03A3">
        <w:t>non</w:t>
      </w:r>
      <w:r w:rsidR="00EC03A3">
        <w:noBreakHyphen/>
        <w:t>M</w:t>
      </w:r>
      <w:r w:rsidRPr="00181EF3">
        <w:t>āori to use cannabis and this was consistent over time.</w:t>
      </w:r>
    </w:p>
    <w:p w14:paraId="13815EC1" w14:textId="77777777" w:rsidR="0030324C" w:rsidRDefault="0030324C" w:rsidP="0030324C">
      <w:pPr>
        <w:pStyle w:val="Shadedboxbullet"/>
      </w:pPr>
      <w:r w:rsidRPr="00181EF3">
        <w:t>Māori males had the highest prevalence of cannabis use.</w:t>
      </w:r>
    </w:p>
    <w:p w14:paraId="27E0ECB1" w14:textId="77777777" w:rsidR="00EF58A1" w:rsidRPr="00181EF3" w:rsidRDefault="00EF58A1" w:rsidP="00EF58A1"/>
    <w:p w14:paraId="651CD76C" w14:textId="77777777" w:rsidR="0030324C" w:rsidRPr="00181EF3" w:rsidRDefault="0030324C" w:rsidP="0030324C">
      <w:pPr>
        <w:pStyle w:val="Heading3"/>
      </w:pPr>
      <w:bookmarkStart w:id="71" w:name="_Toc19102308"/>
      <w:r w:rsidRPr="00181EF3">
        <w:lastRenderedPageBreak/>
        <w:t>Alcohol use</w:t>
      </w:r>
      <w:bookmarkEnd w:id="71"/>
    </w:p>
    <w:p w14:paraId="1E8124C0" w14:textId="013D5E20" w:rsidR="0030324C" w:rsidRPr="00181EF3" w:rsidRDefault="0030324C" w:rsidP="0030324C">
      <w:pPr>
        <w:pStyle w:val="Figure"/>
      </w:pPr>
      <w:bookmarkStart w:id="72" w:name="_Toc19101860"/>
      <w:r w:rsidRPr="00181EF3">
        <w:t xml:space="preserve">Figure </w:t>
      </w:r>
      <w:r w:rsidR="00DE115E">
        <w:t>9</w:t>
      </w:r>
      <w:r w:rsidRPr="00181EF3">
        <w:t>: Drank alcohol four or more times a week in the past 12 months (among past year drinkers)</w:t>
      </w:r>
      <w:r w:rsidR="00C43859">
        <w:t>,</w:t>
      </w:r>
      <w:r w:rsidR="00C43859" w:rsidRPr="00C43859">
        <w:t xml:space="preserve"> </w:t>
      </w:r>
      <w:r w:rsidR="006D23F5">
        <w:t xml:space="preserve">15+ years, </w:t>
      </w:r>
      <w:r w:rsidR="00C43859" w:rsidRPr="00181EF3">
        <w:t xml:space="preserve">by </w:t>
      </w:r>
      <w:r w:rsidR="00C43859">
        <w:t>gender</w:t>
      </w:r>
      <w:r w:rsidR="00C43859" w:rsidRPr="00181EF3">
        <w:t xml:space="preserve">, </w:t>
      </w:r>
      <w:r w:rsidR="00C43859">
        <w:t xml:space="preserve">Māori and </w:t>
      </w:r>
      <w:r w:rsidR="00EC03A3">
        <w:t>non</w:t>
      </w:r>
      <w:r w:rsidR="00EC03A3">
        <w:noBreakHyphen/>
        <w:t>M</w:t>
      </w:r>
      <w:r w:rsidR="00C43859">
        <w:t>āori</w:t>
      </w:r>
      <w:r w:rsidR="00C43859" w:rsidRPr="00181EF3">
        <w:t>,</w:t>
      </w:r>
      <w:r w:rsidRPr="00181EF3">
        <w:t xml:space="preserve"> 2006/07–2016/17</w:t>
      </w:r>
      <w:bookmarkEnd w:id="72"/>
    </w:p>
    <w:p w14:paraId="5B6B9D69" w14:textId="77777777" w:rsidR="0030324C" w:rsidRPr="00181EF3" w:rsidRDefault="0030324C" w:rsidP="0030324C">
      <w:r w:rsidRPr="00181EF3">
        <w:rPr>
          <w:noProof/>
          <w:lang w:eastAsia="en-NZ"/>
        </w:rPr>
        <w:drawing>
          <wp:inline distT="0" distB="0" distL="0" distR="0" wp14:anchorId="4D7E7B32" wp14:editId="0AFC9ED0">
            <wp:extent cx="5130165" cy="2613315"/>
            <wp:effectExtent l="0" t="0" r="0" b="0"/>
            <wp:docPr id="280" name="Picture 280" descr="The graphs show that non-Māori men and women are more likely to drink four or more times per week than Māori men and women. Fewer women drink at that rate than men, for both Māori and non-Māori" title="Figure 9: Drank alcohol four or more times a week in the past 12 months (among past year drinkers) – adults, age-standardised percentages (%), by sex, 2006/07–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130165" cy="2613315"/>
                    </a:xfrm>
                    <a:prstGeom prst="rect">
                      <a:avLst/>
                    </a:prstGeom>
                  </pic:spPr>
                </pic:pic>
              </a:graphicData>
            </a:graphic>
          </wp:inline>
        </w:drawing>
      </w:r>
    </w:p>
    <w:p w14:paraId="4A829FCF" w14:textId="77777777" w:rsidR="00C43859" w:rsidRDefault="0030324C" w:rsidP="0030324C">
      <w:pPr>
        <w:pStyle w:val="Note"/>
      </w:pPr>
      <w:r w:rsidRPr="00181EF3">
        <w:t>Note</w:t>
      </w:r>
      <w:r w:rsidR="00C43859">
        <w:t>s</w:t>
      </w:r>
      <w:r w:rsidRPr="00181EF3">
        <w:t>:</w:t>
      </w:r>
    </w:p>
    <w:p w14:paraId="2152FA1D" w14:textId="670CDBB6" w:rsidR="008A5642" w:rsidRDefault="00446D86" w:rsidP="00C43859">
      <w:pPr>
        <w:pStyle w:val="Note"/>
      </w:pPr>
      <w:r>
        <w:t>Figures are age-standardised to the 2001 Census total Māori population</w:t>
      </w:r>
      <w:r w:rsidR="00C43859" w:rsidRPr="00181EF3">
        <w:t>.</w:t>
      </w:r>
    </w:p>
    <w:p w14:paraId="0CCDF989" w14:textId="0C93E8B4" w:rsidR="00C43859" w:rsidRPr="00181EF3" w:rsidRDefault="00C43859" w:rsidP="00C43859">
      <w:pPr>
        <w:pStyle w:val="Note"/>
      </w:pPr>
      <w:r>
        <w:t>Prioritised ethnicity has been used.</w:t>
      </w:r>
    </w:p>
    <w:p w14:paraId="54EAA8C0" w14:textId="77777777" w:rsidR="0030324C" w:rsidRPr="00181EF3" w:rsidRDefault="00C43859" w:rsidP="00886EED">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4958BF7E" w14:textId="03DC364E" w:rsidR="0030324C" w:rsidRPr="00181EF3" w:rsidRDefault="009116B8" w:rsidP="0030324C">
      <w:pPr>
        <w:pStyle w:val="Source"/>
      </w:pPr>
      <w:r w:rsidRPr="00181EF3">
        <w:t>Source: New Zealand Health Survey (NZHS)</w:t>
      </w:r>
      <w:r>
        <w:t xml:space="preserve">, </w:t>
      </w:r>
      <w:r w:rsidRPr="00181EF3">
        <w:t xml:space="preserve">Ministry of Health, </w:t>
      </w:r>
      <w:r>
        <w:t>2006/07–2016/17</w:t>
      </w:r>
      <w:r w:rsidRPr="00181EF3">
        <w:t>.</w:t>
      </w:r>
    </w:p>
    <w:p w14:paraId="6CB71445" w14:textId="77777777" w:rsidR="0030324C" w:rsidRDefault="0030324C" w:rsidP="0030324C"/>
    <w:p w14:paraId="4691908E" w14:textId="4AE2D70B" w:rsidR="006A632C" w:rsidRPr="00181EF3" w:rsidRDefault="006A632C" w:rsidP="00EF58A1">
      <w:r w:rsidRPr="00181EF3">
        <w:t xml:space="preserve">Māori and </w:t>
      </w:r>
      <w:r w:rsidR="00EC03A3">
        <w:t>non</w:t>
      </w:r>
      <w:r w:rsidR="00EC03A3">
        <w:noBreakHyphen/>
        <w:t>M</w:t>
      </w:r>
      <w:r w:rsidRPr="00181EF3">
        <w:t xml:space="preserve">āori adults aged 15 and over were equally likely to have consumed alcohol in the past year and this was consistent over time. The prevalence of consuming alcohol is slightly declining over time for both Māori and </w:t>
      </w:r>
      <w:r w:rsidR="00EC03A3">
        <w:t>non</w:t>
      </w:r>
      <w:r w:rsidR="00EC03A3">
        <w:noBreakHyphen/>
        <w:t>M</w:t>
      </w:r>
      <w:r w:rsidRPr="00181EF3">
        <w:t>āori.</w:t>
      </w:r>
    </w:p>
    <w:p w14:paraId="59636A3B" w14:textId="77777777" w:rsidR="006A632C" w:rsidRPr="00181EF3" w:rsidRDefault="006A632C" w:rsidP="00EF58A1"/>
    <w:p w14:paraId="55EF40AF" w14:textId="44F86BB7" w:rsidR="006A632C" w:rsidRDefault="006A632C" w:rsidP="00EF58A1">
      <w:r w:rsidRPr="00181EF3">
        <w:t xml:space="preserve">Among those who consumed alcohol in the past year (at the time of survey), Māori were less likely to drink four or more times a week than </w:t>
      </w:r>
      <w:r w:rsidR="00EC03A3">
        <w:t>non</w:t>
      </w:r>
      <w:r w:rsidR="00EC03A3">
        <w:noBreakHyphen/>
        <w:t>M</w:t>
      </w:r>
      <w:r w:rsidRPr="00181EF3">
        <w:t xml:space="preserve">āori (Figure </w:t>
      </w:r>
      <w:r>
        <w:t>9</w:t>
      </w:r>
      <w:r w:rsidRPr="00181EF3">
        <w:t>). Males were more likely to drink four or more times a week than females.</w:t>
      </w:r>
    </w:p>
    <w:p w14:paraId="05EAEBB7" w14:textId="77777777" w:rsidR="00EF58A1" w:rsidRPr="00181EF3" w:rsidRDefault="00EF58A1" w:rsidP="00EF58A1"/>
    <w:p w14:paraId="56915EF3" w14:textId="77777777" w:rsidR="0030324C" w:rsidRPr="00181EF3" w:rsidRDefault="0030324C" w:rsidP="0030324C">
      <w:pPr>
        <w:pStyle w:val="Heading3"/>
      </w:pPr>
      <w:bookmarkStart w:id="73" w:name="_Toc19102309"/>
      <w:r w:rsidRPr="00181EF3">
        <w:lastRenderedPageBreak/>
        <w:t>Hazardous drinking</w:t>
      </w:r>
      <w:bookmarkEnd w:id="73"/>
    </w:p>
    <w:p w14:paraId="21F48744" w14:textId="55C7D0DB" w:rsidR="0030324C" w:rsidRPr="00181EF3" w:rsidRDefault="0030324C" w:rsidP="0030324C">
      <w:pPr>
        <w:pStyle w:val="Figure"/>
      </w:pPr>
      <w:bookmarkStart w:id="74" w:name="_Toc19101861"/>
      <w:r w:rsidRPr="00181EF3">
        <w:t xml:space="preserve">Figure </w:t>
      </w:r>
      <w:r w:rsidR="00C43859">
        <w:t>10</w:t>
      </w:r>
      <w:r w:rsidRPr="00181EF3">
        <w:t>: Hazardous drinkers (among past year drinkers)</w:t>
      </w:r>
      <w:r w:rsidR="00C43859">
        <w:t>,</w:t>
      </w:r>
      <w:r w:rsidR="00C43859" w:rsidRPr="00C43859">
        <w:t xml:space="preserve"> </w:t>
      </w:r>
      <w:r w:rsidR="006D23F5">
        <w:t xml:space="preserve">15+ years, </w:t>
      </w:r>
      <w:r w:rsidR="00C43859" w:rsidRPr="00181EF3">
        <w:t xml:space="preserve">by </w:t>
      </w:r>
      <w:r w:rsidR="00C43859">
        <w:t>gender</w:t>
      </w:r>
      <w:r w:rsidR="00C43859" w:rsidRPr="00181EF3">
        <w:t xml:space="preserve">, </w:t>
      </w:r>
      <w:r w:rsidR="00C43859">
        <w:t xml:space="preserve">Māori and </w:t>
      </w:r>
      <w:r w:rsidR="00EC03A3">
        <w:t>non</w:t>
      </w:r>
      <w:r w:rsidR="00EC03A3">
        <w:noBreakHyphen/>
        <w:t>M</w:t>
      </w:r>
      <w:r w:rsidR="00C43859">
        <w:t>āori</w:t>
      </w:r>
      <w:r w:rsidRPr="00181EF3">
        <w:t>, 2006/07–2016/17</w:t>
      </w:r>
      <w:bookmarkEnd w:id="74"/>
    </w:p>
    <w:p w14:paraId="3CF60043" w14:textId="77777777" w:rsidR="0030324C" w:rsidRPr="00181EF3" w:rsidRDefault="0030324C" w:rsidP="0030324C">
      <w:r w:rsidRPr="00181EF3">
        <w:rPr>
          <w:noProof/>
          <w:lang w:eastAsia="en-NZ"/>
        </w:rPr>
        <w:drawing>
          <wp:inline distT="0" distB="0" distL="0" distR="0" wp14:anchorId="759897C8" wp14:editId="1C5D58F6">
            <wp:extent cx="5130165" cy="2613315"/>
            <wp:effectExtent l="0" t="0" r="0" b="0"/>
            <wp:docPr id="281" name="Picture 281" descr="This graph shows that between 40 and 50 percent of Māori men who drank met the conditions for hazardous drinking. The proportion among Māori women was lower, but increasing over time. Non-Māori men were less likely than Māori men to have hazardous drinking patterns, between 30 and 40 percent of drinkers. Non-Māori were least likely to have hazardous drinking patterns." title="Figure 10: Hazardous drinkers (among past year drinkers), 15+ years, by gender, Māori and non-Māori, 2006/07-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130165" cy="2613315"/>
                    </a:xfrm>
                    <a:prstGeom prst="rect">
                      <a:avLst/>
                    </a:prstGeom>
                  </pic:spPr>
                </pic:pic>
              </a:graphicData>
            </a:graphic>
          </wp:inline>
        </w:drawing>
      </w:r>
    </w:p>
    <w:p w14:paraId="4474EBE6" w14:textId="77777777" w:rsidR="00C43859" w:rsidRDefault="00C43859" w:rsidP="00C43859">
      <w:pPr>
        <w:pStyle w:val="Note"/>
      </w:pPr>
      <w:r w:rsidRPr="00181EF3">
        <w:t>Note</w:t>
      </w:r>
      <w:r>
        <w:t>s</w:t>
      </w:r>
      <w:r w:rsidRPr="00181EF3">
        <w:t>:</w:t>
      </w:r>
    </w:p>
    <w:p w14:paraId="6DA1A986" w14:textId="3CC634E7" w:rsidR="008A5642" w:rsidRDefault="00446D86" w:rsidP="00C43859">
      <w:pPr>
        <w:pStyle w:val="Note"/>
      </w:pPr>
      <w:r>
        <w:t>Figures are age-standardised to the 2001 Census total Māori population</w:t>
      </w:r>
      <w:r w:rsidR="00C43859" w:rsidRPr="00181EF3">
        <w:t>.</w:t>
      </w:r>
    </w:p>
    <w:p w14:paraId="64B845BA" w14:textId="0751F145" w:rsidR="00C43859" w:rsidRPr="00181EF3" w:rsidRDefault="00C43859" w:rsidP="00886EED">
      <w:pPr>
        <w:pStyle w:val="Note"/>
      </w:pPr>
      <w:r>
        <w:t>Prioritised ethnicity has been used.</w:t>
      </w:r>
    </w:p>
    <w:p w14:paraId="604E6DC5" w14:textId="77777777" w:rsidR="008A5642" w:rsidRDefault="00C43859" w:rsidP="00886EED">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2307C143" w14:textId="6DF16221" w:rsidR="00C43859" w:rsidRPr="00C43859" w:rsidRDefault="00C43859" w:rsidP="00886EED">
      <w:pPr>
        <w:pStyle w:val="Note"/>
        <w:ind w:left="0" w:firstLine="0"/>
      </w:pPr>
      <w:r w:rsidRPr="007548ED">
        <w:t>Hazardous drinking is measured using the 10-question Alcohol Use Disorders Identification Test (AUDIT) developed by the World Health</w:t>
      </w:r>
      <w:r>
        <w:t xml:space="preserve"> Organization</w:t>
      </w:r>
      <w:r w:rsidRPr="007548ED">
        <w:t>. The AUDIT is a 10-item questionnaire that covers three aspects of alcohol use: alcohol consumption, dependence and adverse consequences. An AUDIT score is the total of the scores obtained for each of the 10 items</w:t>
      </w:r>
      <w:r>
        <w:t xml:space="preserve"> (Babor et al 2001).</w:t>
      </w:r>
    </w:p>
    <w:p w14:paraId="7B8DE6F3" w14:textId="758FF07A" w:rsidR="0030324C" w:rsidRPr="00181EF3" w:rsidRDefault="009116B8" w:rsidP="00886EED">
      <w:pPr>
        <w:pStyle w:val="Note"/>
      </w:pPr>
      <w:r w:rsidRPr="00181EF3">
        <w:t>Source: New Zealand Health Survey (NZHS)</w:t>
      </w:r>
      <w:r>
        <w:t xml:space="preserve">, </w:t>
      </w:r>
      <w:r w:rsidRPr="00181EF3">
        <w:t xml:space="preserve">Ministry of Health, </w:t>
      </w:r>
      <w:r>
        <w:t>2006/07–2016/17</w:t>
      </w:r>
      <w:r w:rsidRPr="00181EF3">
        <w:t>.</w:t>
      </w:r>
    </w:p>
    <w:p w14:paraId="0DE200A6" w14:textId="77777777" w:rsidR="0030324C" w:rsidRDefault="0030324C" w:rsidP="0030324C"/>
    <w:p w14:paraId="323FAA43" w14:textId="54365F4F" w:rsidR="00A14D8B" w:rsidRPr="00181EF3" w:rsidRDefault="00A14D8B" w:rsidP="00EF58A1">
      <w:r w:rsidRPr="00181EF3">
        <w:t xml:space="preserve">Hazardous drinkers (past-year drinkers as measured at time of survey) are adults who obtained an AUDIT score of 8 or more, among the respondents who had a drink containing alcohol in the last year – representing an established pattern of drinking that carries a high risk of future damage to physical or mental health. Māori were more likely to drink at a hazardous drinking level than </w:t>
      </w:r>
      <w:r w:rsidR="00EC03A3">
        <w:t>non</w:t>
      </w:r>
      <w:r w:rsidR="00EC03A3">
        <w:noBreakHyphen/>
        <w:t>M</w:t>
      </w:r>
      <w:r w:rsidRPr="00181EF3">
        <w:t>āori and this was consistent over time. Among hazardous drinkers, Māori males were more likely to drink large amounts of alcohol at least weekly than Māori females.</w:t>
      </w:r>
    </w:p>
    <w:p w14:paraId="4F738A88" w14:textId="77777777" w:rsidR="00A14D8B" w:rsidRDefault="00A14D8B" w:rsidP="00A14D8B"/>
    <w:p w14:paraId="1E96541B" w14:textId="77777777" w:rsidR="00A14D8B" w:rsidRPr="00181EF3" w:rsidRDefault="00A14D8B" w:rsidP="00A14D8B">
      <w:r w:rsidRPr="00181EF3">
        <w:t xml:space="preserve">Figure </w:t>
      </w:r>
      <w:r>
        <w:t>10</w:t>
      </w:r>
      <w:r w:rsidRPr="00181EF3">
        <w:t xml:space="preserve"> shows that from 2006/07 to 2015/16 there has been a slight decrease in hazardous drinking for Māori males whereas there has been an increasing trend in hazardous drinking for Māori females. In 2006/07, 30 percent of Māori females were classified as hazardous drinkers increasing to 37</w:t>
      </w:r>
      <w:r>
        <w:t xml:space="preserve"> percent in 2015/16</w:t>
      </w:r>
      <w:r w:rsidRPr="00181EF3">
        <w:t>.</w:t>
      </w:r>
    </w:p>
    <w:p w14:paraId="08255B57" w14:textId="77777777" w:rsidR="00A14D8B" w:rsidRPr="00181EF3" w:rsidRDefault="00A14D8B" w:rsidP="00A14D8B"/>
    <w:p w14:paraId="1C2DCFAE" w14:textId="3BD3158E" w:rsidR="00A14D8B" w:rsidRPr="00181EF3" w:rsidRDefault="00A14D8B" w:rsidP="00A14D8B">
      <w:r w:rsidRPr="00181EF3">
        <w:t xml:space="preserve">The disparity was greater between Māori and </w:t>
      </w:r>
      <w:r w:rsidR="00EC03A3">
        <w:t>non</w:t>
      </w:r>
      <w:r w:rsidR="00EC03A3">
        <w:noBreakHyphen/>
        <w:t>M</w:t>
      </w:r>
      <w:r w:rsidRPr="00181EF3">
        <w:t xml:space="preserve">āori females. From 2006/07 to 2015/16, Māori females were around 2–2½ times </w:t>
      </w:r>
      <w:r>
        <w:t>as</w:t>
      </w:r>
      <w:r w:rsidRPr="00181EF3">
        <w:t xml:space="preserve"> likely to be hazardous drinkers </w:t>
      </w:r>
      <w:r>
        <w:t>as</w:t>
      </w:r>
      <w:r w:rsidRPr="00181EF3">
        <w:t xml:space="preserve"> </w:t>
      </w:r>
      <w:r w:rsidR="00EC03A3">
        <w:t>non</w:t>
      </w:r>
      <w:r w:rsidR="00EC03A3">
        <w:noBreakHyphen/>
        <w:t>M</w:t>
      </w:r>
      <w:r w:rsidRPr="00181EF3">
        <w:t xml:space="preserve">āori. The disparity for Māori males and </w:t>
      </w:r>
      <w:r w:rsidR="00EC03A3">
        <w:t>non</w:t>
      </w:r>
      <w:r w:rsidR="00EC03A3">
        <w:noBreakHyphen/>
        <w:t>M</w:t>
      </w:r>
      <w:r w:rsidRPr="00181EF3">
        <w:t>āori males appears to be narrowing slightly over time.</w:t>
      </w:r>
    </w:p>
    <w:p w14:paraId="1F54251E" w14:textId="77777777" w:rsidR="00A14D8B" w:rsidRPr="00181EF3" w:rsidRDefault="00A14D8B" w:rsidP="0030324C"/>
    <w:p w14:paraId="7A20A9BD" w14:textId="77777777" w:rsidR="0030324C" w:rsidRPr="00181EF3" w:rsidRDefault="0030324C" w:rsidP="00C43859">
      <w:pPr>
        <w:pStyle w:val="Heading3"/>
      </w:pPr>
      <w:bookmarkStart w:id="75" w:name="_Toc19102310"/>
      <w:r w:rsidRPr="00181EF3">
        <w:lastRenderedPageBreak/>
        <w:t>Drug use</w:t>
      </w:r>
      <w:r w:rsidR="00C43859">
        <w:t xml:space="preserve"> </w:t>
      </w:r>
      <w:r w:rsidRPr="00181EF3">
        <w:t>(cannabis and amphetamine)</w:t>
      </w:r>
      <w:bookmarkEnd w:id="75"/>
    </w:p>
    <w:p w14:paraId="521CC08E" w14:textId="7F8659B5" w:rsidR="0030324C" w:rsidRPr="00181EF3" w:rsidRDefault="0030324C" w:rsidP="0030324C">
      <w:pPr>
        <w:pStyle w:val="Figure"/>
      </w:pPr>
      <w:bookmarkStart w:id="76" w:name="_Toc19101862"/>
      <w:r w:rsidRPr="00181EF3">
        <w:t xml:space="preserve">Figure </w:t>
      </w:r>
      <w:r w:rsidR="00C43859">
        <w:t>11</w:t>
      </w:r>
      <w:r w:rsidRPr="00181EF3">
        <w:t>: Using cannabis in the past 12 months</w:t>
      </w:r>
      <w:r w:rsidR="00C43859">
        <w:t>,</w:t>
      </w:r>
      <w:r w:rsidR="00C43859" w:rsidRPr="00C43859">
        <w:t xml:space="preserve"> </w:t>
      </w:r>
      <w:r w:rsidR="006D23F5">
        <w:t xml:space="preserve">15+ years, </w:t>
      </w:r>
      <w:r w:rsidR="00C43859" w:rsidRPr="00181EF3">
        <w:t xml:space="preserve">by </w:t>
      </w:r>
      <w:r w:rsidR="00C43859">
        <w:t>gender</w:t>
      </w:r>
      <w:r w:rsidR="00C43859" w:rsidRPr="00181EF3">
        <w:t xml:space="preserve">, </w:t>
      </w:r>
      <w:r w:rsidR="00C43859">
        <w:t xml:space="preserve">Māori and </w:t>
      </w:r>
      <w:r w:rsidR="00EC03A3">
        <w:t>non</w:t>
      </w:r>
      <w:r w:rsidR="00EC03A3">
        <w:noBreakHyphen/>
        <w:t>M</w:t>
      </w:r>
      <w:r w:rsidR="00C43859">
        <w:t xml:space="preserve">āori, </w:t>
      </w:r>
      <w:r w:rsidRPr="00181EF3">
        <w:t>2006/07–2016/17</w:t>
      </w:r>
      <w:bookmarkEnd w:id="76"/>
    </w:p>
    <w:p w14:paraId="3413DC08" w14:textId="77777777" w:rsidR="0030324C" w:rsidRPr="00181EF3" w:rsidRDefault="0030324C" w:rsidP="0030324C">
      <w:r w:rsidRPr="00181EF3">
        <w:rPr>
          <w:noProof/>
          <w:lang w:eastAsia="en-NZ"/>
        </w:rPr>
        <w:drawing>
          <wp:inline distT="0" distB="0" distL="0" distR="0" wp14:anchorId="7DD56842" wp14:editId="2604915E">
            <wp:extent cx="5130165" cy="2613315"/>
            <wp:effectExtent l="0" t="0" r="0" b="0"/>
            <wp:docPr id="282" name="Picture 282" descr="The graph shows cannabis use has increased over time for all groups. Non-Māori women were least likely to use it, while Māori men were most likely." title="Figure 11: Using cannabis in the past 12 months – adults, age-standardised percentages (%), by sex, 2006/07–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130165" cy="2613315"/>
                    </a:xfrm>
                    <a:prstGeom prst="rect">
                      <a:avLst/>
                    </a:prstGeom>
                  </pic:spPr>
                </pic:pic>
              </a:graphicData>
            </a:graphic>
          </wp:inline>
        </w:drawing>
      </w:r>
    </w:p>
    <w:p w14:paraId="78ECED94" w14:textId="77777777" w:rsidR="00C43859" w:rsidRDefault="00C43859" w:rsidP="00C43859">
      <w:pPr>
        <w:pStyle w:val="Note"/>
      </w:pPr>
      <w:r w:rsidRPr="00181EF3">
        <w:t>Note</w:t>
      </w:r>
      <w:r>
        <w:t>s</w:t>
      </w:r>
      <w:r w:rsidRPr="00181EF3">
        <w:t>:</w:t>
      </w:r>
    </w:p>
    <w:p w14:paraId="1AE6BC9C" w14:textId="60C41FBF" w:rsidR="008A5642" w:rsidRDefault="00446D86" w:rsidP="00C43859">
      <w:pPr>
        <w:pStyle w:val="Note"/>
      </w:pPr>
      <w:r>
        <w:t>Figures are age-standardised to the 2001 Census total Māori population</w:t>
      </w:r>
      <w:r w:rsidR="00C43859" w:rsidRPr="00181EF3">
        <w:t>.</w:t>
      </w:r>
    </w:p>
    <w:p w14:paraId="5E0E3C34" w14:textId="3BD5FA0E" w:rsidR="00C43859" w:rsidRPr="00181EF3" w:rsidRDefault="00C43859" w:rsidP="00C43859">
      <w:pPr>
        <w:pStyle w:val="Note"/>
      </w:pPr>
      <w:r>
        <w:t>Prioritised ethnicity has been used.</w:t>
      </w:r>
    </w:p>
    <w:p w14:paraId="11B33A18" w14:textId="77777777" w:rsidR="008A5642" w:rsidRDefault="00C43859" w:rsidP="00886EED">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23E94B8B" w14:textId="20DE7820" w:rsidR="0030324C" w:rsidRPr="00181EF3" w:rsidRDefault="009116B8" w:rsidP="00886EED">
      <w:pPr>
        <w:pStyle w:val="Note"/>
      </w:pPr>
      <w:r w:rsidRPr="00181EF3">
        <w:t>Source: New Zealand Health Survey (NZHS)</w:t>
      </w:r>
      <w:r>
        <w:t xml:space="preserve">, </w:t>
      </w:r>
      <w:r w:rsidRPr="00181EF3">
        <w:t xml:space="preserve">Ministry of Health, </w:t>
      </w:r>
      <w:r>
        <w:t>2006/07–2016/17</w:t>
      </w:r>
      <w:r w:rsidRPr="00181EF3">
        <w:t>.</w:t>
      </w:r>
    </w:p>
    <w:p w14:paraId="4803E0F9" w14:textId="77777777" w:rsidR="00A14D8B" w:rsidRDefault="00A14D8B" w:rsidP="00A14D8B"/>
    <w:p w14:paraId="5C590D3A" w14:textId="637318E1" w:rsidR="008A5642" w:rsidRDefault="00A14D8B" w:rsidP="00A14D8B">
      <w:r w:rsidRPr="00181EF3">
        <w:t xml:space="preserve">Figure </w:t>
      </w:r>
      <w:r>
        <w:t>11</w:t>
      </w:r>
      <w:r w:rsidRPr="00181EF3">
        <w:t xml:space="preserve"> shows that cannabis use increased slightly over time from 2011/12 to 2016/17. Māori males had the highest level of cannabis use over time from 2011/12 to 2016/17. Māori were nearly twice as likely as </w:t>
      </w:r>
      <w:r w:rsidR="00EC03A3">
        <w:t>non</w:t>
      </w:r>
      <w:r w:rsidR="00EC03A3">
        <w:noBreakHyphen/>
        <w:t>M</w:t>
      </w:r>
      <w:r w:rsidRPr="00181EF3">
        <w:t xml:space="preserve">āori to use cannabis. In 2016/17, Māori males were nearly twice as likely as </w:t>
      </w:r>
      <w:r w:rsidR="00EC03A3">
        <w:t>non</w:t>
      </w:r>
      <w:r w:rsidR="00EC03A3">
        <w:noBreakHyphen/>
        <w:t>M</w:t>
      </w:r>
      <w:r w:rsidRPr="00181EF3">
        <w:t xml:space="preserve">āori </w:t>
      </w:r>
      <w:r>
        <w:t xml:space="preserve">males </w:t>
      </w:r>
      <w:r w:rsidRPr="00181EF3">
        <w:t xml:space="preserve">to use cannabis whilst Māori females were three times as likely as </w:t>
      </w:r>
      <w:r w:rsidR="00EC03A3">
        <w:t>non</w:t>
      </w:r>
      <w:r w:rsidR="00EC03A3">
        <w:noBreakHyphen/>
        <w:t>M</w:t>
      </w:r>
      <w:r w:rsidRPr="00181EF3">
        <w:t>āori females.</w:t>
      </w:r>
    </w:p>
    <w:p w14:paraId="74EA236F" w14:textId="23C875B9" w:rsidR="00A14D8B" w:rsidRDefault="00A14D8B" w:rsidP="00A14D8B"/>
    <w:p w14:paraId="555E5CD3" w14:textId="30FC70F1" w:rsidR="00A14D8B" w:rsidRDefault="00A14D8B" w:rsidP="00A14D8B">
      <w:r w:rsidRPr="00C43859">
        <w:t xml:space="preserve">The prevalence of amphetamine use was low for both Māori and </w:t>
      </w:r>
      <w:r w:rsidR="00EC03A3">
        <w:t>non</w:t>
      </w:r>
      <w:r w:rsidR="00EC03A3">
        <w:noBreakHyphen/>
        <w:t>M</w:t>
      </w:r>
      <w:r w:rsidRPr="00C43859">
        <w:t xml:space="preserve">āori with Māori reporting higher rates of use than </w:t>
      </w:r>
      <w:r w:rsidR="00EC03A3">
        <w:t>non</w:t>
      </w:r>
      <w:r w:rsidR="00EC03A3">
        <w:noBreakHyphen/>
        <w:t>M</w:t>
      </w:r>
      <w:r w:rsidRPr="00C43859">
        <w:t xml:space="preserve">āori. In 2016/17, 2 percent of Māori reported using amphetamine compared </w:t>
      </w:r>
      <w:r w:rsidR="00FF1892">
        <w:t>with</w:t>
      </w:r>
      <w:r w:rsidR="00FF1892" w:rsidRPr="00C43859">
        <w:t xml:space="preserve"> </w:t>
      </w:r>
      <w:r w:rsidRPr="00C43859">
        <w:t xml:space="preserve">1 percent of </w:t>
      </w:r>
      <w:r w:rsidR="00EC03A3">
        <w:t>non</w:t>
      </w:r>
      <w:r w:rsidR="00EC03A3">
        <w:noBreakHyphen/>
        <w:t>M</w:t>
      </w:r>
      <w:r w:rsidRPr="00C43859">
        <w:t>āori. Results should be treated with caution however due to the low numbers reporting amphetamine use.</w:t>
      </w:r>
    </w:p>
    <w:p w14:paraId="201BDC1A" w14:textId="77777777" w:rsidR="00A36841" w:rsidRDefault="00A36841" w:rsidP="00A14D8B"/>
    <w:p w14:paraId="53B31E45" w14:textId="77777777" w:rsidR="004E385E" w:rsidRDefault="004E385E">
      <w:pPr>
        <w:rPr>
          <w:b/>
          <w:color w:val="0A6AB4"/>
          <w:spacing w:val="-5"/>
          <w:sz w:val="48"/>
        </w:rPr>
      </w:pPr>
      <w:bookmarkStart w:id="77" w:name="_Toc19102311"/>
      <w:r>
        <w:br w:type="page"/>
      </w:r>
    </w:p>
    <w:p w14:paraId="792840F3" w14:textId="7C6F44E6" w:rsidR="00060BED" w:rsidRPr="00181EF3" w:rsidRDefault="00060BED" w:rsidP="00060BED">
      <w:pPr>
        <w:pStyle w:val="Heading2"/>
        <w:rPr>
          <w:noProof/>
          <w:lang w:eastAsia="en-NZ"/>
        </w:rPr>
      </w:pPr>
      <w:r w:rsidRPr="00181EF3">
        <w:lastRenderedPageBreak/>
        <w:t>Nutrition</w:t>
      </w:r>
      <w:r>
        <w:t xml:space="preserve"> </w:t>
      </w:r>
      <w:r w:rsidRPr="00181EF3">
        <w:t>(vegetable and fruit servings)</w:t>
      </w:r>
      <w:bookmarkEnd w:id="77"/>
    </w:p>
    <w:p w14:paraId="1850ABD5" w14:textId="23C44C67" w:rsidR="00060BED" w:rsidRDefault="00060BED" w:rsidP="00EF58A1">
      <w:pPr>
        <w:keepNext/>
      </w:pPr>
      <w:r w:rsidRPr="00181EF3">
        <w:rPr>
          <w:noProof/>
          <w:lang w:eastAsia="en-NZ"/>
        </w:rPr>
        <w:t xml:space="preserve">This </w:t>
      </w:r>
      <w:r>
        <w:rPr>
          <w:noProof/>
          <w:lang w:eastAsia="en-NZ"/>
        </w:rPr>
        <w:t>section</w:t>
      </w:r>
      <w:r w:rsidRPr="00181EF3">
        <w:rPr>
          <w:noProof/>
          <w:lang w:eastAsia="en-NZ"/>
        </w:rPr>
        <w:t xml:space="preserve"> presents results from the New Zealand Health Survey (NZHS) for </w:t>
      </w:r>
      <w:r>
        <w:rPr>
          <w:noProof/>
          <w:lang w:eastAsia="en-NZ"/>
        </w:rPr>
        <w:t xml:space="preserve">Māori and </w:t>
      </w:r>
      <w:r w:rsidR="00EC03A3">
        <w:rPr>
          <w:noProof/>
          <w:lang w:eastAsia="en-NZ"/>
        </w:rPr>
        <w:t>non</w:t>
      </w:r>
      <w:r w:rsidR="00EC03A3">
        <w:rPr>
          <w:noProof/>
          <w:lang w:eastAsia="en-NZ"/>
        </w:rPr>
        <w:noBreakHyphen/>
        <w:t>M</w:t>
      </w:r>
      <w:r>
        <w:rPr>
          <w:noProof/>
          <w:lang w:eastAsia="en-NZ"/>
        </w:rPr>
        <w:t>āori</w:t>
      </w:r>
      <w:r w:rsidRPr="00181EF3">
        <w:rPr>
          <w:noProof/>
          <w:lang w:eastAsia="en-NZ"/>
        </w:rPr>
        <w:t xml:space="preserve"> aged 15 and over for nutrition (vegetable and fruit servings).</w:t>
      </w:r>
      <w:r w:rsidR="00B202D2">
        <w:rPr>
          <w:noProof/>
          <w:lang w:eastAsia="en-NZ"/>
        </w:rPr>
        <w:t xml:space="preserve"> </w:t>
      </w:r>
      <w:r w:rsidR="00B202D2">
        <w:t>T</w:t>
      </w:r>
      <w:r w:rsidR="00B202D2" w:rsidRPr="00181EF3">
        <w:t xml:space="preserve">his </w:t>
      </w:r>
      <w:r w:rsidR="00B202D2">
        <w:t>is</w:t>
      </w:r>
      <w:r w:rsidR="00B202D2" w:rsidRPr="00181EF3">
        <w:t xml:space="preserve"> self-reported behaviour, which may be an underestimate but it is the best data we have. This is useful for exploring changes over time because the survey method hasn’t changed.</w:t>
      </w:r>
    </w:p>
    <w:p w14:paraId="4892CCFD" w14:textId="77777777" w:rsidR="00EF58A1" w:rsidRPr="00181EF3" w:rsidRDefault="00EF58A1" w:rsidP="00EF58A1">
      <w:pPr>
        <w:keepNext/>
      </w:pPr>
    </w:p>
    <w:p w14:paraId="69DCC01A" w14:textId="77777777" w:rsidR="00060BED" w:rsidRPr="00181EF3" w:rsidRDefault="00060BED" w:rsidP="001757F3">
      <w:pPr>
        <w:pStyle w:val="Heading3"/>
      </w:pPr>
      <w:bookmarkStart w:id="78" w:name="_Toc19102312"/>
      <w:r w:rsidRPr="00181EF3">
        <w:t>What is the data telling us?</w:t>
      </w:r>
      <w:bookmarkEnd w:id="78"/>
    </w:p>
    <w:p w14:paraId="54C2885A" w14:textId="77777777" w:rsidR="00060BED" w:rsidRPr="00181EF3" w:rsidRDefault="00060BED" w:rsidP="00060BED">
      <w:pPr>
        <w:pStyle w:val="Shadedboxtext"/>
      </w:pPr>
      <w:r w:rsidRPr="00181EF3">
        <w:t>Overall the data shows that:</w:t>
      </w:r>
    </w:p>
    <w:p w14:paraId="45F5B58B" w14:textId="5744A223" w:rsidR="00060BED" w:rsidRPr="00181EF3" w:rsidRDefault="00060BED" w:rsidP="00060BED">
      <w:pPr>
        <w:pStyle w:val="Shadedboxbullet"/>
      </w:pPr>
      <w:r w:rsidRPr="00181EF3">
        <w:t xml:space="preserve">Well over half of both Māori and </w:t>
      </w:r>
      <w:r w:rsidR="00EC03A3">
        <w:t>non</w:t>
      </w:r>
      <w:r w:rsidR="00EC03A3">
        <w:noBreakHyphen/>
        <w:t>M</w:t>
      </w:r>
      <w:r w:rsidRPr="00181EF3">
        <w:t>āori adults aged 15 and over did not meet the recommended intake for vegetables and fruit and that this has not changed much over time from 2006/07 to 2016/17.</w:t>
      </w:r>
    </w:p>
    <w:p w14:paraId="197E823F" w14:textId="3112289E" w:rsidR="008A5642" w:rsidRDefault="00060BED" w:rsidP="00B202D2">
      <w:pPr>
        <w:pStyle w:val="Shadedboxbullet"/>
      </w:pPr>
      <w:r w:rsidRPr="00181EF3">
        <w:t xml:space="preserve">Māori females were less likely to meet the recommended fruit and vegetable intakes than </w:t>
      </w:r>
      <w:r w:rsidR="00EC03A3">
        <w:t>non</w:t>
      </w:r>
      <w:r w:rsidR="00EC03A3">
        <w:noBreakHyphen/>
        <w:t>M</w:t>
      </w:r>
      <w:r w:rsidRPr="00181EF3">
        <w:t>āori females and this was consistent over time.</w:t>
      </w:r>
    </w:p>
    <w:p w14:paraId="670EE91B" w14:textId="77777777" w:rsidR="00446D86" w:rsidRDefault="00446D86" w:rsidP="00EF58A1"/>
    <w:p w14:paraId="3433F25B" w14:textId="730AB7FE" w:rsidR="009116B8" w:rsidRDefault="00060BED" w:rsidP="00EF58A1">
      <w:r w:rsidRPr="00181EF3">
        <w:t>The Ministry of Health recommends that New Zealanders eat at least three servings of vegetables and at least two servings of fruit per day</w:t>
      </w:r>
      <w:r w:rsidR="00446D86">
        <w:t xml:space="preserve"> (Ministry of Health 2015a)</w:t>
      </w:r>
      <w:r w:rsidRPr="00181EF3">
        <w:t xml:space="preserve">. Well over half of Māori and </w:t>
      </w:r>
      <w:r w:rsidR="00EC03A3">
        <w:t>non</w:t>
      </w:r>
      <w:r w:rsidR="00EC03A3">
        <w:noBreakHyphen/>
        <w:t>M</w:t>
      </w:r>
      <w:r w:rsidRPr="00181EF3">
        <w:t xml:space="preserve">āori did not meet this recommended intake for vegetables and fruit and there has been a decline in the proportion meeting the recommendation since 2006/07. From 2006/07 to 2016/17 there has been a decline of 12 percent of Māori adults meeting the fruit and vegetable guideline compared </w:t>
      </w:r>
      <w:r w:rsidR="00FF1892">
        <w:t>with</w:t>
      </w:r>
      <w:r w:rsidR="00FF1892" w:rsidRPr="00181EF3">
        <w:t xml:space="preserve"> </w:t>
      </w:r>
      <w:r w:rsidRPr="00181EF3">
        <w:t xml:space="preserve">9 percent of </w:t>
      </w:r>
      <w:r w:rsidR="00EC03A3">
        <w:t>non</w:t>
      </w:r>
      <w:r w:rsidR="00EC03A3">
        <w:noBreakHyphen/>
        <w:t>M</w:t>
      </w:r>
      <w:r w:rsidRPr="00181EF3">
        <w:t>āori adults.</w:t>
      </w:r>
    </w:p>
    <w:p w14:paraId="0562B74A" w14:textId="77777777" w:rsidR="00EF58A1" w:rsidRPr="00181EF3" w:rsidRDefault="00EF58A1" w:rsidP="00EF58A1"/>
    <w:p w14:paraId="2661315F" w14:textId="30770B37" w:rsidR="00060BED" w:rsidRPr="00181EF3" w:rsidRDefault="00060BED" w:rsidP="00060BED">
      <w:pPr>
        <w:pStyle w:val="Figure"/>
      </w:pPr>
      <w:bookmarkStart w:id="79" w:name="_Toc19101863"/>
      <w:r w:rsidRPr="00181EF3">
        <w:lastRenderedPageBreak/>
        <w:t>Figure 1</w:t>
      </w:r>
      <w:r w:rsidR="00B202D2">
        <w:t>2</w:t>
      </w:r>
      <w:r w:rsidRPr="00181EF3">
        <w:t>: Three or more servings of vegetables and two or more servings of fruit per day,</w:t>
      </w:r>
      <w:r w:rsidR="00B202D2" w:rsidRPr="00B202D2">
        <w:t xml:space="preserve"> </w:t>
      </w:r>
      <w:r w:rsidR="006D23F5">
        <w:t xml:space="preserve">15+ years, </w:t>
      </w:r>
      <w:r w:rsidR="00B202D2" w:rsidRPr="00181EF3">
        <w:t xml:space="preserve">by </w:t>
      </w:r>
      <w:r w:rsidR="00B202D2">
        <w:t>gender</w:t>
      </w:r>
      <w:r w:rsidR="00B202D2" w:rsidRPr="00181EF3">
        <w:t xml:space="preserve">, </w:t>
      </w:r>
      <w:r w:rsidR="00B202D2">
        <w:t xml:space="preserve">Māori and </w:t>
      </w:r>
      <w:r w:rsidR="00EC03A3">
        <w:t>non</w:t>
      </w:r>
      <w:r w:rsidR="00EC03A3">
        <w:noBreakHyphen/>
        <w:t>M</w:t>
      </w:r>
      <w:r w:rsidR="00B202D2">
        <w:t xml:space="preserve">āori, </w:t>
      </w:r>
      <w:r w:rsidRPr="00181EF3">
        <w:t>2006/07–2016/17</w:t>
      </w:r>
      <w:bookmarkEnd w:id="79"/>
    </w:p>
    <w:p w14:paraId="79AFBE1C" w14:textId="77777777" w:rsidR="00060BED" w:rsidRPr="00181EF3" w:rsidRDefault="00060BED" w:rsidP="00EF58A1">
      <w:pPr>
        <w:keepNext/>
        <w:autoSpaceDE w:val="0"/>
        <w:autoSpaceDN w:val="0"/>
        <w:adjustRightInd w:val="0"/>
        <w:rPr>
          <w:rFonts w:cs="Arial Mäori"/>
          <w:color w:val="000000"/>
          <w:sz w:val="20"/>
        </w:rPr>
      </w:pPr>
      <w:r w:rsidRPr="00181EF3">
        <w:rPr>
          <w:noProof/>
          <w:lang w:eastAsia="en-NZ"/>
        </w:rPr>
        <w:drawing>
          <wp:inline distT="0" distB="0" distL="0" distR="0" wp14:anchorId="488DC9BC" wp14:editId="4FF40F5B">
            <wp:extent cx="5130165" cy="2613315"/>
            <wp:effectExtent l="0" t="0" r="0" b="0"/>
            <wp:docPr id="283" name="Picture 283" descr="The graph shows non-Māori men are slightly more likely than Māori men to eat three servings of vegetables and two servings of fruit or more per day. Māori women were more likely than men of both groups to get their five a day, and non-Māori women were most likely." title="Figure 12: Three or more servings of vegetables and two or more servings of fruit per day – adults, age-standardised percentages (%), by sex, 2006/07–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130165" cy="2613315"/>
                    </a:xfrm>
                    <a:prstGeom prst="rect">
                      <a:avLst/>
                    </a:prstGeom>
                  </pic:spPr>
                </pic:pic>
              </a:graphicData>
            </a:graphic>
          </wp:inline>
        </w:drawing>
      </w:r>
    </w:p>
    <w:p w14:paraId="661D25A4" w14:textId="77777777" w:rsidR="00B202D2" w:rsidRDefault="00B202D2" w:rsidP="00EF58A1">
      <w:pPr>
        <w:pStyle w:val="Note"/>
        <w:keepNext/>
      </w:pPr>
      <w:r w:rsidRPr="00181EF3">
        <w:t>Note</w:t>
      </w:r>
      <w:r>
        <w:t>s</w:t>
      </w:r>
      <w:r w:rsidRPr="00181EF3">
        <w:t>:</w:t>
      </w:r>
    </w:p>
    <w:p w14:paraId="2871F1EB" w14:textId="0C0394CF" w:rsidR="008A5642" w:rsidRDefault="00446D86" w:rsidP="00B202D2">
      <w:pPr>
        <w:pStyle w:val="Note"/>
      </w:pPr>
      <w:r>
        <w:t>Figures are age-standardised to the 2001 Census total Māori population</w:t>
      </w:r>
      <w:r w:rsidR="00B202D2" w:rsidRPr="00181EF3">
        <w:t>.</w:t>
      </w:r>
    </w:p>
    <w:p w14:paraId="54442774" w14:textId="25577D62" w:rsidR="00B202D2" w:rsidRPr="00181EF3" w:rsidRDefault="00B202D2" w:rsidP="00B202D2">
      <w:pPr>
        <w:pStyle w:val="Note"/>
      </w:pPr>
      <w:r>
        <w:t>Prioritised ethnicity has been used.</w:t>
      </w:r>
    </w:p>
    <w:p w14:paraId="4AAB6F5D" w14:textId="77777777" w:rsidR="008A5642" w:rsidRDefault="00B202D2" w:rsidP="00886EED">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0617F308" w14:textId="365A8BA1" w:rsidR="00060BED" w:rsidRPr="00181EF3" w:rsidRDefault="009116B8" w:rsidP="00886EED">
      <w:pPr>
        <w:pStyle w:val="Note"/>
      </w:pPr>
      <w:r w:rsidRPr="00181EF3">
        <w:t>Source: New Zealand Health Survey (NZHS)</w:t>
      </w:r>
      <w:r>
        <w:t xml:space="preserve">, </w:t>
      </w:r>
      <w:r w:rsidRPr="00181EF3">
        <w:t xml:space="preserve">Ministry of Health, </w:t>
      </w:r>
      <w:r>
        <w:t>2006/07–2016/17</w:t>
      </w:r>
      <w:r w:rsidRPr="00181EF3">
        <w:t>.</w:t>
      </w:r>
    </w:p>
    <w:p w14:paraId="5FD326A3" w14:textId="77777777" w:rsidR="00060BED" w:rsidRPr="00181EF3" w:rsidRDefault="00060BED" w:rsidP="00060BED"/>
    <w:p w14:paraId="427E25EA" w14:textId="07C4DF67" w:rsidR="00A14D8B" w:rsidRPr="00181EF3" w:rsidRDefault="00A14D8B" w:rsidP="00EF58A1">
      <w:r w:rsidRPr="00181EF3">
        <w:t>Figure 1</w:t>
      </w:r>
      <w:r>
        <w:t>2</w:t>
      </w:r>
      <w:r w:rsidRPr="00181EF3">
        <w:t xml:space="preserve"> shows that Māori females were less likely to meet the recommended intakes than </w:t>
      </w:r>
      <w:r w:rsidR="00EC03A3">
        <w:t>non</w:t>
      </w:r>
      <w:r w:rsidR="00EC03A3">
        <w:noBreakHyphen/>
        <w:t>M</w:t>
      </w:r>
      <w:r w:rsidRPr="00181EF3">
        <w:t xml:space="preserve">āori females. In 2016/17, 37 percent of Māori females met the recommended intake of fruit and vegetables compared </w:t>
      </w:r>
      <w:r w:rsidR="00FF1892">
        <w:t>with</w:t>
      </w:r>
      <w:r w:rsidR="00FF1892" w:rsidRPr="00181EF3">
        <w:t xml:space="preserve"> </w:t>
      </w:r>
      <w:r w:rsidRPr="00181EF3">
        <w:t xml:space="preserve">42 percent of </w:t>
      </w:r>
      <w:r w:rsidR="00EC03A3">
        <w:t>non</w:t>
      </w:r>
      <w:r w:rsidR="00EC03A3">
        <w:noBreakHyphen/>
        <w:t>M</w:t>
      </w:r>
      <w:r w:rsidRPr="00181EF3">
        <w:t xml:space="preserve">āori females. Māori males had a similar proportion as </w:t>
      </w:r>
      <w:r w:rsidR="00EC03A3">
        <w:t>non</w:t>
      </w:r>
      <w:r w:rsidR="00EC03A3">
        <w:noBreakHyphen/>
        <w:t>M</w:t>
      </w:r>
      <w:r w:rsidRPr="00181EF3">
        <w:t>āori males meeting the recommended daily intake.</w:t>
      </w:r>
    </w:p>
    <w:p w14:paraId="7C814EA8" w14:textId="77777777" w:rsidR="00A14D8B" w:rsidRDefault="00A14D8B" w:rsidP="00060BED"/>
    <w:p w14:paraId="0BB312A6" w14:textId="75086F98" w:rsidR="00060BED" w:rsidRPr="00181EF3" w:rsidRDefault="00060BED" w:rsidP="00060BED">
      <w:pPr>
        <w:pStyle w:val="Figure"/>
      </w:pPr>
      <w:bookmarkStart w:id="80" w:name="_Toc19101864"/>
      <w:r w:rsidRPr="00181EF3">
        <w:lastRenderedPageBreak/>
        <w:t xml:space="preserve">Figure </w:t>
      </w:r>
      <w:r w:rsidR="00B202D2">
        <w:t>13</w:t>
      </w:r>
      <w:r w:rsidRPr="00181EF3">
        <w:t>: Three or more servings of vegetables per day</w:t>
      </w:r>
      <w:r w:rsidR="00B202D2">
        <w:t>,</w:t>
      </w:r>
      <w:r w:rsidR="00B202D2" w:rsidRPr="00B202D2">
        <w:t xml:space="preserve"> </w:t>
      </w:r>
      <w:r w:rsidR="006D23F5">
        <w:t xml:space="preserve">15+ years, </w:t>
      </w:r>
      <w:r w:rsidR="00B202D2" w:rsidRPr="00181EF3">
        <w:t xml:space="preserve">by </w:t>
      </w:r>
      <w:r w:rsidR="00B202D2">
        <w:t>gender</w:t>
      </w:r>
      <w:r w:rsidR="00B202D2" w:rsidRPr="00181EF3">
        <w:t xml:space="preserve">, </w:t>
      </w:r>
      <w:r w:rsidR="00B202D2">
        <w:t xml:space="preserve">Māori and </w:t>
      </w:r>
      <w:r w:rsidR="00EC03A3">
        <w:t>non</w:t>
      </w:r>
      <w:r w:rsidR="00EC03A3">
        <w:noBreakHyphen/>
        <w:t>M</w:t>
      </w:r>
      <w:r w:rsidR="00B202D2">
        <w:t>āori</w:t>
      </w:r>
      <w:r w:rsidRPr="00181EF3">
        <w:t>, 2006/07–2016/17</w:t>
      </w:r>
      <w:bookmarkEnd w:id="80"/>
    </w:p>
    <w:p w14:paraId="6FDF2AE4" w14:textId="77777777" w:rsidR="00060BED" w:rsidRPr="00181EF3" w:rsidRDefault="00060BED" w:rsidP="00256757">
      <w:pPr>
        <w:keepNext/>
      </w:pPr>
      <w:r w:rsidRPr="00181EF3">
        <w:rPr>
          <w:noProof/>
          <w:lang w:eastAsia="en-NZ"/>
        </w:rPr>
        <w:drawing>
          <wp:inline distT="0" distB="0" distL="0" distR="0" wp14:anchorId="2E806DC3" wp14:editId="346CF17F">
            <wp:extent cx="5130165" cy="2613315"/>
            <wp:effectExtent l="0" t="0" r="0" b="0"/>
            <wp:docPr id="284" name="Picture 284" descr="The graphs show that men and women of both groups eat three or more servings of vegetables a day at about the same rates, around 60 percent." title="Figure 13: Three or more servings of vegetables per day – adults, age-standardised percentages (%), by sex, 2006/07–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130165" cy="2613315"/>
                    </a:xfrm>
                    <a:prstGeom prst="rect">
                      <a:avLst/>
                    </a:prstGeom>
                  </pic:spPr>
                </pic:pic>
              </a:graphicData>
            </a:graphic>
          </wp:inline>
        </w:drawing>
      </w:r>
    </w:p>
    <w:p w14:paraId="5F7D5CB2" w14:textId="77777777" w:rsidR="00B202D2" w:rsidRDefault="00B202D2" w:rsidP="00256757">
      <w:pPr>
        <w:pStyle w:val="Note"/>
        <w:keepNext/>
      </w:pPr>
      <w:r w:rsidRPr="00181EF3">
        <w:t>Note</w:t>
      </w:r>
      <w:r>
        <w:t>s</w:t>
      </w:r>
      <w:r w:rsidRPr="00181EF3">
        <w:t>:</w:t>
      </w:r>
    </w:p>
    <w:p w14:paraId="6E20D05E" w14:textId="75A29392" w:rsidR="008A5642" w:rsidRDefault="00446D86" w:rsidP="00256757">
      <w:pPr>
        <w:pStyle w:val="Note"/>
        <w:keepNext/>
      </w:pPr>
      <w:r>
        <w:t>Figures are age-standardised to the 2001 Census total Māori population</w:t>
      </w:r>
      <w:r w:rsidR="00B202D2" w:rsidRPr="00181EF3">
        <w:t>.</w:t>
      </w:r>
    </w:p>
    <w:p w14:paraId="01D2C3DE" w14:textId="2DDC0E64" w:rsidR="00B202D2" w:rsidRPr="00181EF3" w:rsidRDefault="00B202D2" w:rsidP="00B202D2">
      <w:pPr>
        <w:pStyle w:val="Note"/>
      </w:pPr>
      <w:r>
        <w:t>Prioritised ethnicity has been used.</w:t>
      </w:r>
    </w:p>
    <w:p w14:paraId="57134446" w14:textId="77777777" w:rsidR="008A5642" w:rsidRDefault="00B202D2" w:rsidP="00886EED">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4FED73FE" w14:textId="7BE68F45" w:rsidR="00060BED" w:rsidRPr="00181EF3" w:rsidRDefault="00060BED" w:rsidP="00886EED">
      <w:pPr>
        <w:pStyle w:val="Note"/>
      </w:pPr>
      <w:r w:rsidRPr="00181EF3">
        <w:t xml:space="preserve">Source: </w:t>
      </w:r>
      <w:r w:rsidR="009116B8">
        <w:t>New Zealand Health Survey (NZHS), Ministry of Health, 2006/07–2016/17.</w:t>
      </w:r>
    </w:p>
    <w:p w14:paraId="6387BA2D" w14:textId="5F1F6DE5" w:rsidR="00060BED" w:rsidRPr="00181EF3" w:rsidRDefault="00060BED" w:rsidP="00060BED"/>
    <w:p w14:paraId="68FE478E" w14:textId="5EEC292E" w:rsidR="00A14D8B" w:rsidRDefault="00A14D8B" w:rsidP="00060BED">
      <w:r w:rsidRPr="00181EF3">
        <w:t xml:space="preserve">There was little change between 2006/07 and 2016/17 for Māori and </w:t>
      </w:r>
      <w:r w:rsidR="00EC03A3">
        <w:t>non</w:t>
      </w:r>
      <w:r w:rsidR="00EC03A3">
        <w:noBreakHyphen/>
        <w:t>M</w:t>
      </w:r>
      <w:r w:rsidRPr="00181EF3">
        <w:t xml:space="preserve">āori adults in meeting the recommended number of vegetable servings. Figure </w:t>
      </w:r>
      <w:r>
        <w:t>13</w:t>
      </w:r>
      <w:r w:rsidRPr="00181EF3">
        <w:t xml:space="preserve"> shows that Māori males had similar proportions meeting the three or more servings of vegetables guideline over time when compared </w:t>
      </w:r>
      <w:r w:rsidR="00FF1892">
        <w:t>with</w:t>
      </w:r>
      <w:r w:rsidR="00FF1892" w:rsidRPr="00181EF3">
        <w:t xml:space="preserve"> </w:t>
      </w:r>
      <w:r w:rsidR="00EC03A3">
        <w:t>non</w:t>
      </w:r>
      <w:r w:rsidR="00EC03A3">
        <w:noBreakHyphen/>
        <w:t>M</w:t>
      </w:r>
      <w:r w:rsidRPr="00181EF3">
        <w:t xml:space="preserve">āori males. In 2016/17, 56 percent of Māori males met the vegetable servings guideline compared </w:t>
      </w:r>
      <w:r w:rsidR="00FF1892">
        <w:t>with</w:t>
      </w:r>
      <w:r w:rsidR="00FF1892" w:rsidRPr="00181EF3">
        <w:t xml:space="preserve"> </w:t>
      </w:r>
      <w:r w:rsidRPr="00181EF3">
        <w:t xml:space="preserve">54 percent of </w:t>
      </w:r>
      <w:r w:rsidR="00EC03A3">
        <w:t>non</w:t>
      </w:r>
      <w:r w:rsidR="00EC03A3">
        <w:noBreakHyphen/>
        <w:t>M</w:t>
      </w:r>
      <w:r w:rsidRPr="00181EF3">
        <w:t xml:space="preserve">āori males. Māori females were slightly less likely to meet the guideline than </w:t>
      </w:r>
      <w:r w:rsidR="00EC03A3">
        <w:t>non</w:t>
      </w:r>
      <w:r w:rsidR="00EC03A3">
        <w:noBreakHyphen/>
        <w:t>M</w:t>
      </w:r>
      <w:r w:rsidRPr="00181EF3">
        <w:t>āori females and this was consistent over the time period.</w:t>
      </w:r>
    </w:p>
    <w:p w14:paraId="302B41B4" w14:textId="77777777" w:rsidR="00060BED" w:rsidRPr="00181EF3" w:rsidRDefault="00060BED" w:rsidP="00060BED"/>
    <w:p w14:paraId="06845E1A" w14:textId="16306F2E" w:rsidR="00060BED" w:rsidRPr="00181EF3" w:rsidRDefault="00060BED" w:rsidP="00060BED">
      <w:pPr>
        <w:pStyle w:val="Figure"/>
      </w:pPr>
      <w:bookmarkStart w:id="81" w:name="_Toc19101865"/>
      <w:r w:rsidRPr="00181EF3">
        <w:lastRenderedPageBreak/>
        <w:t xml:space="preserve">Figure </w:t>
      </w:r>
      <w:r w:rsidR="00B202D2">
        <w:t>14</w:t>
      </w:r>
      <w:r w:rsidRPr="00181EF3">
        <w:t>: Two or more servings of fruit per day</w:t>
      </w:r>
      <w:r w:rsidR="00B202D2">
        <w:t>,</w:t>
      </w:r>
      <w:r w:rsidR="00B202D2" w:rsidRPr="00B202D2">
        <w:t xml:space="preserve"> </w:t>
      </w:r>
      <w:r w:rsidR="006D23F5">
        <w:t xml:space="preserve">15+ years, </w:t>
      </w:r>
      <w:r w:rsidR="00B202D2">
        <w:t xml:space="preserve">Māori and </w:t>
      </w:r>
      <w:r w:rsidR="00EC03A3">
        <w:t>non</w:t>
      </w:r>
      <w:r w:rsidR="00EC03A3">
        <w:noBreakHyphen/>
        <w:t>M</w:t>
      </w:r>
      <w:r w:rsidR="00B202D2">
        <w:t>āori</w:t>
      </w:r>
      <w:r w:rsidRPr="00181EF3">
        <w:t>, 2006/07–2016/17</w:t>
      </w:r>
      <w:bookmarkEnd w:id="81"/>
    </w:p>
    <w:p w14:paraId="1F1AB868" w14:textId="77777777" w:rsidR="00060BED" w:rsidRPr="00181EF3" w:rsidRDefault="00060BED" w:rsidP="00060BED">
      <w:pPr>
        <w:autoSpaceDE w:val="0"/>
        <w:autoSpaceDN w:val="0"/>
        <w:adjustRightInd w:val="0"/>
        <w:rPr>
          <w:rFonts w:cs="Arial Mäori"/>
          <w:color w:val="000000"/>
          <w:sz w:val="20"/>
        </w:rPr>
      </w:pPr>
      <w:r w:rsidRPr="00181EF3">
        <w:rPr>
          <w:noProof/>
          <w:lang w:eastAsia="en-NZ"/>
        </w:rPr>
        <w:drawing>
          <wp:inline distT="0" distB="0" distL="0" distR="0" wp14:anchorId="5EC05701" wp14:editId="63AEFE1D">
            <wp:extent cx="5130165" cy="3058916"/>
            <wp:effectExtent l="0" t="0" r="0" b="8255"/>
            <wp:docPr id="285" name="Picture 285" descr="The graph shows that Māori were slightly less likely than non-Māori to eat at least two servings of fruit each day. The rate has declined slightly for both groups over time." title="Figure 14: Two or more servings of fruit per day – adults, age-standardised percentages (%), 2006/07–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130165" cy="3058916"/>
                    </a:xfrm>
                    <a:prstGeom prst="rect">
                      <a:avLst/>
                    </a:prstGeom>
                  </pic:spPr>
                </pic:pic>
              </a:graphicData>
            </a:graphic>
          </wp:inline>
        </w:drawing>
      </w:r>
    </w:p>
    <w:p w14:paraId="5F2120A8" w14:textId="77777777" w:rsidR="00B202D2" w:rsidRDefault="00B202D2" w:rsidP="00B202D2">
      <w:pPr>
        <w:pStyle w:val="Note"/>
      </w:pPr>
      <w:r w:rsidRPr="00181EF3">
        <w:t>Note</w:t>
      </w:r>
      <w:r>
        <w:t>s</w:t>
      </w:r>
      <w:r w:rsidRPr="00181EF3">
        <w:t>:</w:t>
      </w:r>
    </w:p>
    <w:p w14:paraId="3E4B96AB" w14:textId="317FF067" w:rsidR="008A5642" w:rsidRDefault="00446D86" w:rsidP="00B202D2">
      <w:pPr>
        <w:pStyle w:val="Note"/>
      </w:pPr>
      <w:r>
        <w:t>Figures are age-standardised to the 2001 Census total Māori population</w:t>
      </w:r>
      <w:r w:rsidR="00B202D2" w:rsidRPr="00181EF3">
        <w:t>.</w:t>
      </w:r>
    </w:p>
    <w:p w14:paraId="24701492" w14:textId="192F1529" w:rsidR="00B202D2" w:rsidRPr="00181EF3" w:rsidRDefault="00B202D2" w:rsidP="00B202D2">
      <w:pPr>
        <w:pStyle w:val="Note"/>
      </w:pPr>
      <w:r>
        <w:t>Prioritised ethnicity has been used.</w:t>
      </w:r>
    </w:p>
    <w:p w14:paraId="4E1EB6B6" w14:textId="77777777" w:rsidR="008A5642" w:rsidRDefault="00B202D2" w:rsidP="00886EED">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62FB48A0" w14:textId="74DFF09D" w:rsidR="00A14D8B" w:rsidRDefault="00060BED" w:rsidP="00886EED">
      <w:pPr>
        <w:pStyle w:val="Note"/>
      </w:pPr>
      <w:r w:rsidRPr="00181EF3">
        <w:t xml:space="preserve">Source: </w:t>
      </w:r>
      <w:r w:rsidR="009116B8">
        <w:t>New Zealand Health Survey (NZHS), Ministry of Health, 2006/07–2016/17.</w:t>
      </w:r>
    </w:p>
    <w:p w14:paraId="5D1E1FEE" w14:textId="77777777" w:rsidR="00A14D8B" w:rsidRDefault="00A14D8B" w:rsidP="00A14D8B">
      <w:pPr>
        <w:pStyle w:val="Source"/>
        <w:ind w:left="0" w:firstLine="0"/>
      </w:pPr>
    </w:p>
    <w:p w14:paraId="67BBC653" w14:textId="024F3E8A" w:rsidR="00A36841" w:rsidRDefault="00A14D8B" w:rsidP="00A14D8B">
      <w:r w:rsidRPr="00181EF3">
        <w:t xml:space="preserve">Figure </w:t>
      </w:r>
      <w:r>
        <w:t>14</w:t>
      </w:r>
      <w:r w:rsidRPr="00181EF3">
        <w:t xml:space="preserve"> shows that Māori were less likely to meet the fruit intake recommendation of two or more servings a day than </w:t>
      </w:r>
      <w:r w:rsidR="00EC03A3">
        <w:t>non</w:t>
      </w:r>
      <w:r w:rsidR="00EC03A3">
        <w:noBreakHyphen/>
        <w:t>M</w:t>
      </w:r>
      <w:r w:rsidRPr="00181EF3">
        <w:t xml:space="preserve">āori. Over time there has been a decline in the proportion of Māori meeting the recommendation – from 55 percent in 2006/07 to 46 percent in 2016/17 (a decrease of 17 percent compared </w:t>
      </w:r>
      <w:r w:rsidR="002D3C0C">
        <w:t>with</w:t>
      </w:r>
      <w:r w:rsidR="002D3C0C" w:rsidRPr="00181EF3">
        <w:t xml:space="preserve"> </w:t>
      </w:r>
      <w:r w:rsidRPr="00181EF3">
        <w:t xml:space="preserve">a 10 percent decrease for </w:t>
      </w:r>
      <w:r w:rsidR="00EC03A3">
        <w:t>non</w:t>
      </w:r>
      <w:r w:rsidR="00EC03A3">
        <w:noBreakHyphen/>
        <w:t>M</w:t>
      </w:r>
      <w:r w:rsidRPr="00181EF3">
        <w:t>āori adults).</w:t>
      </w:r>
    </w:p>
    <w:p w14:paraId="61C4CC2E" w14:textId="77777777" w:rsidR="00256757" w:rsidRDefault="00256757" w:rsidP="00A14D8B"/>
    <w:p w14:paraId="044780C2" w14:textId="77777777" w:rsidR="003C7B54" w:rsidRPr="002714AC" w:rsidRDefault="003C7B54" w:rsidP="003C7B54">
      <w:pPr>
        <w:pStyle w:val="Heading2"/>
        <w:rPr>
          <w:noProof/>
          <w:lang w:eastAsia="en-NZ"/>
        </w:rPr>
      </w:pPr>
      <w:bookmarkStart w:id="82" w:name="_Toc14793223"/>
      <w:bookmarkStart w:id="83" w:name="_Toc19102313"/>
      <w:r w:rsidRPr="002714AC">
        <w:rPr>
          <w:noProof/>
          <w:lang w:eastAsia="en-NZ"/>
        </w:rPr>
        <w:lastRenderedPageBreak/>
        <w:t xml:space="preserve">Body </w:t>
      </w:r>
      <w:r>
        <w:rPr>
          <w:noProof/>
          <w:lang w:eastAsia="en-NZ"/>
        </w:rPr>
        <w:t>s</w:t>
      </w:r>
      <w:r w:rsidRPr="002714AC">
        <w:rPr>
          <w:noProof/>
          <w:lang w:eastAsia="en-NZ"/>
        </w:rPr>
        <w:t>ize</w:t>
      </w:r>
      <w:bookmarkEnd w:id="82"/>
      <w:bookmarkEnd w:id="83"/>
    </w:p>
    <w:p w14:paraId="46233578" w14:textId="1158DD4A" w:rsidR="003C7B54" w:rsidRDefault="003C7B54" w:rsidP="00256757">
      <w:pPr>
        <w:keepNext/>
        <w:rPr>
          <w:noProof/>
          <w:lang w:eastAsia="en-NZ"/>
        </w:rPr>
      </w:pPr>
      <w:r w:rsidRPr="002714AC">
        <w:rPr>
          <w:noProof/>
          <w:lang w:eastAsia="en-NZ"/>
        </w:rPr>
        <w:t xml:space="preserve">This </w:t>
      </w:r>
      <w:r>
        <w:rPr>
          <w:noProof/>
          <w:lang w:eastAsia="en-NZ"/>
        </w:rPr>
        <w:t>section</w:t>
      </w:r>
      <w:r w:rsidRPr="002714AC">
        <w:rPr>
          <w:noProof/>
          <w:lang w:eastAsia="en-NZ"/>
        </w:rPr>
        <w:t xml:space="preserve"> presents results </w:t>
      </w:r>
      <w:r>
        <w:rPr>
          <w:noProof/>
          <w:lang w:eastAsia="en-NZ"/>
        </w:rPr>
        <w:t xml:space="preserve">for body size </w:t>
      </w:r>
      <w:r w:rsidRPr="002714AC">
        <w:rPr>
          <w:noProof/>
          <w:lang w:eastAsia="en-NZ"/>
        </w:rPr>
        <w:t xml:space="preserve">for </w:t>
      </w:r>
      <w:r>
        <w:rPr>
          <w:noProof/>
          <w:lang w:eastAsia="en-NZ"/>
        </w:rPr>
        <w:t xml:space="preserve">Māori and </w:t>
      </w:r>
      <w:r w:rsidR="00EC03A3">
        <w:rPr>
          <w:noProof/>
          <w:lang w:eastAsia="en-NZ"/>
        </w:rPr>
        <w:t>non</w:t>
      </w:r>
      <w:r w:rsidR="00EC03A3">
        <w:rPr>
          <w:noProof/>
          <w:lang w:eastAsia="en-NZ"/>
        </w:rPr>
        <w:noBreakHyphen/>
        <w:t>M</w:t>
      </w:r>
      <w:r>
        <w:rPr>
          <w:noProof/>
          <w:lang w:eastAsia="en-NZ"/>
        </w:rPr>
        <w:t xml:space="preserve">āori </w:t>
      </w:r>
      <w:r w:rsidRPr="002714AC">
        <w:rPr>
          <w:noProof/>
          <w:lang w:eastAsia="en-NZ"/>
        </w:rPr>
        <w:t>children aged 2–14 years</w:t>
      </w:r>
      <w:r w:rsidR="008F3617">
        <w:rPr>
          <w:noProof/>
          <w:lang w:eastAsia="en-NZ"/>
        </w:rPr>
        <w:t xml:space="preserve"> and</w:t>
      </w:r>
      <w:r w:rsidRPr="002714AC">
        <w:rPr>
          <w:noProof/>
          <w:lang w:eastAsia="en-NZ"/>
        </w:rPr>
        <w:t xml:space="preserve"> adults aged 15 and over</w:t>
      </w:r>
      <w:r>
        <w:rPr>
          <w:noProof/>
          <w:lang w:eastAsia="en-NZ"/>
        </w:rPr>
        <w:t>.</w:t>
      </w:r>
    </w:p>
    <w:p w14:paraId="6908E26E" w14:textId="77777777" w:rsidR="00256757" w:rsidRDefault="00256757" w:rsidP="00256757">
      <w:pPr>
        <w:keepNext/>
        <w:rPr>
          <w:noProof/>
          <w:lang w:eastAsia="en-NZ"/>
        </w:rPr>
      </w:pPr>
    </w:p>
    <w:p w14:paraId="4FC70FC3" w14:textId="77777777" w:rsidR="003C7B54" w:rsidRPr="002714AC" w:rsidRDefault="003C7B54" w:rsidP="003C7B54">
      <w:pPr>
        <w:pStyle w:val="Heading3"/>
      </w:pPr>
      <w:bookmarkStart w:id="84" w:name="_Toc19102314"/>
      <w:r w:rsidRPr="002714AC">
        <w:t>What is the data telling us?</w:t>
      </w:r>
      <w:bookmarkEnd w:id="84"/>
    </w:p>
    <w:p w14:paraId="22B49D82" w14:textId="77777777" w:rsidR="003C7B54" w:rsidRPr="00724EE0" w:rsidRDefault="003C7B54" w:rsidP="00256757">
      <w:pPr>
        <w:pStyle w:val="Shadedboxtext"/>
        <w:keepNext/>
      </w:pPr>
      <w:r w:rsidRPr="00724EE0">
        <w:t>Overall the data shows that:</w:t>
      </w:r>
    </w:p>
    <w:p w14:paraId="060B4CC3" w14:textId="0C4766FB" w:rsidR="003C7B54" w:rsidRPr="0079789E" w:rsidRDefault="003C7B54" w:rsidP="00256757">
      <w:pPr>
        <w:pStyle w:val="Shadedboxbullet"/>
        <w:keepNext/>
      </w:pPr>
      <w:r w:rsidRPr="0079789E">
        <w:t>The prevalence of being overweight declined slightly overtime for Māori aged 15</w:t>
      </w:r>
      <w:r>
        <w:t xml:space="preserve"> and over</w:t>
      </w:r>
      <w:r w:rsidRPr="0079789E">
        <w:t xml:space="preserve">. Māori males were less likely than </w:t>
      </w:r>
      <w:r w:rsidR="00EC03A3">
        <w:t>non</w:t>
      </w:r>
      <w:r w:rsidR="00EC03A3">
        <w:noBreakHyphen/>
        <w:t>M</w:t>
      </w:r>
      <w:r w:rsidRPr="0079789E">
        <w:t>āori males to be overweight.</w:t>
      </w:r>
    </w:p>
    <w:p w14:paraId="7A8C81B8" w14:textId="69E39CF8" w:rsidR="003C7B54" w:rsidRPr="0079789E" w:rsidRDefault="003C7B54" w:rsidP="00256757">
      <w:pPr>
        <w:pStyle w:val="Shadedboxbullet"/>
        <w:keepNext/>
        <w:ind w:left="641" w:hanging="357"/>
      </w:pPr>
      <w:r w:rsidRPr="0079789E">
        <w:t xml:space="preserve">The prevalence of being obese has increased over time. Māori adults were more than </w:t>
      </w:r>
      <w:r>
        <w:t>1½</w:t>
      </w:r>
      <w:r w:rsidRPr="0079789E">
        <w:t xml:space="preserve"> times as likely to be obese as </w:t>
      </w:r>
      <w:r w:rsidR="00EC03A3">
        <w:t>non</w:t>
      </w:r>
      <w:r w:rsidR="00EC03A3">
        <w:noBreakHyphen/>
        <w:t>M</w:t>
      </w:r>
      <w:r w:rsidRPr="0079789E">
        <w:t>āori adults.</w:t>
      </w:r>
    </w:p>
    <w:p w14:paraId="7B59687A" w14:textId="7C4A4300" w:rsidR="003C7B54" w:rsidRPr="0079789E" w:rsidRDefault="003C7B54" w:rsidP="003C7B54">
      <w:pPr>
        <w:pStyle w:val="Shadedboxbullet"/>
      </w:pPr>
      <w:r w:rsidRPr="0079789E">
        <w:t xml:space="preserve">Māori children aged 2–14 years were more likely to be overweight than </w:t>
      </w:r>
      <w:r w:rsidR="00EC03A3">
        <w:t>non</w:t>
      </w:r>
      <w:r w:rsidR="00EC03A3">
        <w:noBreakHyphen/>
        <w:t>M</w:t>
      </w:r>
      <w:r w:rsidRPr="0079789E">
        <w:t>āori children with little change overtime.</w:t>
      </w:r>
    </w:p>
    <w:p w14:paraId="3009FB3F" w14:textId="416E3044" w:rsidR="003C7B54" w:rsidRPr="0079789E" w:rsidRDefault="003C7B54" w:rsidP="003C7B54">
      <w:pPr>
        <w:pStyle w:val="Shadedboxbullet"/>
      </w:pPr>
      <w:r w:rsidRPr="0079789E">
        <w:t xml:space="preserve">The prevalence of being obese has fluctuated over time for Māori boys and girls with rates remaining higher than that of </w:t>
      </w:r>
      <w:r w:rsidR="00EC03A3">
        <w:t>non</w:t>
      </w:r>
      <w:r w:rsidR="00EC03A3">
        <w:noBreakHyphen/>
        <w:t>M</w:t>
      </w:r>
      <w:r w:rsidRPr="0079789E">
        <w:t>āori boys and girls.</w:t>
      </w:r>
    </w:p>
    <w:p w14:paraId="09F85B29" w14:textId="77777777" w:rsidR="003C7B54" w:rsidRDefault="003C7B54" w:rsidP="003C7B54"/>
    <w:p w14:paraId="3E77C19F" w14:textId="2721542F" w:rsidR="00753785" w:rsidRDefault="00753785" w:rsidP="003C7B54">
      <w:pPr>
        <w:pStyle w:val="Heading3"/>
      </w:pPr>
      <w:bookmarkStart w:id="85" w:name="_Toc19102315"/>
      <w:r>
        <w:t>Background</w:t>
      </w:r>
      <w:bookmarkEnd w:id="85"/>
    </w:p>
    <w:p w14:paraId="17CDDB03" w14:textId="05128F74" w:rsidR="003C7B54" w:rsidRDefault="003C7B54" w:rsidP="003C7B54">
      <w:r w:rsidRPr="00724EE0">
        <w:t>A healthy body size is recognised as important for good health and wellbeing. Evidence shows that obese children and adults are at greater risk of short- an</w:t>
      </w:r>
      <w:r>
        <w:t xml:space="preserve">d long-term health consequences. </w:t>
      </w:r>
      <w:r w:rsidRPr="00724EE0">
        <w:t>Body mass index (BMI) provides a useful population-level indicator of excess body weight. It is a measure of weight adjusted for height, and is calculated by dividing weight in kilograms by the square of height in metres (kg/m</w:t>
      </w:r>
      <w:r>
        <w:rPr>
          <w:vertAlign w:val="superscript"/>
        </w:rPr>
        <w:t>2</w:t>
      </w:r>
      <w:r w:rsidRPr="00724EE0">
        <w:t>). This measure is used internationally to classify underweight, overweight and obesity.</w:t>
      </w:r>
      <w:r w:rsidRPr="00FA22EF">
        <w:t xml:space="preserve"> BMI is used as it is easy to measure and calculate</w:t>
      </w:r>
      <w:r>
        <w:t>.</w:t>
      </w:r>
      <w:r w:rsidRPr="00724EE0">
        <w:t xml:space="preserve"> It should be noted that BMI is a crude measure, and does not distinguish between weight associated with muscle and weight associated with fat. However, it is considered to be a good estimate of increased risk of health conditions associated with obesity (WHO 2007).</w:t>
      </w:r>
    </w:p>
    <w:p w14:paraId="4F57AE86" w14:textId="77777777" w:rsidR="003C7B54" w:rsidRPr="00724EE0" w:rsidRDefault="003C7B54" w:rsidP="003C7B54"/>
    <w:p w14:paraId="71CF1980" w14:textId="77777777" w:rsidR="003C7B54" w:rsidRPr="003F1111" w:rsidRDefault="003C7B54" w:rsidP="00256757">
      <w:r w:rsidRPr="003F1111">
        <w:t xml:space="preserve">From July 2012, the NZHS measured height using a laser meter, replacing the stadiometers used in the 2006/07 and 2011/12 NZHS. Refer to the </w:t>
      </w:r>
      <w:r w:rsidRPr="003F1111">
        <w:rPr>
          <w:i/>
        </w:rPr>
        <w:t>Indicator Interpretation Guide</w:t>
      </w:r>
      <w:r w:rsidRPr="003F1111">
        <w:t xml:space="preserve"> </w:t>
      </w:r>
      <w:r w:rsidRPr="003F1111">
        <w:rPr>
          <w:i/>
        </w:rPr>
        <w:t>2013/14:</w:t>
      </w:r>
      <w:r>
        <w:rPr>
          <w:i/>
        </w:rPr>
        <w:t> </w:t>
      </w:r>
      <w:r w:rsidRPr="003F1111">
        <w:rPr>
          <w:i/>
        </w:rPr>
        <w:t>New Zealand Health Survey</w:t>
      </w:r>
      <w:r w:rsidRPr="003F1111">
        <w:t xml:space="preserve"> for more details (Ministry of Health 2014).</w:t>
      </w:r>
    </w:p>
    <w:p w14:paraId="31124700" w14:textId="77777777" w:rsidR="003C7B54" w:rsidRPr="00724EE0" w:rsidRDefault="003C7B54" w:rsidP="003C7B54"/>
    <w:p w14:paraId="253A9C73" w14:textId="77777777" w:rsidR="003C7B54" w:rsidRPr="002714AC" w:rsidRDefault="003C7B54" w:rsidP="003C7B54">
      <w:pPr>
        <w:pStyle w:val="Table"/>
      </w:pPr>
      <w:bookmarkStart w:id="86" w:name="_Toc18594755"/>
      <w:r w:rsidRPr="002714AC">
        <w:lastRenderedPageBreak/>
        <w:t xml:space="preserve">Table </w:t>
      </w:r>
      <w:r>
        <w:t>15:</w:t>
      </w:r>
      <w:r w:rsidRPr="002714AC">
        <w:t xml:space="preserve"> International BMI cut-off points for adults aged 18 years and over</w:t>
      </w:r>
      <w:bookmarkEnd w:id="86"/>
    </w:p>
    <w:tbl>
      <w:tblPr>
        <w:tblW w:w="0" w:type="auto"/>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00" w:firstRow="0" w:lastRow="0" w:firstColumn="0" w:lastColumn="0" w:noHBand="0" w:noVBand="0"/>
      </w:tblPr>
      <w:tblGrid>
        <w:gridCol w:w="2410"/>
        <w:gridCol w:w="2835"/>
        <w:gridCol w:w="2835"/>
      </w:tblGrid>
      <w:tr w:rsidR="003C7B54" w:rsidRPr="00D810D9" w14:paraId="658929E5" w14:textId="77777777" w:rsidTr="005336EE">
        <w:trPr>
          <w:cantSplit/>
        </w:trPr>
        <w:tc>
          <w:tcPr>
            <w:tcW w:w="2410" w:type="dxa"/>
            <w:tcBorders>
              <w:top w:val="nil"/>
              <w:bottom w:val="nil"/>
            </w:tcBorders>
            <w:shd w:val="clear" w:color="auto" w:fill="D9D9D9" w:themeFill="background1" w:themeFillShade="D9"/>
          </w:tcPr>
          <w:p w14:paraId="5490AC43" w14:textId="77777777" w:rsidR="003C7B54" w:rsidRPr="00D810D9" w:rsidRDefault="003C7B54" w:rsidP="00256757">
            <w:pPr>
              <w:pStyle w:val="TableText"/>
              <w:keepNext/>
              <w:rPr>
                <w:b/>
              </w:rPr>
            </w:pPr>
            <w:r w:rsidRPr="00D810D9">
              <w:rPr>
                <w:b/>
              </w:rPr>
              <w:t>Classification</w:t>
            </w:r>
          </w:p>
        </w:tc>
        <w:tc>
          <w:tcPr>
            <w:tcW w:w="2835" w:type="dxa"/>
            <w:tcBorders>
              <w:top w:val="nil"/>
              <w:bottom w:val="nil"/>
            </w:tcBorders>
            <w:shd w:val="clear" w:color="auto" w:fill="D9D9D9" w:themeFill="background1" w:themeFillShade="D9"/>
          </w:tcPr>
          <w:p w14:paraId="4D2D60ED" w14:textId="77777777" w:rsidR="003C7B54" w:rsidRPr="00D810D9" w:rsidRDefault="003C7B54" w:rsidP="00256757">
            <w:pPr>
              <w:pStyle w:val="TableText"/>
              <w:keepNext/>
              <w:rPr>
                <w:b/>
              </w:rPr>
            </w:pPr>
            <w:r w:rsidRPr="00D810D9">
              <w:rPr>
                <w:b/>
              </w:rPr>
              <w:t>BMI score (kg/m</w:t>
            </w:r>
            <w:r w:rsidRPr="00D810D9">
              <w:rPr>
                <w:b/>
                <w:vertAlign w:val="superscript"/>
              </w:rPr>
              <w:t>2</w:t>
            </w:r>
            <w:r w:rsidRPr="00D810D9">
              <w:rPr>
                <w:b/>
              </w:rPr>
              <w:t>)</w:t>
            </w:r>
          </w:p>
        </w:tc>
        <w:tc>
          <w:tcPr>
            <w:tcW w:w="2835" w:type="dxa"/>
            <w:tcBorders>
              <w:top w:val="nil"/>
              <w:bottom w:val="nil"/>
            </w:tcBorders>
            <w:shd w:val="clear" w:color="auto" w:fill="D9D9D9" w:themeFill="background1" w:themeFillShade="D9"/>
          </w:tcPr>
          <w:p w14:paraId="60EC5516" w14:textId="77777777" w:rsidR="003C7B54" w:rsidRPr="00D810D9" w:rsidRDefault="003C7B54" w:rsidP="00256757">
            <w:pPr>
              <w:pStyle w:val="TableText"/>
              <w:keepNext/>
              <w:rPr>
                <w:b/>
              </w:rPr>
            </w:pPr>
            <w:r w:rsidRPr="00D810D9">
              <w:rPr>
                <w:b/>
              </w:rPr>
              <w:t>Risk of health conditions</w:t>
            </w:r>
          </w:p>
        </w:tc>
      </w:tr>
      <w:tr w:rsidR="003C7B54" w:rsidRPr="002714AC" w14:paraId="021C4E49" w14:textId="77777777" w:rsidTr="005336EE">
        <w:trPr>
          <w:cantSplit/>
        </w:trPr>
        <w:tc>
          <w:tcPr>
            <w:tcW w:w="2410" w:type="dxa"/>
            <w:tcBorders>
              <w:top w:val="nil"/>
            </w:tcBorders>
            <w:shd w:val="clear" w:color="auto" w:fill="auto"/>
          </w:tcPr>
          <w:p w14:paraId="5A192E86" w14:textId="77777777" w:rsidR="003C7B54" w:rsidRPr="002714AC" w:rsidRDefault="003C7B54" w:rsidP="00256757">
            <w:pPr>
              <w:pStyle w:val="TableText"/>
              <w:keepNext/>
            </w:pPr>
            <w:r w:rsidRPr="002714AC">
              <w:t>Underweight</w:t>
            </w:r>
          </w:p>
        </w:tc>
        <w:tc>
          <w:tcPr>
            <w:tcW w:w="2835" w:type="dxa"/>
            <w:tcBorders>
              <w:top w:val="nil"/>
            </w:tcBorders>
            <w:shd w:val="clear" w:color="auto" w:fill="auto"/>
          </w:tcPr>
          <w:p w14:paraId="131ABFF2" w14:textId="77777777" w:rsidR="003C7B54" w:rsidRPr="002714AC" w:rsidRDefault="003C7B54" w:rsidP="00256757">
            <w:pPr>
              <w:pStyle w:val="TableText"/>
              <w:keepNext/>
              <w:rPr>
                <w:highlight w:val="yellow"/>
              </w:rPr>
            </w:pPr>
            <w:r w:rsidRPr="002714AC">
              <w:t>&lt;18.50</w:t>
            </w:r>
          </w:p>
        </w:tc>
        <w:tc>
          <w:tcPr>
            <w:tcW w:w="2835" w:type="dxa"/>
            <w:tcBorders>
              <w:top w:val="nil"/>
            </w:tcBorders>
            <w:shd w:val="clear" w:color="auto" w:fill="auto"/>
          </w:tcPr>
          <w:p w14:paraId="044264A9" w14:textId="77777777" w:rsidR="003C7B54" w:rsidRPr="002714AC" w:rsidRDefault="003C7B54" w:rsidP="00256757">
            <w:pPr>
              <w:pStyle w:val="TableText"/>
              <w:keepNext/>
              <w:rPr>
                <w:highlight w:val="yellow"/>
              </w:rPr>
            </w:pPr>
            <w:r w:rsidRPr="002714AC">
              <w:t>Low risk</w:t>
            </w:r>
          </w:p>
        </w:tc>
      </w:tr>
      <w:tr w:rsidR="003C7B54" w:rsidRPr="002714AC" w14:paraId="1F4F5A10" w14:textId="77777777" w:rsidTr="005336EE">
        <w:trPr>
          <w:cantSplit/>
        </w:trPr>
        <w:tc>
          <w:tcPr>
            <w:tcW w:w="2410" w:type="dxa"/>
            <w:shd w:val="clear" w:color="auto" w:fill="auto"/>
          </w:tcPr>
          <w:p w14:paraId="12F4046A" w14:textId="77777777" w:rsidR="003C7B54" w:rsidRPr="002714AC" w:rsidRDefault="003C7B54" w:rsidP="00256757">
            <w:pPr>
              <w:pStyle w:val="TableText"/>
              <w:keepNext/>
            </w:pPr>
            <w:r w:rsidRPr="002714AC">
              <w:t>Normal range</w:t>
            </w:r>
          </w:p>
        </w:tc>
        <w:tc>
          <w:tcPr>
            <w:tcW w:w="2835" w:type="dxa"/>
            <w:shd w:val="clear" w:color="auto" w:fill="auto"/>
          </w:tcPr>
          <w:p w14:paraId="365A0B56" w14:textId="77777777" w:rsidR="003C7B54" w:rsidRPr="002714AC" w:rsidRDefault="003C7B54" w:rsidP="00256757">
            <w:pPr>
              <w:pStyle w:val="TableText"/>
              <w:keepNext/>
            </w:pPr>
            <w:r w:rsidRPr="002714AC">
              <w:t>18.50–24.99</w:t>
            </w:r>
          </w:p>
        </w:tc>
        <w:tc>
          <w:tcPr>
            <w:tcW w:w="2835" w:type="dxa"/>
            <w:shd w:val="clear" w:color="auto" w:fill="auto"/>
          </w:tcPr>
          <w:p w14:paraId="3771AEE5" w14:textId="77777777" w:rsidR="003C7B54" w:rsidRPr="002714AC" w:rsidRDefault="003C7B54" w:rsidP="00256757">
            <w:pPr>
              <w:pStyle w:val="TableText"/>
              <w:keepNext/>
            </w:pPr>
            <w:r w:rsidRPr="002714AC">
              <w:t>Average risk</w:t>
            </w:r>
          </w:p>
        </w:tc>
      </w:tr>
      <w:tr w:rsidR="003C7B54" w:rsidRPr="002714AC" w14:paraId="1CBE80EB" w14:textId="77777777" w:rsidTr="005336EE">
        <w:trPr>
          <w:cantSplit/>
        </w:trPr>
        <w:tc>
          <w:tcPr>
            <w:tcW w:w="2410" w:type="dxa"/>
            <w:shd w:val="clear" w:color="auto" w:fill="auto"/>
          </w:tcPr>
          <w:p w14:paraId="423EED9B" w14:textId="77777777" w:rsidR="003C7B54" w:rsidRPr="002714AC" w:rsidRDefault="003C7B54" w:rsidP="00256757">
            <w:pPr>
              <w:pStyle w:val="TableText"/>
              <w:keepNext/>
            </w:pPr>
            <w:r w:rsidRPr="002714AC">
              <w:t>Overweight</w:t>
            </w:r>
          </w:p>
        </w:tc>
        <w:tc>
          <w:tcPr>
            <w:tcW w:w="2835" w:type="dxa"/>
            <w:shd w:val="clear" w:color="auto" w:fill="auto"/>
          </w:tcPr>
          <w:p w14:paraId="032E2C54" w14:textId="77777777" w:rsidR="003C7B54" w:rsidRPr="002714AC" w:rsidRDefault="003C7B54" w:rsidP="00256757">
            <w:pPr>
              <w:pStyle w:val="TableText"/>
              <w:keepNext/>
            </w:pPr>
            <w:r w:rsidRPr="002714AC">
              <w:t>25.00–29.99</w:t>
            </w:r>
          </w:p>
        </w:tc>
        <w:tc>
          <w:tcPr>
            <w:tcW w:w="2835" w:type="dxa"/>
            <w:shd w:val="clear" w:color="auto" w:fill="auto"/>
          </w:tcPr>
          <w:p w14:paraId="1D673DE7" w14:textId="77777777" w:rsidR="003C7B54" w:rsidRPr="002714AC" w:rsidRDefault="003C7B54" w:rsidP="00256757">
            <w:pPr>
              <w:pStyle w:val="TableText"/>
              <w:keepNext/>
            </w:pPr>
            <w:r w:rsidRPr="002714AC">
              <w:t>Increased risk</w:t>
            </w:r>
          </w:p>
        </w:tc>
      </w:tr>
      <w:tr w:rsidR="003C7B54" w:rsidRPr="002714AC" w14:paraId="67623D81" w14:textId="77777777" w:rsidTr="005336EE">
        <w:trPr>
          <w:cantSplit/>
        </w:trPr>
        <w:tc>
          <w:tcPr>
            <w:tcW w:w="2410" w:type="dxa"/>
            <w:shd w:val="clear" w:color="auto" w:fill="auto"/>
          </w:tcPr>
          <w:p w14:paraId="5364721D" w14:textId="77777777" w:rsidR="003C7B54" w:rsidRPr="002714AC" w:rsidRDefault="003C7B54" w:rsidP="00256757">
            <w:pPr>
              <w:pStyle w:val="TableText"/>
              <w:keepNext/>
            </w:pPr>
            <w:r w:rsidRPr="002714AC">
              <w:t>Obese</w:t>
            </w:r>
          </w:p>
        </w:tc>
        <w:tc>
          <w:tcPr>
            <w:tcW w:w="2835" w:type="dxa"/>
            <w:shd w:val="clear" w:color="auto" w:fill="auto"/>
          </w:tcPr>
          <w:p w14:paraId="4F7AABF5" w14:textId="77777777" w:rsidR="003C7B54" w:rsidRPr="002714AC" w:rsidRDefault="003C7B54" w:rsidP="00256757">
            <w:pPr>
              <w:pStyle w:val="TableText"/>
              <w:keepNext/>
            </w:pPr>
            <w:r w:rsidRPr="002714AC">
              <w:sym w:font="Symbol" w:char="F0B3"/>
            </w:r>
            <w:r w:rsidRPr="002714AC">
              <w:t>30.00</w:t>
            </w:r>
          </w:p>
        </w:tc>
        <w:tc>
          <w:tcPr>
            <w:tcW w:w="2835" w:type="dxa"/>
            <w:shd w:val="clear" w:color="auto" w:fill="auto"/>
          </w:tcPr>
          <w:p w14:paraId="3023C5A6" w14:textId="77777777" w:rsidR="003C7B54" w:rsidRPr="002714AC" w:rsidRDefault="003C7B54" w:rsidP="00256757">
            <w:pPr>
              <w:pStyle w:val="TableText"/>
              <w:keepNext/>
            </w:pPr>
            <w:r w:rsidRPr="002714AC">
              <w:t>Substantially increased risk</w:t>
            </w:r>
          </w:p>
        </w:tc>
      </w:tr>
    </w:tbl>
    <w:p w14:paraId="3EDE73A7" w14:textId="77777777" w:rsidR="003C7B54" w:rsidRPr="002714AC" w:rsidRDefault="003C7B54" w:rsidP="003C7B54">
      <w:pPr>
        <w:pStyle w:val="Note"/>
      </w:pPr>
      <w:r w:rsidRPr="002714AC">
        <w:t>Note: Risk only includes health conditions associated with increasing BMI.</w:t>
      </w:r>
    </w:p>
    <w:p w14:paraId="770795D2" w14:textId="77777777" w:rsidR="003C7B54" w:rsidRPr="002714AC" w:rsidRDefault="003C7B54" w:rsidP="003C7B54">
      <w:pPr>
        <w:pStyle w:val="Source"/>
      </w:pPr>
      <w:r w:rsidRPr="002714AC">
        <w:t>Source: WHO 2007</w:t>
      </w:r>
    </w:p>
    <w:p w14:paraId="6A89F6EF" w14:textId="77777777" w:rsidR="00886EED" w:rsidRDefault="00886EED" w:rsidP="003C7B54"/>
    <w:p w14:paraId="4C966DE6" w14:textId="07E4AB3D" w:rsidR="003C7B54" w:rsidRDefault="003C7B54" w:rsidP="003C7B54">
      <w:r w:rsidRPr="00724EE0">
        <w:t>Details on the classification of overweight and obesity in children under 18 years can be found in Cole et al (2000, 2007).</w:t>
      </w:r>
    </w:p>
    <w:p w14:paraId="4202E11A" w14:textId="77777777" w:rsidR="003C7B54" w:rsidRPr="00724EE0" w:rsidRDefault="003C7B54" w:rsidP="003C7B54"/>
    <w:p w14:paraId="03828667" w14:textId="1C805F91" w:rsidR="003C7B54" w:rsidRPr="00724EE0" w:rsidRDefault="003C7B54" w:rsidP="003C7B54">
      <w:r w:rsidRPr="00724EE0">
        <w:t xml:space="preserve">There is an association between BMI and health risk (Asia Pacific Cohort Studies Collaboration 2004), and therefore data on BMI distribution, as well as BMI cut-offs, is useful. For this reason, this brief presents data on mean BMI </w:t>
      </w:r>
      <w:r w:rsidR="008063EB">
        <w:t xml:space="preserve">score </w:t>
      </w:r>
      <w:r w:rsidRPr="00724EE0">
        <w:t>and mean waist measurement (</w:t>
      </w:r>
      <w:r w:rsidR="002D3C0C">
        <w:t xml:space="preserve">centimetres, </w:t>
      </w:r>
      <w:r w:rsidRPr="00724EE0">
        <w:t>cm) as well as the prevalence of overweight and obesity.</w:t>
      </w:r>
    </w:p>
    <w:p w14:paraId="416ADCBC" w14:textId="77777777" w:rsidR="003C7B54" w:rsidRDefault="003C7B54" w:rsidP="003C7B54"/>
    <w:p w14:paraId="723BFC66" w14:textId="5617F90D" w:rsidR="003C7B54" w:rsidRPr="00D810D9" w:rsidRDefault="003C7B54" w:rsidP="003C7B54">
      <w:pPr>
        <w:pStyle w:val="Heading3"/>
      </w:pPr>
      <w:bookmarkStart w:id="87" w:name="_Toc19102316"/>
      <w:r w:rsidRPr="002714AC">
        <w:lastRenderedPageBreak/>
        <w:t>Body size for adults aged 15 and over</w:t>
      </w:r>
      <w:bookmarkEnd w:id="87"/>
    </w:p>
    <w:p w14:paraId="024EB81D" w14:textId="6418B8E3" w:rsidR="003C7B54" w:rsidRDefault="003C7B54" w:rsidP="003C7B54">
      <w:pPr>
        <w:pStyle w:val="Figure"/>
      </w:pPr>
      <w:bookmarkStart w:id="88" w:name="_Toc19101866"/>
      <w:r w:rsidRPr="00724EE0">
        <w:t>Figure 1</w:t>
      </w:r>
      <w:r>
        <w:t xml:space="preserve">5: Overweight, 15+ years, </w:t>
      </w:r>
      <w:r w:rsidRPr="00181EF3">
        <w:t xml:space="preserve">by </w:t>
      </w:r>
      <w:r>
        <w:t>gender</w:t>
      </w:r>
      <w:r w:rsidRPr="00181EF3">
        <w:t xml:space="preserve">, </w:t>
      </w:r>
      <w:r>
        <w:t xml:space="preserve">Māori and </w:t>
      </w:r>
      <w:r w:rsidR="00EC03A3">
        <w:t>non</w:t>
      </w:r>
      <w:r w:rsidR="00EC03A3">
        <w:noBreakHyphen/>
        <w:t>M</w:t>
      </w:r>
      <w:r>
        <w:t>āori, 2006/07–2016/17</w:t>
      </w:r>
      <w:bookmarkEnd w:id="88"/>
    </w:p>
    <w:p w14:paraId="20F9E91C" w14:textId="77777777" w:rsidR="003C7B54" w:rsidRPr="000737F7" w:rsidRDefault="003C7B54" w:rsidP="003C7B54">
      <w:pPr>
        <w:keepNext/>
      </w:pPr>
      <w:r w:rsidRPr="000737F7">
        <w:rPr>
          <w:noProof/>
          <w:lang w:eastAsia="en-NZ"/>
        </w:rPr>
        <w:drawing>
          <wp:inline distT="0" distB="0" distL="0" distR="0" wp14:anchorId="2E17E884" wp14:editId="36188674">
            <wp:extent cx="5130165" cy="2613315"/>
            <wp:effectExtent l="0" t="0" r="0" b="0"/>
            <wp:docPr id="329" name="Picture 329" descr="The graphs show that non-Māori men are most likely to be overweight. The rate for Māori men is the next highest, but declining over time. The rates for Māori and non-Māori women are comparable and relatively flat over time." title="Figure 15: Overweight – adults, age-standardised percentages (%), 2006/07–2016/17, by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130165" cy="2613315"/>
                    </a:xfrm>
                    <a:prstGeom prst="rect">
                      <a:avLst/>
                    </a:prstGeom>
                  </pic:spPr>
                </pic:pic>
              </a:graphicData>
            </a:graphic>
          </wp:inline>
        </w:drawing>
      </w:r>
    </w:p>
    <w:p w14:paraId="2E708FF9" w14:textId="77777777" w:rsidR="003C7B54" w:rsidRDefault="003C7B54" w:rsidP="00256757">
      <w:pPr>
        <w:pStyle w:val="Note"/>
        <w:keepNext/>
      </w:pPr>
      <w:r w:rsidRPr="00181EF3">
        <w:t>Note</w:t>
      </w:r>
      <w:r>
        <w:t>s</w:t>
      </w:r>
      <w:r w:rsidRPr="00181EF3">
        <w:t>:</w:t>
      </w:r>
    </w:p>
    <w:p w14:paraId="3CD08F89" w14:textId="04531EA4" w:rsidR="008A5642" w:rsidRDefault="00446D86" w:rsidP="00256757">
      <w:pPr>
        <w:pStyle w:val="Note"/>
        <w:keepNext/>
      </w:pPr>
      <w:r>
        <w:t>Figures are age-standardised to the 2001 Census total Māori population</w:t>
      </w:r>
      <w:r w:rsidR="003C7B54" w:rsidRPr="00181EF3">
        <w:t>.</w:t>
      </w:r>
    </w:p>
    <w:p w14:paraId="2B61CDBF" w14:textId="0B5451BE" w:rsidR="003C7B54" w:rsidRPr="00181EF3" w:rsidRDefault="003C7B54" w:rsidP="00256757">
      <w:pPr>
        <w:pStyle w:val="Note"/>
        <w:keepNext/>
      </w:pPr>
      <w:r>
        <w:t>Prioritised ethnicity has been used.</w:t>
      </w:r>
    </w:p>
    <w:p w14:paraId="52DB8EEA" w14:textId="77777777" w:rsidR="008A5642" w:rsidRDefault="003C7B54" w:rsidP="00256757">
      <w:pPr>
        <w:pStyle w:val="Note"/>
        <w:keepNext/>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54DE33AB" w14:textId="281F4660" w:rsidR="003C7B54" w:rsidRPr="00181EF3" w:rsidRDefault="003C7B54" w:rsidP="00256757">
      <w:pPr>
        <w:pStyle w:val="Note"/>
        <w:keepNext/>
      </w:pPr>
      <w:r w:rsidRPr="00181EF3">
        <w:t xml:space="preserve">Source: </w:t>
      </w:r>
      <w:r w:rsidR="009116B8">
        <w:t>New Zealand Health Survey (NZHS), Ministry of Health, 2006/07–2016/17.</w:t>
      </w:r>
    </w:p>
    <w:p w14:paraId="6B710D52" w14:textId="77777777" w:rsidR="003C7B54" w:rsidRPr="00181EF3" w:rsidRDefault="003C7B54" w:rsidP="00256757">
      <w:pPr>
        <w:keepNext/>
      </w:pPr>
    </w:p>
    <w:p w14:paraId="38302C0F" w14:textId="209B5C5C" w:rsidR="00A14D8B" w:rsidRDefault="00A14D8B" w:rsidP="00256757">
      <w:pPr>
        <w:keepNext/>
        <w:keepLines/>
      </w:pPr>
      <w:r w:rsidRPr="00724EE0">
        <w:t>The prevalence of being overweight declined slightly overtime for Māori</w:t>
      </w:r>
      <w:r>
        <w:t xml:space="preserve"> adults</w:t>
      </w:r>
      <w:r w:rsidRPr="00724EE0">
        <w:t xml:space="preserve"> aged 15</w:t>
      </w:r>
      <w:r>
        <w:t xml:space="preserve"> and over, particularly for Māori males (a decrease of 13 percent from 2006/07 to 2016/17 for Māori males). Figure 15 shows that </w:t>
      </w:r>
      <w:r w:rsidRPr="00724EE0">
        <w:t xml:space="preserve">Māori males were less likely than </w:t>
      </w:r>
      <w:r w:rsidR="00EC03A3">
        <w:t>non</w:t>
      </w:r>
      <w:r w:rsidR="00EC03A3">
        <w:noBreakHyphen/>
        <w:t>M</w:t>
      </w:r>
      <w:r w:rsidRPr="00724EE0">
        <w:t>āori males to be overweight</w:t>
      </w:r>
      <w:r>
        <w:t xml:space="preserve"> over time</w:t>
      </w:r>
      <w:r w:rsidRPr="00724EE0">
        <w:t xml:space="preserve">. Māori and </w:t>
      </w:r>
      <w:r w:rsidR="00EC03A3">
        <w:t>non</w:t>
      </w:r>
      <w:r w:rsidR="00EC03A3">
        <w:noBreakHyphen/>
        <w:t>M</w:t>
      </w:r>
      <w:r w:rsidRPr="00724EE0">
        <w:t>āori</w:t>
      </w:r>
      <w:r>
        <w:t xml:space="preserve"> </w:t>
      </w:r>
      <w:r w:rsidRPr="00724EE0">
        <w:t xml:space="preserve">females </w:t>
      </w:r>
      <w:r>
        <w:t xml:space="preserve">had similar prevalence of being </w:t>
      </w:r>
      <w:r w:rsidRPr="00724EE0">
        <w:t>overweight.</w:t>
      </w:r>
    </w:p>
    <w:p w14:paraId="3CE2C337" w14:textId="77777777" w:rsidR="009116B8" w:rsidRDefault="009116B8" w:rsidP="003C7B54"/>
    <w:p w14:paraId="2B1701CF" w14:textId="57E33A43" w:rsidR="003C7B54" w:rsidRDefault="003C7B54" w:rsidP="003C7B54">
      <w:pPr>
        <w:pStyle w:val="Figure"/>
      </w:pPr>
      <w:bookmarkStart w:id="89" w:name="_Toc19101867"/>
      <w:r w:rsidRPr="00724EE0">
        <w:lastRenderedPageBreak/>
        <w:t xml:space="preserve">Figure </w:t>
      </w:r>
      <w:r>
        <w:t>16</w:t>
      </w:r>
      <w:r w:rsidRPr="00724EE0">
        <w:t>:</w:t>
      </w:r>
      <w:r>
        <w:t xml:space="preserve"> Obese, 15+ years, </w:t>
      </w:r>
      <w:r w:rsidRPr="00181EF3">
        <w:t xml:space="preserve">by </w:t>
      </w:r>
      <w:r>
        <w:t>gender</w:t>
      </w:r>
      <w:r w:rsidRPr="00181EF3">
        <w:t xml:space="preserve">, </w:t>
      </w:r>
      <w:r>
        <w:t xml:space="preserve">Māori and </w:t>
      </w:r>
      <w:r w:rsidR="00EC03A3">
        <w:t>non</w:t>
      </w:r>
      <w:r w:rsidR="00EC03A3">
        <w:noBreakHyphen/>
        <w:t>M</w:t>
      </w:r>
      <w:r>
        <w:t>āori, 2006/07–2016/17</w:t>
      </w:r>
      <w:bookmarkEnd w:id="89"/>
    </w:p>
    <w:p w14:paraId="2CAD2B2E" w14:textId="77777777" w:rsidR="003C7B54" w:rsidRPr="000737F7" w:rsidRDefault="003C7B54" w:rsidP="00256757">
      <w:pPr>
        <w:keepNext/>
      </w:pPr>
      <w:r w:rsidRPr="000737F7">
        <w:rPr>
          <w:noProof/>
          <w:lang w:eastAsia="en-NZ"/>
        </w:rPr>
        <w:drawing>
          <wp:inline distT="0" distB="0" distL="0" distR="0" wp14:anchorId="3C43CA91" wp14:editId="5CA435E1">
            <wp:extent cx="5130165" cy="2613315"/>
            <wp:effectExtent l="0" t="0" r="0" b="0"/>
            <wp:docPr id="330" name="Picture 330" descr="The graphs show Māori of both genders are more likely to be obese than non-Māori. The rates for men and women of both groups are comparable." title="Figure 16: Obese – adults, age-standardised percentages (%), 2006/07–2016/17, by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130165" cy="2613315"/>
                    </a:xfrm>
                    <a:prstGeom prst="rect">
                      <a:avLst/>
                    </a:prstGeom>
                  </pic:spPr>
                </pic:pic>
              </a:graphicData>
            </a:graphic>
          </wp:inline>
        </w:drawing>
      </w:r>
    </w:p>
    <w:p w14:paraId="0A5E5A68" w14:textId="77777777" w:rsidR="003C7B54" w:rsidRDefault="003C7B54" w:rsidP="00256757">
      <w:pPr>
        <w:pStyle w:val="Note"/>
        <w:keepNext/>
      </w:pPr>
      <w:r w:rsidRPr="00181EF3">
        <w:t>Note</w:t>
      </w:r>
      <w:r>
        <w:t>s</w:t>
      </w:r>
      <w:r w:rsidRPr="00181EF3">
        <w:t>:</w:t>
      </w:r>
    </w:p>
    <w:p w14:paraId="32D43C1F" w14:textId="25893861" w:rsidR="008A5642" w:rsidRDefault="00446D86" w:rsidP="00256757">
      <w:pPr>
        <w:pStyle w:val="Note"/>
        <w:keepNext/>
      </w:pPr>
      <w:r>
        <w:t>Figures are age-standardised to the 2001 Census total Māori population</w:t>
      </w:r>
      <w:r w:rsidR="003C7B54" w:rsidRPr="00181EF3">
        <w:t>.</w:t>
      </w:r>
    </w:p>
    <w:p w14:paraId="1AA2BA2D" w14:textId="4C069022" w:rsidR="003C7B54" w:rsidRPr="00181EF3" w:rsidRDefault="003C7B54" w:rsidP="00256757">
      <w:pPr>
        <w:pStyle w:val="Note"/>
        <w:keepNext/>
      </w:pPr>
      <w:r>
        <w:t>Prioritised ethnicity has been used.</w:t>
      </w:r>
    </w:p>
    <w:p w14:paraId="66A23133" w14:textId="77777777" w:rsidR="008A5642" w:rsidRDefault="003C7B54" w:rsidP="00886EED">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28BF1451" w14:textId="13134DF3" w:rsidR="003C7B54" w:rsidRPr="00181EF3" w:rsidRDefault="003C7B54" w:rsidP="00886EED">
      <w:pPr>
        <w:pStyle w:val="Note"/>
      </w:pPr>
      <w:r w:rsidRPr="00181EF3">
        <w:t xml:space="preserve">Source: </w:t>
      </w:r>
      <w:r w:rsidR="009116B8">
        <w:t>New Zealand Health Survey (NZHS), Ministry of Health, 2006/07–2016/17.</w:t>
      </w:r>
    </w:p>
    <w:p w14:paraId="457B228B" w14:textId="77777777" w:rsidR="003C7B54" w:rsidRPr="00181EF3" w:rsidRDefault="003C7B54" w:rsidP="003C7B54"/>
    <w:p w14:paraId="1FE91467" w14:textId="2BE49CE0" w:rsidR="00A14D8B" w:rsidRDefault="00A14D8B" w:rsidP="00A14D8B">
      <w:r>
        <w:t>Figure 16 shows that t</w:t>
      </w:r>
      <w:r w:rsidRPr="00724EE0">
        <w:t xml:space="preserve">he prevalence of being obese has increased </w:t>
      </w:r>
      <w:r>
        <w:t xml:space="preserve">slightly </w:t>
      </w:r>
      <w:r w:rsidRPr="00724EE0">
        <w:t>over time</w:t>
      </w:r>
      <w:r>
        <w:t xml:space="preserve">. In 2016/17, 50 percent of Māori adults were obese compared </w:t>
      </w:r>
      <w:r w:rsidR="00FF1892">
        <w:t xml:space="preserve">with </w:t>
      </w:r>
      <w:r>
        <w:t xml:space="preserve">27 percent of </w:t>
      </w:r>
      <w:r w:rsidR="00EC03A3">
        <w:t>non</w:t>
      </w:r>
      <w:r w:rsidR="00EC03A3">
        <w:noBreakHyphen/>
        <w:t>M</w:t>
      </w:r>
      <w:r>
        <w:t xml:space="preserve">āori adults. In 2006/07, 41 percent of Māori were obese compared </w:t>
      </w:r>
      <w:r w:rsidR="00FF1892">
        <w:t xml:space="preserve">with </w:t>
      </w:r>
      <w:r>
        <w:t xml:space="preserve">22 percent of </w:t>
      </w:r>
      <w:r w:rsidR="00EC03A3">
        <w:t>non</w:t>
      </w:r>
      <w:r w:rsidR="00EC03A3">
        <w:noBreakHyphen/>
        <w:t>M</w:t>
      </w:r>
      <w:r>
        <w:t xml:space="preserve">āori. </w:t>
      </w:r>
      <w:r w:rsidRPr="00724EE0">
        <w:t xml:space="preserve">Māori adults were </w:t>
      </w:r>
      <w:r>
        <w:t xml:space="preserve">over 1½ </w:t>
      </w:r>
      <w:r w:rsidRPr="00724EE0">
        <w:t xml:space="preserve">times as likely to be obese as </w:t>
      </w:r>
      <w:r w:rsidR="00EC03A3">
        <w:t>non</w:t>
      </w:r>
      <w:r w:rsidR="00EC03A3">
        <w:noBreakHyphen/>
        <w:t>M</w:t>
      </w:r>
      <w:r w:rsidRPr="00724EE0">
        <w:t xml:space="preserve">āori adults, this difference remaining consistent </w:t>
      </w:r>
      <w:r>
        <w:t>between 2006/07 and 2016/17</w:t>
      </w:r>
      <w:r w:rsidRPr="00724EE0">
        <w:t>.</w:t>
      </w:r>
    </w:p>
    <w:p w14:paraId="4BC06818" w14:textId="77777777" w:rsidR="00A14D8B" w:rsidRDefault="00A14D8B" w:rsidP="00256757"/>
    <w:p w14:paraId="2F662ECC" w14:textId="00B3495E" w:rsidR="003C7B54" w:rsidRDefault="003C7B54" w:rsidP="00256757">
      <w:r w:rsidRPr="00724EE0">
        <w:t xml:space="preserve">Mean BMI scores show little change overtime for both Māori and </w:t>
      </w:r>
      <w:r w:rsidR="00EC03A3">
        <w:t>non</w:t>
      </w:r>
      <w:r w:rsidR="00EC03A3">
        <w:noBreakHyphen/>
        <w:t>M</w:t>
      </w:r>
      <w:r w:rsidRPr="00724EE0">
        <w:t>āori adults aged 15</w:t>
      </w:r>
      <w:r>
        <w:t xml:space="preserve"> and over. Māori adults had </w:t>
      </w:r>
      <w:r w:rsidR="00115334">
        <w:t xml:space="preserve">a mean </w:t>
      </w:r>
      <w:r>
        <w:t xml:space="preserve">BMI </w:t>
      </w:r>
      <w:r w:rsidR="00115334">
        <w:t>score</w:t>
      </w:r>
      <w:r>
        <w:t xml:space="preserve"> of around 30 kg/m</w:t>
      </w:r>
      <w:r>
        <w:rPr>
          <w:vertAlign w:val="superscript"/>
        </w:rPr>
        <w:t>2</w:t>
      </w:r>
      <w:r>
        <w:t xml:space="preserve"> over the time period compared </w:t>
      </w:r>
      <w:r w:rsidR="00FF1892">
        <w:t xml:space="preserve">with </w:t>
      </w:r>
      <w:r>
        <w:t>around 27 kg/m</w:t>
      </w:r>
      <w:r>
        <w:rPr>
          <w:vertAlign w:val="superscript"/>
        </w:rPr>
        <w:t>2</w:t>
      </w:r>
      <w:r>
        <w:t xml:space="preserve"> for </w:t>
      </w:r>
      <w:r w:rsidR="00EC03A3">
        <w:t>non</w:t>
      </w:r>
      <w:r w:rsidR="00EC03A3">
        <w:noBreakHyphen/>
        <w:t>M</w:t>
      </w:r>
      <w:r>
        <w:t>āori adults. There was little difference by gender.</w:t>
      </w:r>
    </w:p>
    <w:p w14:paraId="7E1E05EC" w14:textId="77777777" w:rsidR="003C7B54" w:rsidRDefault="003C7B54" w:rsidP="003C7B54"/>
    <w:p w14:paraId="60D62951" w14:textId="6D4D2A07" w:rsidR="003C7B54" w:rsidRPr="00724EE0" w:rsidRDefault="003C7B54" w:rsidP="003C7B54">
      <w:r>
        <w:t xml:space="preserve">There is similarly little substantial change over time when looking at waist measurement, Māori waist measurement increased slightly from 93.6 cm in 2006/07 to 96.6 cm in 2016/17 (compared </w:t>
      </w:r>
      <w:r w:rsidR="002D3C0C">
        <w:t xml:space="preserve">with </w:t>
      </w:r>
      <w:r>
        <w:t xml:space="preserve">87.8 cm and 89.5 cm for </w:t>
      </w:r>
      <w:r w:rsidR="00EC03A3">
        <w:t>non</w:t>
      </w:r>
      <w:r w:rsidR="00EC03A3">
        <w:noBreakHyphen/>
        <w:t>M</w:t>
      </w:r>
      <w:r>
        <w:t>āori).</w:t>
      </w:r>
    </w:p>
    <w:p w14:paraId="12FBE890" w14:textId="77777777" w:rsidR="003C7B54" w:rsidRDefault="003C7B54" w:rsidP="003C7B54"/>
    <w:p w14:paraId="65159182" w14:textId="77777777" w:rsidR="003C7B54" w:rsidRPr="00D810D9" w:rsidRDefault="003C7B54" w:rsidP="003C7B54">
      <w:pPr>
        <w:pStyle w:val="Heading3"/>
      </w:pPr>
      <w:bookmarkStart w:id="90" w:name="_Toc19102317"/>
      <w:r w:rsidRPr="002714AC">
        <w:lastRenderedPageBreak/>
        <w:t>Body size for children aged</w:t>
      </w:r>
      <w:r>
        <w:t xml:space="preserve"> </w:t>
      </w:r>
      <w:r w:rsidRPr="002714AC">
        <w:t>2–14 years</w:t>
      </w:r>
      <w:bookmarkEnd w:id="90"/>
    </w:p>
    <w:p w14:paraId="077C2715" w14:textId="375A991E" w:rsidR="003C7B54" w:rsidRDefault="003C7B54" w:rsidP="003C7B54">
      <w:pPr>
        <w:pStyle w:val="Figure"/>
      </w:pPr>
      <w:bookmarkStart w:id="91" w:name="_Toc19101868"/>
      <w:r w:rsidRPr="00724EE0">
        <w:t xml:space="preserve">Figure </w:t>
      </w:r>
      <w:r>
        <w:t>17</w:t>
      </w:r>
      <w:r w:rsidRPr="00724EE0">
        <w:t>:</w:t>
      </w:r>
      <w:r>
        <w:t xml:space="preserve"> Obese, 2–14 years, </w:t>
      </w:r>
      <w:r w:rsidRPr="00181EF3">
        <w:t xml:space="preserve">by </w:t>
      </w:r>
      <w:r>
        <w:t>gender</w:t>
      </w:r>
      <w:r w:rsidRPr="00181EF3">
        <w:t xml:space="preserve">, </w:t>
      </w:r>
      <w:r>
        <w:t xml:space="preserve">Māori and </w:t>
      </w:r>
      <w:r w:rsidR="00EC03A3">
        <w:t>non</w:t>
      </w:r>
      <w:r w:rsidR="00EC03A3">
        <w:noBreakHyphen/>
        <w:t>M</w:t>
      </w:r>
      <w:r>
        <w:t>āori, 2006/07–2016/17</w:t>
      </w:r>
      <w:bookmarkEnd w:id="91"/>
    </w:p>
    <w:p w14:paraId="29B0DFBA" w14:textId="0183B585" w:rsidR="00681D37" w:rsidRPr="00681D37" w:rsidRDefault="00681D37" w:rsidP="00681D37">
      <w:r>
        <w:rPr>
          <w:noProof/>
        </w:rPr>
        <w:drawing>
          <wp:inline distT="0" distB="0" distL="0" distR="0" wp14:anchorId="34D765B7" wp14:editId="2068E1BD">
            <wp:extent cx="5010150" cy="2989249"/>
            <wp:effectExtent l="0" t="0" r="0" b="1905"/>
            <wp:docPr id="345" name="Picture 345" descr="The graphs show Māori children are more likely to be obese than non-Māori children. Both rates have increased sinc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0293" cy="3001267"/>
                    </a:xfrm>
                    <a:prstGeom prst="rect">
                      <a:avLst/>
                    </a:prstGeom>
                    <a:noFill/>
                  </pic:spPr>
                </pic:pic>
              </a:graphicData>
            </a:graphic>
          </wp:inline>
        </w:drawing>
      </w:r>
    </w:p>
    <w:p w14:paraId="6F480F35" w14:textId="77777777" w:rsidR="003C7B54" w:rsidRDefault="003C7B54" w:rsidP="003C7B54">
      <w:pPr>
        <w:pStyle w:val="Note"/>
      </w:pPr>
      <w:r w:rsidRPr="00181EF3">
        <w:t>Note</w:t>
      </w:r>
      <w:r>
        <w:t>s</w:t>
      </w:r>
      <w:r w:rsidRPr="00181EF3">
        <w:t>:</w:t>
      </w:r>
    </w:p>
    <w:p w14:paraId="63FBEAD0" w14:textId="111D9EB8" w:rsidR="008A5642" w:rsidRDefault="00446D86" w:rsidP="003C7B54">
      <w:pPr>
        <w:pStyle w:val="Note"/>
      </w:pPr>
      <w:r>
        <w:t>Figures are age-standardised to the 2001 Census total Māori population</w:t>
      </w:r>
      <w:r w:rsidR="003C7B54" w:rsidRPr="00181EF3">
        <w:t>.</w:t>
      </w:r>
    </w:p>
    <w:p w14:paraId="4E666E03" w14:textId="77466E21" w:rsidR="003C7B54" w:rsidRPr="00181EF3" w:rsidRDefault="003C7B54" w:rsidP="00886EED">
      <w:pPr>
        <w:pStyle w:val="Note"/>
      </w:pPr>
      <w:r>
        <w:t>Prioritised ethnicity has been used.</w:t>
      </w:r>
    </w:p>
    <w:p w14:paraId="16398286" w14:textId="77777777" w:rsidR="008A5642" w:rsidRDefault="003C7B54" w:rsidP="00886EED">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2609ABFE" w14:textId="52EA73B7" w:rsidR="003C7B54" w:rsidRPr="00181EF3" w:rsidRDefault="003C7B54" w:rsidP="00886EED">
      <w:pPr>
        <w:pStyle w:val="Note"/>
      </w:pPr>
      <w:r w:rsidRPr="00181EF3">
        <w:t xml:space="preserve">Source: </w:t>
      </w:r>
      <w:r w:rsidR="009116B8">
        <w:t>New Zealand Health Survey (NZHS), Ministry of Health, 2006/07–2016/17.</w:t>
      </w:r>
    </w:p>
    <w:p w14:paraId="5C17E838" w14:textId="77777777" w:rsidR="003C7B54" w:rsidRDefault="003C7B54" w:rsidP="003C7B54"/>
    <w:p w14:paraId="1C3487FC" w14:textId="62C30FF5" w:rsidR="00A14D8B" w:rsidRDefault="00A14D8B" w:rsidP="00A14D8B">
      <w:r w:rsidRPr="00724EE0">
        <w:t xml:space="preserve">Māori children aged 2–14 years were more likely to be overweight than </w:t>
      </w:r>
      <w:r w:rsidR="00EC03A3">
        <w:t>non</w:t>
      </w:r>
      <w:r w:rsidR="00EC03A3">
        <w:noBreakHyphen/>
        <w:t>M</w:t>
      </w:r>
      <w:r w:rsidRPr="00724EE0">
        <w:t xml:space="preserve">āori </w:t>
      </w:r>
      <w:r>
        <w:t xml:space="preserve">children over the time period 2006/07 to 2016/17. In 2016/17 Māori children were </w:t>
      </w:r>
      <w:r w:rsidR="00681D37">
        <w:t>over</w:t>
      </w:r>
      <w:r>
        <w:t xml:space="preserve"> 1½ times as likely to be overweight as </w:t>
      </w:r>
      <w:r w:rsidR="00EC03A3">
        <w:t>non</w:t>
      </w:r>
      <w:r w:rsidR="00EC03A3">
        <w:noBreakHyphen/>
        <w:t>M</w:t>
      </w:r>
      <w:r>
        <w:t>āori children, these differences were consistent over time.</w:t>
      </w:r>
    </w:p>
    <w:p w14:paraId="265187A5" w14:textId="77777777" w:rsidR="00A14D8B" w:rsidRDefault="00A14D8B" w:rsidP="00A14D8B"/>
    <w:p w14:paraId="20CD8828" w14:textId="7DF7CEFD" w:rsidR="00A14D8B" w:rsidRDefault="00A14D8B" w:rsidP="00A14D8B">
      <w:r w:rsidRPr="00724EE0">
        <w:t xml:space="preserve">The prevalence of being obese has fluctuated over time </w:t>
      </w:r>
      <w:r>
        <w:t>for Māori children but overall showed an increase over time from 1</w:t>
      </w:r>
      <w:r w:rsidR="00681D37">
        <w:t>2</w:t>
      </w:r>
      <w:r>
        <w:t xml:space="preserve"> percent recorded as obese in 2006/07 to 1</w:t>
      </w:r>
      <w:r w:rsidR="00681D37">
        <w:t>7</w:t>
      </w:r>
      <w:r>
        <w:t xml:space="preserve"> percent in 2016/17 (compared </w:t>
      </w:r>
      <w:r w:rsidR="002D3C0C">
        <w:t xml:space="preserve">with </w:t>
      </w:r>
      <w:r>
        <w:t xml:space="preserve">7 percent and 10 percent for </w:t>
      </w:r>
      <w:r w:rsidR="00EC03A3">
        <w:t>non</w:t>
      </w:r>
      <w:r w:rsidR="00EC03A3">
        <w:noBreakHyphen/>
        <w:t>M</w:t>
      </w:r>
      <w:r>
        <w:t xml:space="preserve">āori children). </w:t>
      </w:r>
      <w:r w:rsidRPr="00724EE0">
        <w:t>In 2016/17</w:t>
      </w:r>
      <w:r>
        <w:t>,</w:t>
      </w:r>
      <w:r w:rsidRPr="00724EE0">
        <w:t xml:space="preserve"> Māori </w:t>
      </w:r>
      <w:r>
        <w:t>children</w:t>
      </w:r>
      <w:r w:rsidRPr="00724EE0">
        <w:t xml:space="preserve"> were </w:t>
      </w:r>
      <w:r w:rsidR="00681D37">
        <w:t>1.7</w:t>
      </w:r>
      <w:r w:rsidRPr="00724EE0">
        <w:t xml:space="preserve"> times </w:t>
      </w:r>
      <w:r>
        <w:t>as</w:t>
      </w:r>
      <w:r w:rsidRPr="00724EE0">
        <w:t xml:space="preserve"> likely to be obese </w:t>
      </w:r>
      <w:r>
        <w:t>as</w:t>
      </w:r>
      <w:r w:rsidRPr="00724EE0">
        <w:t xml:space="preserve"> </w:t>
      </w:r>
      <w:r w:rsidR="00EC03A3">
        <w:t>non</w:t>
      </w:r>
      <w:r w:rsidR="00EC03A3">
        <w:noBreakHyphen/>
        <w:t>M</w:t>
      </w:r>
      <w:r w:rsidRPr="00724EE0">
        <w:t>āori</w:t>
      </w:r>
      <w:r>
        <w:t xml:space="preserve"> children</w:t>
      </w:r>
      <w:r w:rsidRPr="00724EE0">
        <w:t>.</w:t>
      </w:r>
    </w:p>
    <w:p w14:paraId="07ED1763" w14:textId="77777777" w:rsidR="00A14D8B" w:rsidRDefault="00A14D8B" w:rsidP="003C7B54"/>
    <w:p w14:paraId="2DA6F4ED" w14:textId="7E717789" w:rsidR="003C7B54" w:rsidRDefault="003C7B54" w:rsidP="003C7B54">
      <w:r w:rsidRPr="00724EE0">
        <w:t xml:space="preserve">Māori children had slightly higher mean BMI </w:t>
      </w:r>
      <w:r>
        <w:t>scores</w:t>
      </w:r>
      <w:r w:rsidRPr="00724EE0">
        <w:t xml:space="preserve"> than </w:t>
      </w:r>
      <w:r w:rsidR="00EC03A3">
        <w:t>non</w:t>
      </w:r>
      <w:r w:rsidR="00EC03A3">
        <w:noBreakHyphen/>
        <w:t>M</w:t>
      </w:r>
      <w:r w:rsidRPr="00724EE0">
        <w:t>āori children</w:t>
      </w:r>
      <w:r>
        <w:t xml:space="preserve"> with little change over time</w:t>
      </w:r>
      <w:r w:rsidRPr="00724EE0">
        <w:t>.</w:t>
      </w:r>
      <w:r>
        <w:t xml:space="preserve"> Over time, Māori children had a </w:t>
      </w:r>
      <w:r w:rsidR="00115334">
        <w:t xml:space="preserve">mean </w:t>
      </w:r>
      <w:r>
        <w:t>BMI score of around 19</w:t>
      </w:r>
      <w:r w:rsidR="00115334">
        <w:t xml:space="preserve"> kg/m</w:t>
      </w:r>
      <w:r w:rsidR="00115334">
        <w:rPr>
          <w:vertAlign w:val="superscript"/>
        </w:rPr>
        <w:t>2</w:t>
      </w:r>
      <w:r>
        <w:t xml:space="preserve"> compared </w:t>
      </w:r>
      <w:r w:rsidR="00FF1892">
        <w:t xml:space="preserve">with </w:t>
      </w:r>
      <w:r>
        <w:t xml:space="preserve">around 18 </w:t>
      </w:r>
      <w:r w:rsidR="00115334">
        <w:t>kg/m</w:t>
      </w:r>
      <w:r w:rsidR="00115334">
        <w:rPr>
          <w:vertAlign w:val="superscript"/>
        </w:rPr>
        <w:t xml:space="preserve">2 </w:t>
      </w:r>
      <w:r>
        <w:t xml:space="preserve">for </w:t>
      </w:r>
      <w:r w:rsidR="00EC03A3">
        <w:t>non</w:t>
      </w:r>
      <w:r w:rsidR="00EC03A3">
        <w:noBreakHyphen/>
        <w:t>M</w:t>
      </w:r>
      <w:r>
        <w:t>āori children.</w:t>
      </w:r>
    </w:p>
    <w:p w14:paraId="790EF845" w14:textId="77777777" w:rsidR="003C7B54" w:rsidRDefault="003C7B54" w:rsidP="003C7B54"/>
    <w:p w14:paraId="4E57568B" w14:textId="47E8B935" w:rsidR="003C7B54" w:rsidRDefault="003C7B54" w:rsidP="003C7B54">
      <w:r>
        <w:t xml:space="preserve">There has been little change in mean waist measurements over time for both Māori and </w:t>
      </w:r>
      <w:r w:rsidR="00EC03A3">
        <w:t>non</w:t>
      </w:r>
      <w:r w:rsidR="00EC03A3">
        <w:noBreakHyphen/>
        <w:t>M</w:t>
      </w:r>
      <w:r>
        <w:t xml:space="preserve">āori children. Māori children had slightly higher mean waist measurements when comparing </w:t>
      </w:r>
      <w:r w:rsidR="00FF1892">
        <w:t xml:space="preserve">with </w:t>
      </w:r>
      <w:r w:rsidR="00EC03A3">
        <w:t>non</w:t>
      </w:r>
      <w:r w:rsidR="00EC03A3">
        <w:noBreakHyphen/>
        <w:t>M</w:t>
      </w:r>
      <w:r>
        <w:t>āori children, in 2016/17, Māori children had a measurement of 65.</w:t>
      </w:r>
      <w:r w:rsidR="00681D37">
        <w:t>7</w:t>
      </w:r>
      <w:r>
        <w:t xml:space="preserve"> </w:t>
      </w:r>
      <w:r w:rsidR="00115334">
        <w:t xml:space="preserve">cm </w:t>
      </w:r>
      <w:r>
        <w:t xml:space="preserve">compared </w:t>
      </w:r>
      <w:r w:rsidR="00FF1892">
        <w:t xml:space="preserve">with </w:t>
      </w:r>
      <w:r>
        <w:t>62.</w:t>
      </w:r>
      <w:r w:rsidR="00681D37">
        <w:t>2</w:t>
      </w:r>
      <w:r>
        <w:t xml:space="preserve"> </w:t>
      </w:r>
      <w:r w:rsidR="00115334">
        <w:t xml:space="preserve">cm </w:t>
      </w:r>
      <w:r>
        <w:t xml:space="preserve">for </w:t>
      </w:r>
      <w:r w:rsidR="00EC03A3">
        <w:t>non</w:t>
      </w:r>
      <w:r w:rsidR="00EC03A3">
        <w:noBreakHyphen/>
        <w:t>M</w:t>
      </w:r>
      <w:r>
        <w:t>āori children.</w:t>
      </w:r>
    </w:p>
    <w:p w14:paraId="36D619B5" w14:textId="77777777" w:rsidR="00256757" w:rsidRDefault="00256757" w:rsidP="003C7B54"/>
    <w:p w14:paraId="7C748C3B" w14:textId="77777777" w:rsidR="006631AA" w:rsidRDefault="006631AA">
      <w:pPr>
        <w:rPr>
          <w:b/>
          <w:color w:val="0A6AB4"/>
          <w:spacing w:val="-5"/>
          <w:sz w:val="48"/>
        </w:rPr>
      </w:pPr>
      <w:bookmarkStart w:id="92" w:name="_Toc19102318"/>
      <w:r>
        <w:br w:type="page"/>
      </w:r>
    </w:p>
    <w:p w14:paraId="4C9656ED" w14:textId="00C764D9" w:rsidR="001757F3" w:rsidRDefault="00256757">
      <w:pPr>
        <w:pStyle w:val="Heading2"/>
      </w:pPr>
      <w:r>
        <w:lastRenderedPageBreak/>
        <w:t>P</w:t>
      </w:r>
      <w:r w:rsidR="001757F3" w:rsidRPr="00181EF3">
        <w:t>hysical activity</w:t>
      </w:r>
      <w:bookmarkEnd w:id="92"/>
    </w:p>
    <w:p w14:paraId="3E919977" w14:textId="18A3062F" w:rsidR="001757F3" w:rsidRDefault="001757F3" w:rsidP="00256757">
      <w:pPr>
        <w:keepNext/>
      </w:pPr>
      <w:r w:rsidRPr="00181EF3">
        <w:rPr>
          <w:noProof/>
          <w:lang w:eastAsia="en-NZ"/>
        </w:rPr>
        <w:t xml:space="preserve">This </w:t>
      </w:r>
      <w:r>
        <w:rPr>
          <w:noProof/>
          <w:lang w:eastAsia="en-NZ"/>
        </w:rPr>
        <w:t>section</w:t>
      </w:r>
      <w:r w:rsidRPr="00181EF3">
        <w:rPr>
          <w:noProof/>
          <w:lang w:eastAsia="en-NZ"/>
        </w:rPr>
        <w:t xml:space="preserve"> presents results from the New Zealand Health Survey (NZHS) for </w:t>
      </w:r>
      <w:r>
        <w:rPr>
          <w:noProof/>
          <w:lang w:eastAsia="en-NZ"/>
        </w:rPr>
        <w:t xml:space="preserve">Māori and </w:t>
      </w:r>
      <w:r w:rsidR="00EC03A3">
        <w:rPr>
          <w:noProof/>
          <w:lang w:eastAsia="en-NZ"/>
        </w:rPr>
        <w:t>non</w:t>
      </w:r>
      <w:r w:rsidR="00EC03A3">
        <w:rPr>
          <w:noProof/>
          <w:lang w:eastAsia="en-NZ"/>
        </w:rPr>
        <w:noBreakHyphen/>
        <w:t>M</w:t>
      </w:r>
      <w:r>
        <w:rPr>
          <w:noProof/>
          <w:lang w:eastAsia="en-NZ"/>
        </w:rPr>
        <w:t>āori</w:t>
      </w:r>
      <w:r w:rsidRPr="00181EF3">
        <w:rPr>
          <w:noProof/>
          <w:lang w:eastAsia="en-NZ"/>
        </w:rPr>
        <w:t xml:space="preserve"> aged 15 and over for </w:t>
      </w:r>
      <w:r>
        <w:rPr>
          <w:noProof/>
          <w:lang w:eastAsia="en-NZ"/>
        </w:rPr>
        <w:t>physical activit</w:t>
      </w:r>
      <w:r w:rsidR="00256757">
        <w:rPr>
          <w:noProof/>
          <w:lang w:eastAsia="en-NZ"/>
        </w:rPr>
        <w:t>y</w:t>
      </w:r>
      <w:r>
        <w:rPr>
          <w:noProof/>
          <w:lang w:eastAsia="en-NZ"/>
        </w:rPr>
        <w:t xml:space="preserve">. </w:t>
      </w:r>
      <w:r>
        <w:t>T</w:t>
      </w:r>
      <w:r w:rsidRPr="00181EF3">
        <w:t xml:space="preserve">his </w:t>
      </w:r>
      <w:r>
        <w:t>is</w:t>
      </w:r>
      <w:r w:rsidRPr="00181EF3">
        <w:t xml:space="preserve"> self-reported behaviour, which may be an underestimate but it is the best data we have. This is useful for exploring changes over time because the survey method hasn’t changed.</w:t>
      </w:r>
    </w:p>
    <w:p w14:paraId="16C454D4" w14:textId="77777777" w:rsidR="00256757" w:rsidRPr="00181EF3" w:rsidRDefault="00256757" w:rsidP="00256757">
      <w:pPr>
        <w:keepNext/>
      </w:pPr>
    </w:p>
    <w:p w14:paraId="474485EB" w14:textId="77777777" w:rsidR="001757F3" w:rsidRPr="00181EF3" w:rsidRDefault="001757F3" w:rsidP="001757F3">
      <w:pPr>
        <w:pStyle w:val="Heading3"/>
      </w:pPr>
      <w:bookmarkStart w:id="93" w:name="_Toc19102319"/>
      <w:r w:rsidRPr="00181EF3">
        <w:t>What is the data telling us?</w:t>
      </w:r>
      <w:bookmarkEnd w:id="93"/>
    </w:p>
    <w:p w14:paraId="2AD27099" w14:textId="115C3BF1" w:rsidR="001757F3" w:rsidRPr="00181EF3" w:rsidRDefault="001757F3" w:rsidP="00ED14AD">
      <w:pPr>
        <w:pStyle w:val="Shadedboxtext"/>
      </w:pPr>
      <w:r w:rsidRPr="00181EF3">
        <w:t>Overall the data shows that</w:t>
      </w:r>
      <w:r w:rsidR="00ED14AD">
        <w:t xml:space="preserve"> M</w:t>
      </w:r>
      <w:r w:rsidRPr="00181EF3">
        <w:t xml:space="preserve">āori and </w:t>
      </w:r>
      <w:r w:rsidR="00EC03A3">
        <w:t>non</w:t>
      </w:r>
      <w:r w:rsidR="00EC03A3">
        <w:noBreakHyphen/>
        <w:t>M</w:t>
      </w:r>
      <w:r w:rsidRPr="00181EF3">
        <w:t>āori adults reported similar levels of physical activity over time.</w:t>
      </w:r>
    </w:p>
    <w:p w14:paraId="509EF247" w14:textId="77777777" w:rsidR="001757F3" w:rsidRPr="001757F3" w:rsidRDefault="001757F3" w:rsidP="001757F3"/>
    <w:p w14:paraId="7CC17D95" w14:textId="634B0E44" w:rsidR="001757F3" w:rsidRPr="00181EF3" w:rsidRDefault="001757F3" w:rsidP="001757F3">
      <w:pPr>
        <w:rPr>
          <w:rFonts w:cs="Arial Mäori"/>
          <w:color w:val="000000"/>
          <w:sz w:val="20"/>
        </w:rPr>
      </w:pPr>
      <w:r w:rsidRPr="00181EF3">
        <w:t>The Ministry of Health recommends that adults aged 18+ years do at least 30 minutes of moderate-intensity physical activity on most if not all days of the week</w:t>
      </w:r>
      <w:r w:rsidR="00EF17BE">
        <w:t xml:space="preserve"> </w:t>
      </w:r>
      <w:r w:rsidR="00E63739">
        <w:t>(</w:t>
      </w:r>
      <w:r w:rsidR="00EF17BE">
        <w:t>Ministry of Health 2015a)</w:t>
      </w:r>
      <w:r w:rsidRPr="00181EF3">
        <w:t xml:space="preserve">. </w:t>
      </w:r>
      <w:r w:rsidRPr="00181EF3">
        <w:rPr>
          <w:rFonts w:cs="Arial Mäori"/>
          <w:color w:val="000000"/>
        </w:rPr>
        <w:t>Regular physical activity is defined in the NZHS as at least 30 minutes of physical activity per day on five or more days of the week</w:t>
      </w:r>
      <w:r w:rsidRPr="00181EF3">
        <w:rPr>
          <w:rFonts w:cs="Arial Mäori"/>
          <w:color w:val="000000"/>
          <w:sz w:val="20"/>
        </w:rPr>
        <w:t>.</w:t>
      </w:r>
    </w:p>
    <w:p w14:paraId="25FBBDA2" w14:textId="77777777" w:rsidR="001757F3" w:rsidRPr="00181EF3" w:rsidRDefault="001757F3" w:rsidP="001757F3"/>
    <w:p w14:paraId="45A6B71C" w14:textId="7C9A723E" w:rsidR="001757F3" w:rsidRPr="00181EF3" w:rsidRDefault="001757F3" w:rsidP="001757F3">
      <w:r w:rsidRPr="00181EF3">
        <w:t xml:space="preserve">Māori and </w:t>
      </w:r>
      <w:r w:rsidR="00EC03A3">
        <w:t>non</w:t>
      </w:r>
      <w:r w:rsidR="00EC03A3">
        <w:noBreakHyphen/>
        <w:t>M</w:t>
      </w:r>
      <w:r w:rsidRPr="00181EF3">
        <w:t xml:space="preserve">āori adults reported similar levels of physical activity over time (Figure </w:t>
      </w:r>
      <w:r w:rsidR="00324B55">
        <w:t>18</w:t>
      </w:r>
      <w:r w:rsidRPr="00181EF3">
        <w:t>). Māori males were more likely to be physically active than Māori females.</w:t>
      </w:r>
    </w:p>
    <w:p w14:paraId="27CB7D0C" w14:textId="77777777" w:rsidR="001757F3" w:rsidRPr="00181EF3" w:rsidRDefault="001757F3" w:rsidP="001757F3"/>
    <w:p w14:paraId="448900F6" w14:textId="279778C1" w:rsidR="001757F3" w:rsidRPr="00181EF3" w:rsidRDefault="001757F3" w:rsidP="001757F3">
      <w:pPr>
        <w:pStyle w:val="Figure"/>
      </w:pPr>
      <w:bookmarkStart w:id="94" w:name="_Toc19101869"/>
      <w:r w:rsidRPr="00181EF3">
        <w:t xml:space="preserve">Figure </w:t>
      </w:r>
      <w:r w:rsidR="00324B55">
        <w:t>18</w:t>
      </w:r>
      <w:r w:rsidRPr="00181EF3">
        <w:t>: Regular physical activity</w:t>
      </w:r>
      <w:r w:rsidR="006D23F5">
        <w:t>,</w:t>
      </w:r>
      <w:r w:rsidRPr="00181EF3">
        <w:t xml:space="preserve"> </w:t>
      </w:r>
      <w:r w:rsidR="006D23F5">
        <w:t xml:space="preserve">15+ years, </w:t>
      </w:r>
      <w:r w:rsidR="006D23F5" w:rsidRPr="00181EF3">
        <w:t xml:space="preserve">by </w:t>
      </w:r>
      <w:r w:rsidR="006D23F5">
        <w:t>gender</w:t>
      </w:r>
      <w:r w:rsidR="006D23F5" w:rsidRPr="00181EF3">
        <w:t xml:space="preserve">, </w:t>
      </w:r>
      <w:r w:rsidR="006D23F5">
        <w:t xml:space="preserve">Māori and </w:t>
      </w:r>
      <w:r w:rsidR="00EC03A3">
        <w:t>non</w:t>
      </w:r>
      <w:r w:rsidR="00EC03A3">
        <w:noBreakHyphen/>
        <w:t>M</w:t>
      </w:r>
      <w:r w:rsidR="006D23F5">
        <w:t>āori</w:t>
      </w:r>
      <w:r w:rsidRPr="00181EF3">
        <w:t>, 2006/07–2016/17</w:t>
      </w:r>
      <w:bookmarkEnd w:id="94"/>
    </w:p>
    <w:p w14:paraId="56F6C1C5" w14:textId="77777777" w:rsidR="001757F3" w:rsidRPr="00181EF3" w:rsidRDefault="001757F3" w:rsidP="001757F3">
      <w:r w:rsidRPr="00181EF3">
        <w:rPr>
          <w:noProof/>
          <w:lang w:eastAsia="en-NZ"/>
        </w:rPr>
        <w:drawing>
          <wp:inline distT="0" distB="0" distL="0" distR="0" wp14:anchorId="180802D6" wp14:editId="7B5397FC">
            <wp:extent cx="5130165" cy="2613315"/>
            <wp:effectExtent l="0" t="0" r="0" b="0"/>
            <wp:docPr id="286" name="Picture 286" descr="The graphs show that Māori and non-Māori have similar rates of physical activity for both men and women." title="Figure 18: Regular physical activity – adults, age-standardised percentages (%), by sex, 2006/07–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130165" cy="2613315"/>
                    </a:xfrm>
                    <a:prstGeom prst="rect">
                      <a:avLst/>
                    </a:prstGeom>
                  </pic:spPr>
                </pic:pic>
              </a:graphicData>
            </a:graphic>
          </wp:inline>
        </w:drawing>
      </w:r>
    </w:p>
    <w:bookmarkEnd w:id="54"/>
    <w:p w14:paraId="53748BB1" w14:textId="77777777" w:rsidR="001757F3" w:rsidRDefault="001757F3" w:rsidP="001757F3">
      <w:pPr>
        <w:pStyle w:val="Note"/>
      </w:pPr>
      <w:r w:rsidRPr="00181EF3">
        <w:t>Note</w:t>
      </w:r>
      <w:r>
        <w:t>s</w:t>
      </w:r>
      <w:r w:rsidRPr="00181EF3">
        <w:t>:</w:t>
      </w:r>
    </w:p>
    <w:p w14:paraId="3A06079E" w14:textId="7AA2E86F" w:rsidR="008A5642" w:rsidRDefault="00446D86" w:rsidP="001757F3">
      <w:pPr>
        <w:pStyle w:val="Note"/>
      </w:pPr>
      <w:r>
        <w:t>Figures are age-standardised to the 2001 Census total Māori population</w:t>
      </w:r>
      <w:r w:rsidR="001757F3" w:rsidRPr="00181EF3">
        <w:t>.</w:t>
      </w:r>
    </w:p>
    <w:p w14:paraId="15D7643A" w14:textId="375103A8" w:rsidR="001757F3" w:rsidRPr="00181EF3" w:rsidRDefault="001757F3" w:rsidP="00886EED">
      <w:pPr>
        <w:pStyle w:val="Note"/>
      </w:pPr>
      <w:r>
        <w:t>Prioritised ethnicity has been used.</w:t>
      </w:r>
    </w:p>
    <w:p w14:paraId="1D5FCA70" w14:textId="77777777" w:rsidR="008A5642" w:rsidRDefault="001757F3" w:rsidP="00886EED">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69A756E1" w14:textId="145F0C19" w:rsidR="00ED14AD" w:rsidRDefault="001757F3" w:rsidP="00886EED">
      <w:pPr>
        <w:pStyle w:val="Note"/>
      </w:pPr>
      <w:r w:rsidRPr="00181EF3">
        <w:t xml:space="preserve">Source: </w:t>
      </w:r>
      <w:r w:rsidR="009116B8">
        <w:t>New Zealand Health Survey (NZHS), Ministry of Health, 2006/07–2016/17.</w:t>
      </w:r>
    </w:p>
    <w:p w14:paraId="53BCD234" w14:textId="77777777" w:rsidR="00A36841" w:rsidRDefault="00A36841" w:rsidP="00ED14AD"/>
    <w:p w14:paraId="54D2BE8C" w14:textId="77777777" w:rsidR="00ED14AD" w:rsidRPr="00344F81" w:rsidRDefault="00ED14AD" w:rsidP="00ED14AD">
      <w:pPr>
        <w:pStyle w:val="Heading2"/>
        <w:rPr>
          <w:noProof/>
          <w:lang w:eastAsia="en-NZ"/>
        </w:rPr>
      </w:pPr>
      <w:bookmarkStart w:id="95" w:name="_Toc14787445"/>
      <w:bookmarkStart w:id="96" w:name="_Toc19102320"/>
      <w:r w:rsidRPr="00344F81">
        <w:rPr>
          <w:noProof/>
          <w:lang w:eastAsia="en-NZ"/>
        </w:rPr>
        <w:lastRenderedPageBreak/>
        <w:t>Gambling</w:t>
      </w:r>
      <w:bookmarkEnd w:id="95"/>
      <w:bookmarkEnd w:id="96"/>
    </w:p>
    <w:p w14:paraId="33E4DD06" w14:textId="1BD9A591" w:rsidR="00ED14AD" w:rsidRDefault="00ED14AD" w:rsidP="00256757">
      <w:pPr>
        <w:keepNext/>
      </w:pPr>
      <w:r w:rsidRPr="00344F81">
        <w:rPr>
          <w:noProof/>
          <w:lang w:eastAsia="en-NZ"/>
        </w:rPr>
        <w:t xml:space="preserve">This </w:t>
      </w:r>
      <w:r>
        <w:rPr>
          <w:noProof/>
          <w:lang w:eastAsia="en-NZ"/>
        </w:rPr>
        <w:t>section</w:t>
      </w:r>
      <w:r w:rsidRPr="00344F81">
        <w:rPr>
          <w:noProof/>
          <w:lang w:eastAsia="en-NZ"/>
        </w:rPr>
        <w:t xml:space="preserve"> presents results for </w:t>
      </w:r>
      <w:r>
        <w:rPr>
          <w:noProof/>
          <w:lang w:eastAsia="en-NZ"/>
        </w:rPr>
        <w:t xml:space="preserve">Māori and </w:t>
      </w:r>
      <w:r w:rsidR="00EC03A3">
        <w:rPr>
          <w:noProof/>
          <w:lang w:eastAsia="en-NZ"/>
        </w:rPr>
        <w:t>non</w:t>
      </w:r>
      <w:r w:rsidR="00EC03A3">
        <w:rPr>
          <w:noProof/>
          <w:lang w:eastAsia="en-NZ"/>
        </w:rPr>
        <w:noBreakHyphen/>
        <w:t>M</w:t>
      </w:r>
      <w:r>
        <w:rPr>
          <w:noProof/>
          <w:lang w:eastAsia="en-NZ"/>
        </w:rPr>
        <w:t>āori adults</w:t>
      </w:r>
      <w:r w:rsidRPr="00344F81">
        <w:rPr>
          <w:noProof/>
          <w:lang w:eastAsia="en-NZ"/>
        </w:rPr>
        <w:t xml:space="preserve"> aged 15</w:t>
      </w:r>
      <w:r>
        <w:rPr>
          <w:noProof/>
          <w:lang w:eastAsia="en-NZ"/>
        </w:rPr>
        <w:t> </w:t>
      </w:r>
      <w:r w:rsidRPr="00344F81">
        <w:rPr>
          <w:noProof/>
          <w:lang w:eastAsia="en-NZ"/>
        </w:rPr>
        <w:t xml:space="preserve">and over for gambling. Results are shown for the two time periods (2006/07 and 2011/12) that the </w:t>
      </w:r>
      <w:r>
        <w:rPr>
          <w:noProof/>
          <w:lang w:eastAsia="en-NZ"/>
        </w:rPr>
        <w:t>New Zealand Healthy Survey (</w:t>
      </w:r>
      <w:r w:rsidRPr="00344F81">
        <w:rPr>
          <w:noProof/>
          <w:lang w:eastAsia="en-NZ"/>
        </w:rPr>
        <w:t>NZHS</w:t>
      </w:r>
      <w:r>
        <w:rPr>
          <w:noProof/>
          <w:lang w:eastAsia="en-NZ"/>
        </w:rPr>
        <w:t>)</w:t>
      </w:r>
      <w:r w:rsidRPr="00344F81">
        <w:rPr>
          <w:noProof/>
          <w:lang w:eastAsia="en-NZ"/>
        </w:rPr>
        <w:t xml:space="preserve"> collected gambling data.</w:t>
      </w:r>
      <w:r>
        <w:rPr>
          <w:noProof/>
          <w:lang w:eastAsia="en-NZ"/>
        </w:rPr>
        <w:t xml:space="preserve"> </w:t>
      </w:r>
      <w:r>
        <w:t>T</w:t>
      </w:r>
      <w:r w:rsidRPr="00181EF3">
        <w:t xml:space="preserve">his </w:t>
      </w:r>
      <w:r>
        <w:t>is</w:t>
      </w:r>
      <w:r w:rsidRPr="00181EF3">
        <w:t xml:space="preserve"> self-reported behaviour, which may be an underestimate but it is the best data we have.</w:t>
      </w:r>
    </w:p>
    <w:p w14:paraId="2AD78076" w14:textId="77777777" w:rsidR="00256757" w:rsidRPr="00344F81" w:rsidRDefault="00256757" w:rsidP="00256757">
      <w:pPr>
        <w:keepNext/>
        <w:rPr>
          <w:noProof/>
          <w:lang w:eastAsia="en-NZ"/>
        </w:rPr>
      </w:pPr>
    </w:p>
    <w:p w14:paraId="0F0E3D08" w14:textId="77777777" w:rsidR="00ED14AD" w:rsidRPr="00344F81" w:rsidRDefault="00ED14AD" w:rsidP="00ED14AD">
      <w:pPr>
        <w:pStyle w:val="Heading3"/>
      </w:pPr>
      <w:bookmarkStart w:id="97" w:name="_Toc19102321"/>
      <w:r w:rsidRPr="00344F81">
        <w:t>What is the data telling us?</w:t>
      </w:r>
      <w:bookmarkEnd w:id="97"/>
    </w:p>
    <w:p w14:paraId="30480F62" w14:textId="77777777" w:rsidR="00ED14AD" w:rsidRPr="005D120C" w:rsidRDefault="00ED14AD" w:rsidP="00ED14AD">
      <w:pPr>
        <w:pStyle w:val="Shadedboxtext"/>
      </w:pPr>
      <w:r w:rsidRPr="005D120C">
        <w:t>Overall the data shows that:</w:t>
      </w:r>
    </w:p>
    <w:p w14:paraId="5782F446" w14:textId="06F594DB" w:rsidR="00ED14AD" w:rsidRPr="005D120C" w:rsidRDefault="00ED14AD" w:rsidP="00ED14AD">
      <w:pPr>
        <w:pStyle w:val="Shadedboxbullet"/>
      </w:pPr>
      <w:r w:rsidRPr="005D120C">
        <w:t>In 2006/07, just over a quarter (28 percent) of Māori adults identified as ‘non</w:t>
      </w:r>
      <w:r>
        <w:noBreakHyphen/>
      </w:r>
      <w:r w:rsidRPr="005D120C">
        <w:t xml:space="preserve">gamblers’ compared </w:t>
      </w:r>
      <w:r w:rsidR="00FF1892">
        <w:t>with</w:t>
      </w:r>
      <w:r w:rsidR="00FF1892" w:rsidRPr="005D120C">
        <w:t xml:space="preserve"> </w:t>
      </w:r>
      <w:r w:rsidRPr="005D120C">
        <w:t>nearly half of all Māori adults in 2011/12 (48</w:t>
      </w:r>
      <w:r>
        <w:t> </w:t>
      </w:r>
      <w:r w:rsidRPr="005D120C">
        <w:t>percent).</w:t>
      </w:r>
    </w:p>
    <w:p w14:paraId="55E1FAD1" w14:textId="3F30F813" w:rsidR="00ED14AD" w:rsidRPr="005D120C" w:rsidRDefault="00ED14AD" w:rsidP="00ED14AD">
      <w:pPr>
        <w:pStyle w:val="Shadedboxbullet"/>
      </w:pPr>
      <w:r w:rsidRPr="005D120C">
        <w:t xml:space="preserve">Māori and </w:t>
      </w:r>
      <w:r w:rsidR="00EC03A3">
        <w:t>non</w:t>
      </w:r>
      <w:r w:rsidR="00EC03A3">
        <w:noBreakHyphen/>
        <w:t>M</w:t>
      </w:r>
      <w:r w:rsidRPr="005D120C">
        <w:t>āori adults equally likely to be non-gamblers by 2011/12.</w:t>
      </w:r>
    </w:p>
    <w:p w14:paraId="59601883" w14:textId="11BF6218" w:rsidR="00ED14AD" w:rsidRPr="005D120C" w:rsidRDefault="00ED14AD" w:rsidP="00ED14AD">
      <w:pPr>
        <w:pStyle w:val="Shadedboxbullet"/>
      </w:pPr>
      <w:r w:rsidRPr="005D120C">
        <w:t xml:space="preserve">Of those who had gambled (in the last 12 months at time of survey), Māori adults had higher rates of gambling at low risk, moderate risk and problem level gambling when compared </w:t>
      </w:r>
      <w:r w:rsidR="00FF1892">
        <w:t>with</w:t>
      </w:r>
      <w:r w:rsidR="00FF1892" w:rsidRPr="005D120C">
        <w:t xml:space="preserve"> </w:t>
      </w:r>
      <w:r w:rsidR="00EC03A3">
        <w:t>non</w:t>
      </w:r>
      <w:r w:rsidR="00EC03A3">
        <w:noBreakHyphen/>
        <w:t>M</w:t>
      </w:r>
      <w:r w:rsidRPr="005D120C">
        <w:t>āori adults.</w:t>
      </w:r>
    </w:p>
    <w:p w14:paraId="56994BB4" w14:textId="34EE51F0" w:rsidR="00ED14AD" w:rsidRPr="005D120C" w:rsidRDefault="00ED14AD" w:rsidP="00ED14AD">
      <w:pPr>
        <w:pStyle w:val="Shadedboxbullet"/>
      </w:pPr>
      <w:r w:rsidRPr="005D120C">
        <w:t xml:space="preserve">There was little difference between Māori and </w:t>
      </w:r>
      <w:r w:rsidR="00EC03A3">
        <w:t>non</w:t>
      </w:r>
      <w:r w:rsidR="00EC03A3">
        <w:noBreakHyphen/>
        <w:t>M</w:t>
      </w:r>
      <w:r w:rsidRPr="005D120C">
        <w:t>āori in relation to non</w:t>
      </w:r>
      <w:r>
        <w:noBreakHyphen/>
      </w:r>
      <w:r w:rsidRPr="005D120C">
        <w:t>problem/recreational gambling in both 2006/07 and 2011/12.</w:t>
      </w:r>
    </w:p>
    <w:p w14:paraId="51FA2ABB" w14:textId="2B559D3C" w:rsidR="00ED14AD" w:rsidRPr="005D120C" w:rsidRDefault="00ED14AD" w:rsidP="00ED14AD">
      <w:pPr>
        <w:pStyle w:val="Shadedboxbullet"/>
      </w:pPr>
      <w:r w:rsidRPr="005D120C">
        <w:t xml:space="preserve">Māori females are affected more by someone else’s gambling. In 2011/12, Māori females were </w:t>
      </w:r>
      <w:r>
        <w:t>2½</w:t>
      </w:r>
      <w:r w:rsidRPr="005D120C">
        <w:t xml:space="preserve"> times as likely as </w:t>
      </w:r>
      <w:r w:rsidR="00EC03A3">
        <w:t>non</w:t>
      </w:r>
      <w:r w:rsidR="00EC03A3">
        <w:noBreakHyphen/>
        <w:t>M</w:t>
      </w:r>
      <w:r w:rsidRPr="005D120C">
        <w:t>āori females to report experiencing problems because of someone else’s gambling.</w:t>
      </w:r>
    </w:p>
    <w:p w14:paraId="054628D2" w14:textId="77777777" w:rsidR="00ED14AD" w:rsidRPr="00344F81" w:rsidRDefault="00ED14AD" w:rsidP="00ED14AD"/>
    <w:p w14:paraId="6F98AE71" w14:textId="0C5F5A62" w:rsidR="00ED14AD" w:rsidRDefault="00ED14AD" w:rsidP="00256757">
      <w:pPr>
        <w:pStyle w:val="Heading3"/>
      </w:pPr>
      <w:bookmarkStart w:id="98" w:name="_Toc19102322"/>
      <w:r w:rsidRPr="00946825">
        <w:t>How is problem gambling measured in the NZHS?</w:t>
      </w:r>
      <w:bookmarkEnd w:id="98"/>
    </w:p>
    <w:p w14:paraId="4F69210E" w14:textId="77777777" w:rsidR="00ED14AD" w:rsidRPr="00946825" w:rsidRDefault="00ED14AD" w:rsidP="00256757">
      <w:pPr>
        <w:keepNext/>
      </w:pPr>
      <w:r>
        <w:t>Questions on problem gambling have been included in the core 2006/07 NZHS and then in 2011/12 as part of a module on ‘behaviours and risk factors’ when the NZHS moved to operate as a continuous survey comprising of a set of core questions and revolving modules. Questions on problem gambling have not been repeated since 2011/12.</w:t>
      </w:r>
    </w:p>
    <w:p w14:paraId="0F26079B" w14:textId="77777777" w:rsidR="00ED14AD" w:rsidRPr="00946825" w:rsidRDefault="00ED14AD" w:rsidP="00256757">
      <w:pPr>
        <w:keepNext/>
      </w:pPr>
    </w:p>
    <w:p w14:paraId="40FE7FE7" w14:textId="77777777" w:rsidR="00ED14AD" w:rsidRDefault="00ED14AD" w:rsidP="00256757">
      <w:pPr>
        <w:keepNext/>
      </w:pPr>
      <w:r>
        <w:t xml:space="preserve">The Problem Gambling Severity Index (PGSI) is a standardised measure of problem gambling (Ferris and Wynne 2001) that was included in both the 2006/07 and 2011/12 NZHS. The PGSI is a nine-item questionnaire that enquires about the following aspects of gambling behaviour over the last 12 months: loss of control; feelings of guilt; chasing losses; problem recognition; criticism; negative effects on health; motivation; financial problems; and borrowing. A final score is calculated and can range from zero </w:t>
      </w:r>
      <w:r>
        <w:lastRenderedPageBreak/>
        <w:t>through to a maximum of 27, with higher scores being indicative of a greater risk of problematic gambling.</w:t>
      </w:r>
    </w:p>
    <w:p w14:paraId="7E7D9C67" w14:textId="77777777" w:rsidR="00ED14AD" w:rsidRDefault="00ED14AD" w:rsidP="00256757">
      <w:pPr>
        <w:keepNext/>
      </w:pPr>
    </w:p>
    <w:p w14:paraId="33E6134E" w14:textId="77777777" w:rsidR="00ED14AD" w:rsidRDefault="00ED14AD" w:rsidP="00256757">
      <w:pPr>
        <w:keepNext/>
      </w:pPr>
      <w:r>
        <w:t>Table 16 outlines the four categories of gambling that people can be grouped under according to PGSI scores.</w:t>
      </w:r>
    </w:p>
    <w:p w14:paraId="1C7F62CB" w14:textId="77777777" w:rsidR="00ED14AD" w:rsidRDefault="00ED14AD" w:rsidP="00256757">
      <w:pPr>
        <w:keepNext/>
      </w:pPr>
    </w:p>
    <w:p w14:paraId="5DFDB5D9" w14:textId="77777777" w:rsidR="00ED14AD" w:rsidRDefault="00ED14AD" w:rsidP="00ED14AD">
      <w:pPr>
        <w:pStyle w:val="Table"/>
      </w:pPr>
      <w:bookmarkStart w:id="99" w:name="_Toc18594756"/>
      <w:r w:rsidRPr="00344F81">
        <w:t xml:space="preserve">Table </w:t>
      </w:r>
      <w:r>
        <w:t>16</w:t>
      </w:r>
      <w:r w:rsidRPr="00344F81">
        <w:t>: PGSI scores and categorisation</w:t>
      </w:r>
      <w:bookmarkEnd w:id="99"/>
    </w:p>
    <w:tbl>
      <w:tblPr>
        <w:tblW w:w="0" w:type="auto"/>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00" w:firstRow="0" w:lastRow="0" w:firstColumn="0" w:lastColumn="0" w:noHBand="0" w:noVBand="0"/>
      </w:tblPr>
      <w:tblGrid>
        <w:gridCol w:w="1701"/>
        <w:gridCol w:w="2552"/>
        <w:gridCol w:w="3827"/>
      </w:tblGrid>
      <w:tr w:rsidR="00ED14AD" w:rsidRPr="000C5737" w14:paraId="635899A0" w14:textId="77777777" w:rsidTr="005336EE">
        <w:trPr>
          <w:cantSplit/>
        </w:trPr>
        <w:tc>
          <w:tcPr>
            <w:tcW w:w="1701" w:type="dxa"/>
            <w:tcBorders>
              <w:top w:val="nil"/>
              <w:bottom w:val="nil"/>
            </w:tcBorders>
            <w:shd w:val="clear" w:color="auto" w:fill="D9D9D9" w:themeFill="background1" w:themeFillShade="D9"/>
          </w:tcPr>
          <w:p w14:paraId="69363732" w14:textId="77777777" w:rsidR="00ED14AD" w:rsidRPr="000C5737" w:rsidRDefault="00ED14AD" w:rsidP="005336EE">
            <w:pPr>
              <w:pStyle w:val="TableText"/>
              <w:rPr>
                <w:b/>
                <w:sz w:val="20"/>
              </w:rPr>
            </w:pPr>
            <w:r w:rsidRPr="000C5737">
              <w:rPr>
                <w:b/>
              </w:rPr>
              <w:t>PGSI score</w:t>
            </w:r>
          </w:p>
        </w:tc>
        <w:tc>
          <w:tcPr>
            <w:tcW w:w="2552" w:type="dxa"/>
            <w:tcBorders>
              <w:top w:val="nil"/>
              <w:bottom w:val="nil"/>
            </w:tcBorders>
            <w:shd w:val="clear" w:color="auto" w:fill="D9D9D9" w:themeFill="background1" w:themeFillShade="D9"/>
          </w:tcPr>
          <w:p w14:paraId="5FF0728C" w14:textId="77777777" w:rsidR="00ED14AD" w:rsidRPr="000C5737" w:rsidRDefault="00ED14AD" w:rsidP="005336EE">
            <w:pPr>
              <w:pStyle w:val="TableText"/>
              <w:rPr>
                <w:b/>
              </w:rPr>
            </w:pPr>
            <w:r w:rsidRPr="000C5737">
              <w:rPr>
                <w:b/>
              </w:rPr>
              <w:t>PGSI categorisation</w:t>
            </w:r>
          </w:p>
        </w:tc>
        <w:tc>
          <w:tcPr>
            <w:tcW w:w="3827" w:type="dxa"/>
            <w:tcBorders>
              <w:top w:val="nil"/>
              <w:bottom w:val="nil"/>
            </w:tcBorders>
            <w:shd w:val="clear" w:color="auto" w:fill="D9D9D9" w:themeFill="background1" w:themeFillShade="D9"/>
          </w:tcPr>
          <w:p w14:paraId="26674897" w14:textId="77777777" w:rsidR="00ED14AD" w:rsidRPr="000C5737" w:rsidRDefault="00ED14AD" w:rsidP="005336EE">
            <w:pPr>
              <w:pStyle w:val="TableText"/>
              <w:rPr>
                <w:b/>
              </w:rPr>
            </w:pPr>
            <w:r w:rsidRPr="000C5737">
              <w:rPr>
                <w:b/>
              </w:rPr>
              <w:t>Defining characteristics</w:t>
            </w:r>
          </w:p>
        </w:tc>
      </w:tr>
      <w:tr w:rsidR="00ED14AD" w:rsidRPr="00344F81" w14:paraId="2260F45F" w14:textId="77777777" w:rsidTr="005336EE">
        <w:trPr>
          <w:cantSplit/>
        </w:trPr>
        <w:tc>
          <w:tcPr>
            <w:tcW w:w="1701" w:type="dxa"/>
            <w:tcBorders>
              <w:top w:val="nil"/>
            </w:tcBorders>
            <w:shd w:val="clear" w:color="auto" w:fill="auto"/>
          </w:tcPr>
          <w:p w14:paraId="590A87FC" w14:textId="77777777" w:rsidR="00ED14AD" w:rsidRPr="00344F81" w:rsidRDefault="00ED14AD" w:rsidP="005336EE">
            <w:pPr>
              <w:pStyle w:val="TableText"/>
            </w:pPr>
            <w:r w:rsidRPr="00344F81">
              <w:t>0</w:t>
            </w:r>
          </w:p>
        </w:tc>
        <w:tc>
          <w:tcPr>
            <w:tcW w:w="2552" w:type="dxa"/>
            <w:tcBorders>
              <w:top w:val="nil"/>
            </w:tcBorders>
            <w:shd w:val="clear" w:color="auto" w:fill="auto"/>
          </w:tcPr>
          <w:p w14:paraId="040FA7DE" w14:textId="77777777" w:rsidR="00ED14AD" w:rsidRPr="00344F81" w:rsidRDefault="00ED14AD" w:rsidP="005336EE">
            <w:pPr>
              <w:pStyle w:val="TableText"/>
            </w:pPr>
            <w:r w:rsidRPr="00344F81">
              <w:t>Non-problematic / recreational gambling</w:t>
            </w:r>
          </w:p>
        </w:tc>
        <w:tc>
          <w:tcPr>
            <w:tcW w:w="3827" w:type="dxa"/>
            <w:tcBorders>
              <w:top w:val="nil"/>
            </w:tcBorders>
            <w:shd w:val="clear" w:color="auto" w:fill="auto"/>
          </w:tcPr>
          <w:p w14:paraId="67A7908A" w14:textId="77777777" w:rsidR="00ED14AD" w:rsidRPr="00344F81" w:rsidRDefault="00ED14AD" w:rsidP="005336EE">
            <w:pPr>
              <w:pStyle w:val="TableText"/>
            </w:pPr>
            <w:r w:rsidRPr="00344F81">
              <w:t>Gambling with no associated problems or negative impacts</w:t>
            </w:r>
          </w:p>
        </w:tc>
      </w:tr>
      <w:tr w:rsidR="00ED14AD" w:rsidRPr="00344F81" w14:paraId="4C08A8D5" w14:textId="77777777" w:rsidTr="005336EE">
        <w:trPr>
          <w:cantSplit/>
        </w:trPr>
        <w:tc>
          <w:tcPr>
            <w:tcW w:w="1701" w:type="dxa"/>
            <w:shd w:val="clear" w:color="auto" w:fill="auto"/>
          </w:tcPr>
          <w:p w14:paraId="7C8BAC1C" w14:textId="77777777" w:rsidR="00ED14AD" w:rsidRPr="00344F81" w:rsidRDefault="00ED14AD" w:rsidP="005336EE">
            <w:pPr>
              <w:pStyle w:val="TableText"/>
            </w:pPr>
            <w:r>
              <w:t>1 or 2</w:t>
            </w:r>
          </w:p>
        </w:tc>
        <w:tc>
          <w:tcPr>
            <w:tcW w:w="2552" w:type="dxa"/>
            <w:shd w:val="clear" w:color="auto" w:fill="auto"/>
          </w:tcPr>
          <w:p w14:paraId="1556B8F1" w14:textId="77777777" w:rsidR="00ED14AD" w:rsidRPr="00344F81" w:rsidRDefault="00ED14AD" w:rsidP="005336EE">
            <w:pPr>
              <w:pStyle w:val="TableText"/>
            </w:pPr>
            <w:r w:rsidRPr="00344F81">
              <w:t>Low-risk gambling</w:t>
            </w:r>
          </w:p>
        </w:tc>
        <w:tc>
          <w:tcPr>
            <w:tcW w:w="3827" w:type="dxa"/>
            <w:shd w:val="clear" w:color="auto" w:fill="auto"/>
          </w:tcPr>
          <w:p w14:paraId="3B01B850" w14:textId="77777777" w:rsidR="00ED14AD" w:rsidRPr="00344F81" w:rsidRDefault="00ED14AD" w:rsidP="005336EE">
            <w:pPr>
              <w:pStyle w:val="TableText"/>
            </w:pPr>
            <w:r w:rsidRPr="00344F81">
              <w:t>Low level of problems with few or no identified negative consequences</w:t>
            </w:r>
          </w:p>
        </w:tc>
      </w:tr>
      <w:tr w:rsidR="00ED14AD" w:rsidRPr="00344F81" w14:paraId="1145FC68" w14:textId="77777777" w:rsidTr="005336EE">
        <w:trPr>
          <w:cantSplit/>
        </w:trPr>
        <w:tc>
          <w:tcPr>
            <w:tcW w:w="1701" w:type="dxa"/>
            <w:shd w:val="clear" w:color="auto" w:fill="auto"/>
          </w:tcPr>
          <w:p w14:paraId="0341D012" w14:textId="77777777" w:rsidR="00ED14AD" w:rsidRPr="00344F81" w:rsidRDefault="00ED14AD" w:rsidP="005336EE">
            <w:pPr>
              <w:pStyle w:val="TableText"/>
            </w:pPr>
            <w:r w:rsidRPr="00344F81">
              <w:t>3 to 7</w:t>
            </w:r>
          </w:p>
        </w:tc>
        <w:tc>
          <w:tcPr>
            <w:tcW w:w="2552" w:type="dxa"/>
            <w:shd w:val="clear" w:color="auto" w:fill="auto"/>
          </w:tcPr>
          <w:p w14:paraId="0ED7EA1B" w14:textId="77777777" w:rsidR="00ED14AD" w:rsidRPr="00344F81" w:rsidRDefault="00ED14AD" w:rsidP="005336EE">
            <w:pPr>
              <w:pStyle w:val="TableText"/>
            </w:pPr>
            <w:r w:rsidRPr="00344F81">
              <w:t>Moderate-risk gambling</w:t>
            </w:r>
          </w:p>
        </w:tc>
        <w:tc>
          <w:tcPr>
            <w:tcW w:w="3827" w:type="dxa"/>
            <w:shd w:val="clear" w:color="auto" w:fill="auto"/>
          </w:tcPr>
          <w:p w14:paraId="0C3CBDB2" w14:textId="77777777" w:rsidR="00ED14AD" w:rsidRPr="00344F81" w:rsidRDefault="00ED14AD" w:rsidP="005336EE">
            <w:pPr>
              <w:pStyle w:val="TableText"/>
            </w:pPr>
            <w:r w:rsidRPr="00344F81">
              <w:t>Moderate level of problems leading to some negative consequences</w:t>
            </w:r>
          </w:p>
        </w:tc>
      </w:tr>
      <w:tr w:rsidR="00ED14AD" w:rsidRPr="00344F81" w14:paraId="17E03C5D" w14:textId="77777777" w:rsidTr="005336EE">
        <w:trPr>
          <w:cantSplit/>
        </w:trPr>
        <w:tc>
          <w:tcPr>
            <w:tcW w:w="1701" w:type="dxa"/>
            <w:shd w:val="clear" w:color="auto" w:fill="auto"/>
          </w:tcPr>
          <w:p w14:paraId="44F0D1BC" w14:textId="77777777" w:rsidR="00ED14AD" w:rsidRPr="00344F81" w:rsidRDefault="00ED14AD" w:rsidP="005336EE">
            <w:pPr>
              <w:pStyle w:val="TableText"/>
            </w:pPr>
            <w:r w:rsidRPr="00344F81">
              <w:t>8 or more</w:t>
            </w:r>
          </w:p>
        </w:tc>
        <w:tc>
          <w:tcPr>
            <w:tcW w:w="2552" w:type="dxa"/>
            <w:shd w:val="clear" w:color="auto" w:fill="auto"/>
          </w:tcPr>
          <w:p w14:paraId="65AAFCBA" w14:textId="77777777" w:rsidR="00ED14AD" w:rsidRPr="00344F81" w:rsidRDefault="00ED14AD" w:rsidP="005336EE">
            <w:pPr>
              <w:pStyle w:val="TableText"/>
            </w:pPr>
            <w:r w:rsidRPr="00344F81">
              <w:t>Problem gambling</w:t>
            </w:r>
          </w:p>
        </w:tc>
        <w:tc>
          <w:tcPr>
            <w:tcW w:w="3827" w:type="dxa"/>
            <w:shd w:val="clear" w:color="auto" w:fill="auto"/>
          </w:tcPr>
          <w:p w14:paraId="6BAE46D5" w14:textId="77777777" w:rsidR="00ED14AD" w:rsidRPr="00344F81" w:rsidRDefault="00ED14AD" w:rsidP="005336EE">
            <w:pPr>
              <w:pStyle w:val="TableText"/>
            </w:pPr>
            <w:r w:rsidRPr="00344F81">
              <w:t>Problem gambling with negative consequences and a possible loss of control</w:t>
            </w:r>
          </w:p>
        </w:tc>
      </w:tr>
    </w:tbl>
    <w:p w14:paraId="10786D51" w14:textId="6BB8A378" w:rsidR="00ED14AD" w:rsidRPr="00344F81" w:rsidRDefault="00ED14AD" w:rsidP="00ED14AD">
      <w:pPr>
        <w:pStyle w:val="Source"/>
      </w:pPr>
      <w:r w:rsidRPr="00344F81">
        <w:t>Source: Rossen 2015</w:t>
      </w:r>
      <w:r>
        <w:t>.</w:t>
      </w:r>
    </w:p>
    <w:p w14:paraId="7706725F" w14:textId="77777777" w:rsidR="00ED14AD" w:rsidRDefault="00ED14AD" w:rsidP="00ED14AD"/>
    <w:p w14:paraId="4D5E9E52" w14:textId="7AA36053" w:rsidR="00ED14AD" w:rsidRPr="000C5737" w:rsidRDefault="00ED14AD" w:rsidP="00ED14AD">
      <w:pPr>
        <w:pStyle w:val="Heading3"/>
      </w:pPr>
      <w:bookmarkStart w:id="100" w:name="_Toc19102323"/>
      <w:r w:rsidRPr="00344F81">
        <w:t>Gambling indicators</w:t>
      </w:r>
      <w:bookmarkEnd w:id="100"/>
    </w:p>
    <w:p w14:paraId="41EC9AB6" w14:textId="0973D4B1" w:rsidR="00ED14AD" w:rsidRPr="00307BB0" w:rsidRDefault="00ED14AD" w:rsidP="00ED14AD">
      <w:pPr>
        <w:pStyle w:val="Table"/>
      </w:pPr>
      <w:bookmarkStart w:id="101" w:name="_Toc18594757"/>
      <w:r>
        <w:t>Table 17</w:t>
      </w:r>
      <w:r w:rsidRPr="00307BB0">
        <w:t xml:space="preserve">: Gambling indicators for Māori and </w:t>
      </w:r>
      <w:r w:rsidR="00EC03A3">
        <w:t>non</w:t>
      </w:r>
      <w:r w:rsidR="00EC03A3">
        <w:noBreakHyphen/>
        <w:t>M</w:t>
      </w:r>
      <w:r w:rsidRPr="00307BB0">
        <w:t>āori in 2006/07 and 2011/12</w:t>
      </w:r>
      <w:bookmarkEnd w:id="101"/>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2127"/>
        <w:gridCol w:w="1488"/>
        <w:gridCol w:w="1488"/>
        <w:gridCol w:w="1488"/>
        <w:gridCol w:w="1489"/>
      </w:tblGrid>
      <w:tr w:rsidR="00ED14AD" w:rsidRPr="000C5737" w14:paraId="21B04246" w14:textId="77777777" w:rsidTr="005336EE">
        <w:trPr>
          <w:cantSplit/>
        </w:trPr>
        <w:tc>
          <w:tcPr>
            <w:tcW w:w="2127" w:type="dxa"/>
            <w:vMerge w:val="restart"/>
            <w:tcBorders>
              <w:top w:val="nil"/>
              <w:bottom w:val="nil"/>
              <w:right w:val="single" w:sz="4" w:space="0" w:color="A6A6A6" w:themeColor="background1" w:themeShade="A6"/>
            </w:tcBorders>
            <w:shd w:val="clear" w:color="auto" w:fill="D9D9D9" w:themeFill="background1" w:themeFillShade="D9"/>
          </w:tcPr>
          <w:p w14:paraId="2CF819AD" w14:textId="77777777" w:rsidR="00ED14AD" w:rsidRPr="000C5737" w:rsidRDefault="00ED14AD" w:rsidP="00256757">
            <w:pPr>
              <w:pStyle w:val="TableText"/>
              <w:keepNext/>
              <w:rPr>
                <w:b/>
              </w:rPr>
            </w:pPr>
            <w:r w:rsidRPr="000C5737">
              <w:rPr>
                <w:b/>
              </w:rPr>
              <w:t>NZHS indicator (percent)</w:t>
            </w:r>
          </w:p>
        </w:tc>
        <w:tc>
          <w:tcPr>
            <w:tcW w:w="2976" w:type="dxa"/>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14:paraId="44FDC85B" w14:textId="77777777" w:rsidR="00ED14AD" w:rsidRPr="000C5737" w:rsidRDefault="00ED14AD" w:rsidP="00256757">
            <w:pPr>
              <w:pStyle w:val="TableText"/>
              <w:keepNext/>
              <w:jc w:val="center"/>
              <w:rPr>
                <w:b/>
              </w:rPr>
            </w:pPr>
            <w:r w:rsidRPr="000C5737">
              <w:rPr>
                <w:b/>
              </w:rPr>
              <w:t>2006/07</w:t>
            </w:r>
          </w:p>
        </w:tc>
        <w:tc>
          <w:tcPr>
            <w:tcW w:w="2977" w:type="dxa"/>
            <w:gridSpan w:val="2"/>
            <w:tcBorders>
              <w:top w:val="nil"/>
              <w:left w:val="single" w:sz="4" w:space="0" w:color="A6A6A6" w:themeColor="background1" w:themeShade="A6"/>
              <w:bottom w:val="nil"/>
            </w:tcBorders>
            <w:shd w:val="clear" w:color="auto" w:fill="D9D9D9" w:themeFill="background1" w:themeFillShade="D9"/>
          </w:tcPr>
          <w:p w14:paraId="56FC21F9" w14:textId="77777777" w:rsidR="00ED14AD" w:rsidRPr="000C5737" w:rsidRDefault="00ED14AD" w:rsidP="00256757">
            <w:pPr>
              <w:pStyle w:val="TableText"/>
              <w:keepNext/>
              <w:jc w:val="center"/>
              <w:rPr>
                <w:b/>
              </w:rPr>
            </w:pPr>
            <w:r w:rsidRPr="000C5737">
              <w:rPr>
                <w:b/>
              </w:rPr>
              <w:t>2011/12</w:t>
            </w:r>
          </w:p>
        </w:tc>
      </w:tr>
      <w:tr w:rsidR="00ED14AD" w:rsidRPr="000C5737" w14:paraId="640FD2B5" w14:textId="77777777" w:rsidTr="005336EE">
        <w:trPr>
          <w:cantSplit/>
        </w:trPr>
        <w:tc>
          <w:tcPr>
            <w:tcW w:w="2127" w:type="dxa"/>
            <w:vMerge/>
            <w:tcBorders>
              <w:top w:val="nil"/>
              <w:bottom w:val="nil"/>
              <w:right w:val="single" w:sz="4" w:space="0" w:color="A6A6A6" w:themeColor="background1" w:themeShade="A6"/>
            </w:tcBorders>
            <w:shd w:val="clear" w:color="auto" w:fill="D9D9D9" w:themeFill="background1" w:themeFillShade="D9"/>
          </w:tcPr>
          <w:p w14:paraId="01EB31BA" w14:textId="77777777" w:rsidR="00ED14AD" w:rsidRPr="000C5737" w:rsidRDefault="00ED14AD" w:rsidP="00256757">
            <w:pPr>
              <w:pStyle w:val="TableText"/>
              <w:keepNext/>
              <w:rPr>
                <w:b/>
              </w:rPr>
            </w:pPr>
          </w:p>
        </w:tc>
        <w:tc>
          <w:tcPr>
            <w:tcW w:w="1488" w:type="dxa"/>
            <w:tcBorders>
              <w:top w:val="nil"/>
              <w:left w:val="single" w:sz="4" w:space="0" w:color="A6A6A6" w:themeColor="background1" w:themeShade="A6"/>
              <w:bottom w:val="nil"/>
            </w:tcBorders>
            <w:shd w:val="clear" w:color="auto" w:fill="D9D9D9" w:themeFill="background1" w:themeFillShade="D9"/>
          </w:tcPr>
          <w:p w14:paraId="36DF6C2F" w14:textId="77777777" w:rsidR="00ED14AD" w:rsidRPr="000C5737" w:rsidRDefault="00ED14AD" w:rsidP="00256757">
            <w:pPr>
              <w:pStyle w:val="TableText"/>
              <w:keepNext/>
              <w:spacing w:before="0"/>
              <w:jc w:val="center"/>
              <w:rPr>
                <w:b/>
              </w:rPr>
            </w:pPr>
            <w:r>
              <w:rPr>
                <w:b/>
              </w:rPr>
              <w:t>Māori</w:t>
            </w:r>
          </w:p>
        </w:tc>
        <w:tc>
          <w:tcPr>
            <w:tcW w:w="1488" w:type="dxa"/>
            <w:tcBorders>
              <w:top w:val="nil"/>
              <w:bottom w:val="nil"/>
              <w:right w:val="single" w:sz="4" w:space="0" w:color="A6A6A6" w:themeColor="background1" w:themeShade="A6"/>
            </w:tcBorders>
            <w:shd w:val="clear" w:color="auto" w:fill="D9D9D9" w:themeFill="background1" w:themeFillShade="D9"/>
          </w:tcPr>
          <w:p w14:paraId="34462915" w14:textId="791F8F7C" w:rsidR="00ED14AD" w:rsidRPr="000C5737" w:rsidRDefault="00EC03A3" w:rsidP="00256757">
            <w:pPr>
              <w:pStyle w:val="TableText"/>
              <w:keepNext/>
              <w:spacing w:before="0"/>
              <w:jc w:val="center"/>
              <w:rPr>
                <w:b/>
              </w:rPr>
            </w:pPr>
            <w:r>
              <w:rPr>
                <w:b/>
              </w:rPr>
              <w:t>Non</w:t>
            </w:r>
            <w:r>
              <w:rPr>
                <w:b/>
              </w:rPr>
              <w:noBreakHyphen/>
              <w:t>M</w:t>
            </w:r>
            <w:r w:rsidR="00ED14AD">
              <w:rPr>
                <w:b/>
              </w:rPr>
              <w:t>āori</w:t>
            </w:r>
          </w:p>
        </w:tc>
        <w:tc>
          <w:tcPr>
            <w:tcW w:w="1488" w:type="dxa"/>
            <w:tcBorders>
              <w:top w:val="nil"/>
              <w:left w:val="single" w:sz="4" w:space="0" w:color="A6A6A6" w:themeColor="background1" w:themeShade="A6"/>
              <w:bottom w:val="nil"/>
            </w:tcBorders>
            <w:shd w:val="clear" w:color="auto" w:fill="D9D9D9" w:themeFill="background1" w:themeFillShade="D9"/>
          </w:tcPr>
          <w:p w14:paraId="02A2EB97" w14:textId="77777777" w:rsidR="00ED14AD" w:rsidRPr="000C5737" w:rsidRDefault="00ED14AD" w:rsidP="00256757">
            <w:pPr>
              <w:pStyle w:val="TableText"/>
              <w:keepNext/>
              <w:spacing w:before="0"/>
              <w:jc w:val="center"/>
              <w:rPr>
                <w:b/>
              </w:rPr>
            </w:pPr>
            <w:r>
              <w:rPr>
                <w:b/>
              </w:rPr>
              <w:t>Māori</w:t>
            </w:r>
          </w:p>
        </w:tc>
        <w:tc>
          <w:tcPr>
            <w:tcW w:w="1489" w:type="dxa"/>
            <w:tcBorders>
              <w:top w:val="nil"/>
              <w:bottom w:val="nil"/>
            </w:tcBorders>
            <w:shd w:val="clear" w:color="auto" w:fill="D9D9D9" w:themeFill="background1" w:themeFillShade="D9"/>
          </w:tcPr>
          <w:p w14:paraId="3F34B4FB" w14:textId="3D1ECFF6" w:rsidR="00ED14AD" w:rsidRPr="000C5737" w:rsidRDefault="00EC03A3" w:rsidP="00256757">
            <w:pPr>
              <w:pStyle w:val="TableText"/>
              <w:keepNext/>
              <w:spacing w:before="0"/>
              <w:jc w:val="center"/>
              <w:rPr>
                <w:b/>
              </w:rPr>
            </w:pPr>
            <w:r>
              <w:rPr>
                <w:b/>
              </w:rPr>
              <w:t>Non</w:t>
            </w:r>
            <w:r>
              <w:rPr>
                <w:b/>
              </w:rPr>
              <w:noBreakHyphen/>
              <w:t>M</w:t>
            </w:r>
            <w:r w:rsidR="00ED14AD">
              <w:rPr>
                <w:b/>
              </w:rPr>
              <w:t>āori</w:t>
            </w:r>
          </w:p>
        </w:tc>
      </w:tr>
      <w:tr w:rsidR="00ED14AD" w:rsidRPr="00344F81" w14:paraId="4AF05070" w14:textId="77777777" w:rsidTr="005336EE">
        <w:trPr>
          <w:cantSplit/>
        </w:trPr>
        <w:tc>
          <w:tcPr>
            <w:tcW w:w="2127" w:type="dxa"/>
            <w:tcBorders>
              <w:top w:val="nil"/>
              <w:right w:val="single" w:sz="4" w:space="0" w:color="A6A6A6" w:themeColor="background1" w:themeShade="A6"/>
            </w:tcBorders>
            <w:shd w:val="clear" w:color="auto" w:fill="auto"/>
          </w:tcPr>
          <w:p w14:paraId="4E134C36" w14:textId="77777777" w:rsidR="00ED14AD" w:rsidRPr="00344F81" w:rsidRDefault="00ED14AD" w:rsidP="00256757">
            <w:pPr>
              <w:pStyle w:val="TableText"/>
              <w:keepNext/>
            </w:pPr>
            <w:r w:rsidRPr="00344F81">
              <w:t>Non-gambler</w:t>
            </w:r>
          </w:p>
        </w:tc>
        <w:tc>
          <w:tcPr>
            <w:tcW w:w="1488" w:type="dxa"/>
            <w:tcBorders>
              <w:top w:val="nil"/>
              <w:left w:val="single" w:sz="4" w:space="0" w:color="A6A6A6" w:themeColor="background1" w:themeShade="A6"/>
            </w:tcBorders>
            <w:shd w:val="clear" w:color="auto" w:fill="auto"/>
          </w:tcPr>
          <w:p w14:paraId="555F8104" w14:textId="77777777" w:rsidR="00ED14AD" w:rsidRPr="00344F81" w:rsidRDefault="00ED14AD" w:rsidP="00256757">
            <w:pPr>
              <w:pStyle w:val="TableText"/>
              <w:keepNext/>
              <w:spacing w:after="0"/>
              <w:jc w:val="center"/>
            </w:pPr>
            <w:r w:rsidRPr="00344F81">
              <w:t>28.1</w:t>
            </w:r>
          </w:p>
          <w:p w14:paraId="4BE568A5" w14:textId="77777777" w:rsidR="00ED14AD" w:rsidRPr="00344F81" w:rsidRDefault="00ED14AD" w:rsidP="00256757">
            <w:pPr>
              <w:pStyle w:val="TableText"/>
              <w:keepNext/>
              <w:spacing w:before="0"/>
              <w:jc w:val="center"/>
            </w:pPr>
            <w:r w:rsidRPr="00344F81">
              <w:t>(CI 26.2</w:t>
            </w:r>
            <w:r>
              <w:t>–</w:t>
            </w:r>
            <w:r w:rsidRPr="00344F81">
              <w:t>30.1)</w:t>
            </w:r>
          </w:p>
        </w:tc>
        <w:tc>
          <w:tcPr>
            <w:tcW w:w="1488" w:type="dxa"/>
            <w:tcBorders>
              <w:top w:val="nil"/>
              <w:right w:val="single" w:sz="4" w:space="0" w:color="A6A6A6" w:themeColor="background1" w:themeShade="A6"/>
            </w:tcBorders>
            <w:shd w:val="clear" w:color="auto" w:fill="auto"/>
          </w:tcPr>
          <w:p w14:paraId="3AEC54E3" w14:textId="77777777" w:rsidR="00ED14AD" w:rsidRPr="00344F81" w:rsidRDefault="00ED14AD" w:rsidP="00256757">
            <w:pPr>
              <w:pStyle w:val="TableText"/>
              <w:keepNext/>
              <w:spacing w:after="0"/>
              <w:jc w:val="center"/>
            </w:pPr>
            <w:r w:rsidRPr="00344F81">
              <w:t>37.6</w:t>
            </w:r>
          </w:p>
          <w:p w14:paraId="1781653B" w14:textId="77777777" w:rsidR="00ED14AD" w:rsidRPr="00344F81" w:rsidRDefault="00ED14AD" w:rsidP="00256757">
            <w:pPr>
              <w:pStyle w:val="TableText"/>
              <w:keepNext/>
              <w:spacing w:before="0"/>
              <w:jc w:val="center"/>
            </w:pPr>
            <w:r w:rsidRPr="00344F81">
              <w:t>(CI 36.2</w:t>
            </w:r>
            <w:r>
              <w:t>–</w:t>
            </w:r>
            <w:r w:rsidRPr="00344F81">
              <w:t>39.1)</w:t>
            </w:r>
          </w:p>
        </w:tc>
        <w:tc>
          <w:tcPr>
            <w:tcW w:w="1488" w:type="dxa"/>
            <w:tcBorders>
              <w:top w:val="nil"/>
              <w:left w:val="single" w:sz="4" w:space="0" w:color="A6A6A6" w:themeColor="background1" w:themeShade="A6"/>
            </w:tcBorders>
            <w:shd w:val="clear" w:color="auto" w:fill="auto"/>
          </w:tcPr>
          <w:p w14:paraId="5A1536F6" w14:textId="77777777" w:rsidR="00ED14AD" w:rsidRPr="00344F81" w:rsidRDefault="00ED14AD" w:rsidP="00256757">
            <w:pPr>
              <w:pStyle w:val="TableText"/>
              <w:keepNext/>
              <w:spacing w:after="0"/>
              <w:jc w:val="center"/>
            </w:pPr>
            <w:r w:rsidRPr="00344F81">
              <w:t>48.3</w:t>
            </w:r>
          </w:p>
          <w:p w14:paraId="7AEA73D9" w14:textId="77777777" w:rsidR="00ED14AD" w:rsidRPr="00344F81" w:rsidRDefault="00ED14AD" w:rsidP="00256757">
            <w:pPr>
              <w:pStyle w:val="TableText"/>
              <w:keepNext/>
              <w:spacing w:before="0"/>
              <w:jc w:val="center"/>
            </w:pPr>
            <w:r w:rsidRPr="00344F81">
              <w:t>(CI 45.0</w:t>
            </w:r>
            <w:r>
              <w:t>–</w:t>
            </w:r>
            <w:r w:rsidRPr="00344F81">
              <w:t>51.7)</w:t>
            </w:r>
          </w:p>
        </w:tc>
        <w:tc>
          <w:tcPr>
            <w:tcW w:w="1489" w:type="dxa"/>
            <w:tcBorders>
              <w:top w:val="nil"/>
            </w:tcBorders>
            <w:shd w:val="clear" w:color="auto" w:fill="auto"/>
          </w:tcPr>
          <w:p w14:paraId="0F6B4F09" w14:textId="77777777" w:rsidR="00ED14AD" w:rsidRPr="00344F81" w:rsidRDefault="00ED14AD" w:rsidP="00256757">
            <w:pPr>
              <w:pStyle w:val="TableText"/>
              <w:keepNext/>
              <w:spacing w:after="0"/>
              <w:jc w:val="center"/>
            </w:pPr>
            <w:r w:rsidRPr="00344F81">
              <w:t>51.1</w:t>
            </w:r>
          </w:p>
          <w:p w14:paraId="22C3C1D8" w14:textId="77777777" w:rsidR="00ED14AD" w:rsidRPr="00344F81" w:rsidRDefault="00ED14AD" w:rsidP="00256757">
            <w:pPr>
              <w:pStyle w:val="TableText"/>
              <w:keepNext/>
              <w:spacing w:before="0"/>
              <w:jc w:val="center"/>
            </w:pPr>
            <w:r w:rsidRPr="00344F81">
              <w:t>(49.1</w:t>
            </w:r>
            <w:r>
              <w:t>–</w:t>
            </w:r>
            <w:r w:rsidRPr="00344F81">
              <w:t>53.1)</w:t>
            </w:r>
          </w:p>
        </w:tc>
      </w:tr>
      <w:tr w:rsidR="00ED14AD" w:rsidRPr="00344F81" w14:paraId="23E53363" w14:textId="77777777" w:rsidTr="005336EE">
        <w:trPr>
          <w:cantSplit/>
        </w:trPr>
        <w:tc>
          <w:tcPr>
            <w:tcW w:w="2127" w:type="dxa"/>
            <w:tcBorders>
              <w:right w:val="single" w:sz="4" w:space="0" w:color="A6A6A6" w:themeColor="background1" w:themeShade="A6"/>
            </w:tcBorders>
            <w:shd w:val="clear" w:color="auto" w:fill="auto"/>
          </w:tcPr>
          <w:p w14:paraId="004AB1C8" w14:textId="77777777" w:rsidR="00ED14AD" w:rsidRPr="00344F81" w:rsidRDefault="00ED14AD" w:rsidP="00256757">
            <w:pPr>
              <w:pStyle w:val="TableText"/>
              <w:keepNext/>
            </w:pPr>
            <w:r w:rsidRPr="00344F81">
              <w:t>Non-</w:t>
            </w:r>
            <w:r>
              <w:t>p</w:t>
            </w:r>
            <w:r w:rsidRPr="00344F81">
              <w:t>roblematic/</w:t>
            </w:r>
            <w:r>
              <w:br/>
            </w:r>
            <w:r w:rsidRPr="00344F81">
              <w:t>recreational gambling</w:t>
            </w:r>
          </w:p>
        </w:tc>
        <w:tc>
          <w:tcPr>
            <w:tcW w:w="1488" w:type="dxa"/>
            <w:tcBorders>
              <w:left w:val="single" w:sz="4" w:space="0" w:color="A6A6A6" w:themeColor="background1" w:themeShade="A6"/>
            </w:tcBorders>
            <w:shd w:val="clear" w:color="auto" w:fill="auto"/>
          </w:tcPr>
          <w:p w14:paraId="4C92F802" w14:textId="77777777" w:rsidR="00ED14AD" w:rsidRPr="00344F81" w:rsidRDefault="00ED14AD" w:rsidP="00256757">
            <w:pPr>
              <w:pStyle w:val="TableText"/>
              <w:keepNext/>
              <w:spacing w:after="0"/>
              <w:jc w:val="center"/>
            </w:pPr>
            <w:r w:rsidRPr="00344F81">
              <w:t>60.0</w:t>
            </w:r>
          </w:p>
          <w:p w14:paraId="3D4140F7" w14:textId="77777777" w:rsidR="00ED14AD" w:rsidRPr="00344F81" w:rsidRDefault="00ED14AD" w:rsidP="00256757">
            <w:pPr>
              <w:pStyle w:val="TableText"/>
              <w:keepNext/>
              <w:spacing w:before="0"/>
              <w:jc w:val="center"/>
            </w:pPr>
            <w:r w:rsidRPr="00344F81">
              <w:t>(CI 58.0</w:t>
            </w:r>
            <w:r>
              <w:t>–</w:t>
            </w:r>
            <w:r w:rsidRPr="00344F81">
              <w:t>61.9)</w:t>
            </w:r>
          </w:p>
        </w:tc>
        <w:tc>
          <w:tcPr>
            <w:tcW w:w="1488" w:type="dxa"/>
            <w:tcBorders>
              <w:right w:val="single" w:sz="4" w:space="0" w:color="A6A6A6" w:themeColor="background1" w:themeShade="A6"/>
            </w:tcBorders>
            <w:shd w:val="clear" w:color="auto" w:fill="auto"/>
          </w:tcPr>
          <w:p w14:paraId="0B661C99" w14:textId="77777777" w:rsidR="00ED14AD" w:rsidRPr="00344F81" w:rsidRDefault="00ED14AD" w:rsidP="00256757">
            <w:pPr>
              <w:pStyle w:val="TableText"/>
              <w:keepNext/>
              <w:spacing w:after="0"/>
              <w:jc w:val="center"/>
            </w:pPr>
            <w:r w:rsidRPr="00344F81">
              <w:t>57.7</w:t>
            </w:r>
          </w:p>
          <w:p w14:paraId="6763DD64" w14:textId="77777777" w:rsidR="00ED14AD" w:rsidRPr="00344F81" w:rsidRDefault="00ED14AD" w:rsidP="00256757">
            <w:pPr>
              <w:pStyle w:val="TableText"/>
              <w:keepNext/>
              <w:spacing w:before="0"/>
              <w:jc w:val="center"/>
            </w:pPr>
            <w:r w:rsidRPr="00344F81">
              <w:t>(CI 56.2</w:t>
            </w:r>
            <w:r>
              <w:t>–</w:t>
            </w:r>
            <w:r w:rsidRPr="00344F81">
              <w:t>59.1)</w:t>
            </w:r>
          </w:p>
        </w:tc>
        <w:tc>
          <w:tcPr>
            <w:tcW w:w="1488" w:type="dxa"/>
            <w:tcBorders>
              <w:left w:val="single" w:sz="4" w:space="0" w:color="A6A6A6" w:themeColor="background1" w:themeShade="A6"/>
            </w:tcBorders>
            <w:shd w:val="clear" w:color="auto" w:fill="auto"/>
          </w:tcPr>
          <w:p w14:paraId="7D312DED" w14:textId="77777777" w:rsidR="00ED14AD" w:rsidRPr="00344F81" w:rsidRDefault="00ED14AD" w:rsidP="00256757">
            <w:pPr>
              <w:pStyle w:val="TableText"/>
              <w:keepNext/>
              <w:spacing w:after="0"/>
              <w:jc w:val="center"/>
            </w:pPr>
            <w:r w:rsidRPr="00344F81">
              <w:t>44.8</w:t>
            </w:r>
          </w:p>
          <w:p w14:paraId="62BBCCD0" w14:textId="77777777" w:rsidR="00ED14AD" w:rsidRPr="00344F81" w:rsidRDefault="00ED14AD" w:rsidP="00256757">
            <w:pPr>
              <w:pStyle w:val="TableText"/>
              <w:keepNext/>
              <w:spacing w:before="0"/>
              <w:jc w:val="center"/>
            </w:pPr>
            <w:r w:rsidRPr="00344F81">
              <w:t>(CI 41.7</w:t>
            </w:r>
            <w:r>
              <w:t>–</w:t>
            </w:r>
            <w:r w:rsidRPr="00344F81">
              <w:t>48.0)</w:t>
            </w:r>
          </w:p>
        </w:tc>
        <w:tc>
          <w:tcPr>
            <w:tcW w:w="1489" w:type="dxa"/>
            <w:shd w:val="clear" w:color="auto" w:fill="auto"/>
          </w:tcPr>
          <w:p w14:paraId="59AD412B" w14:textId="77777777" w:rsidR="00ED14AD" w:rsidRPr="00344F81" w:rsidRDefault="00ED14AD" w:rsidP="00256757">
            <w:pPr>
              <w:pStyle w:val="TableText"/>
              <w:keepNext/>
              <w:spacing w:after="0"/>
              <w:jc w:val="center"/>
            </w:pPr>
            <w:r w:rsidRPr="00344F81">
              <w:t>46.0</w:t>
            </w:r>
          </w:p>
          <w:p w14:paraId="66AA0741" w14:textId="77777777" w:rsidR="00ED14AD" w:rsidRPr="00344F81" w:rsidRDefault="00ED14AD" w:rsidP="00256757">
            <w:pPr>
              <w:pStyle w:val="TableText"/>
              <w:keepNext/>
              <w:spacing w:before="0"/>
              <w:jc w:val="center"/>
            </w:pPr>
            <w:r w:rsidRPr="00344F81">
              <w:t>(CI 44.1</w:t>
            </w:r>
            <w:r>
              <w:t>–</w:t>
            </w:r>
            <w:r w:rsidRPr="00344F81">
              <w:t>48.0)</w:t>
            </w:r>
          </w:p>
        </w:tc>
      </w:tr>
      <w:tr w:rsidR="00ED14AD" w:rsidRPr="00344F81" w14:paraId="64295814" w14:textId="77777777" w:rsidTr="005336EE">
        <w:trPr>
          <w:cantSplit/>
        </w:trPr>
        <w:tc>
          <w:tcPr>
            <w:tcW w:w="2127" w:type="dxa"/>
            <w:tcBorders>
              <w:right w:val="single" w:sz="4" w:space="0" w:color="A6A6A6" w:themeColor="background1" w:themeShade="A6"/>
            </w:tcBorders>
            <w:shd w:val="clear" w:color="auto" w:fill="auto"/>
          </w:tcPr>
          <w:p w14:paraId="2AF13096" w14:textId="77777777" w:rsidR="00ED14AD" w:rsidRPr="00344F81" w:rsidRDefault="00ED14AD" w:rsidP="00256757">
            <w:pPr>
              <w:pStyle w:val="TableText"/>
              <w:keepNext/>
            </w:pPr>
            <w:r w:rsidRPr="00344F81">
              <w:t>Low-risk gambling</w:t>
            </w:r>
          </w:p>
        </w:tc>
        <w:tc>
          <w:tcPr>
            <w:tcW w:w="1488" w:type="dxa"/>
            <w:tcBorders>
              <w:left w:val="single" w:sz="4" w:space="0" w:color="A6A6A6" w:themeColor="background1" w:themeShade="A6"/>
            </w:tcBorders>
            <w:shd w:val="clear" w:color="auto" w:fill="auto"/>
          </w:tcPr>
          <w:p w14:paraId="01E1B93F" w14:textId="77777777" w:rsidR="00ED14AD" w:rsidRPr="00344F81" w:rsidRDefault="00ED14AD" w:rsidP="00256757">
            <w:pPr>
              <w:pStyle w:val="TableText"/>
              <w:keepNext/>
              <w:spacing w:after="0"/>
              <w:jc w:val="center"/>
            </w:pPr>
            <w:r w:rsidRPr="00344F81">
              <w:t>6.6</w:t>
            </w:r>
          </w:p>
          <w:p w14:paraId="4B8C55B1" w14:textId="77777777" w:rsidR="00ED14AD" w:rsidRPr="00344F81" w:rsidRDefault="00ED14AD" w:rsidP="00256757">
            <w:pPr>
              <w:pStyle w:val="TableText"/>
              <w:keepNext/>
              <w:spacing w:before="0"/>
              <w:jc w:val="center"/>
            </w:pPr>
            <w:r w:rsidRPr="00344F81">
              <w:t>(</w:t>
            </w:r>
            <w:r>
              <w:t xml:space="preserve">CI </w:t>
            </w:r>
            <w:r w:rsidRPr="00344F81">
              <w:t>5.6</w:t>
            </w:r>
            <w:r>
              <w:t>–</w:t>
            </w:r>
            <w:r w:rsidRPr="00344F81">
              <w:t>7.9)</w:t>
            </w:r>
          </w:p>
        </w:tc>
        <w:tc>
          <w:tcPr>
            <w:tcW w:w="1488" w:type="dxa"/>
            <w:tcBorders>
              <w:right w:val="single" w:sz="4" w:space="0" w:color="A6A6A6" w:themeColor="background1" w:themeShade="A6"/>
            </w:tcBorders>
            <w:shd w:val="clear" w:color="auto" w:fill="auto"/>
          </w:tcPr>
          <w:p w14:paraId="61C03CCB" w14:textId="77777777" w:rsidR="00ED14AD" w:rsidRPr="00344F81" w:rsidRDefault="00ED14AD" w:rsidP="00256757">
            <w:pPr>
              <w:pStyle w:val="TableText"/>
              <w:keepNext/>
              <w:spacing w:after="0"/>
              <w:jc w:val="center"/>
            </w:pPr>
            <w:r w:rsidRPr="00344F81">
              <w:t>3.3</w:t>
            </w:r>
          </w:p>
          <w:p w14:paraId="26E93241" w14:textId="77777777" w:rsidR="00ED14AD" w:rsidRPr="00344F81" w:rsidRDefault="00ED14AD" w:rsidP="00256757">
            <w:pPr>
              <w:pStyle w:val="TableText"/>
              <w:keepNext/>
              <w:spacing w:before="0"/>
              <w:jc w:val="center"/>
            </w:pPr>
            <w:r w:rsidRPr="00344F81">
              <w:t>(CI 2.9</w:t>
            </w:r>
            <w:r>
              <w:t>–</w:t>
            </w:r>
            <w:r w:rsidRPr="00344F81">
              <w:t>3.8)</w:t>
            </w:r>
          </w:p>
        </w:tc>
        <w:tc>
          <w:tcPr>
            <w:tcW w:w="1488" w:type="dxa"/>
            <w:tcBorders>
              <w:left w:val="single" w:sz="4" w:space="0" w:color="A6A6A6" w:themeColor="background1" w:themeShade="A6"/>
            </w:tcBorders>
            <w:shd w:val="clear" w:color="auto" w:fill="auto"/>
          </w:tcPr>
          <w:p w14:paraId="5B39C0C7" w14:textId="77777777" w:rsidR="00ED14AD" w:rsidRPr="00344F81" w:rsidRDefault="00ED14AD" w:rsidP="00256757">
            <w:pPr>
              <w:pStyle w:val="TableText"/>
              <w:keepNext/>
              <w:spacing w:after="0"/>
              <w:jc w:val="center"/>
            </w:pPr>
            <w:r w:rsidRPr="00344F81">
              <w:t>3.6</w:t>
            </w:r>
          </w:p>
          <w:p w14:paraId="51A571FA" w14:textId="77777777" w:rsidR="00ED14AD" w:rsidRPr="00344F81" w:rsidRDefault="00ED14AD" w:rsidP="00256757">
            <w:pPr>
              <w:pStyle w:val="TableText"/>
              <w:keepNext/>
              <w:spacing w:before="0"/>
              <w:jc w:val="center"/>
            </w:pPr>
            <w:r>
              <w:t>(</w:t>
            </w:r>
            <w:r w:rsidRPr="00344F81">
              <w:t>CI 2.8</w:t>
            </w:r>
            <w:r>
              <w:t>–</w:t>
            </w:r>
            <w:r w:rsidRPr="00344F81">
              <w:t>4.7)</w:t>
            </w:r>
          </w:p>
        </w:tc>
        <w:tc>
          <w:tcPr>
            <w:tcW w:w="1489" w:type="dxa"/>
            <w:shd w:val="clear" w:color="auto" w:fill="auto"/>
          </w:tcPr>
          <w:p w14:paraId="53125BEF" w14:textId="77777777" w:rsidR="00ED14AD" w:rsidRPr="00344F81" w:rsidRDefault="00ED14AD" w:rsidP="00256757">
            <w:pPr>
              <w:pStyle w:val="TableText"/>
              <w:keepNext/>
              <w:spacing w:after="0"/>
              <w:jc w:val="center"/>
            </w:pPr>
            <w:r w:rsidRPr="00344F81">
              <w:t>1.9</w:t>
            </w:r>
          </w:p>
          <w:p w14:paraId="025DD10C" w14:textId="77777777" w:rsidR="00ED14AD" w:rsidRPr="00344F81" w:rsidRDefault="00ED14AD" w:rsidP="00256757">
            <w:pPr>
              <w:pStyle w:val="TableText"/>
              <w:keepNext/>
              <w:spacing w:before="0"/>
              <w:jc w:val="center"/>
            </w:pPr>
            <w:r w:rsidRPr="00344F81">
              <w:t>(CI 1.5</w:t>
            </w:r>
            <w:r>
              <w:t>–</w:t>
            </w:r>
            <w:r w:rsidRPr="00344F81">
              <w:t>2.3)</w:t>
            </w:r>
          </w:p>
        </w:tc>
      </w:tr>
      <w:tr w:rsidR="00ED14AD" w:rsidRPr="00344F81" w14:paraId="1B6B0FF0" w14:textId="77777777" w:rsidTr="005336EE">
        <w:trPr>
          <w:cantSplit/>
        </w:trPr>
        <w:tc>
          <w:tcPr>
            <w:tcW w:w="2127" w:type="dxa"/>
            <w:tcBorders>
              <w:right w:val="single" w:sz="4" w:space="0" w:color="A6A6A6" w:themeColor="background1" w:themeShade="A6"/>
            </w:tcBorders>
            <w:shd w:val="clear" w:color="auto" w:fill="auto"/>
          </w:tcPr>
          <w:p w14:paraId="2124E33E" w14:textId="77777777" w:rsidR="00ED14AD" w:rsidRPr="00344F81" w:rsidRDefault="00ED14AD" w:rsidP="00256757">
            <w:pPr>
              <w:pStyle w:val="TableText"/>
              <w:keepNext/>
            </w:pPr>
            <w:r w:rsidRPr="00344F81">
              <w:t>Moderate-risk gambling</w:t>
            </w:r>
          </w:p>
        </w:tc>
        <w:tc>
          <w:tcPr>
            <w:tcW w:w="1488" w:type="dxa"/>
            <w:tcBorders>
              <w:left w:val="single" w:sz="4" w:space="0" w:color="A6A6A6" w:themeColor="background1" w:themeShade="A6"/>
            </w:tcBorders>
            <w:shd w:val="clear" w:color="auto" w:fill="auto"/>
          </w:tcPr>
          <w:p w14:paraId="1F2E8230" w14:textId="77777777" w:rsidR="00ED14AD" w:rsidRPr="00344F81" w:rsidRDefault="00ED14AD" w:rsidP="00256757">
            <w:pPr>
              <w:pStyle w:val="TableText"/>
              <w:keepNext/>
              <w:spacing w:after="0"/>
              <w:jc w:val="center"/>
            </w:pPr>
            <w:r w:rsidRPr="00344F81">
              <w:t>3.5</w:t>
            </w:r>
          </w:p>
          <w:p w14:paraId="56453BE9" w14:textId="77777777" w:rsidR="00ED14AD" w:rsidRPr="00344F81" w:rsidRDefault="00ED14AD" w:rsidP="00256757">
            <w:pPr>
              <w:pStyle w:val="TableText"/>
              <w:keepNext/>
              <w:spacing w:before="0"/>
              <w:jc w:val="center"/>
            </w:pPr>
            <w:r w:rsidRPr="00344F81">
              <w:t>(CI 2.8</w:t>
            </w:r>
            <w:r>
              <w:t>–</w:t>
            </w:r>
            <w:r w:rsidRPr="00344F81">
              <w:t>4.4)</w:t>
            </w:r>
          </w:p>
        </w:tc>
        <w:tc>
          <w:tcPr>
            <w:tcW w:w="1488" w:type="dxa"/>
            <w:tcBorders>
              <w:right w:val="single" w:sz="4" w:space="0" w:color="A6A6A6" w:themeColor="background1" w:themeShade="A6"/>
            </w:tcBorders>
            <w:shd w:val="clear" w:color="auto" w:fill="auto"/>
          </w:tcPr>
          <w:p w14:paraId="391836A2" w14:textId="77777777" w:rsidR="00ED14AD" w:rsidRPr="00344F81" w:rsidRDefault="00ED14AD" w:rsidP="00256757">
            <w:pPr>
              <w:pStyle w:val="TableText"/>
              <w:keepNext/>
              <w:spacing w:after="0"/>
              <w:jc w:val="center"/>
            </w:pPr>
            <w:r w:rsidRPr="00344F81">
              <w:t>1.1</w:t>
            </w:r>
          </w:p>
          <w:p w14:paraId="70F4A849" w14:textId="77777777" w:rsidR="00ED14AD" w:rsidRPr="00344F81" w:rsidRDefault="00ED14AD" w:rsidP="00256757">
            <w:pPr>
              <w:pStyle w:val="TableText"/>
              <w:keepNext/>
              <w:spacing w:before="0"/>
              <w:jc w:val="center"/>
            </w:pPr>
            <w:r w:rsidRPr="00344F81">
              <w:t>(CI 0.9</w:t>
            </w:r>
            <w:r>
              <w:t>–</w:t>
            </w:r>
            <w:r w:rsidRPr="00344F81">
              <w:t>1.4)</w:t>
            </w:r>
          </w:p>
        </w:tc>
        <w:tc>
          <w:tcPr>
            <w:tcW w:w="1488" w:type="dxa"/>
            <w:tcBorders>
              <w:left w:val="single" w:sz="4" w:space="0" w:color="A6A6A6" w:themeColor="background1" w:themeShade="A6"/>
            </w:tcBorders>
            <w:shd w:val="clear" w:color="auto" w:fill="auto"/>
          </w:tcPr>
          <w:p w14:paraId="74E8E4A3" w14:textId="77777777" w:rsidR="00ED14AD" w:rsidRPr="00344F81" w:rsidRDefault="00ED14AD" w:rsidP="00256757">
            <w:pPr>
              <w:pStyle w:val="TableText"/>
              <w:keepNext/>
              <w:spacing w:after="0"/>
              <w:jc w:val="center"/>
            </w:pPr>
            <w:r w:rsidRPr="00344F81">
              <w:t>2.7</w:t>
            </w:r>
          </w:p>
          <w:p w14:paraId="2598459D" w14:textId="77777777" w:rsidR="00ED14AD" w:rsidRPr="00344F81" w:rsidRDefault="00ED14AD" w:rsidP="00256757">
            <w:pPr>
              <w:pStyle w:val="TableText"/>
              <w:keepNext/>
              <w:spacing w:before="0"/>
              <w:jc w:val="center"/>
            </w:pPr>
            <w:r w:rsidRPr="00344F81">
              <w:t>(CI 1.9</w:t>
            </w:r>
            <w:r>
              <w:t>–</w:t>
            </w:r>
            <w:r w:rsidRPr="00344F81">
              <w:t>3.6)</w:t>
            </w:r>
          </w:p>
        </w:tc>
        <w:tc>
          <w:tcPr>
            <w:tcW w:w="1489" w:type="dxa"/>
            <w:shd w:val="clear" w:color="auto" w:fill="auto"/>
          </w:tcPr>
          <w:p w14:paraId="5DB37060" w14:textId="77777777" w:rsidR="00ED14AD" w:rsidRPr="00344F81" w:rsidRDefault="00ED14AD" w:rsidP="00256757">
            <w:pPr>
              <w:pStyle w:val="TableText"/>
              <w:keepNext/>
              <w:spacing w:after="0"/>
              <w:jc w:val="center"/>
            </w:pPr>
            <w:r w:rsidRPr="00344F81">
              <w:t>0.7</w:t>
            </w:r>
          </w:p>
          <w:p w14:paraId="47EAF2A2" w14:textId="77777777" w:rsidR="00ED14AD" w:rsidRPr="00344F81" w:rsidRDefault="00ED14AD" w:rsidP="00256757">
            <w:pPr>
              <w:pStyle w:val="TableText"/>
              <w:keepNext/>
              <w:spacing w:before="0"/>
              <w:jc w:val="center"/>
            </w:pPr>
            <w:r w:rsidRPr="00344F81">
              <w:t>(CI 0.5</w:t>
            </w:r>
            <w:r>
              <w:t>–</w:t>
            </w:r>
            <w:r w:rsidRPr="00344F81">
              <w:t>1.0)</w:t>
            </w:r>
          </w:p>
        </w:tc>
      </w:tr>
      <w:tr w:rsidR="00ED14AD" w:rsidRPr="00344F81" w14:paraId="07D9BA3A" w14:textId="77777777" w:rsidTr="005336EE">
        <w:trPr>
          <w:cantSplit/>
        </w:trPr>
        <w:tc>
          <w:tcPr>
            <w:tcW w:w="2127" w:type="dxa"/>
            <w:tcBorders>
              <w:right w:val="single" w:sz="4" w:space="0" w:color="A6A6A6" w:themeColor="background1" w:themeShade="A6"/>
            </w:tcBorders>
            <w:shd w:val="clear" w:color="auto" w:fill="auto"/>
          </w:tcPr>
          <w:p w14:paraId="754F30EB" w14:textId="77777777" w:rsidR="00ED14AD" w:rsidRPr="00344F81" w:rsidRDefault="00ED14AD" w:rsidP="00256757">
            <w:pPr>
              <w:pStyle w:val="TableText"/>
              <w:keepNext/>
            </w:pPr>
            <w:r w:rsidRPr="00344F81">
              <w:t>Problem gambling*</w:t>
            </w:r>
          </w:p>
        </w:tc>
        <w:tc>
          <w:tcPr>
            <w:tcW w:w="1488" w:type="dxa"/>
            <w:tcBorders>
              <w:left w:val="single" w:sz="4" w:space="0" w:color="A6A6A6" w:themeColor="background1" w:themeShade="A6"/>
            </w:tcBorders>
            <w:shd w:val="clear" w:color="auto" w:fill="auto"/>
          </w:tcPr>
          <w:p w14:paraId="7A149331" w14:textId="77777777" w:rsidR="00ED14AD" w:rsidRPr="00344F81" w:rsidRDefault="00ED14AD" w:rsidP="00256757">
            <w:pPr>
              <w:pStyle w:val="TableText"/>
              <w:keepNext/>
              <w:spacing w:after="0"/>
              <w:jc w:val="center"/>
            </w:pPr>
            <w:r w:rsidRPr="00344F81">
              <w:t>1.7</w:t>
            </w:r>
          </w:p>
          <w:p w14:paraId="025FA754" w14:textId="77777777" w:rsidR="00ED14AD" w:rsidRPr="00344F81" w:rsidRDefault="00ED14AD" w:rsidP="00256757">
            <w:pPr>
              <w:pStyle w:val="TableText"/>
              <w:keepNext/>
              <w:spacing w:before="0"/>
              <w:jc w:val="center"/>
            </w:pPr>
            <w:r w:rsidRPr="00344F81">
              <w:t>(CI 1.2</w:t>
            </w:r>
            <w:r>
              <w:t>–</w:t>
            </w:r>
            <w:r w:rsidRPr="00344F81">
              <w:t>0.3)</w:t>
            </w:r>
          </w:p>
        </w:tc>
        <w:tc>
          <w:tcPr>
            <w:tcW w:w="1488" w:type="dxa"/>
            <w:tcBorders>
              <w:right w:val="single" w:sz="4" w:space="0" w:color="A6A6A6" w:themeColor="background1" w:themeShade="A6"/>
            </w:tcBorders>
            <w:shd w:val="clear" w:color="auto" w:fill="auto"/>
          </w:tcPr>
          <w:p w14:paraId="2AA303FB" w14:textId="77777777" w:rsidR="00ED14AD" w:rsidRPr="00344F81" w:rsidRDefault="00ED14AD" w:rsidP="00256757">
            <w:pPr>
              <w:pStyle w:val="TableText"/>
              <w:keepNext/>
              <w:spacing w:after="0"/>
              <w:jc w:val="center"/>
            </w:pPr>
            <w:r w:rsidRPr="00344F81">
              <w:t>0.3</w:t>
            </w:r>
          </w:p>
          <w:p w14:paraId="4ADC6C15" w14:textId="77777777" w:rsidR="00ED14AD" w:rsidRPr="00344F81" w:rsidRDefault="00ED14AD" w:rsidP="00256757">
            <w:pPr>
              <w:pStyle w:val="TableText"/>
              <w:keepNext/>
              <w:spacing w:before="0"/>
              <w:jc w:val="center"/>
            </w:pPr>
            <w:r w:rsidRPr="00344F81">
              <w:t>(CI 0.2</w:t>
            </w:r>
            <w:r>
              <w:t>–</w:t>
            </w:r>
            <w:r w:rsidRPr="00344F81">
              <w:t>0.5)</w:t>
            </w:r>
          </w:p>
        </w:tc>
        <w:tc>
          <w:tcPr>
            <w:tcW w:w="1488" w:type="dxa"/>
            <w:tcBorders>
              <w:left w:val="single" w:sz="4" w:space="0" w:color="A6A6A6" w:themeColor="background1" w:themeShade="A6"/>
            </w:tcBorders>
            <w:shd w:val="clear" w:color="auto" w:fill="auto"/>
          </w:tcPr>
          <w:p w14:paraId="052B3F71" w14:textId="77777777" w:rsidR="00ED14AD" w:rsidRPr="00344F81" w:rsidRDefault="00ED14AD" w:rsidP="00256757">
            <w:pPr>
              <w:pStyle w:val="TableText"/>
              <w:keepNext/>
              <w:spacing w:after="0"/>
              <w:jc w:val="center"/>
            </w:pPr>
            <w:r w:rsidRPr="00344F81">
              <w:t>0.5</w:t>
            </w:r>
          </w:p>
          <w:p w14:paraId="672D9569" w14:textId="77777777" w:rsidR="00ED14AD" w:rsidRPr="00344F81" w:rsidRDefault="00ED14AD" w:rsidP="00256757">
            <w:pPr>
              <w:pStyle w:val="TableText"/>
              <w:keepNext/>
              <w:spacing w:before="0"/>
              <w:jc w:val="center"/>
            </w:pPr>
            <w:r w:rsidRPr="00344F81">
              <w:t>(CI 0.3</w:t>
            </w:r>
            <w:r>
              <w:t>–</w:t>
            </w:r>
            <w:r w:rsidRPr="00344F81">
              <w:t>0.9)</w:t>
            </w:r>
          </w:p>
        </w:tc>
        <w:tc>
          <w:tcPr>
            <w:tcW w:w="1489" w:type="dxa"/>
            <w:shd w:val="clear" w:color="auto" w:fill="auto"/>
          </w:tcPr>
          <w:p w14:paraId="5AC9C24C" w14:textId="77777777" w:rsidR="00ED14AD" w:rsidRPr="00344F81" w:rsidRDefault="00ED14AD" w:rsidP="00256757">
            <w:pPr>
              <w:pStyle w:val="TableText"/>
              <w:keepNext/>
              <w:spacing w:after="0"/>
              <w:jc w:val="center"/>
            </w:pPr>
            <w:r w:rsidRPr="00344F81">
              <w:t>0.2</w:t>
            </w:r>
          </w:p>
          <w:p w14:paraId="092FBFB2" w14:textId="77777777" w:rsidR="00ED14AD" w:rsidRPr="00344F81" w:rsidRDefault="00ED14AD" w:rsidP="00256757">
            <w:pPr>
              <w:pStyle w:val="TableText"/>
              <w:keepNext/>
              <w:spacing w:before="0"/>
              <w:jc w:val="center"/>
            </w:pPr>
            <w:r w:rsidRPr="00344F81">
              <w:t>(CI 0.1</w:t>
            </w:r>
            <w:r>
              <w:t>–</w:t>
            </w:r>
            <w:r w:rsidRPr="00344F81">
              <w:t>0.4)</w:t>
            </w:r>
          </w:p>
        </w:tc>
      </w:tr>
    </w:tbl>
    <w:p w14:paraId="46C9FD24" w14:textId="77777777" w:rsidR="00ED14AD" w:rsidRPr="009074BE" w:rsidRDefault="00ED14AD" w:rsidP="00ED14AD">
      <w:pPr>
        <w:pStyle w:val="Note"/>
      </w:pPr>
      <w:r>
        <w:t>N</w:t>
      </w:r>
      <w:r w:rsidRPr="009074BE">
        <w:t>otes:</w:t>
      </w:r>
    </w:p>
    <w:p w14:paraId="581D8E2A" w14:textId="02B68812" w:rsidR="008A5642" w:rsidRDefault="00446D86" w:rsidP="00ED14AD">
      <w:pPr>
        <w:pStyle w:val="Note"/>
      </w:pPr>
      <w:r>
        <w:t>Figures are age-standardised to the 2001 Census total Māori population</w:t>
      </w:r>
      <w:r w:rsidR="00ED14AD" w:rsidRPr="00181EF3">
        <w:t>.</w:t>
      </w:r>
    </w:p>
    <w:p w14:paraId="1C14E32D" w14:textId="7EE5FCBB" w:rsidR="00ED14AD" w:rsidRPr="00181EF3" w:rsidRDefault="00ED14AD" w:rsidP="00ED14AD">
      <w:pPr>
        <w:pStyle w:val="Note"/>
      </w:pPr>
      <w:r>
        <w:t>Prioritised ethnicity has been used.</w:t>
      </w:r>
    </w:p>
    <w:p w14:paraId="685BFE2D" w14:textId="77777777" w:rsidR="00ED14AD" w:rsidRDefault="00ED14AD" w:rsidP="00AB2F37">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2C32F378" w14:textId="77777777" w:rsidR="00ED14AD" w:rsidRPr="009074BE" w:rsidRDefault="00ED14AD" w:rsidP="00ED14AD">
      <w:pPr>
        <w:pStyle w:val="Note"/>
      </w:pPr>
      <w:r>
        <w:t>*</w:t>
      </w:r>
      <w:r w:rsidRPr="009074BE">
        <w:t xml:space="preserve"> Findings should be treated with caution due to the small numbers in the problem gambling category.</w:t>
      </w:r>
    </w:p>
    <w:p w14:paraId="39B30462" w14:textId="6DAAE2E8" w:rsidR="00ED14AD" w:rsidRPr="009074BE" w:rsidRDefault="00ED14AD" w:rsidP="00ED14AD">
      <w:pPr>
        <w:pStyle w:val="Source"/>
      </w:pPr>
      <w:r w:rsidRPr="009074BE">
        <w:t xml:space="preserve">Source: New Zealand Health Survey </w:t>
      </w:r>
      <w:r w:rsidR="0094130D">
        <w:t xml:space="preserve">(NZHS), Ministry of Health, </w:t>
      </w:r>
      <w:r w:rsidRPr="009074BE">
        <w:t>2006/07</w:t>
      </w:r>
      <w:r>
        <w:t xml:space="preserve"> and</w:t>
      </w:r>
      <w:r w:rsidRPr="009074BE">
        <w:t xml:space="preserve"> 2011/12</w:t>
      </w:r>
      <w:r w:rsidR="00AD3DDE">
        <w:t>.</w:t>
      </w:r>
    </w:p>
    <w:p w14:paraId="23BBE983" w14:textId="77777777" w:rsidR="00ED14AD" w:rsidRDefault="00ED14AD" w:rsidP="00ED14AD"/>
    <w:p w14:paraId="7AFA0C1F" w14:textId="25641474" w:rsidR="00A14D8B" w:rsidRDefault="00A14D8B" w:rsidP="00256757">
      <w:r>
        <w:t>Increased proportions of Māori adults aged 15 and over were classified as ‘non</w:t>
      </w:r>
      <w:r>
        <w:noBreakHyphen/>
        <w:t xml:space="preserve">gamblers’ in 2011/12 than in 2006/07 (48 percent in 2011/12 compared </w:t>
      </w:r>
      <w:r w:rsidR="00FF1892">
        <w:t xml:space="preserve">with </w:t>
      </w:r>
      <w:r>
        <w:t>28 percent in 2006/07).</w:t>
      </w:r>
    </w:p>
    <w:p w14:paraId="65AFF0AE" w14:textId="77777777" w:rsidR="00A14D8B" w:rsidRDefault="00A14D8B" w:rsidP="00256757"/>
    <w:p w14:paraId="29B120F3" w14:textId="2479E6D4" w:rsidR="00A14D8B" w:rsidRDefault="00A14D8B" w:rsidP="00256757">
      <w:r>
        <w:lastRenderedPageBreak/>
        <w:t xml:space="preserve">In 2011/12, Māori and </w:t>
      </w:r>
      <w:r w:rsidR="00EC03A3">
        <w:t>non</w:t>
      </w:r>
      <w:r w:rsidR="00EC03A3">
        <w:noBreakHyphen/>
        <w:t>M</w:t>
      </w:r>
      <w:r>
        <w:t xml:space="preserve">āori were equally as likely to be non-gamblers – whereas in 2006/07 Māori were less likely to be non-gamblers than </w:t>
      </w:r>
      <w:r w:rsidR="00EC03A3">
        <w:t>non</w:t>
      </w:r>
      <w:r w:rsidR="00EC03A3">
        <w:noBreakHyphen/>
        <w:t>M</w:t>
      </w:r>
      <w:r>
        <w:t>āori (Table 17).</w:t>
      </w:r>
    </w:p>
    <w:p w14:paraId="0B49C6AC" w14:textId="77777777" w:rsidR="00A14D8B" w:rsidRDefault="00A14D8B" w:rsidP="00256757"/>
    <w:p w14:paraId="28577766" w14:textId="647E62CC" w:rsidR="00A14D8B" w:rsidRDefault="00A14D8B" w:rsidP="00A14D8B">
      <w:r>
        <w:t xml:space="preserve">Of those who had gambled (in the last 12 months at time of survey), Māori adults had higher rates of gambling at low risk, moderate risk and problem level gambling when compared </w:t>
      </w:r>
      <w:r w:rsidR="00FF1892">
        <w:t xml:space="preserve">with </w:t>
      </w:r>
      <w:r w:rsidR="00EC03A3">
        <w:t>non</w:t>
      </w:r>
      <w:r w:rsidR="00EC03A3">
        <w:noBreakHyphen/>
        <w:t>M</w:t>
      </w:r>
      <w:r>
        <w:t xml:space="preserve">āori adults. Māori were over three times as likely as </w:t>
      </w:r>
      <w:r w:rsidR="00EC03A3">
        <w:t>non</w:t>
      </w:r>
      <w:r w:rsidR="00EC03A3">
        <w:noBreakHyphen/>
        <w:t>M</w:t>
      </w:r>
      <w:r>
        <w:t>āori to report moderate-risk gambling and around twice as likely to report low-risk gambling in both 2006/07 and 2011/12.</w:t>
      </w:r>
    </w:p>
    <w:p w14:paraId="3E8C3F66" w14:textId="77777777" w:rsidR="00A14D8B" w:rsidRDefault="00A14D8B" w:rsidP="00A14D8B"/>
    <w:p w14:paraId="25690080" w14:textId="42C6BD6A" w:rsidR="00A14D8B" w:rsidRDefault="00A14D8B" w:rsidP="00A14D8B">
      <w:r>
        <w:t xml:space="preserve">There was little difference between Māori and </w:t>
      </w:r>
      <w:r w:rsidR="00EC03A3">
        <w:t>non</w:t>
      </w:r>
      <w:r w:rsidR="00EC03A3">
        <w:noBreakHyphen/>
        <w:t>M</w:t>
      </w:r>
      <w:r>
        <w:t>āori in relation to non</w:t>
      </w:r>
      <w:r>
        <w:noBreakHyphen/>
        <w:t>problem/recreational gambling in both 2006/07 and 2011/12.</w:t>
      </w:r>
    </w:p>
    <w:p w14:paraId="4EC069B2" w14:textId="77777777" w:rsidR="00256757" w:rsidRDefault="00256757" w:rsidP="00A14D8B"/>
    <w:p w14:paraId="4844FD2D" w14:textId="6E51CD49" w:rsidR="00ED14AD" w:rsidRPr="00344F81" w:rsidRDefault="00ED14AD" w:rsidP="00ED14AD">
      <w:pPr>
        <w:pStyle w:val="Heading3"/>
      </w:pPr>
      <w:bookmarkStart w:id="102" w:name="_Toc19102324"/>
      <w:r w:rsidRPr="00344F81">
        <w:t>Experiencing problems because of someone else’s gambling</w:t>
      </w:r>
      <w:bookmarkEnd w:id="102"/>
    </w:p>
    <w:p w14:paraId="19B1768D" w14:textId="1DE3135F" w:rsidR="00ED14AD" w:rsidRDefault="00ED14AD" w:rsidP="00256757">
      <w:pPr>
        <w:keepNext/>
        <w:keepLines/>
      </w:pPr>
      <w:r>
        <w:t xml:space="preserve">Greater proportions of Māori adults experience negative impacts from someone else’s gambling than </w:t>
      </w:r>
      <w:r w:rsidR="00EC03A3">
        <w:t>non</w:t>
      </w:r>
      <w:r w:rsidR="00EC03A3">
        <w:noBreakHyphen/>
        <w:t>M</w:t>
      </w:r>
      <w:r>
        <w:t xml:space="preserve">āori adults. There is little change evident between 2006/07 and 2011/12. In 2011/12, 6 percent of Māori adults reported experiencing problems because of someone else’s gambling compared </w:t>
      </w:r>
      <w:r w:rsidR="00FF1892">
        <w:t xml:space="preserve">with </w:t>
      </w:r>
      <w:r>
        <w:t xml:space="preserve">2 percent of </w:t>
      </w:r>
      <w:r w:rsidR="00EC03A3">
        <w:t>non</w:t>
      </w:r>
      <w:r w:rsidR="00EC03A3">
        <w:noBreakHyphen/>
        <w:t>M</w:t>
      </w:r>
      <w:r>
        <w:t>āori adults (7 percent and 3 percent respectively in 2006/07).</w:t>
      </w:r>
    </w:p>
    <w:p w14:paraId="481DB279" w14:textId="77777777" w:rsidR="00ED14AD" w:rsidRDefault="00ED14AD" w:rsidP="00ED14AD"/>
    <w:p w14:paraId="3654AF17" w14:textId="419D61D8" w:rsidR="00ED14AD" w:rsidRDefault="00ED14AD" w:rsidP="00ED14AD">
      <w:r>
        <w:t xml:space="preserve">Māori females are disproportionately affected by someone else’s gambling: Māori females were over three times as likely as </w:t>
      </w:r>
      <w:r w:rsidR="00EC03A3">
        <w:t>non</w:t>
      </w:r>
      <w:r w:rsidR="00EC03A3">
        <w:noBreakHyphen/>
        <w:t>M</w:t>
      </w:r>
      <w:r>
        <w:t>āori females to report experiencing problems because of someone else’s gambling in 2006/07 and around 2½ times in 2011/12.</w:t>
      </w:r>
    </w:p>
    <w:p w14:paraId="69CDC4BE" w14:textId="77777777" w:rsidR="00ED14AD" w:rsidRDefault="00ED14AD" w:rsidP="00ED14AD"/>
    <w:p w14:paraId="1601A07E" w14:textId="08D6456E" w:rsidR="00ED14AD" w:rsidRDefault="00ED14AD" w:rsidP="00ED14AD">
      <w:r>
        <w:t xml:space="preserve">The publication </w:t>
      </w:r>
      <w:r>
        <w:rPr>
          <w:i/>
        </w:rPr>
        <w:t>Gambling</w:t>
      </w:r>
      <w:r w:rsidR="002D3C0C">
        <w:rPr>
          <w:i/>
        </w:rPr>
        <w:t xml:space="preserve"> and Problem Gambling: R</w:t>
      </w:r>
      <w:r>
        <w:rPr>
          <w:i/>
        </w:rPr>
        <w:t xml:space="preserve">esults of the 2011/12 New Zealand Health Survey </w:t>
      </w:r>
      <w:r>
        <w:t xml:space="preserve">(Rossen 2015) also provides an analysis of the 2011/12 NZHS gambling indicators and can be accessed </w:t>
      </w:r>
      <w:r w:rsidR="002D3C0C">
        <w:t>from</w:t>
      </w:r>
      <w:r>
        <w:t xml:space="preserve">: </w:t>
      </w:r>
      <w:hyperlink r:id="rId58" w:history="1">
        <w:r w:rsidR="008F0248" w:rsidRPr="008F0248">
          <w:rPr>
            <w:rStyle w:val="Hyperlink"/>
            <w:rFonts w:eastAsia="MS Gothic"/>
          </w:rPr>
          <w:t>www.health.govt.nz/system/files/documents/publications/gambling-results-of-the-20111</w:t>
        </w:r>
        <w:r w:rsidR="008F0248" w:rsidRPr="0029182F">
          <w:rPr>
            <w:rStyle w:val="Hyperlink"/>
            <w:rFonts w:eastAsia="MS Gothic"/>
          </w:rPr>
          <w:t>2-nzhs.pdf</w:t>
        </w:r>
      </w:hyperlink>
    </w:p>
    <w:p w14:paraId="5776B1BA" w14:textId="77777777" w:rsidR="00ED14AD" w:rsidRPr="00771728" w:rsidRDefault="00ED14AD" w:rsidP="00256757"/>
    <w:p w14:paraId="61ABAB43" w14:textId="77777777" w:rsidR="004A7F24" w:rsidRDefault="00932BA7" w:rsidP="00530269">
      <w:pPr>
        <w:pStyle w:val="Heading1"/>
      </w:pPr>
      <w:bookmarkStart w:id="103" w:name="_Toc19102325"/>
      <w:r>
        <w:lastRenderedPageBreak/>
        <w:t>Health status indicators</w:t>
      </w:r>
      <w:bookmarkEnd w:id="103"/>
    </w:p>
    <w:p w14:paraId="11D60C79" w14:textId="77777777" w:rsidR="005D05F9" w:rsidRPr="00181EF3" w:rsidRDefault="005D05F9" w:rsidP="005D05F9">
      <w:pPr>
        <w:pStyle w:val="Heading2"/>
      </w:pPr>
      <w:bookmarkStart w:id="104" w:name="_Toc14718628"/>
      <w:bookmarkStart w:id="105" w:name="_Toc14775051"/>
      <w:bookmarkStart w:id="106" w:name="_Toc19102326"/>
      <w:r w:rsidRPr="00181EF3">
        <w:t>Major causes of death</w:t>
      </w:r>
      <w:bookmarkEnd w:id="104"/>
      <w:bookmarkEnd w:id="105"/>
      <w:bookmarkEnd w:id="106"/>
    </w:p>
    <w:p w14:paraId="5BA93D58" w14:textId="433B1DEF" w:rsidR="005D05F9" w:rsidRPr="00181EF3" w:rsidRDefault="005D05F9" w:rsidP="005D05F9">
      <w:r w:rsidRPr="00181EF3">
        <w:t xml:space="preserve">This </w:t>
      </w:r>
      <w:r>
        <w:t>section</w:t>
      </w:r>
      <w:r w:rsidRPr="00181EF3">
        <w:t xml:space="preserve"> </w:t>
      </w:r>
      <w:r w:rsidR="000D102F">
        <w:t>presents</w:t>
      </w:r>
      <w:r w:rsidRPr="00181EF3">
        <w:t xml:space="preserve"> the trends of the major causes of death for Māori and </w:t>
      </w:r>
      <w:r w:rsidR="00EC03A3">
        <w:t>non</w:t>
      </w:r>
      <w:r w:rsidR="00EC03A3">
        <w:noBreakHyphen/>
        <w:t>M</w:t>
      </w:r>
      <w:r w:rsidRPr="00181EF3">
        <w:t>āori males and females.</w:t>
      </w:r>
    </w:p>
    <w:p w14:paraId="06A34C70" w14:textId="77777777" w:rsidR="005D05F9" w:rsidRPr="00181EF3" w:rsidRDefault="005D05F9" w:rsidP="005D05F9"/>
    <w:p w14:paraId="41B814A4" w14:textId="77777777" w:rsidR="005D05F9" w:rsidRDefault="005D05F9" w:rsidP="005D05F9">
      <w:r w:rsidRPr="00181EF3">
        <w:t>The major causes of death are ranked using two methods</w:t>
      </w:r>
      <w:r>
        <w:t>, first by</w:t>
      </w:r>
      <w:r w:rsidRPr="00181EF3">
        <w:t xml:space="preserve"> age-standardised</w:t>
      </w:r>
      <w:r>
        <w:t xml:space="preserve"> mortality</w:t>
      </w:r>
      <w:r w:rsidRPr="00181EF3">
        <w:t xml:space="preserve"> rates</w:t>
      </w:r>
      <w:r>
        <w:t xml:space="preserve"> and then by years of life lost (YLL).</w:t>
      </w:r>
    </w:p>
    <w:p w14:paraId="4DFCBB02" w14:textId="77777777" w:rsidR="005D05F9" w:rsidRDefault="005D05F9" w:rsidP="005D05F9"/>
    <w:p w14:paraId="739F16FD" w14:textId="46476DE7" w:rsidR="005D05F9" w:rsidRPr="00181EF3" w:rsidRDefault="005D05F9" w:rsidP="005D05F9">
      <w:r>
        <w:t>Age-standardised rates</w:t>
      </w:r>
      <w:r w:rsidRPr="00181EF3">
        <w:t xml:space="preserve"> account for the differences in the population structure between Māori and </w:t>
      </w:r>
      <w:r w:rsidR="00EC03A3">
        <w:t>non</w:t>
      </w:r>
      <w:r w:rsidR="00EC03A3">
        <w:noBreakHyphen/>
        <w:t>M</w:t>
      </w:r>
      <w:r w:rsidRPr="00181EF3">
        <w:t>āori.</w:t>
      </w:r>
    </w:p>
    <w:p w14:paraId="3941CAE4" w14:textId="77777777" w:rsidR="005D05F9" w:rsidRPr="00181EF3" w:rsidRDefault="005D05F9" w:rsidP="005D05F9"/>
    <w:p w14:paraId="2C1164B8" w14:textId="77777777" w:rsidR="005D05F9" w:rsidRPr="00181EF3" w:rsidRDefault="005D05F9" w:rsidP="005D05F9">
      <w:r>
        <w:t>Y</w:t>
      </w:r>
      <w:r w:rsidRPr="00181EF3">
        <w:t>ears of life lost (YLL) measures health loss from early death, taking into account the age that a death occurred. A death that occurs at a young age has a higher weighting than a death that occurs at an older age. YLLs are calculated with reference to a standard life expectancy at each age.</w:t>
      </w:r>
    </w:p>
    <w:p w14:paraId="3251C328" w14:textId="77777777" w:rsidR="005D05F9" w:rsidRPr="00181EF3" w:rsidRDefault="005D05F9" w:rsidP="005D05F9"/>
    <w:p w14:paraId="05B8A6FB" w14:textId="77777777" w:rsidR="005D05F9" w:rsidRPr="00181EF3" w:rsidRDefault="005D05F9" w:rsidP="005D05F9">
      <w:r w:rsidRPr="00181EF3">
        <w:t>The data describing trends in time for major causes of death is presented in comparative tables. These tables use abbreviations to refer to different causes of death and therefore a key is provided below to aid in interpretation</w:t>
      </w:r>
      <w:r>
        <w:t xml:space="preserve"> (Table 18)</w:t>
      </w:r>
      <w:r w:rsidRPr="00181EF3">
        <w:t>.</w:t>
      </w:r>
    </w:p>
    <w:p w14:paraId="17EAAFAC" w14:textId="77777777" w:rsidR="005D05F9" w:rsidRPr="00181EF3" w:rsidRDefault="005D05F9" w:rsidP="005D05F9"/>
    <w:p w14:paraId="21620DB6" w14:textId="342B5698" w:rsidR="005D05F9" w:rsidRPr="00181EF3" w:rsidRDefault="005D05F9" w:rsidP="005D05F9">
      <w:pPr>
        <w:pStyle w:val="Table"/>
      </w:pPr>
      <w:bookmarkStart w:id="107" w:name="_Toc18594758"/>
      <w:r w:rsidRPr="00181EF3">
        <w:t xml:space="preserve">Table </w:t>
      </w:r>
      <w:r w:rsidR="00E63739">
        <w:rPr>
          <w:noProof/>
        </w:rPr>
        <w:t>1</w:t>
      </w:r>
      <w:r>
        <w:rPr>
          <w:noProof/>
        </w:rPr>
        <w:t>8</w:t>
      </w:r>
      <w:r w:rsidRPr="00181EF3">
        <w:t>: Key for major cause</w:t>
      </w:r>
      <w:r>
        <w:t>s</w:t>
      </w:r>
      <w:r w:rsidRPr="00181EF3">
        <w:t xml:space="preserve"> of death</w:t>
      </w:r>
      <w:bookmarkEnd w:id="107"/>
    </w:p>
    <w:tbl>
      <w:tblPr>
        <w:tblW w:w="5529" w:type="dxa"/>
        <w:tblInd w:w="57" w:type="dxa"/>
        <w:tblLayout w:type="fixed"/>
        <w:tblCellMar>
          <w:left w:w="57" w:type="dxa"/>
          <w:right w:w="57" w:type="dxa"/>
        </w:tblCellMar>
        <w:tblLook w:val="04A0" w:firstRow="1" w:lastRow="0" w:firstColumn="1" w:lastColumn="0" w:noHBand="0" w:noVBand="1"/>
      </w:tblPr>
      <w:tblGrid>
        <w:gridCol w:w="1560"/>
        <w:gridCol w:w="3969"/>
      </w:tblGrid>
      <w:tr w:rsidR="005D05F9" w:rsidRPr="00181EF3" w14:paraId="6EF4CE6E" w14:textId="77777777" w:rsidTr="005D05F9">
        <w:trPr>
          <w:cantSplit/>
        </w:trPr>
        <w:tc>
          <w:tcPr>
            <w:tcW w:w="1560" w:type="dxa"/>
            <w:shd w:val="clear" w:color="auto" w:fill="D9D9D9" w:themeFill="background1" w:themeFillShade="D9"/>
          </w:tcPr>
          <w:p w14:paraId="49B4C9BF" w14:textId="77777777" w:rsidR="005D05F9" w:rsidRPr="00181EF3" w:rsidRDefault="005D05F9" w:rsidP="005D05F9">
            <w:pPr>
              <w:pStyle w:val="TableText"/>
              <w:rPr>
                <w:b/>
              </w:rPr>
            </w:pPr>
            <w:r w:rsidRPr="00181EF3">
              <w:rPr>
                <w:b/>
              </w:rPr>
              <w:t>Abbreviation</w:t>
            </w:r>
          </w:p>
        </w:tc>
        <w:tc>
          <w:tcPr>
            <w:tcW w:w="3969" w:type="dxa"/>
            <w:shd w:val="clear" w:color="auto" w:fill="D9D9D9" w:themeFill="background1" w:themeFillShade="D9"/>
          </w:tcPr>
          <w:p w14:paraId="37AC7AEE" w14:textId="77777777" w:rsidR="005D05F9" w:rsidRPr="00181EF3" w:rsidRDefault="005D05F9" w:rsidP="005D05F9">
            <w:pPr>
              <w:pStyle w:val="TableText"/>
              <w:rPr>
                <w:b/>
              </w:rPr>
            </w:pPr>
            <w:r w:rsidRPr="00181EF3">
              <w:rPr>
                <w:b/>
              </w:rPr>
              <w:t>Cause of death</w:t>
            </w:r>
          </w:p>
        </w:tc>
      </w:tr>
      <w:tr w:rsidR="005D05F9" w:rsidRPr="00181EF3" w14:paraId="2B8E8DB0" w14:textId="77777777" w:rsidTr="005D05F9">
        <w:trPr>
          <w:cantSplit/>
        </w:trPr>
        <w:tc>
          <w:tcPr>
            <w:tcW w:w="1560" w:type="dxa"/>
            <w:tcBorders>
              <w:bottom w:val="single" w:sz="4" w:space="0" w:color="A6A6A6" w:themeColor="background1" w:themeShade="A6"/>
            </w:tcBorders>
          </w:tcPr>
          <w:p w14:paraId="40A04739" w14:textId="77777777" w:rsidR="005D05F9" w:rsidRPr="00181EF3" w:rsidRDefault="005D05F9" w:rsidP="005D05F9">
            <w:pPr>
              <w:pStyle w:val="TableText"/>
            </w:pPr>
            <w:r w:rsidRPr="00181EF3">
              <w:t>BC</w:t>
            </w:r>
          </w:p>
        </w:tc>
        <w:tc>
          <w:tcPr>
            <w:tcW w:w="3969" w:type="dxa"/>
            <w:tcBorders>
              <w:bottom w:val="single" w:sz="4" w:space="0" w:color="A6A6A6" w:themeColor="background1" w:themeShade="A6"/>
            </w:tcBorders>
          </w:tcPr>
          <w:p w14:paraId="5FD939E2" w14:textId="77777777" w:rsidR="005D05F9" w:rsidRPr="00181EF3" w:rsidRDefault="005D05F9" w:rsidP="005D05F9">
            <w:pPr>
              <w:pStyle w:val="TableText"/>
            </w:pPr>
            <w:r w:rsidRPr="00181EF3">
              <w:t>Breast Cancer</w:t>
            </w:r>
          </w:p>
        </w:tc>
      </w:tr>
      <w:tr w:rsidR="005D05F9" w:rsidRPr="00181EF3" w14:paraId="2CF98CEB" w14:textId="77777777" w:rsidTr="005D05F9">
        <w:trPr>
          <w:cantSplit/>
        </w:trPr>
        <w:tc>
          <w:tcPr>
            <w:tcW w:w="1560" w:type="dxa"/>
            <w:tcBorders>
              <w:top w:val="single" w:sz="4" w:space="0" w:color="A6A6A6" w:themeColor="background1" w:themeShade="A6"/>
              <w:bottom w:val="single" w:sz="4" w:space="0" w:color="A6A6A6" w:themeColor="background1" w:themeShade="A6"/>
            </w:tcBorders>
          </w:tcPr>
          <w:p w14:paraId="16DE52B6" w14:textId="77777777" w:rsidR="005D05F9" w:rsidRPr="00181EF3" w:rsidRDefault="005D05F9" w:rsidP="005D05F9">
            <w:pPr>
              <w:pStyle w:val="TableText"/>
            </w:pPr>
            <w:r w:rsidRPr="00181EF3">
              <w:t>CC</w:t>
            </w:r>
          </w:p>
        </w:tc>
        <w:tc>
          <w:tcPr>
            <w:tcW w:w="3969" w:type="dxa"/>
            <w:tcBorders>
              <w:top w:val="single" w:sz="4" w:space="0" w:color="A6A6A6" w:themeColor="background1" w:themeShade="A6"/>
              <w:bottom w:val="single" w:sz="4" w:space="0" w:color="A6A6A6" w:themeColor="background1" w:themeShade="A6"/>
            </w:tcBorders>
          </w:tcPr>
          <w:p w14:paraId="6A17C550" w14:textId="77777777" w:rsidR="005D05F9" w:rsidRPr="00181EF3" w:rsidRDefault="005D05F9" w:rsidP="005D05F9">
            <w:pPr>
              <w:pStyle w:val="TableText"/>
            </w:pPr>
            <w:r w:rsidRPr="00181EF3">
              <w:t>Colorectal Cancer</w:t>
            </w:r>
          </w:p>
        </w:tc>
      </w:tr>
      <w:tr w:rsidR="005D05F9" w:rsidRPr="00181EF3" w14:paraId="64E07F5A" w14:textId="77777777" w:rsidTr="005D05F9">
        <w:trPr>
          <w:cantSplit/>
        </w:trPr>
        <w:tc>
          <w:tcPr>
            <w:tcW w:w="1560" w:type="dxa"/>
            <w:tcBorders>
              <w:top w:val="single" w:sz="4" w:space="0" w:color="A6A6A6" w:themeColor="background1" w:themeShade="A6"/>
              <w:bottom w:val="single" w:sz="4" w:space="0" w:color="A6A6A6" w:themeColor="background1" w:themeShade="A6"/>
            </w:tcBorders>
          </w:tcPr>
          <w:p w14:paraId="7C9FDAB3" w14:textId="77777777" w:rsidR="005D05F9" w:rsidRPr="00181EF3" w:rsidRDefault="005D05F9" w:rsidP="005D05F9">
            <w:pPr>
              <w:pStyle w:val="TableText"/>
            </w:pPr>
            <w:r w:rsidRPr="00181EF3">
              <w:t>CD</w:t>
            </w:r>
          </w:p>
        </w:tc>
        <w:tc>
          <w:tcPr>
            <w:tcW w:w="3969" w:type="dxa"/>
            <w:tcBorders>
              <w:top w:val="single" w:sz="4" w:space="0" w:color="A6A6A6" w:themeColor="background1" w:themeShade="A6"/>
              <w:bottom w:val="single" w:sz="4" w:space="0" w:color="A6A6A6" w:themeColor="background1" w:themeShade="A6"/>
            </w:tcBorders>
          </w:tcPr>
          <w:p w14:paraId="1B96023C" w14:textId="77777777" w:rsidR="005D05F9" w:rsidRPr="00181EF3" w:rsidRDefault="005D05F9" w:rsidP="005D05F9">
            <w:pPr>
              <w:pStyle w:val="TableText"/>
            </w:pPr>
            <w:r w:rsidRPr="00181EF3">
              <w:t>Cerebrovascular Disease (Stroke)</w:t>
            </w:r>
          </w:p>
        </w:tc>
      </w:tr>
      <w:tr w:rsidR="005D05F9" w:rsidRPr="00181EF3" w14:paraId="48F3FA4F" w14:textId="77777777" w:rsidTr="005D05F9">
        <w:trPr>
          <w:cantSplit/>
        </w:trPr>
        <w:tc>
          <w:tcPr>
            <w:tcW w:w="1560" w:type="dxa"/>
            <w:tcBorders>
              <w:top w:val="single" w:sz="4" w:space="0" w:color="A6A6A6" w:themeColor="background1" w:themeShade="A6"/>
              <w:bottom w:val="single" w:sz="4" w:space="0" w:color="A6A6A6" w:themeColor="background1" w:themeShade="A6"/>
            </w:tcBorders>
          </w:tcPr>
          <w:p w14:paraId="13828B72" w14:textId="77777777" w:rsidR="005D05F9" w:rsidRPr="00181EF3" w:rsidRDefault="005D05F9" w:rsidP="005D05F9">
            <w:pPr>
              <w:pStyle w:val="TableText"/>
            </w:pPr>
            <w:r w:rsidRPr="00181EF3">
              <w:t>CPD</w:t>
            </w:r>
          </w:p>
        </w:tc>
        <w:tc>
          <w:tcPr>
            <w:tcW w:w="3969" w:type="dxa"/>
            <w:tcBorders>
              <w:top w:val="single" w:sz="4" w:space="0" w:color="A6A6A6" w:themeColor="background1" w:themeShade="A6"/>
              <w:bottom w:val="single" w:sz="4" w:space="0" w:color="A6A6A6" w:themeColor="background1" w:themeShade="A6"/>
            </w:tcBorders>
          </w:tcPr>
          <w:p w14:paraId="122C4F89" w14:textId="77777777" w:rsidR="005D05F9" w:rsidRPr="00181EF3" w:rsidRDefault="005D05F9" w:rsidP="005D05F9">
            <w:pPr>
              <w:pStyle w:val="TableText"/>
            </w:pPr>
            <w:r w:rsidRPr="00181EF3">
              <w:t>Chronic Obstructive Pulmonary Disease</w:t>
            </w:r>
          </w:p>
        </w:tc>
      </w:tr>
      <w:tr w:rsidR="005D05F9" w:rsidRPr="00181EF3" w14:paraId="39FD8B7A" w14:textId="77777777" w:rsidTr="005D05F9">
        <w:trPr>
          <w:cantSplit/>
        </w:trPr>
        <w:tc>
          <w:tcPr>
            <w:tcW w:w="1560" w:type="dxa"/>
            <w:tcBorders>
              <w:top w:val="single" w:sz="4" w:space="0" w:color="A6A6A6" w:themeColor="background1" w:themeShade="A6"/>
              <w:bottom w:val="single" w:sz="4" w:space="0" w:color="A6A6A6" w:themeColor="background1" w:themeShade="A6"/>
            </w:tcBorders>
          </w:tcPr>
          <w:p w14:paraId="52D683BC" w14:textId="77777777" w:rsidR="005D05F9" w:rsidRPr="00181EF3" w:rsidRDefault="005D05F9" w:rsidP="005D05F9">
            <w:pPr>
              <w:pStyle w:val="TableText"/>
            </w:pPr>
            <w:r w:rsidRPr="00181EF3">
              <w:t>DI</w:t>
            </w:r>
          </w:p>
        </w:tc>
        <w:tc>
          <w:tcPr>
            <w:tcW w:w="3969" w:type="dxa"/>
            <w:tcBorders>
              <w:top w:val="single" w:sz="4" w:space="0" w:color="A6A6A6" w:themeColor="background1" w:themeShade="A6"/>
              <w:bottom w:val="single" w:sz="4" w:space="0" w:color="A6A6A6" w:themeColor="background1" w:themeShade="A6"/>
            </w:tcBorders>
          </w:tcPr>
          <w:p w14:paraId="0A88B7BD" w14:textId="77777777" w:rsidR="005D05F9" w:rsidRPr="00181EF3" w:rsidRDefault="005D05F9" w:rsidP="005D05F9">
            <w:pPr>
              <w:pStyle w:val="TableText"/>
            </w:pPr>
            <w:r w:rsidRPr="00181EF3">
              <w:t>Diabetes</w:t>
            </w:r>
          </w:p>
        </w:tc>
      </w:tr>
      <w:tr w:rsidR="005D05F9" w:rsidRPr="00181EF3" w14:paraId="60005544" w14:textId="77777777" w:rsidTr="005D05F9">
        <w:trPr>
          <w:cantSplit/>
        </w:trPr>
        <w:tc>
          <w:tcPr>
            <w:tcW w:w="1560" w:type="dxa"/>
            <w:tcBorders>
              <w:top w:val="single" w:sz="4" w:space="0" w:color="A6A6A6" w:themeColor="background1" w:themeShade="A6"/>
              <w:bottom w:val="single" w:sz="4" w:space="0" w:color="A6A6A6" w:themeColor="background1" w:themeShade="A6"/>
            </w:tcBorders>
          </w:tcPr>
          <w:p w14:paraId="4EDC9B8A" w14:textId="77777777" w:rsidR="005D05F9" w:rsidRPr="00181EF3" w:rsidRDefault="005D05F9" w:rsidP="005D05F9">
            <w:pPr>
              <w:pStyle w:val="TableText"/>
            </w:pPr>
            <w:r w:rsidRPr="00181EF3">
              <w:t>HD</w:t>
            </w:r>
          </w:p>
        </w:tc>
        <w:tc>
          <w:tcPr>
            <w:tcW w:w="3969" w:type="dxa"/>
            <w:tcBorders>
              <w:top w:val="single" w:sz="4" w:space="0" w:color="A6A6A6" w:themeColor="background1" w:themeShade="A6"/>
              <w:bottom w:val="single" w:sz="4" w:space="0" w:color="A6A6A6" w:themeColor="background1" w:themeShade="A6"/>
            </w:tcBorders>
          </w:tcPr>
          <w:p w14:paraId="0047DD45" w14:textId="77777777" w:rsidR="005D05F9" w:rsidRPr="00181EF3" w:rsidRDefault="005D05F9" w:rsidP="005D05F9">
            <w:pPr>
              <w:pStyle w:val="TableText"/>
            </w:pPr>
            <w:r w:rsidRPr="00181EF3">
              <w:t>Other Heart Diseases (excluding Ischaemic)</w:t>
            </w:r>
          </w:p>
        </w:tc>
      </w:tr>
      <w:tr w:rsidR="005D05F9" w:rsidRPr="00181EF3" w14:paraId="25079126" w14:textId="77777777" w:rsidTr="005D05F9">
        <w:trPr>
          <w:cantSplit/>
        </w:trPr>
        <w:tc>
          <w:tcPr>
            <w:tcW w:w="1560" w:type="dxa"/>
            <w:tcBorders>
              <w:top w:val="single" w:sz="4" w:space="0" w:color="A6A6A6" w:themeColor="background1" w:themeShade="A6"/>
              <w:bottom w:val="single" w:sz="4" w:space="0" w:color="A6A6A6" w:themeColor="background1" w:themeShade="A6"/>
            </w:tcBorders>
          </w:tcPr>
          <w:p w14:paraId="07D3EA33" w14:textId="77777777" w:rsidR="005D05F9" w:rsidRPr="00181EF3" w:rsidRDefault="005D05F9" w:rsidP="005D05F9">
            <w:pPr>
              <w:pStyle w:val="TableText"/>
            </w:pPr>
            <w:r w:rsidRPr="00181EF3">
              <w:t>IHD</w:t>
            </w:r>
          </w:p>
        </w:tc>
        <w:tc>
          <w:tcPr>
            <w:tcW w:w="3969" w:type="dxa"/>
            <w:tcBorders>
              <w:top w:val="single" w:sz="4" w:space="0" w:color="A6A6A6" w:themeColor="background1" w:themeShade="A6"/>
              <w:bottom w:val="single" w:sz="4" w:space="0" w:color="A6A6A6" w:themeColor="background1" w:themeShade="A6"/>
            </w:tcBorders>
          </w:tcPr>
          <w:p w14:paraId="67CC55E1" w14:textId="77777777" w:rsidR="005D05F9" w:rsidRPr="00181EF3" w:rsidRDefault="005D05F9" w:rsidP="005D05F9">
            <w:pPr>
              <w:pStyle w:val="TableText"/>
            </w:pPr>
            <w:r w:rsidRPr="00181EF3">
              <w:t>Ischaemic Heart Disease</w:t>
            </w:r>
          </w:p>
        </w:tc>
      </w:tr>
      <w:tr w:rsidR="005D05F9" w:rsidRPr="00181EF3" w14:paraId="0271EB39" w14:textId="77777777" w:rsidTr="005D05F9">
        <w:trPr>
          <w:cantSplit/>
        </w:trPr>
        <w:tc>
          <w:tcPr>
            <w:tcW w:w="1560" w:type="dxa"/>
            <w:tcBorders>
              <w:top w:val="single" w:sz="4" w:space="0" w:color="A6A6A6" w:themeColor="background1" w:themeShade="A6"/>
              <w:bottom w:val="single" w:sz="4" w:space="0" w:color="A6A6A6" w:themeColor="background1" w:themeShade="A6"/>
            </w:tcBorders>
          </w:tcPr>
          <w:p w14:paraId="2E5834AD" w14:textId="77777777" w:rsidR="005D05F9" w:rsidRPr="00181EF3" w:rsidRDefault="005D05F9" w:rsidP="005D05F9">
            <w:pPr>
              <w:pStyle w:val="TableText"/>
            </w:pPr>
            <w:r w:rsidRPr="00181EF3">
              <w:t>LC</w:t>
            </w:r>
          </w:p>
        </w:tc>
        <w:tc>
          <w:tcPr>
            <w:tcW w:w="3969" w:type="dxa"/>
            <w:tcBorders>
              <w:top w:val="single" w:sz="4" w:space="0" w:color="A6A6A6" w:themeColor="background1" w:themeShade="A6"/>
              <w:bottom w:val="single" w:sz="4" w:space="0" w:color="A6A6A6" w:themeColor="background1" w:themeShade="A6"/>
            </w:tcBorders>
          </w:tcPr>
          <w:p w14:paraId="08E98A79" w14:textId="77777777" w:rsidR="005D05F9" w:rsidRPr="00181EF3" w:rsidRDefault="005D05F9" w:rsidP="005D05F9">
            <w:pPr>
              <w:pStyle w:val="TableText"/>
            </w:pPr>
            <w:r w:rsidRPr="00181EF3">
              <w:t>Lung Cancer</w:t>
            </w:r>
          </w:p>
        </w:tc>
      </w:tr>
      <w:tr w:rsidR="005D05F9" w:rsidRPr="00181EF3" w14:paraId="769BCEB8" w14:textId="77777777" w:rsidTr="005D05F9">
        <w:trPr>
          <w:cantSplit/>
        </w:trPr>
        <w:tc>
          <w:tcPr>
            <w:tcW w:w="1560" w:type="dxa"/>
            <w:tcBorders>
              <w:top w:val="single" w:sz="4" w:space="0" w:color="A6A6A6" w:themeColor="background1" w:themeShade="A6"/>
              <w:bottom w:val="single" w:sz="4" w:space="0" w:color="A6A6A6" w:themeColor="background1" w:themeShade="A6"/>
            </w:tcBorders>
          </w:tcPr>
          <w:p w14:paraId="6759A413" w14:textId="77777777" w:rsidR="005D05F9" w:rsidRPr="00181EF3" w:rsidRDefault="005D05F9" w:rsidP="005D05F9">
            <w:pPr>
              <w:pStyle w:val="TableText"/>
            </w:pPr>
            <w:r w:rsidRPr="00181EF3">
              <w:t>LRD</w:t>
            </w:r>
          </w:p>
        </w:tc>
        <w:tc>
          <w:tcPr>
            <w:tcW w:w="3969" w:type="dxa"/>
            <w:tcBorders>
              <w:top w:val="single" w:sz="4" w:space="0" w:color="A6A6A6" w:themeColor="background1" w:themeShade="A6"/>
              <w:bottom w:val="single" w:sz="4" w:space="0" w:color="A6A6A6" w:themeColor="background1" w:themeShade="A6"/>
            </w:tcBorders>
          </w:tcPr>
          <w:p w14:paraId="74F859D9" w14:textId="77777777" w:rsidR="005D05F9" w:rsidRPr="00181EF3" w:rsidRDefault="005D05F9" w:rsidP="005D05F9">
            <w:pPr>
              <w:pStyle w:val="TableText"/>
            </w:pPr>
            <w:r w:rsidRPr="00181EF3">
              <w:t>Chronic Lower Respiratory Disease</w:t>
            </w:r>
          </w:p>
        </w:tc>
      </w:tr>
      <w:tr w:rsidR="005D05F9" w:rsidRPr="00181EF3" w14:paraId="18FA1708" w14:textId="77777777" w:rsidTr="005D05F9">
        <w:trPr>
          <w:cantSplit/>
        </w:trPr>
        <w:tc>
          <w:tcPr>
            <w:tcW w:w="1560" w:type="dxa"/>
            <w:tcBorders>
              <w:top w:val="single" w:sz="4" w:space="0" w:color="A6A6A6" w:themeColor="background1" w:themeShade="A6"/>
              <w:bottom w:val="single" w:sz="4" w:space="0" w:color="A6A6A6" w:themeColor="background1" w:themeShade="A6"/>
            </w:tcBorders>
          </w:tcPr>
          <w:p w14:paraId="52565078" w14:textId="77777777" w:rsidR="005D05F9" w:rsidRPr="00181EF3" w:rsidRDefault="005D05F9" w:rsidP="005D05F9">
            <w:pPr>
              <w:pStyle w:val="TableText"/>
            </w:pPr>
            <w:r w:rsidRPr="00181EF3">
              <w:t>MV</w:t>
            </w:r>
          </w:p>
        </w:tc>
        <w:tc>
          <w:tcPr>
            <w:tcW w:w="3969" w:type="dxa"/>
            <w:tcBorders>
              <w:top w:val="single" w:sz="4" w:space="0" w:color="A6A6A6" w:themeColor="background1" w:themeShade="A6"/>
              <w:bottom w:val="single" w:sz="4" w:space="0" w:color="A6A6A6" w:themeColor="background1" w:themeShade="A6"/>
            </w:tcBorders>
          </w:tcPr>
          <w:p w14:paraId="5459ED86" w14:textId="77777777" w:rsidR="005D05F9" w:rsidRPr="00181EF3" w:rsidRDefault="005D05F9" w:rsidP="005D05F9">
            <w:pPr>
              <w:pStyle w:val="TableText"/>
            </w:pPr>
            <w:r w:rsidRPr="00181EF3">
              <w:t>Motor Vehicle Accidents</w:t>
            </w:r>
          </w:p>
        </w:tc>
      </w:tr>
      <w:tr w:rsidR="005D05F9" w:rsidRPr="00181EF3" w14:paraId="4243232C" w14:textId="77777777" w:rsidTr="005D05F9">
        <w:trPr>
          <w:cantSplit/>
        </w:trPr>
        <w:tc>
          <w:tcPr>
            <w:tcW w:w="1560" w:type="dxa"/>
            <w:tcBorders>
              <w:top w:val="single" w:sz="4" w:space="0" w:color="A6A6A6" w:themeColor="background1" w:themeShade="A6"/>
              <w:bottom w:val="single" w:sz="4" w:space="0" w:color="A6A6A6" w:themeColor="background1" w:themeShade="A6"/>
            </w:tcBorders>
          </w:tcPr>
          <w:p w14:paraId="4D525038" w14:textId="77777777" w:rsidR="005D05F9" w:rsidRPr="00181EF3" w:rsidRDefault="005D05F9" w:rsidP="005D05F9">
            <w:pPr>
              <w:pStyle w:val="TableText"/>
            </w:pPr>
            <w:r w:rsidRPr="00181EF3">
              <w:t>SU</w:t>
            </w:r>
          </w:p>
        </w:tc>
        <w:tc>
          <w:tcPr>
            <w:tcW w:w="3969" w:type="dxa"/>
            <w:tcBorders>
              <w:top w:val="single" w:sz="4" w:space="0" w:color="A6A6A6" w:themeColor="background1" w:themeShade="A6"/>
              <w:bottom w:val="single" w:sz="4" w:space="0" w:color="A6A6A6" w:themeColor="background1" w:themeShade="A6"/>
            </w:tcBorders>
          </w:tcPr>
          <w:p w14:paraId="69DC44AA" w14:textId="77777777" w:rsidR="005D05F9" w:rsidRPr="00181EF3" w:rsidRDefault="005D05F9" w:rsidP="005D05F9">
            <w:pPr>
              <w:pStyle w:val="TableText"/>
            </w:pPr>
            <w:r w:rsidRPr="00181EF3">
              <w:t>Suicide</w:t>
            </w:r>
          </w:p>
        </w:tc>
      </w:tr>
    </w:tbl>
    <w:p w14:paraId="24A91AAA" w14:textId="77777777" w:rsidR="005D05F9" w:rsidRPr="00181EF3" w:rsidRDefault="005D05F9" w:rsidP="005D05F9"/>
    <w:p w14:paraId="0670B0C5" w14:textId="44F00504" w:rsidR="005D05F9" w:rsidRPr="00181EF3" w:rsidRDefault="005D05F9" w:rsidP="005D05F9">
      <w:pPr>
        <w:pStyle w:val="Heading3"/>
      </w:pPr>
      <w:bookmarkStart w:id="108" w:name="_Toc19102327"/>
      <w:r w:rsidRPr="00181EF3">
        <w:lastRenderedPageBreak/>
        <w:t>Major cause</w:t>
      </w:r>
      <w:r>
        <w:t>s</w:t>
      </w:r>
      <w:r w:rsidRPr="00181EF3">
        <w:t xml:space="preserve"> of death</w:t>
      </w:r>
      <w:r>
        <w:t xml:space="preserve">, Māori and </w:t>
      </w:r>
      <w:r w:rsidR="00EC03A3">
        <w:t>non</w:t>
      </w:r>
      <w:r w:rsidR="00EC03A3">
        <w:noBreakHyphen/>
        <w:t>M</w:t>
      </w:r>
      <w:r>
        <w:t>āori</w:t>
      </w:r>
      <w:r w:rsidR="00CD34CF">
        <w:t xml:space="preserve"> males</w:t>
      </w:r>
      <w:r>
        <w:t>, 1996–2014</w:t>
      </w:r>
      <w:bookmarkEnd w:id="108"/>
    </w:p>
    <w:p w14:paraId="2C3A3435" w14:textId="3997144A" w:rsidR="005D05F9" w:rsidRPr="00181EF3" w:rsidRDefault="005D05F9" w:rsidP="005D05F9">
      <w:pPr>
        <w:pStyle w:val="Table"/>
      </w:pPr>
      <w:bookmarkStart w:id="109" w:name="_Toc18594759"/>
      <w:r w:rsidRPr="00181EF3">
        <w:t xml:space="preserve">Table </w:t>
      </w:r>
      <w:r>
        <w:t>19</w:t>
      </w:r>
      <w:r w:rsidRPr="00181EF3">
        <w:t xml:space="preserve">: </w:t>
      </w:r>
      <w:r w:rsidR="00CD34CF" w:rsidRPr="00CD34CF">
        <w:t xml:space="preserve">Major causes of death, ranked by age-standardised mortality rates, Māori and </w:t>
      </w:r>
      <w:r w:rsidR="00EC03A3">
        <w:t>non</w:t>
      </w:r>
      <w:r w:rsidR="00EC03A3">
        <w:noBreakHyphen/>
        <w:t>M</w:t>
      </w:r>
      <w:r w:rsidR="00CD34CF" w:rsidRPr="00CD34CF">
        <w:t>āori</w:t>
      </w:r>
      <w:r w:rsidR="00B7110B">
        <w:t xml:space="preserve"> males</w:t>
      </w:r>
      <w:r w:rsidR="00CD34CF" w:rsidRPr="00CD34CF">
        <w:t>, 1996–2014</w:t>
      </w:r>
      <w:bookmarkEnd w:id="109"/>
    </w:p>
    <w:tbl>
      <w:tblPr>
        <w:tblW w:w="8080" w:type="dxa"/>
        <w:tblInd w:w="57" w:type="dxa"/>
        <w:tblLayout w:type="fixed"/>
        <w:tblCellMar>
          <w:left w:w="57" w:type="dxa"/>
          <w:right w:w="57" w:type="dxa"/>
        </w:tblCellMar>
        <w:tblLook w:val="04A0" w:firstRow="1" w:lastRow="0" w:firstColumn="1" w:lastColumn="0" w:noHBand="0" w:noVBand="1"/>
      </w:tblPr>
      <w:tblGrid>
        <w:gridCol w:w="567"/>
        <w:gridCol w:w="430"/>
        <w:gridCol w:w="416"/>
        <w:gridCol w:w="417"/>
        <w:gridCol w:w="416"/>
        <w:gridCol w:w="417"/>
        <w:gridCol w:w="417"/>
        <w:gridCol w:w="416"/>
        <w:gridCol w:w="417"/>
        <w:gridCol w:w="417"/>
        <w:gridCol w:w="416"/>
        <w:gridCol w:w="417"/>
        <w:gridCol w:w="417"/>
        <w:gridCol w:w="416"/>
        <w:gridCol w:w="417"/>
        <w:gridCol w:w="417"/>
        <w:gridCol w:w="416"/>
        <w:gridCol w:w="417"/>
        <w:gridCol w:w="417"/>
      </w:tblGrid>
      <w:tr w:rsidR="005D05F9" w:rsidRPr="00181EF3" w14:paraId="2CD097A9" w14:textId="77777777" w:rsidTr="005D05F9">
        <w:trPr>
          <w:cantSplit/>
        </w:trPr>
        <w:tc>
          <w:tcPr>
            <w:tcW w:w="567" w:type="dxa"/>
            <w:vMerge w:val="restart"/>
            <w:shd w:val="clear" w:color="auto" w:fill="D9D9D9" w:themeFill="background1" w:themeFillShade="D9"/>
          </w:tcPr>
          <w:p w14:paraId="4FF1A966" w14:textId="77777777" w:rsidR="005D05F9" w:rsidRPr="00181EF3" w:rsidRDefault="005D05F9" w:rsidP="005D05F9">
            <w:pPr>
              <w:pStyle w:val="TableText"/>
              <w:rPr>
                <w:sz w:val="16"/>
                <w:szCs w:val="16"/>
              </w:rPr>
            </w:pPr>
          </w:p>
        </w:tc>
        <w:tc>
          <w:tcPr>
            <w:tcW w:w="430" w:type="dxa"/>
            <w:vMerge w:val="restart"/>
            <w:shd w:val="clear" w:color="auto" w:fill="D9D9D9" w:themeFill="background1" w:themeFillShade="D9"/>
            <w:textDirection w:val="btLr"/>
            <w:vAlign w:val="bottom"/>
          </w:tcPr>
          <w:p w14:paraId="04FC8739" w14:textId="77777777" w:rsidR="005D05F9" w:rsidRPr="00181EF3" w:rsidRDefault="005D05F9" w:rsidP="005D05F9">
            <w:pPr>
              <w:pStyle w:val="TableText"/>
              <w:ind w:left="57"/>
              <w:rPr>
                <w:b/>
                <w:sz w:val="16"/>
                <w:szCs w:val="16"/>
              </w:rPr>
            </w:pPr>
            <w:r w:rsidRPr="00181EF3">
              <w:rPr>
                <w:b/>
                <w:spacing w:val="-2"/>
                <w:sz w:val="16"/>
                <w:szCs w:val="16"/>
              </w:rPr>
              <w:t>Ranking</w:t>
            </w:r>
          </w:p>
        </w:tc>
        <w:tc>
          <w:tcPr>
            <w:tcW w:w="7083" w:type="dxa"/>
            <w:gridSpan w:val="17"/>
            <w:shd w:val="clear" w:color="auto" w:fill="D9D9D9" w:themeFill="background1" w:themeFillShade="D9"/>
          </w:tcPr>
          <w:p w14:paraId="66DC4F06" w14:textId="77777777" w:rsidR="005D05F9" w:rsidRPr="00181EF3" w:rsidRDefault="005D05F9" w:rsidP="005D05F9">
            <w:pPr>
              <w:pStyle w:val="TableText"/>
              <w:spacing w:after="0"/>
              <w:jc w:val="center"/>
              <w:rPr>
                <w:b/>
                <w:sz w:val="16"/>
                <w:szCs w:val="16"/>
              </w:rPr>
            </w:pPr>
            <w:r w:rsidRPr="00181EF3">
              <w:rPr>
                <w:b/>
                <w:sz w:val="16"/>
                <w:szCs w:val="16"/>
              </w:rPr>
              <w:t>Year</w:t>
            </w:r>
          </w:p>
        </w:tc>
      </w:tr>
      <w:tr w:rsidR="005D05F9" w:rsidRPr="00181EF3" w14:paraId="69F464A0" w14:textId="77777777" w:rsidTr="005D05F9">
        <w:trPr>
          <w:cantSplit/>
          <w:trHeight w:val="765"/>
        </w:trPr>
        <w:tc>
          <w:tcPr>
            <w:tcW w:w="567" w:type="dxa"/>
            <w:vMerge/>
            <w:shd w:val="clear" w:color="auto" w:fill="D9D9D9" w:themeFill="background1" w:themeFillShade="D9"/>
          </w:tcPr>
          <w:p w14:paraId="5956F93F" w14:textId="77777777" w:rsidR="005D05F9" w:rsidRPr="00181EF3" w:rsidRDefault="005D05F9" w:rsidP="005D05F9">
            <w:pPr>
              <w:pStyle w:val="TableText"/>
              <w:ind w:left="57"/>
              <w:rPr>
                <w:sz w:val="16"/>
                <w:szCs w:val="16"/>
              </w:rPr>
            </w:pPr>
          </w:p>
        </w:tc>
        <w:tc>
          <w:tcPr>
            <w:tcW w:w="430" w:type="dxa"/>
            <w:vMerge/>
            <w:shd w:val="clear" w:color="auto" w:fill="D9D9D9" w:themeFill="background1" w:themeFillShade="D9"/>
            <w:textDirection w:val="btLr"/>
            <w:vAlign w:val="bottom"/>
          </w:tcPr>
          <w:p w14:paraId="78A4D155" w14:textId="77777777" w:rsidR="005D05F9" w:rsidRPr="00181EF3" w:rsidRDefault="005D05F9" w:rsidP="005D05F9">
            <w:pPr>
              <w:pStyle w:val="TableText"/>
              <w:ind w:left="57"/>
              <w:rPr>
                <w:spacing w:val="-2"/>
                <w:sz w:val="16"/>
                <w:szCs w:val="16"/>
              </w:rPr>
            </w:pPr>
          </w:p>
        </w:tc>
        <w:tc>
          <w:tcPr>
            <w:tcW w:w="416" w:type="dxa"/>
            <w:shd w:val="clear" w:color="auto" w:fill="D9D9D9" w:themeFill="background1" w:themeFillShade="D9"/>
            <w:textDirection w:val="btLr"/>
            <w:vAlign w:val="bottom"/>
          </w:tcPr>
          <w:p w14:paraId="65FF95D9" w14:textId="77777777" w:rsidR="005D05F9" w:rsidRPr="00181EF3" w:rsidRDefault="005D05F9" w:rsidP="005D05F9">
            <w:pPr>
              <w:pStyle w:val="TableText"/>
              <w:ind w:left="57"/>
              <w:rPr>
                <w:b/>
                <w:sz w:val="16"/>
                <w:szCs w:val="16"/>
              </w:rPr>
            </w:pPr>
            <w:r w:rsidRPr="00181EF3">
              <w:rPr>
                <w:b/>
                <w:sz w:val="16"/>
                <w:szCs w:val="16"/>
              </w:rPr>
              <w:t>1996–98</w:t>
            </w:r>
          </w:p>
        </w:tc>
        <w:tc>
          <w:tcPr>
            <w:tcW w:w="417" w:type="dxa"/>
            <w:shd w:val="clear" w:color="auto" w:fill="D9D9D9" w:themeFill="background1" w:themeFillShade="D9"/>
            <w:textDirection w:val="btLr"/>
            <w:vAlign w:val="bottom"/>
          </w:tcPr>
          <w:p w14:paraId="19249C4C" w14:textId="77777777" w:rsidR="005D05F9" w:rsidRPr="00181EF3" w:rsidRDefault="005D05F9" w:rsidP="005D05F9">
            <w:pPr>
              <w:pStyle w:val="TableText"/>
              <w:ind w:left="57"/>
              <w:rPr>
                <w:b/>
                <w:sz w:val="16"/>
                <w:szCs w:val="16"/>
              </w:rPr>
            </w:pPr>
            <w:r w:rsidRPr="00181EF3">
              <w:rPr>
                <w:b/>
                <w:sz w:val="16"/>
                <w:szCs w:val="16"/>
              </w:rPr>
              <w:t>1997–99</w:t>
            </w:r>
          </w:p>
        </w:tc>
        <w:tc>
          <w:tcPr>
            <w:tcW w:w="416" w:type="dxa"/>
            <w:shd w:val="clear" w:color="auto" w:fill="D9D9D9" w:themeFill="background1" w:themeFillShade="D9"/>
            <w:textDirection w:val="btLr"/>
            <w:vAlign w:val="bottom"/>
          </w:tcPr>
          <w:p w14:paraId="2C8CC9C1" w14:textId="77777777" w:rsidR="005D05F9" w:rsidRPr="00181EF3" w:rsidRDefault="005D05F9" w:rsidP="005D05F9">
            <w:pPr>
              <w:pStyle w:val="TableText"/>
              <w:ind w:left="57"/>
              <w:rPr>
                <w:b/>
                <w:sz w:val="16"/>
                <w:szCs w:val="16"/>
              </w:rPr>
            </w:pPr>
            <w:r w:rsidRPr="00181EF3">
              <w:rPr>
                <w:b/>
                <w:sz w:val="16"/>
                <w:szCs w:val="16"/>
              </w:rPr>
              <w:t>1998-00</w:t>
            </w:r>
          </w:p>
        </w:tc>
        <w:tc>
          <w:tcPr>
            <w:tcW w:w="417" w:type="dxa"/>
            <w:shd w:val="clear" w:color="auto" w:fill="D9D9D9" w:themeFill="background1" w:themeFillShade="D9"/>
            <w:textDirection w:val="btLr"/>
            <w:vAlign w:val="bottom"/>
          </w:tcPr>
          <w:p w14:paraId="3024C928" w14:textId="77777777" w:rsidR="005D05F9" w:rsidRPr="00181EF3" w:rsidRDefault="005D05F9" w:rsidP="005D05F9">
            <w:pPr>
              <w:pStyle w:val="TableText"/>
              <w:ind w:left="57"/>
              <w:rPr>
                <w:b/>
                <w:sz w:val="16"/>
                <w:szCs w:val="16"/>
              </w:rPr>
            </w:pPr>
            <w:r w:rsidRPr="00181EF3">
              <w:rPr>
                <w:b/>
                <w:sz w:val="16"/>
                <w:szCs w:val="16"/>
              </w:rPr>
              <w:t>1999–01</w:t>
            </w:r>
          </w:p>
        </w:tc>
        <w:tc>
          <w:tcPr>
            <w:tcW w:w="417" w:type="dxa"/>
            <w:shd w:val="clear" w:color="auto" w:fill="D9D9D9" w:themeFill="background1" w:themeFillShade="D9"/>
            <w:textDirection w:val="btLr"/>
            <w:vAlign w:val="bottom"/>
          </w:tcPr>
          <w:p w14:paraId="0E45C76B" w14:textId="77777777" w:rsidR="005D05F9" w:rsidRPr="00181EF3" w:rsidRDefault="005D05F9" w:rsidP="005D05F9">
            <w:pPr>
              <w:pStyle w:val="TableText"/>
              <w:ind w:left="57"/>
              <w:rPr>
                <w:b/>
                <w:sz w:val="16"/>
                <w:szCs w:val="16"/>
              </w:rPr>
            </w:pPr>
            <w:r w:rsidRPr="00181EF3">
              <w:rPr>
                <w:b/>
                <w:sz w:val="16"/>
                <w:szCs w:val="16"/>
              </w:rPr>
              <w:t>2000-02</w:t>
            </w:r>
          </w:p>
        </w:tc>
        <w:tc>
          <w:tcPr>
            <w:tcW w:w="416" w:type="dxa"/>
            <w:shd w:val="clear" w:color="auto" w:fill="D9D9D9" w:themeFill="background1" w:themeFillShade="D9"/>
            <w:textDirection w:val="btLr"/>
            <w:vAlign w:val="bottom"/>
          </w:tcPr>
          <w:p w14:paraId="26001D14" w14:textId="77777777" w:rsidR="005D05F9" w:rsidRPr="00181EF3" w:rsidRDefault="005D05F9" w:rsidP="005D05F9">
            <w:pPr>
              <w:pStyle w:val="TableText"/>
              <w:ind w:left="57"/>
              <w:rPr>
                <w:b/>
                <w:sz w:val="16"/>
                <w:szCs w:val="16"/>
              </w:rPr>
            </w:pPr>
            <w:r w:rsidRPr="00181EF3">
              <w:rPr>
                <w:b/>
                <w:sz w:val="16"/>
                <w:szCs w:val="16"/>
              </w:rPr>
              <w:t>2001–03</w:t>
            </w:r>
          </w:p>
        </w:tc>
        <w:tc>
          <w:tcPr>
            <w:tcW w:w="417" w:type="dxa"/>
            <w:shd w:val="clear" w:color="auto" w:fill="D9D9D9" w:themeFill="background1" w:themeFillShade="D9"/>
            <w:textDirection w:val="btLr"/>
            <w:vAlign w:val="bottom"/>
          </w:tcPr>
          <w:p w14:paraId="6D684D7F" w14:textId="77777777" w:rsidR="005D05F9" w:rsidRPr="00181EF3" w:rsidRDefault="005D05F9" w:rsidP="005D05F9">
            <w:pPr>
              <w:pStyle w:val="TableText"/>
              <w:ind w:left="57"/>
              <w:rPr>
                <w:b/>
                <w:sz w:val="16"/>
                <w:szCs w:val="16"/>
              </w:rPr>
            </w:pPr>
            <w:r w:rsidRPr="00181EF3">
              <w:rPr>
                <w:b/>
                <w:sz w:val="16"/>
                <w:szCs w:val="16"/>
              </w:rPr>
              <w:t>2002-04</w:t>
            </w:r>
          </w:p>
        </w:tc>
        <w:tc>
          <w:tcPr>
            <w:tcW w:w="417" w:type="dxa"/>
            <w:shd w:val="clear" w:color="auto" w:fill="D9D9D9" w:themeFill="background1" w:themeFillShade="D9"/>
            <w:textDirection w:val="btLr"/>
            <w:vAlign w:val="bottom"/>
          </w:tcPr>
          <w:p w14:paraId="5571FB0B" w14:textId="77777777" w:rsidR="005D05F9" w:rsidRPr="00181EF3" w:rsidRDefault="005D05F9" w:rsidP="005D05F9">
            <w:pPr>
              <w:pStyle w:val="TableText"/>
              <w:ind w:left="57"/>
              <w:rPr>
                <w:b/>
                <w:sz w:val="16"/>
                <w:szCs w:val="16"/>
              </w:rPr>
            </w:pPr>
            <w:r w:rsidRPr="00181EF3">
              <w:rPr>
                <w:b/>
                <w:sz w:val="16"/>
                <w:szCs w:val="16"/>
              </w:rPr>
              <w:t>2003-05</w:t>
            </w:r>
          </w:p>
        </w:tc>
        <w:tc>
          <w:tcPr>
            <w:tcW w:w="416" w:type="dxa"/>
            <w:shd w:val="clear" w:color="auto" w:fill="D9D9D9" w:themeFill="background1" w:themeFillShade="D9"/>
            <w:textDirection w:val="btLr"/>
            <w:vAlign w:val="bottom"/>
          </w:tcPr>
          <w:p w14:paraId="10B8C338" w14:textId="77777777" w:rsidR="005D05F9" w:rsidRPr="00181EF3" w:rsidRDefault="005D05F9" w:rsidP="005D05F9">
            <w:pPr>
              <w:pStyle w:val="TableText"/>
              <w:ind w:left="57"/>
              <w:rPr>
                <w:b/>
                <w:sz w:val="16"/>
                <w:szCs w:val="16"/>
              </w:rPr>
            </w:pPr>
            <w:r w:rsidRPr="00181EF3">
              <w:rPr>
                <w:b/>
                <w:sz w:val="16"/>
                <w:szCs w:val="16"/>
              </w:rPr>
              <w:t>2004-06</w:t>
            </w:r>
          </w:p>
        </w:tc>
        <w:tc>
          <w:tcPr>
            <w:tcW w:w="417" w:type="dxa"/>
            <w:shd w:val="clear" w:color="auto" w:fill="D9D9D9" w:themeFill="background1" w:themeFillShade="D9"/>
            <w:textDirection w:val="btLr"/>
            <w:vAlign w:val="bottom"/>
          </w:tcPr>
          <w:p w14:paraId="1B25F63D" w14:textId="77777777" w:rsidR="005D05F9" w:rsidRPr="00181EF3" w:rsidRDefault="005D05F9" w:rsidP="005D05F9">
            <w:pPr>
              <w:pStyle w:val="TableText"/>
              <w:ind w:left="57"/>
              <w:rPr>
                <w:b/>
                <w:sz w:val="16"/>
                <w:szCs w:val="16"/>
              </w:rPr>
            </w:pPr>
            <w:r w:rsidRPr="00181EF3">
              <w:rPr>
                <w:b/>
                <w:sz w:val="16"/>
                <w:szCs w:val="16"/>
              </w:rPr>
              <w:t>2005–07</w:t>
            </w:r>
          </w:p>
        </w:tc>
        <w:tc>
          <w:tcPr>
            <w:tcW w:w="417" w:type="dxa"/>
            <w:shd w:val="clear" w:color="auto" w:fill="D9D9D9" w:themeFill="background1" w:themeFillShade="D9"/>
            <w:textDirection w:val="btLr"/>
            <w:vAlign w:val="bottom"/>
          </w:tcPr>
          <w:p w14:paraId="1A645329" w14:textId="77777777" w:rsidR="005D05F9" w:rsidRPr="00181EF3" w:rsidRDefault="005D05F9" w:rsidP="005D05F9">
            <w:pPr>
              <w:pStyle w:val="TableText"/>
              <w:ind w:left="57"/>
              <w:rPr>
                <w:b/>
                <w:sz w:val="16"/>
                <w:szCs w:val="16"/>
              </w:rPr>
            </w:pPr>
            <w:r w:rsidRPr="00181EF3">
              <w:rPr>
                <w:b/>
                <w:sz w:val="16"/>
                <w:szCs w:val="16"/>
              </w:rPr>
              <w:t>2006–08</w:t>
            </w:r>
          </w:p>
        </w:tc>
        <w:tc>
          <w:tcPr>
            <w:tcW w:w="416" w:type="dxa"/>
            <w:shd w:val="clear" w:color="auto" w:fill="D9D9D9" w:themeFill="background1" w:themeFillShade="D9"/>
            <w:textDirection w:val="btLr"/>
            <w:vAlign w:val="bottom"/>
          </w:tcPr>
          <w:p w14:paraId="15D70CEF" w14:textId="77777777" w:rsidR="005D05F9" w:rsidRPr="00181EF3" w:rsidRDefault="005D05F9" w:rsidP="005D05F9">
            <w:pPr>
              <w:pStyle w:val="TableText"/>
              <w:ind w:left="57"/>
              <w:rPr>
                <w:b/>
                <w:sz w:val="16"/>
                <w:szCs w:val="16"/>
              </w:rPr>
            </w:pPr>
            <w:r w:rsidRPr="00181EF3">
              <w:rPr>
                <w:b/>
                <w:sz w:val="16"/>
                <w:szCs w:val="16"/>
              </w:rPr>
              <w:t>2007–09</w:t>
            </w:r>
          </w:p>
        </w:tc>
        <w:tc>
          <w:tcPr>
            <w:tcW w:w="417" w:type="dxa"/>
            <w:shd w:val="clear" w:color="auto" w:fill="D9D9D9" w:themeFill="background1" w:themeFillShade="D9"/>
            <w:textDirection w:val="btLr"/>
            <w:vAlign w:val="bottom"/>
          </w:tcPr>
          <w:p w14:paraId="7617F9C6" w14:textId="77777777" w:rsidR="005D05F9" w:rsidRPr="00181EF3" w:rsidRDefault="005D05F9" w:rsidP="005D05F9">
            <w:pPr>
              <w:pStyle w:val="TableText"/>
              <w:ind w:left="57"/>
              <w:rPr>
                <w:b/>
                <w:sz w:val="16"/>
                <w:szCs w:val="16"/>
              </w:rPr>
            </w:pPr>
            <w:r w:rsidRPr="00181EF3">
              <w:rPr>
                <w:b/>
                <w:sz w:val="16"/>
                <w:szCs w:val="16"/>
              </w:rPr>
              <w:t>2008–10</w:t>
            </w:r>
          </w:p>
        </w:tc>
        <w:tc>
          <w:tcPr>
            <w:tcW w:w="417" w:type="dxa"/>
            <w:shd w:val="clear" w:color="auto" w:fill="D9D9D9" w:themeFill="background1" w:themeFillShade="D9"/>
            <w:textDirection w:val="btLr"/>
            <w:vAlign w:val="bottom"/>
          </w:tcPr>
          <w:p w14:paraId="10D60FAD" w14:textId="77777777" w:rsidR="005D05F9" w:rsidRPr="00181EF3" w:rsidRDefault="005D05F9" w:rsidP="005D05F9">
            <w:pPr>
              <w:pStyle w:val="TableText"/>
              <w:ind w:left="57"/>
              <w:rPr>
                <w:b/>
                <w:sz w:val="16"/>
                <w:szCs w:val="16"/>
              </w:rPr>
            </w:pPr>
            <w:r w:rsidRPr="00181EF3">
              <w:rPr>
                <w:b/>
                <w:sz w:val="16"/>
                <w:szCs w:val="16"/>
              </w:rPr>
              <w:t>2009–11</w:t>
            </w:r>
          </w:p>
        </w:tc>
        <w:tc>
          <w:tcPr>
            <w:tcW w:w="416" w:type="dxa"/>
            <w:shd w:val="clear" w:color="auto" w:fill="D9D9D9" w:themeFill="background1" w:themeFillShade="D9"/>
            <w:textDirection w:val="btLr"/>
            <w:vAlign w:val="bottom"/>
          </w:tcPr>
          <w:p w14:paraId="7F24254D" w14:textId="77777777" w:rsidR="005D05F9" w:rsidRPr="00181EF3" w:rsidRDefault="005D05F9" w:rsidP="005D05F9">
            <w:pPr>
              <w:pStyle w:val="TableText"/>
              <w:ind w:left="57"/>
              <w:rPr>
                <w:b/>
                <w:sz w:val="16"/>
                <w:szCs w:val="16"/>
              </w:rPr>
            </w:pPr>
            <w:r w:rsidRPr="00181EF3">
              <w:rPr>
                <w:b/>
                <w:sz w:val="16"/>
                <w:szCs w:val="16"/>
              </w:rPr>
              <w:t>2010–12</w:t>
            </w:r>
          </w:p>
        </w:tc>
        <w:tc>
          <w:tcPr>
            <w:tcW w:w="417" w:type="dxa"/>
            <w:shd w:val="clear" w:color="auto" w:fill="D9D9D9" w:themeFill="background1" w:themeFillShade="D9"/>
            <w:textDirection w:val="btLr"/>
            <w:vAlign w:val="bottom"/>
          </w:tcPr>
          <w:p w14:paraId="28B809CA" w14:textId="77777777" w:rsidR="005D05F9" w:rsidRPr="00181EF3" w:rsidRDefault="005D05F9" w:rsidP="005D05F9">
            <w:pPr>
              <w:pStyle w:val="TableText"/>
              <w:ind w:left="57"/>
              <w:rPr>
                <w:b/>
                <w:sz w:val="16"/>
                <w:szCs w:val="16"/>
              </w:rPr>
            </w:pPr>
            <w:r w:rsidRPr="00181EF3">
              <w:rPr>
                <w:b/>
                <w:sz w:val="16"/>
                <w:szCs w:val="16"/>
              </w:rPr>
              <w:t>2011–13</w:t>
            </w:r>
          </w:p>
        </w:tc>
        <w:tc>
          <w:tcPr>
            <w:tcW w:w="417" w:type="dxa"/>
            <w:shd w:val="clear" w:color="auto" w:fill="D9D9D9" w:themeFill="background1" w:themeFillShade="D9"/>
            <w:textDirection w:val="btLr"/>
            <w:vAlign w:val="bottom"/>
          </w:tcPr>
          <w:p w14:paraId="375C45F4" w14:textId="77777777" w:rsidR="005D05F9" w:rsidRPr="00181EF3" w:rsidRDefault="005D05F9" w:rsidP="005D05F9">
            <w:pPr>
              <w:pStyle w:val="TableText"/>
              <w:ind w:left="57"/>
              <w:rPr>
                <w:b/>
                <w:sz w:val="16"/>
                <w:szCs w:val="16"/>
              </w:rPr>
            </w:pPr>
            <w:r w:rsidRPr="00181EF3">
              <w:rPr>
                <w:b/>
                <w:sz w:val="16"/>
                <w:szCs w:val="16"/>
              </w:rPr>
              <w:t>2012–14</w:t>
            </w:r>
          </w:p>
        </w:tc>
      </w:tr>
      <w:tr w:rsidR="005D05F9" w:rsidRPr="00181EF3" w14:paraId="269AD3B0" w14:textId="77777777" w:rsidTr="005D05F9">
        <w:tc>
          <w:tcPr>
            <w:tcW w:w="567" w:type="dxa"/>
            <w:vMerge w:val="restart"/>
          </w:tcPr>
          <w:p w14:paraId="5FC536CC" w14:textId="77777777" w:rsidR="005D05F9" w:rsidRPr="00181EF3" w:rsidRDefault="005D05F9" w:rsidP="005D05F9">
            <w:pPr>
              <w:pStyle w:val="TableText"/>
              <w:rPr>
                <w:sz w:val="16"/>
                <w:szCs w:val="16"/>
              </w:rPr>
            </w:pPr>
            <w:r w:rsidRPr="00181EF3">
              <w:rPr>
                <w:sz w:val="16"/>
                <w:szCs w:val="16"/>
              </w:rPr>
              <w:t>Māori</w:t>
            </w:r>
          </w:p>
        </w:tc>
        <w:tc>
          <w:tcPr>
            <w:tcW w:w="430" w:type="dxa"/>
            <w:tcBorders>
              <w:bottom w:val="single" w:sz="4" w:space="0" w:color="A6A6A6" w:themeColor="background1" w:themeShade="A6"/>
            </w:tcBorders>
            <w:shd w:val="clear" w:color="auto" w:fill="auto"/>
          </w:tcPr>
          <w:p w14:paraId="2BD426CC" w14:textId="77777777" w:rsidR="005D05F9" w:rsidRPr="00181EF3" w:rsidRDefault="005D05F9" w:rsidP="005D05F9">
            <w:pPr>
              <w:pStyle w:val="TableText"/>
              <w:jc w:val="center"/>
              <w:rPr>
                <w:sz w:val="16"/>
                <w:szCs w:val="16"/>
              </w:rPr>
            </w:pPr>
            <w:r w:rsidRPr="00181EF3">
              <w:rPr>
                <w:sz w:val="16"/>
                <w:szCs w:val="16"/>
              </w:rPr>
              <w:t>1</w:t>
            </w:r>
          </w:p>
        </w:tc>
        <w:tc>
          <w:tcPr>
            <w:tcW w:w="416" w:type="dxa"/>
            <w:tcBorders>
              <w:bottom w:val="single" w:sz="4" w:space="0" w:color="A6A6A6" w:themeColor="background1" w:themeShade="A6"/>
            </w:tcBorders>
            <w:shd w:val="clear" w:color="auto" w:fill="auto"/>
          </w:tcPr>
          <w:p w14:paraId="04E12F2A" w14:textId="77777777" w:rsidR="005D05F9" w:rsidRPr="00181EF3" w:rsidRDefault="005D05F9" w:rsidP="005D05F9">
            <w:pPr>
              <w:pStyle w:val="TableText"/>
              <w:jc w:val="center"/>
              <w:rPr>
                <w:sz w:val="16"/>
                <w:szCs w:val="16"/>
              </w:rPr>
            </w:pPr>
            <w:r w:rsidRPr="00181EF3">
              <w:rPr>
                <w:sz w:val="16"/>
                <w:szCs w:val="16"/>
              </w:rPr>
              <w:t>IHD</w:t>
            </w:r>
          </w:p>
        </w:tc>
        <w:tc>
          <w:tcPr>
            <w:tcW w:w="417" w:type="dxa"/>
            <w:tcBorders>
              <w:bottom w:val="single" w:sz="4" w:space="0" w:color="A6A6A6" w:themeColor="background1" w:themeShade="A6"/>
            </w:tcBorders>
            <w:shd w:val="clear" w:color="auto" w:fill="auto"/>
          </w:tcPr>
          <w:p w14:paraId="4DDB0392" w14:textId="77777777" w:rsidR="005D05F9" w:rsidRPr="00181EF3" w:rsidRDefault="005D05F9" w:rsidP="005D05F9">
            <w:pPr>
              <w:pStyle w:val="TableText"/>
              <w:jc w:val="center"/>
              <w:rPr>
                <w:sz w:val="16"/>
                <w:szCs w:val="16"/>
              </w:rPr>
            </w:pPr>
            <w:r w:rsidRPr="00181EF3">
              <w:rPr>
                <w:sz w:val="16"/>
                <w:szCs w:val="16"/>
              </w:rPr>
              <w:t>IHD</w:t>
            </w:r>
          </w:p>
        </w:tc>
        <w:tc>
          <w:tcPr>
            <w:tcW w:w="416" w:type="dxa"/>
            <w:tcBorders>
              <w:bottom w:val="single" w:sz="4" w:space="0" w:color="A6A6A6" w:themeColor="background1" w:themeShade="A6"/>
            </w:tcBorders>
            <w:shd w:val="clear" w:color="auto" w:fill="auto"/>
          </w:tcPr>
          <w:p w14:paraId="6624E369" w14:textId="77777777" w:rsidR="005D05F9" w:rsidRPr="00181EF3" w:rsidRDefault="005D05F9" w:rsidP="005D05F9">
            <w:pPr>
              <w:pStyle w:val="TableText"/>
              <w:jc w:val="center"/>
              <w:rPr>
                <w:sz w:val="16"/>
                <w:szCs w:val="16"/>
              </w:rPr>
            </w:pPr>
            <w:r w:rsidRPr="00181EF3">
              <w:rPr>
                <w:sz w:val="16"/>
                <w:szCs w:val="16"/>
              </w:rPr>
              <w:t>IHD</w:t>
            </w:r>
          </w:p>
        </w:tc>
        <w:tc>
          <w:tcPr>
            <w:tcW w:w="417" w:type="dxa"/>
            <w:tcBorders>
              <w:bottom w:val="single" w:sz="4" w:space="0" w:color="A6A6A6" w:themeColor="background1" w:themeShade="A6"/>
            </w:tcBorders>
            <w:shd w:val="clear" w:color="auto" w:fill="auto"/>
          </w:tcPr>
          <w:p w14:paraId="30351826" w14:textId="77777777" w:rsidR="005D05F9" w:rsidRPr="00181EF3" w:rsidRDefault="005D05F9" w:rsidP="005D05F9">
            <w:pPr>
              <w:pStyle w:val="TableText"/>
              <w:jc w:val="center"/>
              <w:rPr>
                <w:sz w:val="16"/>
                <w:szCs w:val="16"/>
              </w:rPr>
            </w:pPr>
            <w:r w:rsidRPr="00181EF3">
              <w:rPr>
                <w:sz w:val="16"/>
                <w:szCs w:val="16"/>
              </w:rPr>
              <w:t>IHD</w:t>
            </w:r>
          </w:p>
        </w:tc>
        <w:tc>
          <w:tcPr>
            <w:tcW w:w="417" w:type="dxa"/>
            <w:tcBorders>
              <w:bottom w:val="single" w:sz="4" w:space="0" w:color="A6A6A6" w:themeColor="background1" w:themeShade="A6"/>
            </w:tcBorders>
            <w:shd w:val="clear" w:color="auto" w:fill="auto"/>
          </w:tcPr>
          <w:p w14:paraId="7FEC3DF2" w14:textId="77777777" w:rsidR="005D05F9" w:rsidRPr="00181EF3" w:rsidRDefault="005D05F9" w:rsidP="005D05F9">
            <w:pPr>
              <w:pStyle w:val="TableText"/>
              <w:jc w:val="center"/>
              <w:rPr>
                <w:sz w:val="16"/>
                <w:szCs w:val="16"/>
              </w:rPr>
            </w:pPr>
            <w:r w:rsidRPr="00181EF3">
              <w:rPr>
                <w:sz w:val="16"/>
                <w:szCs w:val="16"/>
              </w:rPr>
              <w:t>IHD</w:t>
            </w:r>
          </w:p>
        </w:tc>
        <w:tc>
          <w:tcPr>
            <w:tcW w:w="416" w:type="dxa"/>
            <w:tcBorders>
              <w:bottom w:val="single" w:sz="4" w:space="0" w:color="A6A6A6" w:themeColor="background1" w:themeShade="A6"/>
            </w:tcBorders>
            <w:shd w:val="clear" w:color="auto" w:fill="auto"/>
          </w:tcPr>
          <w:p w14:paraId="25116C72" w14:textId="77777777" w:rsidR="005D05F9" w:rsidRPr="00181EF3" w:rsidRDefault="005D05F9" w:rsidP="005D05F9">
            <w:pPr>
              <w:pStyle w:val="TableText"/>
              <w:jc w:val="center"/>
              <w:rPr>
                <w:sz w:val="16"/>
                <w:szCs w:val="16"/>
              </w:rPr>
            </w:pPr>
            <w:r w:rsidRPr="00181EF3">
              <w:rPr>
                <w:sz w:val="16"/>
                <w:szCs w:val="16"/>
              </w:rPr>
              <w:t>IHD</w:t>
            </w:r>
          </w:p>
        </w:tc>
        <w:tc>
          <w:tcPr>
            <w:tcW w:w="417" w:type="dxa"/>
            <w:tcBorders>
              <w:bottom w:val="single" w:sz="4" w:space="0" w:color="A6A6A6" w:themeColor="background1" w:themeShade="A6"/>
            </w:tcBorders>
            <w:shd w:val="clear" w:color="auto" w:fill="auto"/>
          </w:tcPr>
          <w:p w14:paraId="287A0AE3" w14:textId="77777777" w:rsidR="005D05F9" w:rsidRPr="00181EF3" w:rsidRDefault="005D05F9" w:rsidP="005D05F9">
            <w:pPr>
              <w:pStyle w:val="TableText"/>
              <w:jc w:val="center"/>
              <w:rPr>
                <w:sz w:val="16"/>
                <w:szCs w:val="16"/>
              </w:rPr>
            </w:pPr>
            <w:r w:rsidRPr="00181EF3">
              <w:rPr>
                <w:sz w:val="16"/>
                <w:szCs w:val="16"/>
              </w:rPr>
              <w:t>IHD</w:t>
            </w:r>
          </w:p>
        </w:tc>
        <w:tc>
          <w:tcPr>
            <w:tcW w:w="417" w:type="dxa"/>
            <w:tcBorders>
              <w:bottom w:val="single" w:sz="4" w:space="0" w:color="A6A6A6" w:themeColor="background1" w:themeShade="A6"/>
            </w:tcBorders>
            <w:shd w:val="clear" w:color="auto" w:fill="auto"/>
          </w:tcPr>
          <w:p w14:paraId="6D006627" w14:textId="77777777" w:rsidR="005D05F9" w:rsidRPr="00181EF3" w:rsidRDefault="005D05F9" w:rsidP="005D05F9">
            <w:pPr>
              <w:pStyle w:val="TableText"/>
              <w:jc w:val="center"/>
              <w:rPr>
                <w:sz w:val="16"/>
                <w:szCs w:val="16"/>
              </w:rPr>
            </w:pPr>
            <w:r w:rsidRPr="00181EF3">
              <w:rPr>
                <w:sz w:val="16"/>
                <w:szCs w:val="16"/>
              </w:rPr>
              <w:t>IHD</w:t>
            </w:r>
          </w:p>
        </w:tc>
        <w:tc>
          <w:tcPr>
            <w:tcW w:w="416" w:type="dxa"/>
            <w:tcBorders>
              <w:bottom w:val="single" w:sz="4" w:space="0" w:color="A6A6A6" w:themeColor="background1" w:themeShade="A6"/>
            </w:tcBorders>
            <w:shd w:val="clear" w:color="auto" w:fill="auto"/>
          </w:tcPr>
          <w:p w14:paraId="435BCF25" w14:textId="77777777" w:rsidR="005D05F9" w:rsidRPr="00181EF3" w:rsidRDefault="005D05F9" w:rsidP="005D05F9">
            <w:pPr>
              <w:pStyle w:val="TableText"/>
              <w:jc w:val="center"/>
              <w:rPr>
                <w:sz w:val="16"/>
                <w:szCs w:val="16"/>
              </w:rPr>
            </w:pPr>
            <w:r w:rsidRPr="00181EF3">
              <w:rPr>
                <w:sz w:val="16"/>
                <w:szCs w:val="16"/>
              </w:rPr>
              <w:t>IHD</w:t>
            </w:r>
          </w:p>
        </w:tc>
        <w:tc>
          <w:tcPr>
            <w:tcW w:w="417" w:type="dxa"/>
            <w:tcBorders>
              <w:bottom w:val="single" w:sz="4" w:space="0" w:color="A6A6A6" w:themeColor="background1" w:themeShade="A6"/>
            </w:tcBorders>
            <w:shd w:val="clear" w:color="auto" w:fill="auto"/>
          </w:tcPr>
          <w:p w14:paraId="3426845A" w14:textId="77777777" w:rsidR="005D05F9" w:rsidRPr="00181EF3" w:rsidRDefault="005D05F9" w:rsidP="005D05F9">
            <w:pPr>
              <w:pStyle w:val="TableText"/>
              <w:jc w:val="center"/>
              <w:rPr>
                <w:sz w:val="16"/>
                <w:szCs w:val="16"/>
              </w:rPr>
            </w:pPr>
            <w:r w:rsidRPr="00181EF3">
              <w:rPr>
                <w:sz w:val="16"/>
                <w:szCs w:val="16"/>
              </w:rPr>
              <w:t>IHD</w:t>
            </w:r>
          </w:p>
        </w:tc>
        <w:tc>
          <w:tcPr>
            <w:tcW w:w="417" w:type="dxa"/>
            <w:tcBorders>
              <w:bottom w:val="single" w:sz="4" w:space="0" w:color="A6A6A6" w:themeColor="background1" w:themeShade="A6"/>
            </w:tcBorders>
            <w:shd w:val="clear" w:color="auto" w:fill="auto"/>
          </w:tcPr>
          <w:p w14:paraId="44B0363B" w14:textId="77777777" w:rsidR="005D05F9" w:rsidRPr="00181EF3" w:rsidRDefault="005D05F9" w:rsidP="005D05F9">
            <w:pPr>
              <w:pStyle w:val="TableText"/>
              <w:jc w:val="center"/>
              <w:rPr>
                <w:sz w:val="16"/>
                <w:szCs w:val="16"/>
              </w:rPr>
            </w:pPr>
            <w:r w:rsidRPr="00181EF3">
              <w:rPr>
                <w:sz w:val="16"/>
                <w:szCs w:val="16"/>
              </w:rPr>
              <w:t>IHD</w:t>
            </w:r>
          </w:p>
        </w:tc>
        <w:tc>
          <w:tcPr>
            <w:tcW w:w="416" w:type="dxa"/>
            <w:tcBorders>
              <w:bottom w:val="single" w:sz="4" w:space="0" w:color="A6A6A6" w:themeColor="background1" w:themeShade="A6"/>
            </w:tcBorders>
            <w:shd w:val="clear" w:color="auto" w:fill="auto"/>
          </w:tcPr>
          <w:p w14:paraId="371D3E7D" w14:textId="77777777" w:rsidR="005D05F9" w:rsidRPr="00181EF3" w:rsidRDefault="005D05F9" w:rsidP="005D05F9">
            <w:pPr>
              <w:pStyle w:val="TableText"/>
              <w:jc w:val="center"/>
              <w:rPr>
                <w:sz w:val="16"/>
                <w:szCs w:val="16"/>
              </w:rPr>
            </w:pPr>
            <w:r w:rsidRPr="00181EF3">
              <w:rPr>
                <w:sz w:val="16"/>
                <w:szCs w:val="16"/>
              </w:rPr>
              <w:t>IHD</w:t>
            </w:r>
          </w:p>
        </w:tc>
        <w:tc>
          <w:tcPr>
            <w:tcW w:w="417" w:type="dxa"/>
            <w:tcBorders>
              <w:bottom w:val="single" w:sz="4" w:space="0" w:color="A6A6A6" w:themeColor="background1" w:themeShade="A6"/>
            </w:tcBorders>
            <w:shd w:val="clear" w:color="auto" w:fill="auto"/>
          </w:tcPr>
          <w:p w14:paraId="77F31F11" w14:textId="77777777" w:rsidR="005D05F9" w:rsidRPr="00181EF3" w:rsidRDefault="005D05F9" w:rsidP="005D05F9">
            <w:pPr>
              <w:pStyle w:val="TableText"/>
              <w:jc w:val="center"/>
              <w:rPr>
                <w:sz w:val="16"/>
                <w:szCs w:val="16"/>
              </w:rPr>
            </w:pPr>
            <w:r w:rsidRPr="00181EF3">
              <w:rPr>
                <w:sz w:val="16"/>
                <w:szCs w:val="16"/>
              </w:rPr>
              <w:t>IHD</w:t>
            </w:r>
          </w:p>
        </w:tc>
        <w:tc>
          <w:tcPr>
            <w:tcW w:w="417" w:type="dxa"/>
            <w:tcBorders>
              <w:bottom w:val="single" w:sz="4" w:space="0" w:color="A6A6A6" w:themeColor="background1" w:themeShade="A6"/>
            </w:tcBorders>
            <w:shd w:val="clear" w:color="auto" w:fill="auto"/>
          </w:tcPr>
          <w:p w14:paraId="44FBD154" w14:textId="77777777" w:rsidR="005D05F9" w:rsidRPr="00181EF3" w:rsidRDefault="005D05F9" w:rsidP="005D05F9">
            <w:pPr>
              <w:pStyle w:val="TableText"/>
              <w:jc w:val="center"/>
              <w:rPr>
                <w:sz w:val="16"/>
                <w:szCs w:val="16"/>
              </w:rPr>
            </w:pPr>
            <w:r w:rsidRPr="00181EF3">
              <w:rPr>
                <w:sz w:val="16"/>
                <w:szCs w:val="16"/>
              </w:rPr>
              <w:t>IHD</w:t>
            </w:r>
          </w:p>
        </w:tc>
        <w:tc>
          <w:tcPr>
            <w:tcW w:w="416" w:type="dxa"/>
            <w:tcBorders>
              <w:bottom w:val="single" w:sz="4" w:space="0" w:color="A6A6A6" w:themeColor="background1" w:themeShade="A6"/>
            </w:tcBorders>
            <w:shd w:val="clear" w:color="auto" w:fill="auto"/>
          </w:tcPr>
          <w:p w14:paraId="0B9A4AA0" w14:textId="77777777" w:rsidR="005D05F9" w:rsidRPr="00181EF3" w:rsidRDefault="005D05F9" w:rsidP="005D05F9">
            <w:pPr>
              <w:pStyle w:val="TableText"/>
              <w:jc w:val="center"/>
              <w:rPr>
                <w:sz w:val="16"/>
                <w:szCs w:val="16"/>
              </w:rPr>
            </w:pPr>
            <w:r w:rsidRPr="00181EF3">
              <w:rPr>
                <w:sz w:val="16"/>
                <w:szCs w:val="16"/>
              </w:rPr>
              <w:t>IHD</w:t>
            </w:r>
          </w:p>
        </w:tc>
        <w:tc>
          <w:tcPr>
            <w:tcW w:w="417" w:type="dxa"/>
            <w:tcBorders>
              <w:bottom w:val="single" w:sz="4" w:space="0" w:color="A6A6A6" w:themeColor="background1" w:themeShade="A6"/>
            </w:tcBorders>
            <w:shd w:val="clear" w:color="auto" w:fill="auto"/>
          </w:tcPr>
          <w:p w14:paraId="392D9E10" w14:textId="77777777" w:rsidR="005D05F9" w:rsidRPr="00181EF3" w:rsidRDefault="005D05F9" w:rsidP="005D05F9">
            <w:pPr>
              <w:pStyle w:val="TableText"/>
              <w:jc w:val="center"/>
              <w:rPr>
                <w:sz w:val="16"/>
                <w:szCs w:val="16"/>
              </w:rPr>
            </w:pPr>
            <w:r w:rsidRPr="00181EF3">
              <w:rPr>
                <w:sz w:val="16"/>
                <w:szCs w:val="16"/>
              </w:rPr>
              <w:t>IHD</w:t>
            </w:r>
          </w:p>
        </w:tc>
        <w:tc>
          <w:tcPr>
            <w:tcW w:w="417" w:type="dxa"/>
            <w:tcBorders>
              <w:bottom w:val="single" w:sz="4" w:space="0" w:color="A6A6A6" w:themeColor="background1" w:themeShade="A6"/>
            </w:tcBorders>
            <w:shd w:val="clear" w:color="auto" w:fill="auto"/>
          </w:tcPr>
          <w:p w14:paraId="26159FA9" w14:textId="77777777" w:rsidR="005D05F9" w:rsidRPr="00181EF3" w:rsidRDefault="005D05F9" w:rsidP="005D05F9">
            <w:pPr>
              <w:pStyle w:val="TableText"/>
              <w:jc w:val="center"/>
              <w:rPr>
                <w:sz w:val="16"/>
                <w:szCs w:val="16"/>
              </w:rPr>
            </w:pPr>
            <w:r w:rsidRPr="00181EF3">
              <w:rPr>
                <w:sz w:val="16"/>
                <w:szCs w:val="16"/>
              </w:rPr>
              <w:t>IHD</w:t>
            </w:r>
          </w:p>
        </w:tc>
      </w:tr>
      <w:tr w:rsidR="005D05F9" w:rsidRPr="00181EF3" w14:paraId="10D81C44" w14:textId="77777777" w:rsidTr="005D05F9">
        <w:tc>
          <w:tcPr>
            <w:tcW w:w="567" w:type="dxa"/>
            <w:vMerge/>
          </w:tcPr>
          <w:p w14:paraId="1CB7D0BF" w14:textId="77777777" w:rsidR="005D05F9" w:rsidRPr="00181EF3" w:rsidRDefault="005D05F9" w:rsidP="005D05F9">
            <w:pPr>
              <w:pStyle w:val="TableText"/>
              <w:rPr>
                <w:sz w:val="16"/>
                <w:szCs w:val="16"/>
              </w:rPr>
            </w:pPr>
          </w:p>
        </w:tc>
        <w:tc>
          <w:tcPr>
            <w:tcW w:w="430" w:type="dxa"/>
            <w:tcBorders>
              <w:top w:val="single" w:sz="4" w:space="0" w:color="A6A6A6" w:themeColor="background1" w:themeShade="A6"/>
              <w:bottom w:val="single" w:sz="4" w:space="0" w:color="A6A6A6" w:themeColor="background1" w:themeShade="A6"/>
            </w:tcBorders>
            <w:shd w:val="clear" w:color="auto" w:fill="auto"/>
          </w:tcPr>
          <w:p w14:paraId="52CFDFA4" w14:textId="77777777" w:rsidR="005D05F9" w:rsidRPr="00181EF3" w:rsidRDefault="005D05F9" w:rsidP="005D05F9">
            <w:pPr>
              <w:pStyle w:val="TableText"/>
              <w:jc w:val="center"/>
              <w:rPr>
                <w:sz w:val="16"/>
                <w:szCs w:val="16"/>
              </w:rPr>
            </w:pPr>
            <w:r w:rsidRPr="00181EF3">
              <w:rPr>
                <w:sz w:val="16"/>
                <w:szCs w:val="16"/>
              </w:rPr>
              <w:t>2</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0BC36F86" w14:textId="77777777" w:rsidR="005D05F9" w:rsidRPr="00181EF3" w:rsidRDefault="005D05F9" w:rsidP="005D05F9">
            <w:pPr>
              <w:pStyle w:val="TableText"/>
              <w:jc w:val="center"/>
              <w:rPr>
                <w:sz w:val="16"/>
                <w:szCs w:val="16"/>
              </w:rPr>
            </w:pPr>
            <w:r w:rsidRPr="00181EF3">
              <w:rPr>
                <w:sz w:val="16"/>
                <w:szCs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39A0C18" w14:textId="77777777" w:rsidR="005D05F9" w:rsidRPr="00181EF3" w:rsidRDefault="005D05F9" w:rsidP="005D05F9">
            <w:pPr>
              <w:pStyle w:val="TableText"/>
              <w:jc w:val="center"/>
              <w:rPr>
                <w:sz w:val="16"/>
                <w:szCs w:val="16"/>
              </w:rPr>
            </w:pPr>
            <w:r w:rsidRPr="00181EF3">
              <w:rPr>
                <w:sz w:val="16"/>
                <w:szCs w:val="16"/>
              </w:rPr>
              <w:t>LC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27CED933" w14:textId="77777777" w:rsidR="005D05F9" w:rsidRPr="00181EF3" w:rsidRDefault="005D05F9" w:rsidP="005D05F9">
            <w:pPr>
              <w:pStyle w:val="TableText"/>
              <w:jc w:val="center"/>
              <w:rPr>
                <w:sz w:val="16"/>
                <w:szCs w:val="16"/>
              </w:rPr>
            </w:pPr>
            <w:r w:rsidRPr="00181EF3">
              <w:rPr>
                <w:sz w:val="16"/>
                <w:szCs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56F4342" w14:textId="77777777" w:rsidR="005D05F9" w:rsidRPr="00181EF3" w:rsidRDefault="005D05F9" w:rsidP="005D05F9">
            <w:pPr>
              <w:pStyle w:val="TableText"/>
              <w:jc w:val="center"/>
              <w:rPr>
                <w:sz w:val="16"/>
                <w:szCs w:val="16"/>
              </w:rPr>
            </w:pPr>
            <w:r w:rsidRPr="00181EF3">
              <w:rPr>
                <w:sz w:val="16"/>
                <w:szCs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8740AA0" w14:textId="77777777" w:rsidR="005D05F9" w:rsidRPr="00181EF3" w:rsidRDefault="005D05F9" w:rsidP="005D05F9">
            <w:pPr>
              <w:pStyle w:val="TableText"/>
              <w:jc w:val="center"/>
              <w:rPr>
                <w:sz w:val="16"/>
                <w:szCs w:val="16"/>
              </w:rPr>
            </w:pPr>
            <w:r w:rsidRPr="00181EF3">
              <w:rPr>
                <w:sz w:val="16"/>
                <w:szCs w:val="16"/>
              </w:rPr>
              <w:t>LC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76C8792F" w14:textId="77777777" w:rsidR="005D05F9" w:rsidRPr="00181EF3" w:rsidRDefault="005D05F9" w:rsidP="005D05F9">
            <w:pPr>
              <w:pStyle w:val="TableText"/>
              <w:jc w:val="center"/>
              <w:rPr>
                <w:sz w:val="16"/>
                <w:szCs w:val="16"/>
              </w:rPr>
            </w:pPr>
            <w:r w:rsidRPr="00181EF3">
              <w:rPr>
                <w:sz w:val="16"/>
                <w:szCs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3DDF0D8" w14:textId="77777777" w:rsidR="005D05F9" w:rsidRPr="00181EF3" w:rsidRDefault="005D05F9" w:rsidP="005D05F9">
            <w:pPr>
              <w:pStyle w:val="TableText"/>
              <w:jc w:val="center"/>
              <w:rPr>
                <w:sz w:val="16"/>
                <w:szCs w:val="16"/>
              </w:rPr>
            </w:pPr>
            <w:r w:rsidRPr="00181EF3">
              <w:rPr>
                <w:sz w:val="16"/>
                <w:szCs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46D502E" w14:textId="77777777" w:rsidR="005D05F9" w:rsidRPr="00181EF3" w:rsidRDefault="005D05F9" w:rsidP="005D05F9">
            <w:pPr>
              <w:pStyle w:val="TableText"/>
              <w:jc w:val="center"/>
              <w:rPr>
                <w:sz w:val="16"/>
                <w:szCs w:val="16"/>
              </w:rPr>
            </w:pPr>
            <w:r w:rsidRPr="00181EF3">
              <w:rPr>
                <w:sz w:val="16"/>
                <w:szCs w:val="16"/>
              </w:rPr>
              <w:t>LC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20A9DA04" w14:textId="77777777" w:rsidR="005D05F9" w:rsidRPr="00181EF3" w:rsidRDefault="005D05F9" w:rsidP="005D05F9">
            <w:pPr>
              <w:pStyle w:val="TableText"/>
              <w:jc w:val="center"/>
              <w:rPr>
                <w:sz w:val="16"/>
                <w:szCs w:val="16"/>
              </w:rPr>
            </w:pPr>
            <w:r w:rsidRPr="00181EF3">
              <w:rPr>
                <w:sz w:val="16"/>
                <w:szCs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F1D951C" w14:textId="77777777" w:rsidR="005D05F9" w:rsidRPr="00181EF3" w:rsidRDefault="005D05F9" w:rsidP="005D05F9">
            <w:pPr>
              <w:pStyle w:val="TableText"/>
              <w:jc w:val="center"/>
              <w:rPr>
                <w:sz w:val="16"/>
                <w:szCs w:val="16"/>
              </w:rPr>
            </w:pPr>
            <w:r w:rsidRPr="00181EF3">
              <w:rPr>
                <w:sz w:val="16"/>
                <w:szCs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CEE1BDB" w14:textId="77777777" w:rsidR="005D05F9" w:rsidRPr="00181EF3" w:rsidRDefault="005D05F9" w:rsidP="005D05F9">
            <w:pPr>
              <w:pStyle w:val="TableText"/>
              <w:jc w:val="center"/>
              <w:rPr>
                <w:sz w:val="16"/>
                <w:szCs w:val="16"/>
              </w:rPr>
            </w:pPr>
            <w:r w:rsidRPr="00181EF3">
              <w:rPr>
                <w:sz w:val="16"/>
                <w:szCs w:val="16"/>
              </w:rPr>
              <w:t>LC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75AF5B60" w14:textId="77777777" w:rsidR="005D05F9" w:rsidRPr="00181EF3" w:rsidRDefault="005D05F9" w:rsidP="005D05F9">
            <w:pPr>
              <w:pStyle w:val="TableText"/>
              <w:jc w:val="center"/>
              <w:rPr>
                <w:sz w:val="16"/>
                <w:szCs w:val="16"/>
              </w:rPr>
            </w:pPr>
            <w:r w:rsidRPr="00181EF3">
              <w:rPr>
                <w:sz w:val="16"/>
                <w:szCs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3516244" w14:textId="77777777" w:rsidR="005D05F9" w:rsidRPr="00181EF3" w:rsidRDefault="005D05F9" w:rsidP="005D05F9">
            <w:pPr>
              <w:pStyle w:val="TableText"/>
              <w:jc w:val="center"/>
              <w:rPr>
                <w:sz w:val="16"/>
                <w:szCs w:val="16"/>
              </w:rPr>
            </w:pPr>
            <w:r w:rsidRPr="00181EF3">
              <w:rPr>
                <w:sz w:val="16"/>
                <w:szCs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433B63A" w14:textId="77777777" w:rsidR="005D05F9" w:rsidRPr="00181EF3" w:rsidRDefault="005D05F9" w:rsidP="005D05F9">
            <w:pPr>
              <w:pStyle w:val="TableText"/>
              <w:jc w:val="center"/>
              <w:rPr>
                <w:sz w:val="16"/>
                <w:szCs w:val="16"/>
              </w:rPr>
            </w:pPr>
            <w:r w:rsidRPr="00181EF3">
              <w:rPr>
                <w:sz w:val="16"/>
                <w:szCs w:val="16"/>
              </w:rPr>
              <w:t>LC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0EE29BA6" w14:textId="77777777" w:rsidR="005D05F9" w:rsidRPr="00181EF3" w:rsidRDefault="005D05F9" w:rsidP="005D05F9">
            <w:pPr>
              <w:pStyle w:val="TableText"/>
              <w:jc w:val="center"/>
              <w:rPr>
                <w:sz w:val="16"/>
                <w:szCs w:val="16"/>
              </w:rPr>
            </w:pPr>
            <w:r w:rsidRPr="00181EF3">
              <w:rPr>
                <w:sz w:val="16"/>
                <w:szCs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679FB35" w14:textId="77777777" w:rsidR="005D05F9" w:rsidRPr="00181EF3" w:rsidRDefault="005D05F9" w:rsidP="005D05F9">
            <w:pPr>
              <w:pStyle w:val="TableText"/>
              <w:jc w:val="center"/>
              <w:rPr>
                <w:sz w:val="16"/>
                <w:szCs w:val="16"/>
              </w:rPr>
            </w:pPr>
            <w:r w:rsidRPr="00181EF3">
              <w:rPr>
                <w:sz w:val="16"/>
                <w:szCs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0A6FA2B" w14:textId="77777777" w:rsidR="005D05F9" w:rsidRPr="00181EF3" w:rsidRDefault="005D05F9" w:rsidP="005D05F9">
            <w:pPr>
              <w:pStyle w:val="TableText"/>
              <w:jc w:val="center"/>
              <w:rPr>
                <w:sz w:val="16"/>
                <w:szCs w:val="16"/>
              </w:rPr>
            </w:pPr>
            <w:r w:rsidRPr="00181EF3">
              <w:rPr>
                <w:sz w:val="16"/>
                <w:szCs w:val="16"/>
              </w:rPr>
              <w:t>LC</w:t>
            </w:r>
          </w:p>
        </w:tc>
      </w:tr>
      <w:tr w:rsidR="005D05F9" w:rsidRPr="00181EF3" w14:paraId="16334122" w14:textId="77777777" w:rsidTr="005D05F9">
        <w:tc>
          <w:tcPr>
            <w:tcW w:w="567" w:type="dxa"/>
            <w:vMerge/>
          </w:tcPr>
          <w:p w14:paraId="4DC10B9C" w14:textId="77777777" w:rsidR="005D05F9" w:rsidRPr="00181EF3" w:rsidRDefault="005D05F9" w:rsidP="005D05F9">
            <w:pPr>
              <w:pStyle w:val="TableText"/>
              <w:rPr>
                <w:sz w:val="16"/>
                <w:szCs w:val="16"/>
              </w:rPr>
            </w:pPr>
          </w:p>
        </w:tc>
        <w:tc>
          <w:tcPr>
            <w:tcW w:w="430" w:type="dxa"/>
            <w:tcBorders>
              <w:top w:val="single" w:sz="4" w:space="0" w:color="A6A6A6" w:themeColor="background1" w:themeShade="A6"/>
              <w:bottom w:val="single" w:sz="4" w:space="0" w:color="A6A6A6" w:themeColor="background1" w:themeShade="A6"/>
            </w:tcBorders>
            <w:shd w:val="clear" w:color="auto" w:fill="auto"/>
          </w:tcPr>
          <w:p w14:paraId="01E72E47" w14:textId="77777777" w:rsidR="005D05F9" w:rsidRPr="00181EF3" w:rsidRDefault="005D05F9" w:rsidP="005D05F9">
            <w:pPr>
              <w:pStyle w:val="TableText"/>
              <w:jc w:val="center"/>
              <w:rPr>
                <w:sz w:val="16"/>
                <w:szCs w:val="16"/>
              </w:rPr>
            </w:pPr>
            <w:r w:rsidRPr="00181EF3">
              <w:rPr>
                <w:sz w:val="16"/>
                <w:szCs w:val="16"/>
              </w:rPr>
              <w:t>3</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1CE6FBAA" w14:textId="77777777" w:rsidR="005D05F9" w:rsidRPr="00181EF3" w:rsidRDefault="005D05F9" w:rsidP="005D05F9">
            <w:pPr>
              <w:pStyle w:val="TableText"/>
              <w:jc w:val="center"/>
              <w:rPr>
                <w:sz w:val="16"/>
                <w:szCs w:val="16"/>
              </w:rPr>
            </w:pPr>
            <w:r w:rsidRPr="00181EF3">
              <w:rPr>
                <w:sz w:val="16"/>
                <w:szCs w:val="16"/>
              </w:rPr>
              <w:t>HD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4516021" w14:textId="77777777" w:rsidR="005D05F9" w:rsidRPr="00181EF3" w:rsidRDefault="005D05F9" w:rsidP="005D05F9">
            <w:pPr>
              <w:pStyle w:val="TableText"/>
              <w:jc w:val="center"/>
              <w:rPr>
                <w:sz w:val="16"/>
                <w:szCs w:val="16"/>
              </w:rPr>
            </w:pPr>
            <w:r w:rsidRPr="00181EF3">
              <w:rPr>
                <w:sz w:val="16"/>
                <w:szCs w:val="16"/>
              </w:rPr>
              <w:t>DI</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20E1CBC0" w14:textId="77777777" w:rsidR="005D05F9" w:rsidRPr="00181EF3" w:rsidRDefault="005D05F9" w:rsidP="005D05F9">
            <w:pPr>
              <w:pStyle w:val="TableText"/>
              <w:jc w:val="center"/>
              <w:rPr>
                <w:sz w:val="16"/>
                <w:szCs w:val="16"/>
              </w:rPr>
            </w:pPr>
            <w:r w:rsidRPr="00181EF3">
              <w:rPr>
                <w:sz w:val="16"/>
                <w:szCs w:val="16"/>
              </w:rPr>
              <w:t>DI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1523E99" w14:textId="77777777" w:rsidR="005D05F9" w:rsidRPr="00181EF3" w:rsidRDefault="005D05F9" w:rsidP="005D05F9">
            <w:pPr>
              <w:pStyle w:val="TableText"/>
              <w:jc w:val="center"/>
              <w:rPr>
                <w:sz w:val="16"/>
                <w:szCs w:val="16"/>
              </w:rPr>
            </w:pPr>
            <w:r w:rsidRPr="00181EF3">
              <w:rPr>
                <w:sz w:val="16"/>
                <w:szCs w:val="16"/>
              </w:rPr>
              <w:t>DI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B382FC1" w14:textId="77777777" w:rsidR="005D05F9" w:rsidRPr="00181EF3" w:rsidRDefault="005D05F9" w:rsidP="005D05F9">
            <w:pPr>
              <w:pStyle w:val="TableText"/>
              <w:jc w:val="center"/>
              <w:rPr>
                <w:sz w:val="16"/>
                <w:szCs w:val="16"/>
              </w:rPr>
            </w:pPr>
            <w:r w:rsidRPr="00181EF3">
              <w:rPr>
                <w:sz w:val="16"/>
                <w:szCs w:val="16"/>
              </w:rPr>
              <w:t>DI</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558CAD1E" w14:textId="77777777" w:rsidR="005D05F9" w:rsidRPr="00181EF3" w:rsidRDefault="005D05F9" w:rsidP="005D05F9">
            <w:pPr>
              <w:pStyle w:val="TableText"/>
              <w:jc w:val="center"/>
              <w:rPr>
                <w:sz w:val="16"/>
                <w:szCs w:val="16"/>
              </w:rPr>
            </w:pPr>
            <w:r w:rsidRPr="00181EF3">
              <w:rPr>
                <w:sz w:val="16"/>
                <w:szCs w:val="16"/>
              </w:rPr>
              <w:t>DI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0DA45F9" w14:textId="77777777" w:rsidR="005D05F9" w:rsidRPr="00181EF3" w:rsidRDefault="005D05F9" w:rsidP="005D05F9">
            <w:pPr>
              <w:pStyle w:val="TableText"/>
              <w:jc w:val="center"/>
              <w:rPr>
                <w:sz w:val="16"/>
                <w:szCs w:val="16"/>
              </w:rPr>
            </w:pPr>
            <w:r w:rsidRPr="00181EF3">
              <w:rPr>
                <w:sz w:val="16"/>
                <w:szCs w:val="16"/>
              </w:rPr>
              <w:t>DI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0BB0E6B" w14:textId="77777777" w:rsidR="005D05F9" w:rsidRPr="00181EF3" w:rsidRDefault="005D05F9" w:rsidP="005D05F9">
            <w:pPr>
              <w:pStyle w:val="TableText"/>
              <w:jc w:val="center"/>
              <w:rPr>
                <w:sz w:val="16"/>
                <w:szCs w:val="16"/>
              </w:rPr>
            </w:pPr>
            <w:r w:rsidRPr="00181EF3">
              <w:rPr>
                <w:sz w:val="16"/>
                <w:szCs w:val="16"/>
              </w:rPr>
              <w:t>DI</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4324D1BF" w14:textId="77777777" w:rsidR="005D05F9" w:rsidRPr="00181EF3" w:rsidRDefault="005D05F9" w:rsidP="005D05F9">
            <w:pPr>
              <w:pStyle w:val="TableText"/>
              <w:jc w:val="center"/>
              <w:rPr>
                <w:sz w:val="16"/>
                <w:szCs w:val="16"/>
              </w:rPr>
            </w:pPr>
            <w:r w:rsidRPr="00181EF3">
              <w:rPr>
                <w:sz w:val="16"/>
                <w:szCs w:val="16"/>
              </w:rPr>
              <w:t>DI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68F7309" w14:textId="77777777" w:rsidR="005D05F9" w:rsidRPr="00181EF3" w:rsidRDefault="005D05F9" w:rsidP="005D05F9">
            <w:pPr>
              <w:pStyle w:val="TableText"/>
              <w:jc w:val="center"/>
              <w:rPr>
                <w:sz w:val="16"/>
                <w:szCs w:val="16"/>
              </w:rPr>
            </w:pPr>
            <w:r w:rsidRPr="00181EF3">
              <w:rPr>
                <w:sz w:val="16"/>
                <w:szCs w:val="16"/>
              </w:rPr>
              <w:t>DI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83D1AA0" w14:textId="77777777" w:rsidR="005D05F9" w:rsidRPr="00181EF3" w:rsidRDefault="005D05F9" w:rsidP="005D05F9">
            <w:pPr>
              <w:pStyle w:val="TableText"/>
              <w:jc w:val="center"/>
              <w:rPr>
                <w:sz w:val="16"/>
                <w:szCs w:val="16"/>
              </w:rPr>
            </w:pPr>
            <w:r w:rsidRPr="00181EF3">
              <w:rPr>
                <w:sz w:val="16"/>
                <w:szCs w:val="16"/>
              </w:rPr>
              <w:t>DI</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5B335DCA" w14:textId="77777777" w:rsidR="005D05F9" w:rsidRPr="00181EF3" w:rsidRDefault="005D05F9" w:rsidP="005D05F9">
            <w:pPr>
              <w:pStyle w:val="TableText"/>
              <w:jc w:val="center"/>
              <w:rPr>
                <w:sz w:val="16"/>
                <w:szCs w:val="16"/>
              </w:rPr>
            </w:pPr>
            <w:r w:rsidRPr="00181EF3">
              <w:rPr>
                <w:sz w:val="16"/>
                <w:szCs w:val="16"/>
              </w:rPr>
              <w:t>DI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CA1FD5A" w14:textId="77777777" w:rsidR="005D05F9" w:rsidRPr="00181EF3" w:rsidRDefault="005D05F9" w:rsidP="005D05F9">
            <w:pPr>
              <w:pStyle w:val="TableText"/>
              <w:jc w:val="center"/>
              <w:rPr>
                <w:sz w:val="16"/>
                <w:szCs w:val="16"/>
              </w:rPr>
            </w:pPr>
            <w:r w:rsidRPr="00181EF3">
              <w:rPr>
                <w:sz w:val="16"/>
                <w:szCs w:val="16"/>
              </w:rPr>
              <w:t>DI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D813FE9" w14:textId="77777777" w:rsidR="005D05F9" w:rsidRPr="00181EF3" w:rsidRDefault="005D05F9" w:rsidP="005D05F9">
            <w:pPr>
              <w:pStyle w:val="TableText"/>
              <w:jc w:val="center"/>
              <w:rPr>
                <w:sz w:val="16"/>
                <w:szCs w:val="16"/>
              </w:rPr>
            </w:pPr>
            <w:r w:rsidRPr="00181EF3">
              <w:rPr>
                <w:sz w:val="16"/>
                <w:szCs w:val="16"/>
              </w:rPr>
              <w:t>DI</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727D9BCB" w14:textId="77777777" w:rsidR="005D05F9" w:rsidRPr="00181EF3" w:rsidRDefault="005D05F9" w:rsidP="005D05F9">
            <w:pPr>
              <w:pStyle w:val="TableText"/>
              <w:jc w:val="center"/>
              <w:rPr>
                <w:sz w:val="16"/>
                <w:szCs w:val="16"/>
              </w:rPr>
            </w:pPr>
            <w:r w:rsidRPr="00181EF3">
              <w:rPr>
                <w:sz w:val="16"/>
                <w:szCs w:val="16"/>
              </w:rPr>
              <w:t>SU</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7CEA5E4" w14:textId="77777777" w:rsidR="005D05F9" w:rsidRPr="00181EF3" w:rsidRDefault="005D05F9" w:rsidP="005D05F9">
            <w:pPr>
              <w:pStyle w:val="TableText"/>
              <w:jc w:val="center"/>
              <w:rPr>
                <w:sz w:val="16"/>
                <w:szCs w:val="16"/>
              </w:rPr>
            </w:pPr>
            <w:r w:rsidRPr="00181EF3">
              <w:rPr>
                <w:sz w:val="16"/>
                <w:szCs w:val="16"/>
              </w:rPr>
              <w:t>SU</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DBF1271" w14:textId="77777777" w:rsidR="005D05F9" w:rsidRPr="00181EF3" w:rsidRDefault="005D05F9" w:rsidP="005D05F9">
            <w:pPr>
              <w:pStyle w:val="TableText"/>
              <w:jc w:val="center"/>
              <w:rPr>
                <w:sz w:val="16"/>
                <w:szCs w:val="16"/>
              </w:rPr>
            </w:pPr>
            <w:r w:rsidRPr="00181EF3">
              <w:rPr>
                <w:sz w:val="16"/>
                <w:szCs w:val="16"/>
              </w:rPr>
              <w:t>HD</w:t>
            </w:r>
          </w:p>
        </w:tc>
      </w:tr>
      <w:tr w:rsidR="005D05F9" w:rsidRPr="00181EF3" w14:paraId="06E7F678" w14:textId="77777777" w:rsidTr="005D05F9">
        <w:tc>
          <w:tcPr>
            <w:tcW w:w="567" w:type="dxa"/>
            <w:vMerge/>
          </w:tcPr>
          <w:p w14:paraId="47568526" w14:textId="77777777" w:rsidR="005D05F9" w:rsidRPr="00181EF3" w:rsidRDefault="005D05F9" w:rsidP="005D05F9">
            <w:pPr>
              <w:pStyle w:val="TableText"/>
              <w:rPr>
                <w:sz w:val="16"/>
                <w:szCs w:val="16"/>
              </w:rPr>
            </w:pPr>
          </w:p>
        </w:tc>
        <w:tc>
          <w:tcPr>
            <w:tcW w:w="430" w:type="dxa"/>
            <w:tcBorders>
              <w:top w:val="single" w:sz="4" w:space="0" w:color="A6A6A6" w:themeColor="background1" w:themeShade="A6"/>
              <w:bottom w:val="single" w:sz="4" w:space="0" w:color="A6A6A6" w:themeColor="background1" w:themeShade="A6"/>
            </w:tcBorders>
            <w:shd w:val="clear" w:color="auto" w:fill="auto"/>
          </w:tcPr>
          <w:p w14:paraId="5D3EEDCD" w14:textId="77777777" w:rsidR="005D05F9" w:rsidRPr="00181EF3" w:rsidRDefault="005D05F9" w:rsidP="005D05F9">
            <w:pPr>
              <w:pStyle w:val="TableText"/>
              <w:jc w:val="center"/>
              <w:rPr>
                <w:sz w:val="16"/>
                <w:szCs w:val="16"/>
              </w:rPr>
            </w:pPr>
            <w:r w:rsidRPr="00181EF3">
              <w:rPr>
                <w:sz w:val="16"/>
                <w:szCs w:val="16"/>
              </w:rPr>
              <w:t>4</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5235B9FF" w14:textId="77777777" w:rsidR="005D05F9" w:rsidRPr="00181EF3" w:rsidRDefault="005D05F9" w:rsidP="005D05F9">
            <w:pPr>
              <w:pStyle w:val="TableText"/>
              <w:jc w:val="center"/>
              <w:rPr>
                <w:sz w:val="16"/>
                <w:szCs w:val="16"/>
              </w:rPr>
            </w:pPr>
            <w:r w:rsidRPr="00181EF3">
              <w:rPr>
                <w:sz w:val="16"/>
                <w:szCs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22D5462" w14:textId="77777777" w:rsidR="005D05F9" w:rsidRPr="00181EF3" w:rsidRDefault="005D05F9" w:rsidP="005D05F9">
            <w:pPr>
              <w:pStyle w:val="TableText"/>
              <w:jc w:val="center"/>
              <w:rPr>
                <w:sz w:val="16"/>
                <w:szCs w:val="16"/>
              </w:rPr>
            </w:pPr>
            <w:r w:rsidRPr="00181EF3">
              <w:rPr>
                <w:sz w:val="16"/>
                <w:szCs w:val="16"/>
              </w:rPr>
              <w:t>HD</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500B3141" w14:textId="77777777" w:rsidR="005D05F9" w:rsidRPr="00181EF3" w:rsidRDefault="005D05F9" w:rsidP="005D05F9">
            <w:pPr>
              <w:pStyle w:val="TableText"/>
              <w:jc w:val="center"/>
              <w:rPr>
                <w:sz w:val="16"/>
                <w:szCs w:val="16"/>
              </w:rPr>
            </w:pPr>
            <w:r w:rsidRPr="00181EF3">
              <w:rPr>
                <w:sz w:val="16"/>
                <w:szCs w:val="16"/>
              </w:rPr>
              <w:t>HD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86D7BFB" w14:textId="77777777" w:rsidR="005D05F9" w:rsidRPr="00181EF3" w:rsidRDefault="005D05F9" w:rsidP="005D05F9">
            <w:pPr>
              <w:pStyle w:val="TableText"/>
              <w:jc w:val="center"/>
              <w:rPr>
                <w:sz w:val="16"/>
                <w:szCs w:val="16"/>
              </w:rPr>
            </w:pPr>
            <w:r w:rsidRPr="00181EF3">
              <w:rPr>
                <w:sz w:val="16"/>
                <w:szCs w:val="16"/>
              </w:rPr>
              <w:t>HD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B3A1F33" w14:textId="77777777" w:rsidR="005D05F9" w:rsidRPr="00181EF3" w:rsidRDefault="005D05F9" w:rsidP="005D05F9">
            <w:pPr>
              <w:pStyle w:val="TableText"/>
              <w:jc w:val="center"/>
              <w:rPr>
                <w:sz w:val="16"/>
                <w:szCs w:val="16"/>
              </w:rPr>
            </w:pPr>
            <w:r w:rsidRPr="00181EF3">
              <w:rPr>
                <w:sz w:val="16"/>
                <w:szCs w:val="16"/>
              </w:rPr>
              <w:t>HD</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7FCBF19E" w14:textId="77777777" w:rsidR="005D05F9" w:rsidRPr="00181EF3" w:rsidRDefault="005D05F9" w:rsidP="005D05F9">
            <w:pPr>
              <w:pStyle w:val="TableText"/>
              <w:jc w:val="center"/>
              <w:rPr>
                <w:sz w:val="16"/>
                <w:szCs w:val="16"/>
              </w:rPr>
            </w:pPr>
            <w:r w:rsidRPr="00181EF3">
              <w:rPr>
                <w:sz w:val="16"/>
                <w:szCs w:val="16"/>
              </w:rPr>
              <w:t>HD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E01319C" w14:textId="77777777" w:rsidR="005D05F9" w:rsidRPr="00181EF3" w:rsidRDefault="005D05F9" w:rsidP="005D05F9">
            <w:pPr>
              <w:pStyle w:val="TableText"/>
              <w:jc w:val="center"/>
              <w:rPr>
                <w:sz w:val="16"/>
                <w:szCs w:val="16"/>
              </w:rPr>
            </w:pPr>
            <w:r w:rsidRPr="00181EF3">
              <w:rPr>
                <w:sz w:val="16"/>
                <w:szCs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ED90737" w14:textId="77777777" w:rsidR="005D05F9" w:rsidRPr="00181EF3" w:rsidRDefault="005D05F9" w:rsidP="005D05F9">
            <w:pPr>
              <w:pStyle w:val="TableText"/>
              <w:jc w:val="center"/>
              <w:rPr>
                <w:sz w:val="16"/>
                <w:szCs w:val="16"/>
              </w:rPr>
            </w:pPr>
            <w:r w:rsidRPr="00181EF3">
              <w:rPr>
                <w:sz w:val="16"/>
                <w:szCs w:val="16"/>
              </w:rPr>
              <w:t>MV</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06F67EC8" w14:textId="77777777" w:rsidR="005D05F9" w:rsidRPr="00181EF3" w:rsidRDefault="005D05F9" w:rsidP="005D05F9">
            <w:pPr>
              <w:pStyle w:val="TableText"/>
              <w:jc w:val="center"/>
              <w:rPr>
                <w:sz w:val="16"/>
                <w:szCs w:val="16"/>
              </w:rPr>
            </w:pPr>
            <w:r w:rsidRPr="00181EF3">
              <w:rPr>
                <w:sz w:val="16"/>
                <w:szCs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96A822B" w14:textId="77777777" w:rsidR="005D05F9" w:rsidRPr="00181EF3" w:rsidRDefault="005D05F9" w:rsidP="005D05F9">
            <w:pPr>
              <w:pStyle w:val="TableText"/>
              <w:jc w:val="center"/>
              <w:rPr>
                <w:sz w:val="16"/>
                <w:szCs w:val="16"/>
              </w:rPr>
            </w:pPr>
            <w:r w:rsidRPr="00181EF3">
              <w:rPr>
                <w:sz w:val="16"/>
                <w:szCs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6107859" w14:textId="77777777" w:rsidR="005D05F9" w:rsidRPr="00181EF3" w:rsidRDefault="005D05F9" w:rsidP="005D05F9">
            <w:pPr>
              <w:pStyle w:val="TableText"/>
              <w:jc w:val="center"/>
              <w:rPr>
                <w:sz w:val="16"/>
                <w:szCs w:val="16"/>
              </w:rPr>
            </w:pPr>
            <w:r w:rsidRPr="00181EF3">
              <w:rPr>
                <w:sz w:val="16"/>
                <w:szCs w:val="16"/>
              </w:rPr>
              <w:t>MV</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00E5C82D" w14:textId="77777777" w:rsidR="005D05F9" w:rsidRPr="00181EF3" w:rsidRDefault="005D05F9" w:rsidP="005D05F9">
            <w:pPr>
              <w:pStyle w:val="TableText"/>
              <w:jc w:val="center"/>
              <w:rPr>
                <w:sz w:val="16"/>
                <w:szCs w:val="16"/>
              </w:rPr>
            </w:pPr>
            <w:r w:rsidRPr="00181EF3">
              <w:rPr>
                <w:sz w:val="16"/>
                <w:szCs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A3D11A9" w14:textId="77777777" w:rsidR="005D05F9" w:rsidRPr="00181EF3" w:rsidRDefault="005D05F9" w:rsidP="005D05F9">
            <w:pPr>
              <w:pStyle w:val="TableText"/>
              <w:jc w:val="center"/>
              <w:rPr>
                <w:sz w:val="16"/>
                <w:szCs w:val="16"/>
              </w:rPr>
            </w:pPr>
            <w:r w:rsidRPr="00181EF3">
              <w:rPr>
                <w:sz w:val="16"/>
                <w:szCs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3DB336C" w14:textId="77777777" w:rsidR="005D05F9" w:rsidRPr="00181EF3" w:rsidRDefault="005D05F9" w:rsidP="005D05F9">
            <w:pPr>
              <w:pStyle w:val="TableText"/>
              <w:jc w:val="center"/>
              <w:rPr>
                <w:sz w:val="16"/>
                <w:szCs w:val="16"/>
              </w:rPr>
            </w:pPr>
            <w:r w:rsidRPr="00181EF3">
              <w:rPr>
                <w:sz w:val="16"/>
                <w:szCs w:val="16"/>
              </w:rPr>
              <w:t>SU</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6B508FF5" w14:textId="77777777" w:rsidR="005D05F9" w:rsidRPr="00181EF3" w:rsidRDefault="005D05F9" w:rsidP="005D05F9">
            <w:pPr>
              <w:pStyle w:val="TableText"/>
              <w:jc w:val="center"/>
              <w:rPr>
                <w:sz w:val="16"/>
                <w:szCs w:val="16"/>
              </w:rPr>
            </w:pPr>
            <w:r w:rsidRPr="00181EF3">
              <w:rPr>
                <w:sz w:val="16"/>
                <w:szCs w:val="16"/>
              </w:rPr>
              <w:t>DI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CAFAABC" w14:textId="77777777" w:rsidR="005D05F9" w:rsidRPr="00181EF3" w:rsidRDefault="005D05F9" w:rsidP="005D05F9">
            <w:pPr>
              <w:pStyle w:val="TableText"/>
              <w:jc w:val="center"/>
              <w:rPr>
                <w:sz w:val="16"/>
                <w:szCs w:val="16"/>
              </w:rPr>
            </w:pPr>
            <w:r w:rsidRPr="00181EF3">
              <w:rPr>
                <w:sz w:val="16"/>
                <w:szCs w:val="16"/>
              </w:rPr>
              <w:t>DI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A35A42C" w14:textId="77777777" w:rsidR="005D05F9" w:rsidRPr="00181EF3" w:rsidRDefault="005D05F9" w:rsidP="005D05F9">
            <w:pPr>
              <w:pStyle w:val="TableText"/>
              <w:jc w:val="center"/>
              <w:rPr>
                <w:sz w:val="16"/>
                <w:szCs w:val="16"/>
              </w:rPr>
            </w:pPr>
            <w:r w:rsidRPr="00181EF3">
              <w:rPr>
                <w:sz w:val="16"/>
                <w:szCs w:val="16"/>
              </w:rPr>
              <w:t>SU</w:t>
            </w:r>
          </w:p>
        </w:tc>
      </w:tr>
      <w:tr w:rsidR="005D05F9" w:rsidRPr="00181EF3" w14:paraId="7F856110" w14:textId="77777777" w:rsidTr="005D05F9">
        <w:tc>
          <w:tcPr>
            <w:tcW w:w="567" w:type="dxa"/>
            <w:vMerge/>
            <w:tcBorders>
              <w:bottom w:val="single" w:sz="4" w:space="0" w:color="A6A6A6" w:themeColor="background1" w:themeShade="A6"/>
            </w:tcBorders>
          </w:tcPr>
          <w:p w14:paraId="0BE6FBD7" w14:textId="77777777" w:rsidR="005D05F9" w:rsidRPr="00181EF3" w:rsidRDefault="005D05F9" w:rsidP="005D05F9">
            <w:pPr>
              <w:pStyle w:val="TableText"/>
              <w:rPr>
                <w:sz w:val="16"/>
                <w:szCs w:val="16"/>
              </w:rPr>
            </w:pPr>
          </w:p>
        </w:tc>
        <w:tc>
          <w:tcPr>
            <w:tcW w:w="430" w:type="dxa"/>
            <w:tcBorders>
              <w:top w:val="single" w:sz="4" w:space="0" w:color="A6A6A6" w:themeColor="background1" w:themeShade="A6"/>
              <w:bottom w:val="single" w:sz="4" w:space="0" w:color="A6A6A6" w:themeColor="background1" w:themeShade="A6"/>
            </w:tcBorders>
            <w:shd w:val="clear" w:color="auto" w:fill="auto"/>
          </w:tcPr>
          <w:p w14:paraId="37581AF5" w14:textId="77777777" w:rsidR="005D05F9" w:rsidRPr="00181EF3" w:rsidRDefault="005D05F9" w:rsidP="005D05F9">
            <w:pPr>
              <w:pStyle w:val="TableText"/>
              <w:jc w:val="center"/>
              <w:rPr>
                <w:sz w:val="16"/>
                <w:szCs w:val="16"/>
              </w:rPr>
            </w:pPr>
            <w:r w:rsidRPr="00181EF3">
              <w:rPr>
                <w:sz w:val="16"/>
                <w:szCs w:val="16"/>
              </w:rPr>
              <w:t>5</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4A0EF727" w14:textId="77777777" w:rsidR="005D05F9" w:rsidRPr="00181EF3" w:rsidRDefault="005D05F9" w:rsidP="005D05F9">
            <w:pPr>
              <w:pStyle w:val="TableText"/>
              <w:jc w:val="center"/>
              <w:rPr>
                <w:sz w:val="16"/>
                <w:szCs w:val="16"/>
              </w:rPr>
            </w:pPr>
            <w:r w:rsidRPr="00181EF3">
              <w:rPr>
                <w:sz w:val="16"/>
                <w:szCs w:val="16"/>
              </w:rPr>
              <w:t>DI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B2C7E51" w14:textId="77777777" w:rsidR="005D05F9" w:rsidRPr="00181EF3" w:rsidRDefault="005D05F9" w:rsidP="005D05F9">
            <w:pPr>
              <w:pStyle w:val="TableText"/>
              <w:jc w:val="center"/>
              <w:rPr>
                <w:sz w:val="16"/>
                <w:szCs w:val="16"/>
              </w:rPr>
            </w:pPr>
            <w:r w:rsidRPr="00181EF3">
              <w:rPr>
                <w:sz w:val="16"/>
                <w:szCs w:val="16"/>
              </w:rPr>
              <w:t>MV</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34F6B986" w14:textId="77777777" w:rsidR="005D05F9" w:rsidRPr="00181EF3" w:rsidRDefault="005D05F9" w:rsidP="005D05F9">
            <w:pPr>
              <w:pStyle w:val="TableText"/>
              <w:jc w:val="center"/>
              <w:rPr>
                <w:sz w:val="16"/>
                <w:szCs w:val="16"/>
              </w:rPr>
            </w:pPr>
            <w:r w:rsidRPr="00181EF3">
              <w:rPr>
                <w:sz w:val="16"/>
                <w:szCs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8382A2F" w14:textId="77777777" w:rsidR="005D05F9" w:rsidRPr="00181EF3" w:rsidRDefault="005D05F9" w:rsidP="005D05F9">
            <w:pPr>
              <w:pStyle w:val="TableText"/>
              <w:jc w:val="center"/>
              <w:rPr>
                <w:sz w:val="16"/>
                <w:szCs w:val="16"/>
              </w:rPr>
            </w:pPr>
            <w:r w:rsidRPr="00181EF3">
              <w:rPr>
                <w:sz w:val="16"/>
                <w:szCs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DB74B7B" w14:textId="77777777" w:rsidR="005D05F9" w:rsidRPr="00181EF3" w:rsidRDefault="005D05F9" w:rsidP="005D05F9">
            <w:pPr>
              <w:pStyle w:val="TableText"/>
              <w:jc w:val="center"/>
              <w:rPr>
                <w:sz w:val="16"/>
                <w:szCs w:val="16"/>
              </w:rPr>
            </w:pPr>
            <w:r w:rsidRPr="00181EF3">
              <w:rPr>
                <w:sz w:val="16"/>
                <w:szCs w:val="16"/>
              </w:rPr>
              <w:t>MV</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1BD771A5" w14:textId="77777777" w:rsidR="005D05F9" w:rsidRPr="00181EF3" w:rsidRDefault="005D05F9" w:rsidP="005D05F9">
            <w:pPr>
              <w:pStyle w:val="TableText"/>
              <w:jc w:val="center"/>
              <w:rPr>
                <w:sz w:val="16"/>
                <w:szCs w:val="16"/>
              </w:rPr>
            </w:pPr>
            <w:r w:rsidRPr="00181EF3">
              <w:rPr>
                <w:sz w:val="16"/>
                <w:szCs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32F971E" w14:textId="77777777" w:rsidR="005D05F9" w:rsidRPr="00181EF3" w:rsidRDefault="005D05F9" w:rsidP="005D05F9">
            <w:pPr>
              <w:pStyle w:val="TableText"/>
              <w:jc w:val="center"/>
              <w:rPr>
                <w:sz w:val="16"/>
                <w:szCs w:val="16"/>
              </w:rPr>
            </w:pPr>
            <w:r w:rsidRPr="00181EF3">
              <w:rPr>
                <w:sz w:val="16"/>
                <w:szCs w:val="16"/>
              </w:rPr>
              <w:t>SU</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3C51B03" w14:textId="77777777" w:rsidR="005D05F9" w:rsidRPr="00181EF3" w:rsidRDefault="005D05F9" w:rsidP="005D05F9">
            <w:pPr>
              <w:pStyle w:val="TableText"/>
              <w:jc w:val="center"/>
              <w:rPr>
                <w:sz w:val="16"/>
                <w:szCs w:val="16"/>
              </w:rPr>
            </w:pPr>
            <w:r w:rsidRPr="00181EF3">
              <w:rPr>
                <w:sz w:val="16"/>
                <w:szCs w:val="16"/>
              </w:rPr>
              <w:t>SU</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7BAA1602" w14:textId="77777777" w:rsidR="005D05F9" w:rsidRPr="00181EF3" w:rsidRDefault="005D05F9" w:rsidP="005D05F9">
            <w:pPr>
              <w:pStyle w:val="TableText"/>
              <w:jc w:val="center"/>
              <w:rPr>
                <w:sz w:val="16"/>
                <w:szCs w:val="16"/>
              </w:rPr>
            </w:pPr>
            <w:r w:rsidRPr="00181EF3">
              <w:rPr>
                <w:sz w:val="16"/>
                <w:szCs w:val="16"/>
              </w:rPr>
              <w:t>SU</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71B3559" w14:textId="77777777" w:rsidR="005D05F9" w:rsidRPr="00181EF3" w:rsidRDefault="005D05F9" w:rsidP="005D05F9">
            <w:pPr>
              <w:pStyle w:val="TableText"/>
              <w:jc w:val="center"/>
              <w:rPr>
                <w:sz w:val="16"/>
                <w:szCs w:val="16"/>
              </w:rPr>
            </w:pPr>
            <w:r w:rsidRPr="00181EF3">
              <w:rPr>
                <w:sz w:val="16"/>
                <w:szCs w:val="16"/>
              </w:rPr>
              <w:t>SU</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9DA8373" w14:textId="77777777" w:rsidR="005D05F9" w:rsidRPr="00181EF3" w:rsidRDefault="005D05F9" w:rsidP="005D05F9">
            <w:pPr>
              <w:pStyle w:val="TableText"/>
              <w:jc w:val="center"/>
              <w:rPr>
                <w:sz w:val="16"/>
                <w:szCs w:val="16"/>
              </w:rPr>
            </w:pPr>
            <w:r w:rsidRPr="00181EF3">
              <w:rPr>
                <w:sz w:val="16"/>
                <w:szCs w:val="16"/>
              </w:rPr>
              <w:t>SU</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4EF1D71A" w14:textId="77777777" w:rsidR="005D05F9" w:rsidRPr="00181EF3" w:rsidRDefault="005D05F9" w:rsidP="005D05F9">
            <w:pPr>
              <w:pStyle w:val="TableText"/>
              <w:jc w:val="center"/>
              <w:rPr>
                <w:sz w:val="16"/>
                <w:szCs w:val="16"/>
              </w:rPr>
            </w:pPr>
            <w:r w:rsidRPr="00181EF3">
              <w:rPr>
                <w:sz w:val="16"/>
                <w:szCs w:val="16"/>
              </w:rPr>
              <w:t>CPD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ED5D1E5" w14:textId="77777777" w:rsidR="005D05F9" w:rsidRPr="00181EF3" w:rsidRDefault="005D05F9" w:rsidP="005D05F9">
            <w:pPr>
              <w:pStyle w:val="TableText"/>
              <w:jc w:val="center"/>
              <w:rPr>
                <w:sz w:val="16"/>
                <w:szCs w:val="16"/>
              </w:rPr>
            </w:pPr>
            <w:r w:rsidRPr="00181EF3">
              <w:rPr>
                <w:sz w:val="16"/>
                <w:szCs w:val="16"/>
              </w:rPr>
              <w:t>CPD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BE202AD" w14:textId="77777777" w:rsidR="005D05F9" w:rsidRPr="00181EF3" w:rsidRDefault="005D05F9" w:rsidP="005D05F9">
            <w:pPr>
              <w:pStyle w:val="TableText"/>
              <w:jc w:val="center"/>
              <w:rPr>
                <w:sz w:val="16"/>
                <w:szCs w:val="16"/>
              </w:rPr>
            </w:pPr>
            <w:r w:rsidRPr="00181EF3">
              <w:rPr>
                <w:sz w:val="16"/>
                <w:szCs w:val="16"/>
              </w:rPr>
              <w:t>MV</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088D8171" w14:textId="77777777" w:rsidR="005D05F9" w:rsidRPr="00181EF3" w:rsidRDefault="005D05F9" w:rsidP="005D05F9">
            <w:pPr>
              <w:pStyle w:val="TableText"/>
              <w:jc w:val="center"/>
              <w:rPr>
                <w:sz w:val="16"/>
                <w:szCs w:val="16"/>
              </w:rPr>
            </w:pPr>
            <w:r w:rsidRPr="00181EF3">
              <w:rPr>
                <w:sz w:val="16"/>
                <w:szCs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7AB7051" w14:textId="77777777" w:rsidR="005D05F9" w:rsidRPr="00181EF3" w:rsidRDefault="005D05F9" w:rsidP="005D05F9">
            <w:pPr>
              <w:pStyle w:val="TableText"/>
              <w:jc w:val="center"/>
              <w:rPr>
                <w:sz w:val="16"/>
                <w:szCs w:val="16"/>
              </w:rPr>
            </w:pPr>
            <w:r w:rsidRPr="00181EF3">
              <w:rPr>
                <w:sz w:val="16"/>
                <w:szCs w:val="16"/>
              </w:rPr>
              <w:t>HD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700A9F8" w14:textId="77777777" w:rsidR="005D05F9" w:rsidRPr="00181EF3" w:rsidRDefault="005D05F9" w:rsidP="005D05F9">
            <w:pPr>
              <w:pStyle w:val="TableText"/>
              <w:jc w:val="center"/>
              <w:rPr>
                <w:sz w:val="16"/>
                <w:szCs w:val="16"/>
              </w:rPr>
            </w:pPr>
            <w:r w:rsidRPr="00181EF3">
              <w:rPr>
                <w:sz w:val="16"/>
                <w:szCs w:val="16"/>
              </w:rPr>
              <w:t>DI</w:t>
            </w:r>
          </w:p>
        </w:tc>
      </w:tr>
      <w:tr w:rsidR="005D05F9" w:rsidRPr="00181EF3" w14:paraId="39F86524" w14:textId="77777777" w:rsidTr="005D05F9">
        <w:tc>
          <w:tcPr>
            <w:tcW w:w="567" w:type="dxa"/>
            <w:vMerge w:val="restart"/>
            <w:tcBorders>
              <w:top w:val="single" w:sz="4" w:space="0" w:color="A6A6A6" w:themeColor="background1" w:themeShade="A6"/>
            </w:tcBorders>
          </w:tcPr>
          <w:p w14:paraId="3AE99813" w14:textId="0C1AD05E" w:rsidR="005D05F9" w:rsidRPr="00181EF3" w:rsidRDefault="00EC03A3" w:rsidP="005D05F9">
            <w:pPr>
              <w:pStyle w:val="TableText"/>
              <w:rPr>
                <w:sz w:val="16"/>
                <w:szCs w:val="16"/>
              </w:rPr>
            </w:pPr>
            <w:r>
              <w:rPr>
                <w:sz w:val="16"/>
                <w:szCs w:val="16"/>
              </w:rPr>
              <w:t>Non</w:t>
            </w:r>
            <w:r>
              <w:rPr>
                <w:sz w:val="16"/>
                <w:szCs w:val="16"/>
              </w:rPr>
              <w:noBreakHyphen/>
              <w:t>M</w:t>
            </w:r>
            <w:r w:rsidR="005D05F9" w:rsidRPr="00181EF3">
              <w:rPr>
                <w:sz w:val="16"/>
                <w:szCs w:val="16"/>
              </w:rPr>
              <w:t>āori</w:t>
            </w:r>
          </w:p>
        </w:tc>
        <w:tc>
          <w:tcPr>
            <w:tcW w:w="430" w:type="dxa"/>
            <w:tcBorders>
              <w:top w:val="single" w:sz="4" w:space="0" w:color="A6A6A6" w:themeColor="background1" w:themeShade="A6"/>
              <w:bottom w:val="single" w:sz="4" w:space="0" w:color="A6A6A6" w:themeColor="background1" w:themeShade="A6"/>
            </w:tcBorders>
            <w:shd w:val="clear" w:color="auto" w:fill="auto"/>
          </w:tcPr>
          <w:p w14:paraId="2E7BF515" w14:textId="77777777" w:rsidR="005D05F9" w:rsidRPr="00181EF3" w:rsidRDefault="005D05F9" w:rsidP="005D05F9">
            <w:pPr>
              <w:pStyle w:val="TableText"/>
              <w:jc w:val="center"/>
              <w:rPr>
                <w:sz w:val="16"/>
                <w:szCs w:val="16"/>
              </w:rPr>
            </w:pPr>
            <w:r w:rsidRPr="00181EF3">
              <w:rPr>
                <w:sz w:val="16"/>
                <w:szCs w:val="16"/>
              </w:rPr>
              <w:t>1</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6475FAD9" w14:textId="77777777" w:rsidR="005D05F9" w:rsidRPr="00181EF3" w:rsidRDefault="005D05F9" w:rsidP="005D05F9">
            <w:pPr>
              <w:pStyle w:val="TableText"/>
              <w:jc w:val="center"/>
              <w:rPr>
                <w:sz w:val="16"/>
                <w:szCs w:val="16"/>
              </w:rPr>
            </w:pPr>
            <w:r w:rsidRPr="00181EF3">
              <w:rPr>
                <w:sz w:val="16"/>
                <w:szCs w:val="16"/>
              </w:rPr>
              <w:t>IHD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D2536F8" w14:textId="77777777" w:rsidR="005D05F9" w:rsidRPr="00181EF3" w:rsidRDefault="005D05F9" w:rsidP="005D05F9">
            <w:pPr>
              <w:pStyle w:val="TableText"/>
              <w:jc w:val="center"/>
              <w:rPr>
                <w:sz w:val="16"/>
                <w:szCs w:val="16"/>
              </w:rPr>
            </w:pPr>
            <w:r w:rsidRPr="00181EF3">
              <w:rPr>
                <w:sz w:val="16"/>
                <w:szCs w:val="16"/>
              </w:rPr>
              <w:t>IHD</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37BA7D4B" w14:textId="77777777" w:rsidR="005D05F9" w:rsidRPr="00181EF3" w:rsidRDefault="005D05F9" w:rsidP="005D05F9">
            <w:pPr>
              <w:pStyle w:val="TableText"/>
              <w:jc w:val="center"/>
              <w:rPr>
                <w:sz w:val="16"/>
                <w:szCs w:val="16"/>
              </w:rPr>
            </w:pPr>
            <w:r w:rsidRPr="00181EF3">
              <w:rPr>
                <w:sz w:val="16"/>
                <w:szCs w:val="16"/>
              </w:rPr>
              <w:t>IHD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8657EBD" w14:textId="77777777" w:rsidR="005D05F9" w:rsidRPr="00181EF3" w:rsidRDefault="005D05F9" w:rsidP="005D05F9">
            <w:pPr>
              <w:pStyle w:val="TableText"/>
              <w:jc w:val="center"/>
              <w:rPr>
                <w:sz w:val="16"/>
                <w:szCs w:val="16"/>
              </w:rPr>
            </w:pPr>
            <w:r w:rsidRPr="00181EF3">
              <w:rPr>
                <w:sz w:val="16"/>
                <w:szCs w:val="16"/>
              </w:rPr>
              <w:t>IHD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8BBDFFE" w14:textId="77777777" w:rsidR="005D05F9" w:rsidRPr="00181EF3" w:rsidRDefault="005D05F9" w:rsidP="005D05F9">
            <w:pPr>
              <w:pStyle w:val="TableText"/>
              <w:jc w:val="center"/>
              <w:rPr>
                <w:sz w:val="16"/>
                <w:szCs w:val="16"/>
              </w:rPr>
            </w:pPr>
            <w:r w:rsidRPr="00181EF3">
              <w:rPr>
                <w:sz w:val="16"/>
                <w:szCs w:val="16"/>
              </w:rPr>
              <w:t>IHD</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1A8CEA1E" w14:textId="77777777" w:rsidR="005D05F9" w:rsidRPr="00181EF3" w:rsidRDefault="005D05F9" w:rsidP="005D05F9">
            <w:pPr>
              <w:pStyle w:val="TableText"/>
              <w:jc w:val="center"/>
              <w:rPr>
                <w:sz w:val="16"/>
                <w:szCs w:val="16"/>
              </w:rPr>
            </w:pPr>
            <w:r w:rsidRPr="00181EF3">
              <w:rPr>
                <w:sz w:val="16"/>
                <w:szCs w:val="16"/>
              </w:rPr>
              <w:t>IHD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AFE4862" w14:textId="77777777" w:rsidR="005D05F9" w:rsidRPr="00181EF3" w:rsidRDefault="005D05F9" w:rsidP="005D05F9">
            <w:pPr>
              <w:pStyle w:val="TableText"/>
              <w:jc w:val="center"/>
              <w:rPr>
                <w:sz w:val="16"/>
                <w:szCs w:val="16"/>
              </w:rPr>
            </w:pPr>
            <w:r w:rsidRPr="00181EF3">
              <w:rPr>
                <w:sz w:val="16"/>
                <w:szCs w:val="16"/>
              </w:rPr>
              <w:t>IHD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82B9604" w14:textId="77777777" w:rsidR="005D05F9" w:rsidRPr="00181EF3" w:rsidRDefault="005D05F9" w:rsidP="005D05F9">
            <w:pPr>
              <w:pStyle w:val="TableText"/>
              <w:jc w:val="center"/>
              <w:rPr>
                <w:sz w:val="16"/>
                <w:szCs w:val="16"/>
              </w:rPr>
            </w:pPr>
            <w:r w:rsidRPr="00181EF3">
              <w:rPr>
                <w:sz w:val="16"/>
                <w:szCs w:val="16"/>
              </w:rPr>
              <w:t>IHD</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3B26FD0E" w14:textId="77777777" w:rsidR="005D05F9" w:rsidRPr="00181EF3" w:rsidRDefault="005D05F9" w:rsidP="005D05F9">
            <w:pPr>
              <w:pStyle w:val="TableText"/>
              <w:jc w:val="center"/>
              <w:rPr>
                <w:sz w:val="16"/>
                <w:szCs w:val="16"/>
              </w:rPr>
            </w:pPr>
            <w:r w:rsidRPr="00181EF3">
              <w:rPr>
                <w:sz w:val="16"/>
                <w:szCs w:val="16"/>
              </w:rPr>
              <w:t>IHD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1C6E79D" w14:textId="77777777" w:rsidR="005D05F9" w:rsidRPr="00181EF3" w:rsidRDefault="005D05F9" w:rsidP="005D05F9">
            <w:pPr>
              <w:pStyle w:val="TableText"/>
              <w:jc w:val="center"/>
              <w:rPr>
                <w:sz w:val="16"/>
                <w:szCs w:val="16"/>
              </w:rPr>
            </w:pPr>
            <w:r w:rsidRPr="00181EF3">
              <w:rPr>
                <w:sz w:val="16"/>
                <w:szCs w:val="16"/>
              </w:rPr>
              <w:t>IHD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6B05099" w14:textId="77777777" w:rsidR="005D05F9" w:rsidRPr="00181EF3" w:rsidRDefault="005D05F9" w:rsidP="005D05F9">
            <w:pPr>
              <w:pStyle w:val="TableText"/>
              <w:jc w:val="center"/>
              <w:rPr>
                <w:sz w:val="16"/>
                <w:szCs w:val="16"/>
              </w:rPr>
            </w:pPr>
            <w:r w:rsidRPr="00181EF3">
              <w:rPr>
                <w:sz w:val="16"/>
                <w:szCs w:val="16"/>
              </w:rPr>
              <w:t>IHD</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5510B9E6" w14:textId="77777777" w:rsidR="005D05F9" w:rsidRPr="00181EF3" w:rsidRDefault="005D05F9" w:rsidP="005D05F9">
            <w:pPr>
              <w:pStyle w:val="TableText"/>
              <w:jc w:val="center"/>
              <w:rPr>
                <w:sz w:val="16"/>
                <w:szCs w:val="16"/>
              </w:rPr>
            </w:pPr>
            <w:r w:rsidRPr="00181EF3">
              <w:rPr>
                <w:sz w:val="16"/>
                <w:szCs w:val="16"/>
              </w:rPr>
              <w:t>IHD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DB88EDB" w14:textId="77777777" w:rsidR="005D05F9" w:rsidRPr="00181EF3" w:rsidRDefault="005D05F9" w:rsidP="005D05F9">
            <w:pPr>
              <w:pStyle w:val="TableText"/>
              <w:jc w:val="center"/>
              <w:rPr>
                <w:sz w:val="16"/>
                <w:szCs w:val="16"/>
              </w:rPr>
            </w:pPr>
            <w:r w:rsidRPr="00181EF3">
              <w:rPr>
                <w:sz w:val="16"/>
                <w:szCs w:val="16"/>
              </w:rPr>
              <w:t>IHD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C4D73C0" w14:textId="77777777" w:rsidR="005D05F9" w:rsidRPr="00181EF3" w:rsidRDefault="005D05F9" w:rsidP="005D05F9">
            <w:pPr>
              <w:pStyle w:val="TableText"/>
              <w:jc w:val="center"/>
              <w:rPr>
                <w:sz w:val="16"/>
                <w:szCs w:val="16"/>
              </w:rPr>
            </w:pPr>
            <w:r w:rsidRPr="00181EF3">
              <w:rPr>
                <w:sz w:val="16"/>
                <w:szCs w:val="16"/>
              </w:rPr>
              <w:t>IHD</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325E60E5" w14:textId="77777777" w:rsidR="005D05F9" w:rsidRPr="00181EF3" w:rsidRDefault="005D05F9" w:rsidP="005D05F9">
            <w:pPr>
              <w:pStyle w:val="TableText"/>
              <w:jc w:val="center"/>
              <w:rPr>
                <w:sz w:val="16"/>
                <w:szCs w:val="16"/>
              </w:rPr>
            </w:pPr>
            <w:r w:rsidRPr="00181EF3">
              <w:rPr>
                <w:sz w:val="16"/>
                <w:szCs w:val="16"/>
              </w:rPr>
              <w:t>IHD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9B80A5B" w14:textId="77777777" w:rsidR="005D05F9" w:rsidRPr="00181EF3" w:rsidRDefault="005D05F9" w:rsidP="005D05F9">
            <w:pPr>
              <w:pStyle w:val="TableText"/>
              <w:jc w:val="center"/>
              <w:rPr>
                <w:sz w:val="16"/>
                <w:szCs w:val="16"/>
              </w:rPr>
            </w:pPr>
            <w:r w:rsidRPr="00181EF3">
              <w:rPr>
                <w:sz w:val="16"/>
                <w:szCs w:val="16"/>
              </w:rPr>
              <w:t>IHD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47224BE" w14:textId="77777777" w:rsidR="005D05F9" w:rsidRPr="00181EF3" w:rsidRDefault="005D05F9" w:rsidP="005D05F9">
            <w:pPr>
              <w:pStyle w:val="TableText"/>
              <w:jc w:val="center"/>
              <w:rPr>
                <w:sz w:val="16"/>
                <w:szCs w:val="16"/>
              </w:rPr>
            </w:pPr>
            <w:r w:rsidRPr="00181EF3">
              <w:rPr>
                <w:sz w:val="16"/>
                <w:szCs w:val="16"/>
              </w:rPr>
              <w:t>IHD</w:t>
            </w:r>
          </w:p>
        </w:tc>
      </w:tr>
      <w:tr w:rsidR="005D05F9" w:rsidRPr="00181EF3" w14:paraId="286A1741" w14:textId="77777777" w:rsidTr="005D05F9">
        <w:tc>
          <w:tcPr>
            <w:tcW w:w="567" w:type="dxa"/>
            <w:vMerge/>
          </w:tcPr>
          <w:p w14:paraId="094CE0EF" w14:textId="77777777" w:rsidR="005D05F9" w:rsidRPr="00181EF3" w:rsidRDefault="005D05F9" w:rsidP="005D05F9">
            <w:pPr>
              <w:pStyle w:val="TableText"/>
              <w:rPr>
                <w:sz w:val="16"/>
                <w:szCs w:val="16"/>
              </w:rPr>
            </w:pPr>
          </w:p>
        </w:tc>
        <w:tc>
          <w:tcPr>
            <w:tcW w:w="430" w:type="dxa"/>
            <w:tcBorders>
              <w:top w:val="single" w:sz="4" w:space="0" w:color="A6A6A6" w:themeColor="background1" w:themeShade="A6"/>
              <w:bottom w:val="single" w:sz="4" w:space="0" w:color="A6A6A6" w:themeColor="background1" w:themeShade="A6"/>
            </w:tcBorders>
            <w:shd w:val="clear" w:color="auto" w:fill="auto"/>
          </w:tcPr>
          <w:p w14:paraId="655DF5E8" w14:textId="77777777" w:rsidR="005D05F9" w:rsidRPr="00181EF3" w:rsidRDefault="005D05F9" w:rsidP="005D05F9">
            <w:pPr>
              <w:pStyle w:val="TableText"/>
              <w:jc w:val="center"/>
              <w:rPr>
                <w:sz w:val="16"/>
                <w:szCs w:val="16"/>
              </w:rPr>
            </w:pPr>
            <w:r w:rsidRPr="00181EF3">
              <w:rPr>
                <w:sz w:val="16"/>
                <w:szCs w:val="16"/>
              </w:rPr>
              <w:t>2</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60AFB140" w14:textId="77777777" w:rsidR="005D05F9" w:rsidRPr="00181EF3" w:rsidRDefault="005D05F9" w:rsidP="005D05F9">
            <w:pPr>
              <w:pStyle w:val="TableText"/>
              <w:jc w:val="center"/>
              <w:rPr>
                <w:sz w:val="16"/>
                <w:szCs w:val="16"/>
              </w:rPr>
            </w:pPr>
            <w:r w:rsidRPr="00181EF3">
              <w:rPr>
                <w:sz w:val="16"/>
                <w:szCs w:val="16"/>
              </w:rPr>
              <w:t>SU</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F2FDAA3" w14:textId="77777777" w:rsidR="005D05F9" w:rsidRPr="00181EF3" w:rsidRDefault="005D05F9" w:rsidP="005D05F9">
            <w:pPr>
              <w:pStyle w:val="TableText"/>
              <w:jc w:val="center"/>
              <w:rPr>
                <w:sz w:val="16"/>
                <w:szCs w:val="16"/>
              </w:rPr>
            </w:pPr>
            <w:r w:rsidRPr="00181EF3">
              <w:rPr>
                <w:sz w:val="16"/>
                <w:szCs w:val="16"/>
              </w:rPr>
              <w:t>SU</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79E378C0" w14:textId="77777777" w:rsidR="005D05F9" w:rsidRPr="00181EF3" w:rsidRDefault="005D05F9" w:rsidP="005D05F9">
            <w:pPr>
              <w:pStyle w:val="TableText"/>
              <w:jc w:val="center"/>
              <w:rPr>
                <w:sz w:val="16"/>
                <w:szCs w:val="16"/>
              </w:rPr>
            </w:pPr>
            <w:r w:rsidRPr="00181EF3">
              <w:rPr>
                <w:sz w:val="16"/>
                <w:szCs w:val="16"/>
              </w:rPr>
              <w:t>SU</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69C6047" w14:textId="77777777" w:rsidR="005D05F9" w:rsidRPr="00181EF3" w:rsidRDefault="005D05F9" w:rsidP="005D05F9">
            <w:pPr>
              <w:pStyle w:val="TableText"/>
              <w:jc w:val="center"/>
              <w:rPr>
                <w:sz w:val="16"/>
                <w:szCs w:val="16"/>
              </w:rPr>
            </w:pPr>
            <w:r w:rsidRPr="00181EF3">
              <w:rPr>
                <w:sz w:val="16"/>
                <w:szCs w:val="16"/>
              </w:rPr>
              <w:t>SU</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8264774" w14:textId="77777777" w:rsidR="005D05F9" w:rsidRPr="00181EF3" w:rsidRDefault="005D05F9" w:rsidP="005D05F9">
            <w:pPr>
              <w:pStyle w:val="TableText"/>
              <w:jc w:val="center"/>
              <w:rPr>
                <w:sz w:val="16"/>
                <w:szCs w:val="16"/>
              </w:rPr>
            </w:pPr>
            <w:r w:rsidRPr="00181EF3">
              <w:rPr>
                <w:sz w:val="16"/>
                <w:szCs w:val="16"/>
              </w:rPr>
              <w:t>SU</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4F9007CE" w14:textId="77777777" w:rsidR="005D05F9" w:rsidRPr="00181EF3" w:rsidRDefault="005D05F9" w:rsidP="005D05F9">
            <w:pPr>
              <w:pStyle w:val="TableText"/>
              <w:jc w:val="center"/>
              <w:rPr>
                <w:sz w:val="16"/>
                <w:szCs w:val="16"/>
              </w:rPr>
            </w:pPr>
            <w:r w:rsidRPr="00181EF3">
              <w:rPr>
                <w:sz w:val="16"/>
                <w:szCs w:val="16"/>
              </w:rPr>
              <w:t>SU</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3883B6E" w14:textId="77777777" w:rsidR="005D05F9" w:rsidRPr="00181EF3" w:rsidRDefault="005D05F9" w:rsidP="005D05F9">
            <w:pPr>
              <w:pStyle w:val="TableText"/>
              <w:jc w:val="center"/>
              <w:rPr>
                <w:sz w:val="16"/>
                <w:szCs w:val="16"/>
              </w:rPr>
            </w:pPr>
            <w:r w:rsidRPr="00181EF3">
              <w:rPr>
                <w:sz w:val="16"/>
                <w:szCs w:val="16"/>
              </w:rPr>
              <w:t>SU</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C5CE3BE" w14:textId="77777777" w:rsidR="005D05F9" w:rsidRPr="00181EF3" w:rsidRDefault="005D05F9" w:rsidP="005D05F9">
            <w:pPr>
              <w:pStyle w:val="TableText"/>
              <w:jc w:val="center"/>
              <w:rPr>
                <w:sz w:val="16"/>
                <w:szCs w:val="16"/>
              </w:rPr>
            </w:pPr>
            <w:r w:rsidRPr="00181EF3">
              <w:rPr>
                <w:sz w:val="16"/>
                <w:szCs w:val="16"/>
              </w:rPr>
              <w:t>SU</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1299E8BC" w14:textId="77777777" w:rsidR="005D05F9" w:rsidRPr="00181EF3" w:rsidRDefault="005D05F9" w:rsidP="005D05F9">
            <w:pPr>
              <w:pStyle w:val="TableText"/>
              <w:jc w:val="center"/>
              <w:rPr>
                <w:sz w:val="16"/>
                <w:szCs w:val="16"/>
              </w:rPr>
            </w:pPr>
            <w:r w:rsidRPr="00181EF3">
              <w:rPr>
                <w:sz w:val="16"/>
                <w:szCs w:val="16"/>
              </w:rPr>
              <w:t>SU</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5823FC0" w14:textId="77777777" w:rsidR="005D05F9" w:rsidRPr="00181EF3" w:rsidRDefault="005D05F9" w:rsidP="005D05F9">
            <w:pPr>
              <w:pStyle w:val="TableText"/>
              <w:jc w:val="center"/>
              <w:rPr>
                <w:sz w:val="16"/>
                <w:szCs w:val="16"/>
              </w:rPr>
            </w:pPr>
            <w:r w:rsidRPr="00181EF3">
              <w:rPr>
                <w:sz w:val="16"/>
                <w:szCs w:val="16"/>
              </w:rPr>
              <w:t>SU</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0D47F37" w14:textId="77777777" w:rsidR="005D05F9" w:rsidRPr="00181EF3" w:rsidRDefault="005D05F9" w:rsidP="005D05F9">
            <w:pPr>
              <w:pStyle w:val="TableText"/>
              <w:jc w:val="center"/>
              <w:rPr>
                <w:sz w:val="16"/>
                <w:szCs w:val="16"/>
              </w:rPr>
            </w:pPr>
            <w:r w:rsidRPr="00181EF3">
              <w:rPr>
                <w:sz w:val="16"/>
                <w:szCs w:val="16"/>
              </w:rPr>
              <w:t>SU</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53215259" w14:textId="77777777" w:rsidR="005D05F9" w:rsidRPr="00181EF3" w:rsidRDefault="005D05F9" w:rsidP="005D05F9">
            <w:pPr>
              <w:pStyle w:val="TableText"/>
              <w:jc w:val="center"/>
              <w:rPr>
                <w:sz w:val="16"/>
                <w:szCs w:val="16"/>
              </w:rPr>
            </w:pPr>
            <w:r w:rsidRPr="00181EF3">
              <w:rPr>
                <w:sz w:val="16"/>
                <w:szCs w:val="16"/>
              </w:rPr>
              <w:t>SU</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060F35A" w14:textId="77777777" w:rsidR="005D05F9" w:rsidRPr="00181EF3" w:rsidRDefault="005D05F9" w:rsidP="005D05F9">
            <w:pPr>
              <w:pStyle w:val="TableText"/>
              <w:jc w:val="center"/>
              <w:rPr>
                <w:sz w:val="16"/>
                <w:szCs w:val="16"/>
              </w:rPr>
            </w:pPr>
            <w:r w:rsidRPr="00181EF3">
              <w:rPr>
                <w:sz w:val="16"/>
                <w:szCs w:val="16"/>
              </w:rPr>
              <w:t>SU</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264A76C" w14:textId="77777777" w:rsidR="005D05F9" w:rsidRPr="00181EF3" w:rsidRDefault="005D05F9" w:rsidP="005D05F9">
            <w:pPr>
              <w:pStyle w:val="TableText"/>
              <w:jc w:val="center"/>
              <w:rPr>
                <w:sz w:val="16"/>
                <w:szCs w:val="16"/>
              </w:rPr>
            </w:pPr>
            <w:r w:rsidRPr="00181EF3">
              <w:rPr>
                <w:sz w:val="16"/>
                <w:szCs w:val="16"/>
              </w:rPr>
              <w:t>SU</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4A77D15F" w14:textId="77777777" w:rsidR="005D05F9" w:rsidRPr="00181EF3" w:rsidRDefault="005D05F9" w:rsidP="005D05F9">
            <w:pPr>
              <w:pStyle w:val="TableText"/>
              <w:jc w:val="center"/>
              <w:rPr>
                <w:sz w:val="16"/>
                <w:szCs w:val="16"/>
              </w:rPr>
            </w:pPr>
            <w:r w:rsidRPr="00181EF3">
              <w:rPr>
                <w:sz w:val="16"/>
                <w:szCs w:val="16"/>
              </w:rPr>
              <w:t>SU</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1A7FC01" w14:textId="77777777" w:rsidR="005D05F9" w:rsidRPr="00181EF3" w:rsidRDefault="005D05F9" w:rsidP="005D05F9">
            <w:pPr>
              <w:pStyle w:val="TableText"/>
              <w:jc w:val="center"/>
              <w:rPr>
                <w:sz w:val="16"/>
                <w:szCs w:val="16"/>
              </w:rPr>
            </w:pPr>
            <w:r w:rsidRPr="00181EF3">
              <w:rPr>
                <w:sz w:val="16"/>
                <w:szCs w:val="16"/>
              </w:rPr>
              <w:t>SU</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47BB20A" w14:textId="77777777" w:rsidR="005D05F9" w:rsidRPr="00181EF3" w:rsidRDefault="005D05F9" w:rsidP="005D05F9">
            <w:pPr>
              <w:pStyle w:val="TableText"/>
              <w:jc w:val="center"/>
              <w:rPr>
                <w:sz w:val="16"/>
                <w:szCs w:val="16"/>
              </w:rPr>
            </w:pPr>
            <w:r w:rsidRPr="00181EF3">
              <w:rPr>
                <w:sz w:val="16"/>
                <w:szCs w:val="16"/>
              </w:rPr>
              <w:t>SU</w:t>
            </w:r>
          </w:p>
        </w:tc>
      </w:tr>
      <w:tr w:rsidR="005D05F9" w:rsidRPr="00181EF3" w14:paraId="6FFD4607" w14:textId="77777777" w:rsidTr="005D05F9">
        <w:tc>
          <w:tcPr>
            <w:tcW w:w="567" w:type="dxa"/>
            <w:vMerge/>
          </w:tcPr>
          <w:p w14:paraId="090AE87E" w14:textId="77777777" w:rsidR="005D05F9" w:rsidRPr="00181EF3" w:rsidRDefault="005D05F9" w:rsidP="005D05F9">
            <w:pPr>
              <w:pStyle w:val="TableText"/>
              <w:rPr>
                <w:sz w:val="16"/>
                <w:szCs w:val="16"/>
              </w:rPr>
            </w:pPr>
          </w:p>
        </w:tc>
        <w:tc>
          <w:tcPr>
            <w:tcW w:w="430" w:type="dxa"/>
            <w:tcBorders>
              <w:top w:val="single" w:sz="4" w:space="0" w:color="A6A6A6" w:themeColor="background1" w:themeShade="A6"/>
              <w:bottom w:val="single" w:sz="4" w:space="0" w:color="A6A6A6" w:themeColor="background1" w:themeShade="A6"/>
            </w:tcBorders>
            <w:shd w:val="clear" w:color="auto" w:fill="auto"/>
          </w:tcPr>
          <w:p w14:paraId="0285CF04" w14:textId="77777777" w:rsidR="005D05F9" w:rsidRPr="00181EF3" w:rsidRDefault="005D05F9" w:rsidP="005D05F9">
            <w:pPr>
              <w:pStyle w:val="TableText"/>
              <w:jc w:val="center"/>
              <w:rPr>
                <w:sz w:val="16"/>
                <w:szCs w:val="16"/>
              </w:rPr>
            </w:pPr>
            <w:r w:rsidRPr="00181EF3">
              <w:rPr>
                <w:sz w:val="16"/>
                <w:szCs w:val="16"/>
              </w:rPr>
              <w:t>3</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62638A7E" w14:textId="77777777" w:rsidR="005D05F9" w:rsidRPr="00181EF3" w:rsidRDefault="005D05F9" w:rsidP="005D05F9">
            <w:pPr>
              <w:pStyle w:val="TableText"/>
              <w:jc w:val="center"/>
              <w:rPr>
                <w:sz w:val="16"/>
                <w:szCs w:val="16"/>
              </w:rPr>
            </w:pPr>
            <w:r w:rsidRPr="00181EF3">
              <w:rPr>
                <w:sz w:val="16"/>
                <w:szCs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FC4ECE7" w14:textId="77777777" w:rsidR="005D05F9" w:rsidRPr="00181EF3" w:rsidRDefault="005D05F9" w:rsidP="005D05F9">
            <w:pPr>
              <w:pStyle w:val="TableText"/>
              <w:jc w:val="center"/>
              <w:rPr>
                <w:sz w:val="16"/>
                <w:szCs w:val="16"/>
              </w:rPr>
            </w:pPr>
            <w:r w:rsidRPr="00181EF3">
              <w:rPr>
                <w:sz w:val="16"/>
                <w:szCs w:val="16"/>
              </w:rPr>
              <w:t>LC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60C11E53" w14:textId="77777777" w:rsidR="005D05F9" w:rsidRPr="00181EF3" w:rsidRDefault="005D05F9" w:rsidP="005D05F9">
            <w:pPr>
              <w:pStyle w:val="TableText"/>
              <w:jc w:val="center"/>
              <w:rPr>
                <w:sz w:val="16"/>
                <w:szCs w:val="16"/>
              </w:rPr>
            </w:pPr>
            <w:r w:rsidRPr="00181EF3">
              <w:rPr>
                <w:sz w:val="16"/>
                <w:szCs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BB55022" w14:textId="77777777" w:rsidR="005D05F9" w:rsidRPr="00181EF3" w:rsidRDefault="005D05F9" w:rsidP="005D05F9">
            <w:pPr>
              <w:pStyle w:val="TableText"/>
              <w:jc w:val="center"/>
              <w:rPr>
                <w:sz w:val="16"/>
                <w:szCs w:val="16"/>
              </w:rPr>
            </w:pPr>
            <w:r w:rsidRPr="00181EF3">
              <w:rPr>
                <w:sz w:val="16"/>
                <w:szCs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5D01D77" w14:textId="77777777" w:rsidR="005D05F9" w:rsidRPr="00181EF3" w:rsidRDefault="005D05F9" w:rsidP="005D05F9">
            <w:pPr>
              <w:pStyle w:val="TableText"/>
              <w:jc w:val="center"/>
              <w:rPr>
                <w:sz w:val="16"/>
                <w:szCs w:val="16"/>
              </w:rPr>
            </w:pPr>
            <w:r w:rsidRPr="00181EF3">
              <w:rPr>
                <w:sz w:val="16"/>
                <w:szCs w:val="16"/>
              </w:rPr>
              <w:t>CD</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3C073479" w14:textId="77777777" w:rsidR="005D05F9" w:rsidRPr="00181EF3" w:rsidRDefault="005D05F9" w:rsidP="005D05F9">
            <w:pPr>
              <w:pStyle w:val="TableText"/>
              <w:jc w:val="center"/>
              <w:rPr>
                <w:sz w:val="16"/>
                <w:szCs w:val="16"/>
              </w:rPr>
            </w:pPr>
            <w:r w:rsidRPr="00181EF3">
              <w:rPr>
                <w:sz w:val="16"/>
                <w:szCs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B74E26A" w14:textId="77777777" w:rsidR="005D05F9" w:rsidRPr="00181EF3" w:rsidRDefault="005D05F9" w:rsidP="005D05F9">
            <w:pPr>
              <w:pStyle w:val="TableText"/>
              <w:jc w:val="center"/>
              <w:rPr>
                <w:sz w:val="16"/>
                <w:szCs w:val="16"/>
              </w:rPr>
            </w:pPr>
            <w:r w:rsidRPr="00181EF3">
              <w:rPr>
                <w:sz w:val="16"/>
                <w:szCs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E1F0241" w14:textId="77777777" w:rsidR="005D05F9" w:rsidRPr="00181EF3" w:rsidRDefault="005D05F9" w:rsidP="005D05F9">
            <w:pPr>
              <w:pStyle w:val="TableText"/>
              <w:jc w:val="center"/>
              <w:rPr>
                <w:sz w:val="16"/>
                <w:szCs w:val="16"/>
              </w:rPr>
            </w:pPr>
            <w:r w:rsidRPr="00181EF3">
              <w:rPr>
                <w:sz w:val="16"/>
                <w:szCs w:val="16"/>
              </w:rPr>
              <w:t>LC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16A65A4C" w14:textId="77777777" w:rsidR="005D05F9" w:rsidRPr="00181EF3" w:rsidRDefault="005D05F9" w:rsidP="005D05F9">
            <w:pPr>
              <w:pStyle w:val="TableText"/>
              <w:jc w:val="center"/>
              <w:rPr>
                <w:sz w:val="16"/>
                <w:szCs w:val="16"/>
              </w:rPr>
            </w:pPr>
            <w:r w:rsidRPr="00181EF3">
              <w:rPr>
                <w:sz w:val="16"/>
                <w:szCs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6E2D18E" w14:textId="77777777" w:rsidR="005D05F9" w:rsidRPr="00181EF3" w:rsidRDefault="005D05F9" w:rsidP="005D05F9">
            <w:pPr>
              <w:pStyle w:val="TableText"/>
              <w:jc w:val="center"/>
              <w:rPr>
                <w:sz w:val="16"/>
                <w:szCs w:val="16"/>
              </w:rPr>
            </w:pPr>
            <w:r w:rsidRPr="00181EF3">
              <w:rPr>
                <w:sz w:val="16"/>
                <w:szCs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68DF40D" w14:textId="77777777" w:rsidR="005D05F9" w:rsidRPr="00181EF3" w:rsidRDefault="005D05F9" w:rsidP="005D05F9">
            <w:pPr>
              <w:pStyle w:val="TableText"/>
              <w:jc w:val="center"/>
              <w:rPr>
                <w:sz w:val="16"/>
                <w:szCs w:val="16"/>
              </w:rPr>
            </w:pPr>
            <w:r w:rsidRPr="00181EF3">
              <w:rPr>
                <w:sz w:val="16"/>
                <w:szCs w:val="16"/>
              </w:rPr>
              <w:t>LC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4ED86ACB" w14:textId="77777777" w:rsidR="005D05F9" w:rsidRPr="00181EF3" w:rsidRDefault="005D05F9" w:rsidP="005D05F9">
            <w:pPr>
              <w:pStyle w:val="TableText"/>
              <w:jc w:val="center"/>
              <w:rPr>
                <w:sz w:val="16"/>
                <w:szCs w:val="16"/>
              </w:rPr>
            </w:pPr>
            <w:r w:rsidRPr="00181EF3">
              <w:rPr>
                <w:sz w:val="16"/>
                <w:szCs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F85BFF1" w14:textId="77777777" w:rsidR="005D05F9" w:rsidRPr="00181EF3" w:rsidRDefault="005D05F9" w:rsidP="005D05F9">
            <w:pPr>
              <w:pStyle w:val="TableText"/>
              <w:jc w:val="center"/>
              <w:rPr>
                <w:sz w:val="16"/>
                <w:szCs w:val="16"/>
              </w:rPr>
            </w:pPr>
            <w:r w:rsidRPr="00181EF3">
              <w:rPr>
                <w:sz w:val="16"/>
                <w:szCs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921645B" w14:textId="77777777" w:rsidR="005D05F9" w:rsidRPr="00181EF3" w:rsidRDefault="005D05F9" w:rsidP="005D05F9">
            <w:pPr>
              <w:pStyle w:val="TableText"/>
              <w:jc w:val="center"/>
              <w:rPr>
                <w:sz w:val="16"/>
                <w:szCs w:val="16"/>
              </w:rPr>
            </w:pPr>
            <w:r w:rsidRPr="00181EF3">
              <w:rPr>
                <w:sz w:val="16"/>
                <w:szCs w:val="16"/>
              </w:rPr>
              <w:t>LC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0113CECE" w14:textId="77777777" w:rsidR="005D05F9" w:rsidRPr="00181EF3" w:rsidRDefault="005D05F9" w:rsidP="005D05F9">
            <w:pPr>
              <w:pStyle w:val="TableText"/>
              <w:jc w:val="center"/>
              <w:rPr>
                <w:sz w:val="16"/>
                <w:szCs w:val="16"/>
              </w:rPr>
            </w:pPr>
            <w:r w:rsidRPr="00181EF3">
              <w:rPr>
                <w:sz w:val="16"/>
                <w:szCs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FF15CD8" w14:textId="77777777" w:rsidR="005D05F9" w:rsidRPr="00181EF3" w:rsidRDefault="005D05F9" w:rsidP="005D05F9">
            <w:pPr>
              <w:pStyle w:val="TableText"/>
              <w:jc w:val="center"/>
              <w:rPr>
                <w:sz w:val="16"/>
                <w:szCs w:val="16"/>
              </w:rPr>
            </w:pPr>
            <w:r w:rsidRPr="00181EF3">
              <w:rPr>
                <w:sz w:val="16"/>
                <w:szCs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983CA86" w14:textId="77777777" w:rsidR="005D05F9" w:rsidRPr="00181EF3" w:rsidRDefault="005D05F9" w:rsidP="005D05F9">
            <w:pPr>
              <w:pStyle w:val="TableText"/>
              <w:jc w:val="center"/>
              <w:rPr>
                <w:sz w:val="16"/>
                <w:szCs w:val="16"/>
              </w:rPr>
            </w:pPr>
            <w:r w:rsidRPr="00181EF3">
              <w:rPr>
                <w:sz w:val="16"/>
                <w:szCs w:val="16"/>
              </w:rPr>
              <w:t>LC</w:t>
            </w:r>
          </w:p>
        </w:tc>
      </w:tr>
      <w:tr w:rsidR="005D05F9" w:rsidRPr="00181EF3" w14:paraId="52F0BD83" w14:textId="77777777" w:rsidTr="005D05F9">
        <w:tc>
          <w:tcPr>
            <w:tcW w:w="567" w:type="dxa"/>
            <w:vMerge/>
          </w:tcPr>
          <w:p w14:paraId="62746218" w14:textId="77777777" w:rsidR="005D05F9" w:rsidRPr="00181EF3" w:rsidRDefault="005D05F9" w:rsidP="005D05F9">
            <w:pPr>
              <w:pStyle w:val="TableText"/>
              <w:rPr>
                <w:sz w:val="16"/>
                <w:szCs w:val="16"/>
              </w:rPr>
            </w:pPr>
          </w:p>
        </w:tc>
        <w:tc>
          <w:tcPr>
            <w:tcW w:w="430" w:type="dxa"/>
            <w:tcBorders>
              <w:top w:val="single" w:sz="4" w:space="0" w:color="A6A6A6" w:themeColor="background1" w:themeShade="A6"/>
              <w:bottom w:val="single" w:sz="4" w:space="0" w:color="A6A6A6" w:themeColor="background1" w:themeShade="A6"/>
            </w:tcBorders>
            <w:shd w:val="clear" w:color="auto" w:fill="auto"/>
          </w:tcPr>
          <w:p w14:paraId="25E40DC2" w14:textId="77777777" w:rsidR="005D05F9" w:rsidRPr="00181EF3" w:rsidRDefault="005D05F9" w:rsidP="005D05F9">
            <w:pPr>
              <w:pStyle w:val="TableText"/>
              <w:jc w:val="center"/>
              <w:rPr>
                <w:sz w:val="16"/>
                <w:szCs w:val="16"/>
              </w:rPr>
            </w:pPr>
            <w:r w:rsidRPr="00181EF3">
              <w:rPr>
                <w:sz w:val="16"/>
                <w:szCs w:val="16"/>
              </w:rPr>
              <w:t>4</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38F0998D" w14:textId="77777777" w:rsidR="005D05F9" w:rsidRPr="00181EF3" w:rsidRDefault="005D05F9" w:rsidP="005D05F9">
            <w:pPr>
              <w:pStyle w:val="TableText"/>
              <w:jc w:val="center"/>
              <w:rPr>
                <w:sz w:val="16"/>
                <w:szCs w:val="16"/>
              </w:rPr>
            </w:pPr>
            <w:r w:rsidRPr="00181EF3">
              <w:rPr>
                <w:sz w:val="16"/>
                <w:szCs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13F9A68" w14:textId="77777777" w:rsidR="005D05F9" w:rsidRPr="00181EF3" w:rsidRDefault="005D05F9" w:rsidP="005D05F9">
            <w:pPr>
              <w:pStyle w:val="TableText"/>
              <w:jc w:val="center"/>
              <w:rPr>
                <w:sz w:val="16"/>
                <w:szCs w:val="16"/>
              </w:rPr>
            </w:pPr>
            <w:r w:rsidRPr="00181EF3">
              <w:rPr>
                <w:sz w:val="16"/>
                <w:szCs w:val="16"/>
              </w:rPr>
              <w:t>CD</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001335A4" w14:textId="77777777" w:rsidR="005D05F9" w:rsidRPr="00181EF3" w:rsidRDefault="005D05F9" w:rsidP="005D05F9">
            <w:pPr>
              <w:pStyle w:val="TableText"/>
              <w:jc w:val="center"/>
              <w:rPr>
                <w:sz w:val="16"/>
                <w:szCs w:val="16"/>
              </w:rPr>
            </w:pPr>
            <w:r w:rsidRPr="00181EF3">
              <w:rPr>
                <w:sz w:val="16"/>
                <w:szCs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BFD8E58" w14:textId="77777777" w:rsidR="005D05F9" w:rsidRPr="00181EF3" w:rsidRDefault="005D05F9" w:rsidP="005D05F9">
            <w:pPr>
              <w:pStyle w:val="TableText"/>
              <w:jc w:val="center"/>
              <w:rPr>
                <w:sz w:val="16"/>
                <w:szCs w:val="16"/>
              </w:rPr>
            </w:pPr>
            <w:r w:rsidRPr="00181EF3">
              <w:rPr>
                <w:sz w:val="16"/>
                <w:szCs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94AD365" w14:textId="77777777" w:rsidR="005D05F9" w:rsidRPr="00181EF3" w:rsidRDefault="005D05F9" w:rsidP="005D05F9">
            <w:pPr>
              <w:pStyle w:val="TableText"/>
              <w:jc w:val="center"/>
              <w:rPr>
                <w:sz w:val="16"/>
                <w:szCs w:val="16"/>
              </w:rPr>
            </w:pPr>
            <w:r w:rsidRPr="00181EF3">
              <w:rPr>
                <w:sz w:val="16"/>
                <w:szCs w:val="16"/>
              </w:rPr>
              <w:t>MV</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569C9C09" w14:textId="77777777" w:rsidR="005D05F9" w:rsidRPr="00181EF3" w:rsidRDefault="005D05F9" w:rsidP="005D05F9">
            <w:pPr>
              <w:pStyle w:val="TableText"/>
              <w:jc w:val="center"/>
              <w:rPr>
                <w:sz w:val="16"/>
                <w:szCs w:val="16"/>
              </w:rPr>
            </w:pPr>
            <w:r w:rsidRPr="00181EF3">
              <w:rPr>
                <w:sz w:val="16"/>
                <w:szCs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11AF703" w14:textId="77777777" w:rsidR="005D05F9" w:rsidRPr="00181EF3" w:rsidRDefault="005D05F9" w:rsidP="005D05F9">
            <w:pPr>
              <w:pStyle w:val="TableText"/>
              <w:jc w:val="center"/>
              <w:rPr>
                <w:sz w:val="16"/>
                <w:szCs w:val="16"/>
              </w:rPr>
            </w:pPr>
            <w:r w:rsidRPr="00181EF3">
              <w:rPr>
                <w:sz w:val="16"/>
                <w:szCs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282FD98" w14:textId="77777777" w:rsidR="005D05F9" w:rsidRPr="00181EF3" w:rsidRDefault="005D05F9" w:rsidP="005D05F9">
            <w:pPr>
              <w:pStyle w:val="TableText"/>
              <w:jc w:val="center"/>
              <w:rPr>
                <w:sz w:val="16"/>
                <w:szCs w:val="16"/>
              </w:rPr>
            </w:pPr>
            <w:r w:rsidRPr="00181EF3">
              <w:rPr>
                <w:sz w:val="16"/>
                <w:szCs w:val="16"/>
              </w:rPr>
              <w:t>CD</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464758FB" w14:textId="77777777" w:rsidR="005D05F9" w:rsidRPr="00181EF3" w:rsidRDefault="005D05F9" w:rsidP="005D05F9">
            <w:pPr>
              <w:pStyle w:val="TableText"/>
              <w:jc w:val="center"/>
              <w:rPr>
                <w:sz w:val="16"/>
                <w:szCs w:val="16"/>
              </w:rPr>
            </w:pPr>
            <w:r w:rsidRPr="00181EF3">
              <w:rPr>
                <w:sz w:val="16"/>
                <w:szCs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A2D67D5" w14:textId="77777777" w:rsidR="005D05F9" w:rsidRPr="00181EF3" w:rsidRDefault="005D05F9" w:rsidP="005D05F9">
            <w:pPr>
              <w:pStyle w:val="TableText"/>
              <w:jc w:val="center"/>
              <w:rPr>
                <w:sz w:val="16"/>
                <w:szCs w:val="16"/>
              </w:rPr>
            </w:pPr>
            <w:r w:rsidRPr="00181EF3">
              <w:rPr>
                <w:sz w:val="16"/>
                <w:szCs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AF51743" w14:textId="77777777" w:rsidR="005D05F9" w:rsidRPr="00181EF3" w:rsidRDefault="005D05F9" w:rsidP="005D05F9">
            <w:pPr>
              <w:pStyle w:val="TableText"/>
              <w:jc w:val="center"/>
              <w:rPr>
                <w:sz w:val="16"/>
                <w:szCs w:val="16"/>
              </w:rPr>
            </w:pPr>
            <w:r w:rsidRPr="00181EF3">
              <w:rPr>
                <w:sz w:val="16"/>
                <w:szCs w:val="16"/>
              </w:rPr>
              <w:t>CD</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278A7115" w14:textId="77777777" w:rsidR="005D05F9" w:rsidRPr="00181EF3" w:rsidRDefault="005D05F9" w:rsidP="005D05F9">
            <w:pPr>
              <w:pStyle w:val="TableText"/>
              <w:jc w:val="center"/>
              <w:rPr>
                <w:sz w:val="16"/>
                <w:szCs w:val="16"/>
              </w:rPr>
            </w:pPr>
            <w:r w:rsidRPr="00181EF3">
              <w:rPr>
                <w:sz w:val="16"/>
                <w:szCs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5210355" w14:textId="77777777" w:rsidR="005D05F9" w:rsidRPr="00181EF3" w:rsidRDefault="005D05F9" w:rsidP="005D05F9">
            <w:pPr>
              <w:pStyle w:val="TableText"/>
              <w:jc w:val="center"/>
              <w:rPr>
                <w:sz w:val="16"/>
                <w:szCs w:val="16"/>
              </w:rPr>
            </w:pPr>
            <w:r w:rsidRPr="00181EF3">
              <w:rPr>
                <w:sz w:val="16"/>
                <w:szCs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E89790B" w14:textId="77777777" w:rsidR="005D05F9" w:rsidRPr="00181EF3" w:rsidRDefault="005D05F9" w:rsidP="005D05F9">
            <w:pPr>
              <w:pStyle w:val="TableText"/>
              <w:jc w:val="center"/>
              <w:rPr>
                <w:sz w:val="16"/>
                <w:szCs w:val="16"/>
              </w:rPr>
            </w:pPr>
            <w:r w:rsidRPr="00181EF3">
              <w:rPr>
                <w:sz w:val="16"/>
                <w:szCs w:val="16"/>
              </w:rPr>
              <w:t>CD</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5AF5786E" w14:textId="77777777" w:rsidR="005D05F9" w:rsidRPr="00181EF3" w:rsidRDefault="005D05F9" w:rsidP="005D05F9">
            <w:pPr>
              <w:pStyle w:val="TableText"/>
              <w:jc w:val="center"/>
              <w:rPr>
                <w:sz w:val="16"/>
                <w:szCs w:val="16"/>
              </w:rPr>
            </w:pPr>
            <w:r w:rsidRPr="00181EF3">
              <w:rPr>
                <w:sz w:val="16"/>
                <w:szCs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61A0136" w14:textId="77777777" w:rsidR="005D05F9" w:rsidRPr="00181EF3" w:rsidRDefault="005D05F9" w:rsidP="005D05F9">
            <w:pPr>
              <w:pStyle w:val="TableText"/>
              <w:jc w:val="center"/>
              <w:rPr>
                <w:sz w:val="16"/>
                <w:szCs w:val="16"/>
              </w:rPr>
            </w:pPr>
            <w:r w:rsidRPr="00181EF3">
              <w:rPr>
                <w:sz w:val="16"/>
                <w:szCs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EAD21A5" w14:textId="77777777" w:rsidR="005D05F9" w:rsidRPr="00181EF3" w:rsidRDefault="005D05F9" w:rsidP="005D05F9">
            <w:pPr>
              <w:pStyle w:val="TableText"/>
              <w:jc w:val="center"/>
              <w:rPr>
                <w:sz w:val="16"/>
                <w:szCs w:val="16"/>
              </w:rPr>
            </w:pPr>
            <w:r w:rsidRPr="00181EF3">
              <w:rPr>
                <w:sz w:val="16"/>
                <w:szCs w:val="16"/>
              </w:rPr>
              <w:t>CD</w:t>
            </w:r>
          </w:p>
        </w:tc>
      </w:tr>
      <w:tr w:rsidR="005D05F9" w:rsidRPr="00181EF3" w14:paraId="3BBD0187" w14:textId="77777777" w:rsidTr="005D05F9">
        <w:tc>
          <w:tcPr>
            <w:tcW w:w="567" w:type="dxa"/>
            <w:vMerge/>
            <w:tcBorders>
              <w:bottom w:val="single" w:sz="4" w:space="0" w:color="A6A6A6" w:themeColor="background1" w:themeShade="A6"/>
            </w:tcBorders>
          </w:tcPr>
          <w:p w14:paraId="78A32D1E" w14:textId="77777777" w:rsidR="005D05F9" w:rsidRPr="00181EF3" w:rsidRDefault="005D05F9" w:rsidP="005D05F9">
            <w:pPr>
              <w:pStyle w:val="TableText"/>
              <w:rPr>
                <w:sz w:val="16"/>
                <w:szCs w:val="16"/>
              </w:rPr>
            </w:pPr>
          </w:p>
        </w:tc>
        <w:tc>
          <w:tcPr>
            <w:tcW w:w="430" w:type="dxa"/>
            <w:tcBorders>
              <w:top w:val="single" w:sz="4" w:space="0" w:color="A6A6A6" w:themeColor="background1" w:themeShade="A6"/>
              <w:bottom w:val="single" w:sz="4" w:space="0" w:color="A6A6A6" w:themeColor="background1" w:themeShade="A6"/>
            </w:tcBorders>
            <w:shd w:val="clear" w:color="auto" w:fill="auto"/>
          </w:tcPr>
          <w:p w14:paraId="2706D2A2" w14:textId="77777777" w:rsidR="005D05F9" w:rsidRPr="00181EF3" w:rsidRDefault="005D05F9" w:rsidP="005D05F9">
            <w:pPr>
              <w:pStyle w:val="TableText"/>
              <w:jc w:val="center"/>
              <w:rPr>
                <w:sz w:val="16"/>
                <w:szCs w:val="16"/>
              </w:rPr>
            </w:pPr>
            <w:r w:rsidRPr="00181EF3">
              <w:rPr>
                <w:sz w:val="16"/>
                <w:szCs w:val="16"/>
              </w:rPr>
              <w:t>5</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4BCB58B5" w14:textId="77777777" w:rsidR="005D05F9" w:rsidRPr="00181EF3" w:rsidRDefault="005D05F9" w:rsidP="005D05F9">
            <w:pPr>
              <w:pStyle w:val="TableText"/>
              <w:jc w:val="center"/>
              <w:rPr>
                <w:sz w:val="16"/>
                <w:szCs w:val="16"/>
              </w:rPr>
            </w:pPr>
            <w:r w:rsidRPr="00181EF3">
              <w:rPr>
                <w:sz w:val="16"/>
                <w:szCs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316F903" w14:textId="77777777" w:rsidR="005D05F9" w:rsidRPr="00181EF3" w:rsidRDefault="005D05F9" w:rsidP="005D05F9">
            <w:pPr>
              <w:pStyle w:val="TableText"/>
              <w:jc w:val="center"/>
              <w:rPr>
                <w:sz w:val="16"/>
                <w:szCs w:val="16"/>
              </w:rPr>
            </w:pPr>
            <w:r w:rsidRPr="00181EF3">
              <w:rPr>
                <w:sz w:val="16"/>
                <w:szCs w:val="16"/>
              </w:rPr>
              <w:t>MV</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335BB917" w14:textId="77777777" w:rsidR="005D05F9" w:rsidRPr="00181EF3" w:rsidRDefault="005D05F9" w:rsidP="005D05F9">
            <w:pPr>
              <w:pStyle w:val="TableText"/>
              <w:jc w:val="center"/>
              <w:rPr>
                <w:sz w:val="16"/>
                <w:szCs w:val="16"/>
              </w:rPr>
            </w:pPr>
            <w:r w:rsidRPr="00181EF3">
              <w:rPr>
                <w:sz w:val="16"/>
                <w:szCs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0D86864" w14:textId="77777777" w:rsidR="005D05F9" w:rsidRPr="00181EF3" w:rsidRDefault="005D05F9" w:rsidP="005D05F9">
            <w:pPr>
              <w:pStyle w:val="TableText"/>
              <w:jc w:val="center"/>
              <w:rPr>
                <w:sz w:val="16"/>
                <w:szCs w:val="16"/>
              </w:rPr>
            </w:pPr>
            <w:r w:rsidRPr="00181EF3">
              <w:rPr>
                <w:sz w:val="16"/>
                <w:szCs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929B7A4" w14:textId="77777777" w:rsidR="005D05F9" w:rsidRPr="00181EF3" w:rsidRDefault="005D05F9" w:rsidP="005D05F9">
            <w:pPr>
              <w:pStyle w:val="TableText"/>
              <w:jc w:val="center"/>
              <w:rPr>
                <w:sz w:val="16"/>
                <w:szCs w:val="16"/>
              </w:rPr>
            </w:pPr>
            <w:r w:rsidRPr="00181EF3">
              <w:rPr>
                <w:sz w:val="16"/>
                <w:szCs w:val="16"/>
              </w:rPr>
              <w:t>LC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0076FD54" w14:textId="77777777" w:rsidR="005D05F9" w:rsidRPr="00181EF3" w:rsidRDefault="005D05F9" w:rsidP="005D05F9">
            <w:pPr>
              <w:pStyle w:val="TableText"/>
              <w:jc w:val="center"/>
              <w:rPr>
                <w:sz w:val="16"/>
                <w:szCs w:val="16"/>
              </w:rPr>
            </w:pPr>
            <w:r w:rsidRPr="00181EF3">
              <w:rPr>
                <w:sz w:val="16"/>
                <w:szCs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FE11E75" w14:textId="77777777" w:rsidR="005D05F9" w:rsidRPr="00181EF3" w:rsidRDefault="005D05F9" w:rsidP="005D05F9">
            <w:pPr>
              <w:pStyle w:val="TableText"/>
              <w:jc w:val="center"/>
              <w:rPr>
                <w:sz w:val="16"/>
                <w:szCs w:val="16"/>
              </w:rPr>
            </w:pPr>
            <w:r w:rsidRPr="00181EF3">
              <w:rPr>
                <w:sz w:val="16"/>
                <w:szCs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A5A6F62" w14:textId="77777777" w:rsidR="005D05F9" w:rsidRPr="00181EF3" w:rsidRDefault="005D05F9" w:rsidP="005D05F9">
            <w:pPr>
              <w:pStyle w:val="TableText"/>
              <w:jc w:val="center"/>
              <w:rPr>
                <w:sz w:val="16"/>
                <w:szCs w:val="16"/>
              </w:rPr>
            </w:pPr>
            <w:r w:rsidRPr="00181EF3">
              <w:rPr>
                <w:sz w:val="16"/>
                <w:szCs w:val="16"/>
              </w:rPr>
              <w:t>MV</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6A6FD1CC" w14:textId="77777777" w:rsidR="005D05F9" w:rsidRPr="00181EF3" w:rsidRDefault="005D05F9" w:rsidP="005D05F9">
            <w:pPr>
              <w:pStyle w:val="TableText"/>
              <w:jc w:val="center"/>
              <w:rPr>
                <w:sz w:val="16"/>
                <w:szCs w:val="16"/>
              </w:rPr>
            </w:pPr>
            <w:r w:rsidRPr="00181EF3">
              <w:rPr>
                <w:sz w:val="16"/>
                <w:szCs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ED07F16" w14:textId="77777777" w:rsidR="005D05F9" w:rsidRPr="00181EF3" w:rsidRDefault="005D05F9" w:rsidP="005D05F9">
            <w:pPr>
              <w:pStyle w:val="TableText"/>
              <w:jc w:val="center"/>
              <w:rPr>
                <w:sz w:val="16"/>
                <w:szCs w:val="16"/>
              </w:rPr>
            </w:pPr>
            <w:r w:rsidRPr="00181EF3">
              <w:rPr>
                <w:sz w:val="16"/>
                <w:szCs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FA8521E" w14:textId="77777777" w:rsidR="005D05F9" w:rsidRPr="00181EF3" w:rsidRDefault="005D05F9" w:rsidP="005D05F9">
            <w:pPr>
              <w:pStyle w:val="TableText"/>
              <w:jc w:val="center"/>
              <w:rPr>
                <w:sz w:val="16"/>
                <w:szCs w:val="16"/>
              </w:rPr>
            </w:pPr>
            <w:r w:rsidRPr="00181EF3">
              <w:rPr>
                <w:sz w:val="16"/>
                <w:szCs w:val="16"/>
              </w:rPr>
              <w:t>MV</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77635503" w14:textId="77777777" w:rsidR="005D05F9" w:rsidRPr="00181EF3" w:rsidRDefault="005D05F9" w:rsidP="005D05F9">
            <w:pPr>
              <w:pStyle w:val="TableText"/>
              <w:jc w:val="center"/>
              <w:rPr>
                <w:sz w:val="16"/>
                <w:szCs w:val="16"/>
              </w:rPr>
            </w:pPr>
            <w:r w:rsidRPr="00181EF3">
              <w:rPr>
                <w:sz w:val="16"/>
                <w:szCs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8C147B4" w14:textId="77777777" w:rsidR="005D05F9" w:rsidRPr="00181EF3" w:rsidRDefault="005D05F9" w:rsidP="005D05F9">
            <w:pPr>
              <w:pStyle w:val="TableText"/>
              <w:jc w:val="center"/>
              <w:rPr>
                <w:sz w:val="16"/>
                <w:szCs w:val="16"/>
              </w:rPr>
            </w:pPr>
            <w:r w:rsidRPr="00181EF3">
              <w:rPr>
                <w:sz w:val="16"/>
                <w:szCs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9E8A8B8" w14:textId="77777777" w:rsidR="005D05F9" w:rsidRPr="00181EF3" w:rsidRDefault="005D05F9" w:rsidP="005D05F9">
            <w:pPr>
              <w:pStyle w:val="TableText"/>
              <w:jc w:val="center"/>
              <w:rPr>
                <w:sz w:val="16"/>
                <w:szCs w:val="16"/>
              </w:rPr>
            </w:pPr>
            <w:r w:rsidRPr="00181EF3">
              <w:rPr>
                <w:sz w:val="16"/>
                <w:szCs w:val="16"/>
              </w:rPr>
              <w:t>MV</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1D9D7D01" w14:textId="77777777" w:rsidR="005D05F9" w:rsidRPr="00181EF3" w:rsidRDefault="005D05F9" w:rsidP="005D05F9">
            <w:pPr>
              <w:pStyle w:val="TableText"/>
              <w:jc w:val="center"/>
              <w:rPr>
                <w:sz w:val="16"/>
                <w:szCs w:val="16"/>
              </w:rPr>
            </w:pPr>
            <w:r w:rsidRPr="00181EF3">
              <w:rPr>
                <w:sz w:val="16"/>
                <w:szCs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DD140E4" w14:textId="77777777" w:rsidR="005D05F9" w:rsidRPr="00181EF3" w:rsidRDefault="005D05F9" w:rsidP="005D05F9">
            <w:pPr>
              <w:pStyle w:val="TableText"/>
              <w:jc w:val="center"/>
              <w:rPr>
                <w:sz w:val="16"/>
                <w:szCs w:val="16"/>
              </w:rPr>
            </w:pPr>
            <w:r w:rsidRPr="00181EF3">
              <w:rPr>
                <w:sz w:val="16"/>
                <w:szCs w:val="16"/>
              </w:rPr>
              <w:t>CC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FB34724" w14:textId="77777777" w:rsidR="005D05F9" w:rsidRPr="00181EF3" w:rsidRDefault="005D05F9" w:rsidP="005D05F9">
            <w:pPr>
              <w:pStyle w:val="TableText"/>
              <w:jc w:val="center"/>
              <w:rPr>
                <w:sz w:val="16"/>
                <w:szCs w:val="16"/>
              </w:rPr>
            </w:pPr>
            <w:r w:rsidRPr="00181EF3">
              <w:rPr>
                <w:sz w:val="16"/>
                <w:szCs w:val="16"/>
              </w:rPr>
              <w:t>CC</w:t>
            </w:r>
          </w:p>
        </w:tc>
      </w:tr>
    </w:tbl>
    <w:p w14:paraId="5CF05C87" w14:textId="77777777" w:rsidR="00CD34CF" w:rsidRPr="009074BE" w:rsidRDefault="00CD34CF" w:rsidP="00CD34CF">
      <w:pPr>
        <w:pStyle w:val="Note"/>
      </w:pPr>
      <w:r>
        <w:t>N</w:t>
      </w:r>
      <w:r w:rsidRPr="009074BE">
        <w:t>otes:</w:t>
      </w:r>
    </w:p>
    <w:p w14:paraId="3C793526" w14:textId="121DFCAD" w:rsidR="008A5642" w:rsidRDefault="00446D86" w:rsidP="00CD34CF">
      <w:pPr>
        <w:pStyle w:val="Note"/>
      </w:pPr>
      <w:r>
        <w:t>Figures are age-standardised to the 2001 Census total Māori population</w:t>
      </w:r>
      <w:r w:rsidR="00CD34CF" w:rsidRPr="00181EF3">
        <w:t>.</w:t>
      </w:r>
    </w:p>
    <w:p w14:paraId="6FEBEE7A" w14:textId="00E3C13F" w:rsidR="00CD34CF" w:rsidRPr="00181EF3" w:rsidRDefault="00CD34CF" w:rsidP="00CD34CF">
      <w:pPr>
        <w:pStyle w:val="Note"/>
      </w:pPr>
      <w:r>
        <w:t>Prioritised ethnicity has been used.</w:t>
      </w:r>
    </w:p>
    <w:p w14:paraId="4928BB3A" w14:textId="74A66031" w:rsidR="005D05F9" w:rsidRPr="00181EF3" w:rsidRDefault="005D05F9" w:rsidP="005D05F9">
      <w:pPr>
        <w:pStyle w:val="Source"/>
      </w:pPr>
      <w:r w:rsidRPr="00181EF3">
        <w:t>Source: Mortality Collection Data Set (MORT), Ministry of Health</w:t>
      </w:r>
      <w:r w:rsidR="0094130D">
        <w:t>,</w:t>
      </w:r>
      <w:r w:rsidRPr="00181EF3">
        <w:t xml:space="preserve"> 1996–201</w:t>
      </w:r>
      <w:r>
        <w:t>4</w:t>
      </w:r>
      <w:r w:rsidRPr="00181EF3">
        <w:t>.</w:t>
      </w:r>
    </w:p>
    <w:p w14:paraId="3AA3721E" w14:textId="77777777" w:rsidR="005D05F9" w:rsidRPr="00181EF3" w:rsidRDefault="005D05F9" w:rsidP="005D05F9"/>
    <w:p w14:paraId="2B5DBEC5" w14:textId="7BCAD71C" w:rsidR="005D05F9" w:rsidRPr="00181EF3" w:rsidRDefault="005D05F9" w:rsidP="005D05F9">
      <w:r w:rsidRPr="00181EF3">
        <w:t xml:space="preserve">Table </w:t>
      </w:r>
      <w:r w:rsidR="00CD34CF">
        <w:t>19</w:t>
      </w:r>
      <w:r w:rsidRPr="00181EF3">
        <w:t xml:space="preserve"> shows the leading causes of death for Māori and </w:t>
      </w:r>
      <w:r w:rsidR="00EC03A3">
        <w:t>non</w:t>
      </w:r>
      <w:r w:rsidR="00EC03A3">
        <w:noBreakHyphen/>
        <w:t>M</w:t>
      </w:r>
      <w:r w:rsidRPr="00181EF3">
        <w:t>āori males between 1996–98 and 2012–14</w:t>
      </w:r>
      <w:r w:rsidR="00B7110B">
        <w:t>, ranked by age-standardised mortality rates</w:t>
      </w:r>
      <w:r w:rsidRPr="00181EF3">
        <w:t>.</w:t>
      </w:r>
    </w:p>
    <w:p w14:paraId="466C4530" w14:textId="77777777" w:rsidR="005D05F9" w:rsidRPr="00181EF3" w:rsidRDefault="005D05F9" w:rsidP="005D05F9"/>
    <w:p w14:paraId="42A71010" w14:textId="57D77352" w:rsidR="005D05F9" w:rsidRPr="00181EF3" w:rsidRDefault="005D05F9" w:rsidP="005D05F9">
      <w:r w:rsidRPr="00181EF3">
        <w:t xml:space="preserve">The leading cause of death, ranked by age-standardised mortality rates, for Māori and </w:t>
      </w:r>
      <w:r w:rsidR="00EC03A3">
        <w:t>non</w:t>
      </w:r>
      <w:r w:rsidR="00EC03A3">
        <w:noBreakHyphen/>
        <w:t>M</w:t>
      </w:r>
      <w:r w:rsidRPr="00181EF3">
        <w:t>āori males between 1996–98 and 2012–14 was ischaemic heart disease (IHD).</w:t>
      </w:r>
    </w:p>
    <w:p w14:paraId="1E20168C" w14:textId="77777777" w:rsidR="005D05F9" w:rsidRPr="00181EF3" w:rsidRDefault="005D05F9" w:rsidP="005D05F9"/>
    <w:p w14:paraId="500DBF71" w14:textId="77777777" w:rsidR="005D05F9" w:rsidRPr="00181EF3" w:rsidRDefault="005D05F9" w:rsidP="005D05F9">
      <w:r w:rsidRPr="00181EF3">
        <w:t>The second leading cause of death, ranked by age-standardised mortality rates, for Māori males between 1996–98 and 2012–14 was lung cancer (LC).</w:t>
      </w:r>
    </w:p>
    <w:p w14:paraId="3A762FF0" w14:textId="77777777" w:rsidR="005D05F9" w:rsidRPr="00181EF3" w:rsidRDefault="005D05F9" w:rsidP="005D05F9"/>
    <w:p w14:paraId="6319D484" w14:textId="07742707" w:rsidR="005D05F9" w:rsidRPr="00181EF3" w:rsidRDefault="005D05F9" w:rsidP="005D05F9">
      <w:r w:rsidRPr="00181EF3">
        <w:t xml:space="preserve">Suicide (SU) was the second leading cause for </w:t>
      </w:r>
      <w:r w:rsidR="00EC03A3">
        <w:t>non</w:t>
      </w:r>
      <w:r w:rsidR="00EC03A3">
        <w:noBreakHyphen/>
        <w:t>M</w:t>
      </w:r>
      <w:r w:rsidRPr="00181EF3">
        <w:t>āori males from 1996–98 to</w:t>
      </w:r>
      <w:r w:rsidRPr="00181EF3">
        <w:br/>
        <w:t>2012–14.</w:t>
      </w:r>
    </w:p>
    <w:p w14:paraId="70FAACFC" w14:textId="77777777" w:rsidR="005D05F9" w:rsidRPr="00181EF3" w:rsidRDefault="005D05F9" w:rsidP="005D05F9"/>
    <w:p w14:paraId="5BCB2200" w14:textId="3069CF62" w:rsidR="005D05F9" w:rsidRPr="00181EF3" w:rsidRDefault="005D05F9" w:rsidP="005D05F9">
      <w:r w:rsidRPr="00181EF3">
        <w:t xml:space="preserve">Diabetes (DI) and other heart diseases (HD) frequently occurred in the five major causes for Māori males between 1996–98 and 2012–14 but neither featured in the five major causes for </w:t>
      </w:r>
      <w:r w:rsidR="00EC03A3">
        <w:t>non</w:t>
      </w:r>
      <w:r w:rsidR="00EC03A3">
        <w:noBreakHyphen/>
        <w:t>M</w:t>
      </w:r>
      <w:r w:rsidRPr="00181EF3">
        <w:t>āori males.</w:t>
      </w:r>
    </w:p>
    <w:p w14:paraId="1AE44DEB" w14:textId="77777777" w:rsidR="005D05F9" w:rsidRPr="00181EF3" w:rsidRDefault="005D05F9" w:rsidP="005D05F9"/>
    <w:p w14:paraId="438DE3C6" w14:textId="1969EE9C" w:rsidR="005D05F9" w:rsidRPr="00181EF3" w:rsidRDefault="005D05F9" w:rsidP="005D05F9">
      <w:r w:rsidRPr="00181EF3">
        <w:t xml:space="preserve">Cerebrovascular disease (stroke (CD)) was a common feature in the five leading causes of death for </w:t>
      </w:r>
      <w:r w:rsidR="00EC03A3">
        <w:t>non</w:t>
      </w:r>
      <w:r w:rsidR="00EC03A3">
        <w:noBreakHyphen/>
        <w:t>M</w:t>
      </w:r>
      <w:r w:rsidRPr="00181EF3">
        <w:t>āori males but did not feature in the five leading causes of death for Māori males between 1996–98 and 2012–14.</w:t>
      </w:r>
    </w:p>
    <w:p w14:paraId="3567EDA2" w14:textId="77777777" w:rsidR="005D05F9" w:rsidRPr="00181EF3" w:rsidRDefault="005D05F9" w:rsidP="005D05F9"/>
    <w:p w14:paraId="6F143D5C" w14:textId="222B4A7D" w:rsidR="005D05F9" w:rsidRPr="00181EF3" w:rsidRDefault="00CD34CF" w:rsidP="005D05F9">
      <w:pPr>
        <w:pStyle w:val="Table"/>
      </w:pPr>
      <w:bookmarkStart w:id="110" w:name="_Toc18594760"/>
      <w:r w:rsidRPr="00181EF3">
        <w:lastRenderedPageBreak/>
        <w:t xml:space="preserve">Table </w:t>
      </w:r>
      <w:r>
        <w:t>20</w:t>
      </w:r>
      <w:r w:rsidRPr="00181EF3">
        <w:t xml:space="preserve">: </w:t>
      </w:r>
      <w:r w:rsidRPr="00CD34CF">
        <w:t xml:space="preserve">Major causes of death, ranked by </w:t>
      </w:r>
      <w:r>
        <w:t>years of life lost (YLL)</w:t>
      </w:r>
      <w:r w:rsidRPr="00CD34CF">
        <w:t xml:space="preserve">, Māori and </w:t>
      </w:r>
      <w:r w:rsidR="00EC03A3">
        <w:t>non</w:t>
      </w:r>
      <w:r w:rsidR="00EC03A3">
        <w:noBreakHyphen/>
        <w:t>M</w:t>
      </w:r>
      <w:r w:rsidRPr="00CD34CF">
        <w:t>āori</w:t>
      </w:r>
      <w:r w:rsidR="00B7110B">
        <w:t xml:space="preserve"> males</w:t>
      </w:r>
      <w:r w:rsidRPr="00CD34CF">
        <w:t>, 1996–2014</w:t>
      </w:r>
      <w:bookmarkEnd w:id="110"/>
    </w:p>
    <w:tbl>
      <w:tblPr>
        <w:tblW w:w="8080" w:type="dxa"/>
        <w:tblInd w:w="57" w:type="dxa"/>
        <w:tblLayout w:type="fixed"/>
        <w:tblCellMar>
          <w:left w:w="57" w:type="dxa"/>
          <w:right w:w="57" w:type="dxa"/>
        </w:tblCellMar>
        <w:tblLook w:val="04A0" w:firstRow="1" w:lastRow="0" w:firstColumn="1" w:lastColumn="0" w:noHBand="0" w:noVBand="1"/>
      </w:tblPr>
      <w:tblGrid>
        <w:gridCol w:w="567"/>
        <w:gridCol w:w="430"/>
        <w:gridCol w:w="416"/>
        <w:gridCol w:w="417"/>
        <w:gridCol w:w="416"/>
        <w:gridCol w:w="417"/>
        <w:gridCol w:w="417"/>
        <w:gridCol w:w="416"/>
        <w:gridCol w:w="417"/>
        <w:gridCol w:w="417"/>
        <w:gridCol w:w="416"/>
        <w:gridCol w:w="417"/>
        <w:gridCol w:w="417"/>
        <w:gridCol w:w="416"/>
        <w:gridCol w:w="417"/>
        <w:gridCol w:w="417"/>
        <w:gridCol w:w="416"/>
        <w:gridCol w:w="417"/>
        <w:gridCol w:w="417"/>
      </w:tblGrid>
      <w:tr w:rsidR="005D05F9" w:rsidRPr="00181EF3" w14:paraId="4CC0220B" w14:textId="77777777" w:rsidTr="005D05F9">
        <w:trPr>
          <w:cantSplit/>
        </w:trPr>
        <w:tc>
          <w:tcPr>
            <w:tcW w:w="567" w:type="dxa"/>
            <w:vMerge w:val="restart"/>
            <w:shd w:val="clear" w:color="auto" w:fill="D9D9D9" w:themeFill="background1" w:themeFillShade="D9"/>
          </w:tcPr>
          <w:p w14:paraId="7682E6A2" w14:textId="77777777" w:rsidR="005D05F9" w:rsidRPr="00181EF3" w:rsidRDefault="005D05F9" w:rsidP="005D05F9">
            <w:pPr>
              <w:pStyle w:val="TableText"/>
              <w:rPr>
                <w:sz w:val="16"/>
                <w:szCs w:val="16"/>
              </w:rPr>
            </w:pPr>
          </w:p>
        </w:tc>
        <w:tc>
          <w:tcPr>
            <w:tcW w:w="430" w:type="dxa"/>
            <w:vMerge w:val="restart"/>
            <w:shd w:val="clear" w:color="auto" w:fill="D9D9D9" w:themeFill="background1" w:themeFillShade="D9"/>
            <w:textDirection w:val="btLr"/>
            <w:vAlign w:val="bottom"/>
          </w:tcPr>
          <w:p w14:paraId="16D6CA91" w14:textId="77777777" w:rsidR="005D05F9" w:rsidRPr="00181EF3" w:rsidRDefault="005D05F9" w:rsidP="005D05F9">
            <w:pPr>
              <w:pStyle w:val="TableText"/>
              <w:ind w:left="57"/>
              <w:rPr>
                <w:b/>
                <w:sz w:val="16"/>
                <w:szCs w:val="16"/>
              </w:rPr>
            </w:pPr>
            <w:r w:rsidRPr="00181EF3">
              <w:rPr>
                <w:b/>
                <w:spacing w:val="-2"/>
                <w:sz w:val="16"/>
                <w:szCs w:val="16"/>
              </w:rPr>
              <w:t>Ranking</w:t>
            </w:r>
          </w:p>
        </w:tc>
        <w:tc>
          <w:tcPr>
            <w:tcW w:w="7083" w:type="dxa"/>
            <w:gridSpan w:val="17"/>
            <w:shd w:val="clear" w:color="auto" w:fill="D9D9D9" w:themeFill="background1" w:themeFillShade="D9"/>
          </w:tcPr>
          <w:p w14:paraId="4925DDF0" w14:textId="77777777" w:rsidR="005D05F9" w:rsidRPr="00181EF3" w:rsidRDefault="005D05F9" w:rsidP="005D05F9">
            <w:pPr>
              <w:pStyle w:val="TableText"/>
              <w:spacing w:after="0"/>
              <w:jc w:val="center"/>
              <w:rPr>
                <w:b/>
                <w:sz w:val="16"/>
                <w:szCs w:val="16"/>
              </w:rPr>
            </w:pPr>
            <w:r w:rsidRPr="00181EF3">
              <w:rPr>
                <w:b/>
                <w:sz w:val="16"/>
                <w:szCs w:val="16"/>
              </w:rPr>
              <w:t>Year</w:t>
            </w:r>
          </w:p>
        </w:tc>
      </w:tr>
      <w:tr w:rsidR="005D05F9" w:rsidRPr="00181EF3" w14:paraId="505E21F3" w14:textId="77777777" w:rsidTr="005D05F9">
        <w:trPr>
          <w:cantSplit/>
          <w:trHeight w:val="765"/>
        </w:trPr>
        <w:tc>
          <w:tcPr>
            <w:tcW w:w="567" w:type="dxa"/>
            <w:vMerge/>
            <w:shd w:val="clear" w:color="auto" w:fill="D9D9D9" w:themeFill="background1" w:themeFillShade="D9"/>
          </w:tcPr>
          <w:p w14:paraId="01E6E262" w14:textId="77777777" w:rsidR="005D05F9" w:rsidRPr="00181EF3" w:rsidRDefault="005D05F9" w:rsidP="005D05F9">
            <w:pPr>
              <w:pStyle w:val="TableText"/>
              <w:ind w:left="57"/>
              <w:rPr>
                <w:sz w:val="16"/>
                <w:szCs w:val="16"/>
              </w:rPr>
            </w:pPr>
          </w:p>
        </w:tc>
        <w:tc>
          <w:tcPr>
            <w:tcW w:w="430" w:type="dxa"/>
            <w:vMerge/>
            <w:shd w:val="clear" w:color="auto" w:fill="D9D9D9" w:themeFill="background1" w:themeFillShade="D9"/>
            <w:textDirection w:val="btLr"/>
            <w:vAlign w:val="bottom"/>
          </w:tcPr>
          <w:p w14:paraId="118769AD" w14:textId="77777777" w:rsidR="005D05F9" w:rsidRPr="00181EF3" w:rsidRDefault="005D05F9" w:rsidP="005D05F9">
            <w:pPr>
              <w:pStyle w:val="TableText"/>
              <w:ind w:left="57"/>
              <w:rPr>
                <w:spacing w:val="-2"/>
                <w:sz w:val="16"/>
                <w:szCs w:val="16"/>
              </w:rPr>
            </w:pPr>
          </w:p>
        </w:tc>
        <w:tc>
          <w:tcPr>
            <w:tcW w:w="416" w:type="dxa"/>
            <w:shd w:val="clear" w:color="auto" w:fill="D9D9D9" w:themeFill="background1" w:themeFillShade="D9"/>
            <w:textDirection w:val="btLr"/>
            <w:vAlign w:val="bottom"/>
          </w:tcPr>
          <w:p w14:paraId="12EDBB70" w14:textId="77777777" w:rsidR="005D05F9" w:rsidRPr="00181EF3" w:rsidRDefault="005D05F9" w:rsidP="005D05F9">
            <w:pPr>
              <w:pStyle w:val="TableText"/>
              <w:ind w:left="57"/>
              <w:rPr>
                <w:b/>
                <w:sz w:val="16"/>
                <w:szCs w:val="16"/>
              </w:rPr>
            </w:pPr>
            <w:r w:rsidRPr="00181EF3">
              <w:rPr>
                <w:b/>
                <w:sz w:val="16"/>
                <w:szCs w:val="16"/>
              </w:rPr>
              <w:t>1996–98</w:t>
            </w:r>
          </w:p>
        </w:tc>
        <w:tc>
          <w:tcPr>
            <w:tcW w:w="417" w:type="dxa"/>
            <w:shd w:val="clear" w:color="auto" w:fill="D9D9D9" w:themeFill="background1" w:themeFillShade="D9"/>
            <w:textDirection w:val="btLr"/>
            <w:vAlign w:val="bottom"/>
          </w:tcPr>
          <w:p w14:paraId="453C7AE6" w14:textId="77777777" w:rsidR="005D05F9" w:rsidRPr="00181EF3" w:rsidRDefault="005D05F9" w:rsidP="005D05F9">
            <w:pPr>
              <w:pStyle w:val="TableText"/>
              <w:ind w:left="57"/>
              <w:rPr>
                <w:b/>
                <w:sz w:val="16"/>
                <w:szCs w:val="16"/>
              </w:rPr>
            </w:pPr>
            <w:r w:rsidRPr="00181EF3">
              <w:rPr>
                <w:b/>
                <w:sz w:val="16"/>
                <w:szCs w:val="16"/>
              </w:rPr>
              <w:t>1997–99</w:t>
            </w:r>
          </w:p>
        </w:tc>
        <w:tc>
          <w:tcPr>
            <w:tcW w:w="416" w:type="dxa"/>
            <w:shd w:val="clear" w:color="auto" w:fill="D9D9D9" w:themeFill="background1" w:themeFillShade="D9"/>
            <w:textDirection w:val="btLr"/>
            <w:vAlign w:val="bottom"/>
          </w:tcPr>
          <w:p w14:paraId="3C43A0C6" w14:textId="77777777" w:rsidR="005D05F9" w:rsidRPr="00181EF3" w:rsidRDefault="005D05F9" w:rsidP="005D05F9">
            <w:pPr>
              <w:pStyle w:val="TableText"/>
              <w:ind w:left="57"/>
              <w:rPr>
                <w:b/>
                <w:sz w:val="16"/>
                <w:szCs w:val="16"/>
              </w:rPr>
            </w:pPr>
            <w:r w:rsidRPr="00181EF3">
              <w:rPr>
                <w:b/>
                <w:sz w:val="16"/>
                <w:szCs w:val="16"/>
              </w:rPr>
              <w:t>1998-00</w:t>
            </w:r>
          </w:p>
        </w:tc>
        <w:tc>
          <w:tcPr>
            <w:tcW w:w="417" w:type="dxa"/>
            <w:shd w:val="clear" w:color="auto" w:fill="D9D9D9" w:themeFill="background1" w:themeFillShade="D9"/>
            <w:textDirection w:val="btLr"/>
            <w:vAlign w:val="bottom"/>
          </w:tcPr>
          <w:p w14:paraId="097B8FE5" w14:textId="77777777" w:rsidR="005D05F9" w:rsidRPr="00181EF3" w:rsidRDefault="005D05F9" w:rsidP="005D05F9">
            <w:pPr>
              <w:pStyle w:val="TableText"/>
              <w:ind w:left="57"/>
              <w:rPr>
                <w:b/>
                <w:sz w:val="16"/>
                <w:szCs w:val="16"/>
              </w:rPr>
            </w:pPr>
            <w:r w:rsidRPr="00181EF3">
              <w:rPr>
                <w:b/>
                <w:sz w:val="16"/>
                <w:szCs w:val="16"/>
              </w:rPr>
              <w:t>1999–01</w:t>
            </w:r>
          </w:p>
        </w:tc>
        <w:tc>
          <w:tcPr>
            <w:tcW w:w="417" w:type="dxa"/>
            <w:shd w:val="clear" w:color="auto" w:fill="D9D9D9" w:themeFill="background1" w:themeFillShade="D9"/>
            <w:textDirection w:val="btLr"/>
            <w:vAlign w:val="bottom"/>
          </w:tcPr>
          <w:p w14:paraId="644BEE00" w14:textId="77777777" w:rsidR="005D05F9" w:rsidRPr="00181EF3" w:rsidRDefault="005D05F9" w:rsidP="005D05F9">
            <w:pPr>
              <w:pStyle w:val="TableText"/>
              <w:ind w:left="57"/>
              <w:rPr>
                <w:b/>
                <w:sz w:val="16"/>
                <w:szCs w:val="16"/>
              </w:rPr>
            </w:pPr>
            <w:r w:rsidRPr="00181EF3">
              <w:rPr>
                <w:b/>
                <w:sz w:val="16"/>
                <w:szCs w:val="16"/>
              </w:rPr>
              <w:t>2000-02</w:t>
            </w:r>
          </w:p>
        </w:tc>
        <w:tc>
          <w:tcPr>
            <w:tcW w:w="416" w:type="dxa"/>
            <w:shd w:val="clear" w:color="auto" w:fill="D9D9D9" w:themeFill="background1" w:themeFillShade="D9"/>
            <w:textDirection w:val="btLr"/>
            <w:vAlign w:val="bottom"/>
          </w:tcPr>
          <w:p w14:paraId="4FF65D7A" w14:textId="77777777" w:rsidR="005D05F9" w:rsidRPr="00181EF3" w:rsidRDefault="005D05F9" w:rsidP="005D05F9">
            <w:pPr>
              <w:pStyle w:val="TableText"/>
              <w:ind w:left="57"/>
              <w:rPr>
                <w:b/>
                <w:sz w:val="16"/>
                <w:szCs w:val="16"/>
              </w:rPr>
            </w:pPr>
            <w:r w:rsidRPr="00181EF3">
              <w:rPr>
                <w:b/>
                <w:sz w:val="16"/>
                <w:szCs w:val="16"/>
              </w:rPr>
              <w:t>2001–03</w:t>
            </w:r>
          </w:p>
        </w:tc>
        <w:tc>
          <w:tcPr>
            <w:tcW w:w="417" w:type="dxa"/>
            <w:shd w:val="clear" w:color="auto" w:fill="D9D9D9" w:themeFill="background1" w:themeFillShade="D9"/>
            <w:textDirection w:val="btLr"/>
            <w:vAlign w:val="bottom"/>
          </w:tcPr>
          <w:p w14:paraId="396CE53E" w14:textId="77777777" w:rsidR="005D05F9" w:rsidRPr="00181EF3" w:rsidRDefault="005D05F9" w:rsidP="005D05F9">
            <w:pPr>
              <w:pStyle w:val="TableText"/>
              <w:ind w:left="57"/>
              <w:rPr>
                <w:b/>
                <w:sz w:val="16"/>
                <w:szCs w:val="16"/>
              </w:rPr>
            </w:pPr>
            <w:r w:rsidRPr="00181EF3">
              <w:rPr>
                <w:b/>
                <w:sz w:val="16"/>
                <w:szCs w:val="16"/>
              </w:rPr>
              <w:t>2002-04</w:t>
            </w:r>
          </w:p>
        </w:tc>
        <w:tc>
          <w:tcPr>
            <w:tcW w:w="417" w:type="dxa"/>
            <w:shd w:val="clear" w:color="auto" w:fill="D9D9D9" w:themeFill="background1" w:themeFillShade="D9"/>
            <w:textDirection w:val="btLr"/>
            <w:vAlign w:val="bottom"/>
          </w:tcPr>
          <w:p w14:paraId="21A33FC9" w14:textId="77777777" w:rsidR="005D05F9" w:rsidRPr="00181EF3" w:rsidRDefault="005D05F9" w:rsidP="005D05F9">
            <w:pPr>
              <w:pStyle w:val="TableText"/>
              <w:ind w:left="57"/>
              <w:rPr>
                <w:b/>
                <w:sz w:val="16"/>
                <w:szCs w:val="16"/>
              </w:rPr>
            </w:pPr>
            <w:r w:rsidRPr="00181EF3">
              <w:rPr>
                <w:b/>
                <w:sz w:val="16"/>
                <w:szCs w:val="16"/>
              </w:rPr>
              <w:t>2003-05</w:t>
            </w:r>
          </w:p>
        </w:tc>
        <w:tc>
          <w:tcPr>
            <w:tcW w:w="416" w:type="dxa"/>
            <w:shd w:val="clear" w:color="auto" w:fill="D9D9D9" w:themeFill="background1" w:themeFillShade="D9"/>
            <w:textDirection w:val="btLr"/>
            <w:vAlign w:val="bottom"/>
          </w:tcPr>
          <w:p w14:paraId="0ED2C7B5" w14:textId="77777777" w:rsidR="005D05F9" w:rsidRPr="00181EF3" w:rsidRDefault="005D05F9" w:rsidP="005D05F9">
            <w:pPr>
              <w:pStyle w:val="TableText"/>
              <w:ind w:left="57"/>
              <w:rPr>
                <w:b/>
                <w:sz w:val="16"/>
                <w:szCs w:val="16"/>
              </w:rPr>
            </w:pPr>
            <w:r w:rsidRPr="00181EF3">
              <w:rPr>
                <w:b/>
                <w:sz w:val="16"/>
                <w:szCs w:val="16"/>
              </w:rPr>
              <w:t>2004-06</w:t>
            </w:r>
          </w:p>
        </w:tc>
        <w:tc>
          <w:tcPr>
            <w:tcW w:w="417" w:type="dxa"/>
            <w:shd w:val="clear" w:color="auto" w:fill="D9D9D9" w:themeFill="background1" w:themeFillShade="D9"/>
            <w:textDirection w:val="btLr"/>
            <w:vAlign w:val="bottom"/>
          </w:tcPr>
          <w:p w14:paraId="47441B62" w14:textId="77777777" w:rsidR="005D05F9" w:rsidRPr="00181EF3" w:rsidRDefault="005D05F9" w:rsidP="005D05F9">
            <w:pPr>
              <w:pStyle w:val="TableText"/>
              <w:ind w:left="57"/>
              <w:rPr>
                <w:b/>
                <w:sz w:val="16"/>
                <w:szCs w:val="16"/>
              </w:rPr>
            </w:pPr>
            <w:r w:rsidRPr="00181EF3">
              <w:rPr>
                <w:b/>
                <w:sz w:val="16"/>
                <w:szCs w:val="16"/>
              </w:rPr>
              <w:t>2005–07</w:t>
            </w:r>
          </w:p>
        </w:tc>
        <w:tc>
          <w:tcPr>
            <w:tcW w:w="417" w:type="dxa"/>
            <w:shd w:val="clear" w:color="auto" w:fill="D9D9D9" w:themeFill="background1" w:themeFillShade="D9"/>
            <w:textDirection w:val="btLr"/>
            <w:vAlign w:val="bottom"/>
          </w:tcPr>
          <w:p w14:paraId="1ADB5406" w14:textId="77777777" w:rsidR="005D05F9" w:rsidRPr="00181EF3" w:rsidRDefault="005D05F9" w:rsidP="005D05F9">
            <w:pPr>
              <w:pStyle w:val="TableText"/>
              <w:ind w:left="57"/>
              <w:rPr>
                <w:b/>
                <w:sz w:val="16"/>
                <w:szCs w:val="16"/>
              </w:rPr>
            </w:pPr>
            <w:r w:rsidRPr="00181EF3">
              <w:rPr>
                <w:b/>
                <w:sz w:val="16"/>
                <w:szCs w:val="16"/>
              </w:rPr>
              <w:t>2006–08</w:t>
            </w:r>
          </w:p>
        </w:tc>
        <w:tc>
          <w:tcPr>
            <w:tcW w:w="416" w:type="dxa"/>
            <w:shd w:val="clear" w:color="auto" w:fill="D9D9D9" w:themeFill="background1" w:themeFillShade="D9"/>
            <w:textDirection w:val="btLr"/>
            <w:vAlign w:val="bottom"/>
          </w:tcPr>
          <w:p w14:paraId="6B33205A" w14:textId="77777777" w:rsidR="005D05F9" w:rsidRPr="00181EF3" w:rsidRDefault="005D05F9" w:rsidP="005D05F9">
            <w:pPr>
              <w:pStyle w:val="TableText"/>
              <w:ind w:left="57"/>
              <w:rPr>
                <w:b/>
                <w:sz w:val="16"/>
                <w:szCs w:val="16"/>
              </w:rPr>
            </w:pPr>
            <w:r w:rsidRPr="00181EF3">
              <w:rPr>
                <w:b/>
                <w:sz w:val="16"/>
                <w:szCs w:val="16"/>
              </w:rPr>
              <w:t>2007–09</w:t>
            </w:r>
          </w:p>
        </w:tc>
        <w:tc>
          <w:tcPr>
            <w:tcW w:w="417" w:type="dxa"/>
            <w:shd w:val="clear" w:color="auto" w:fill="D9D9D9" w:themeFill="background1" w:themeFillShade="D9"/>
            <w:textDirection w:val="btLr"/>
            <w:vAlign w:val="bottom"/>
          </w:tcPr>
          <w:p w14:paraId="236D030D" w14:textId="77777777" w:rsidR="005D05F9" w:rsidRPr="00181EF3" w:rsidRDefault="005D05F9" w:rsidP="005D05F9">
            <w:pPr>
              <w:pStyle w:val="TableText"/>
              <w:ind w:left="57"/>
              <w:rPr>
                <w:b/>
                <w:sz w:val="16"/>
                <w:szCs w:val="16"/>
              </w:rPr>
            </w:pPr>
            <w:r w:rsidRPr="00181EF3">
              <w:rPr>
                <w:b/>
                <w:sz w:val="16"/>
                <w:szCs w:val="16"/>
              </w:rPr>
              <w:t>2008–10</w:t>
            </w:r>
          </w:p>
        </w:tc>
        <w:tc>
          <w:tcPr>
            <w:tcW w:w="417" w:type="dxa"/>
            <w:shd w:val="clear" w:color="auto" w:fill="D9D9D9" w:themeFill="background1" w:themeFillShade="D9"/>
            <w:textDirection w:val="btLr"/>
            <w:vAlign w:val="bottom"/>
          </w:tcPr>
          <w:p w14:paraId="281AC1FF" w14:textId="77777777" w:rsidR="005D05F9" w:rsidRPr="00181EF3" w:rsidRDefault="005D05F9" w:rsidP="005D05F9">
            <w:pPr>
              <w:pStyle w:val="TableText"/>
              <w:ind w:left="57"/>
              <w:rPr>
                <w:b/>
                <w:sz w:val="16"/>
                <w:szCs w:val="16"/>
              </w:rPr>
            </w:pPr>
            <w:r w:rsidRPr="00181EF3">
              <w:rPr>
                <w:b/>
                <w:sz w:val="16"/>
                <w:szCs w:val="16"/>
              </w:rPr>
              <w:t>2009–11</w:t>
            </w:r>
          </w:p>
        </w:tc>
        <w:tc>
          <w:tcPr>
            <w:tcW w:w="416" w:type="dxa"/>
            <w:shd w:val="clear" w:color="auto" w:fill="D9D9D9" w:themeFill="background1" w:themeFillShade="D9"/>
            <w:textDirection w:val="btLr"/>
            <w:vAlign w:val="bottom"/>
          </w:tcPr>
          <w:p w14:paraId="259116ED" w14:textId="77777777" w:rsidR="005D05F9" w:rsidRPr="00181EF3" w:rsidRDefault="005D05F9" w:rsidP="005D05F9">
            <w:pPr>
              <w:pStyle w:val="TableText"/>
              <w:ind w:left="57"/>
              <w:rPr>
                <w:b/>
                <w:sz w:val="16"/>
                <w:szCs w:val="16"/>
              </w:rPr>
            </w:pPr>
            <w:r w:rsidRPr="00181EF3">
              <w:rPr>
                <w:b/>
                <w:sz w:val="16"/>
                <w:szCs w:val="16"/>
              </w:rPr>
              <w:t>2010–12</w:t>
            </w:r>
          </w:p>
        </w:tc>
        <w:tc>
          <w:tcPr>
            <w:tcW w:w="417" w:type="dxa"/>
            <w:shd w:val="clear" w:color="auto" w:fill="D9D9D9" w:themeFill="background1" w:themeFillShade="D9"/>
            <w:textDirection w:val="btLr"/>
            <w:vAlign w:val="bottom"/>
          </w:tcPr>
          <w:p w14:paraId="4A2939EB" w14:textId="77777777" w:rsidR="005D05F9" w:rsidRPr="00181EF3" w:rsidRDefault="005D05F9" w:rsidP="005D05F9">
            <w:pPr>
              <w:pStyle w:val="TableText"/>
              <w:ind w:left="57"/>
              <w:rPr>
                <w:b/>
                <w:sz w:val="16"/>
                <w:szCs w:val="16"/>
              </w:rPr>
            </w:pPr>
            <w:r w:rsidRPr="00181EF3">
              <w:rPr>
                <w:b/>
                <w:sz w:val="16"/>
                <w:szCs w:val="16"/>
              </w:rPr>
              <w:t>2011–13</w:t>
            </w:r>
          </w:p>
        </w:tc>
        <w:tc>
          <w:tcPr>
            <w:tcW w:w="417" w:type="dxa"/>
            <w:shd w:val="clear" w:color="auto" w:fill="D9D9D9" w:themeFill="background1" w:themeFillShade="D9"/>
            <w:textDirection w:val="btLr"/>
            <w:vAlign w:val="bottom"/>
          </w:tcPr>
          <w:p w14:paraId="2A9FD293" w14:textId="77777777" w:rsidR="005D05F9" w:rsidRPr="00181EF3" w:rsidRDefault="005D05F9" w:rsidP="005D05F9">
            <w:pPr>
              <w:pStyle w:val="TableText"/>
              <w:ind w:left="57"/>
              <w:rPr>
                <w:b/>
                <w:sz w:val="16"/>
                <w:szCs w:val="16"/>
              </w:rPr>
            </w:pPr>
            <w:r w:rsidRPr="00181EF3">
              <w:rPr>
                <w:b/>
                <w:sz w:val="16"/>
                <w:szCs w:val="16"/>
              </w:rPr>
              <w:t>2012–14</w:t>
            </w:r>
          </w:p>
        </w:tc>
      </w:tr>
      <w:tr w:rsidR="005D05F9" w:rsidRPr="00181EF3" w14:paraId="10FAC710" w14:textId="77777777" w:rsidTr="005D05F9">
        <w:tc>
          <w:tcPr>
            <w:tcW w:w="567" w:type="dxa"/>
            <w:vMerge w:val="restart"/>
          </w:tcPr>
          <w:p w14:paraId="46494B3B" w14:textId="77777777" w:rsidR="005D05F9" w:rsidRPr="00181EF3" w:rsidRDefault="005D05F9" w:rsidP="005D05F9">
            <w:pPr>
              <w:pStyle w:val="TableText"/>
              <w:rPr>
                <w:sz w:val="16"/>
                <w:szCs w:val="16"/>
              </w:rPr>
            </w:pPr>
            <w:r w:rsidRPr="00181EF3">
              <w:rPr>
                <w:sz w:val="16"/>
                <w:szCs w:val="16"/>
              </w:rPr>
              <w:t>Māori</w:t>
            </w:r>
          </w:p>
        </w:tc>
        <w:tc>
          <w:tcPr>
            <w:tcW w:w="430" w:type="dxa"/>
            <w:tcBorders>
              <w:bottom w:val="single" w:sz="4" w:space="0" w:color="A6A6A6" w:themeColor="background1" w:themeShade="A6"/>
            </w:tcBorders>
            <w:shd w:val="clear" w:color="auto" w:fill="auto"/>
          </w:tcPr>
          <w:p w14:paraId="04D7FC1D" w14:textId="77777777" w:rsidR="005D05F9" w:rsidRPr="00181EF3" w:rsidRDefault="005D05F9" w:rsidP="005D05F9">
            <w:pPr>
              <w:pStyle w:val="TableText"/>
              <w:jc w:val="center"/>
              <w:rPr>
                <w:sz w:val="16"/>
                <w:szCs w:val="16"/>
              </w:rPr>
            </w:pPr>
            <w:r w:rsidRPr="00181EF3">
              <w:rPr>
                <w:sz w:val="16"/>
                <w:szCs w:val="16"/>
              </w:rPr>
              <w:t>1</w:t>
            </w:r>
          </w:p>
        </w:tc>
        <w:tc>
          <w:tcPr>
            <w:tcW w:w="416" w:type="dxa"/>
            <w:tcBorders>
              <w:bottom w:val="single" w:sz="4" w:space="0" w:color="A6A6A6" w:themeColor="background1" w:themeShade="A6"/>
            </w:tcBorders>
            <w:shd w:val="clear" w:color="auto" w:fill="auto"/>
          </w:tcPr>
          <w:p w14:paraId="6CEFAAAA" w14:textId="77777777" w:rsidR="005D05F9" w:rsidRPr="00181EF3" w:rsidRDefault="005D05F9" w:rsidP="005D05F9">
            <w:pPr>
              <w:pStyle w:val="TableText"/>
              <w:jc w:val="center"/>
              <w:rPr>
                <w:sz w:val="16"/>
                <w:szCs w:val="16"/>
              </w:rPr>
            </w:pPr>
            <w:r w:rsidRPr="00181EF3">
              <w:rPr>
                <w:sz w:val="16"/>
                <w:szCs w:val="16"/>
              </w:rPr>
              <w:t>IHD</w:t>
            </w:r>
          </w:p>
        </w:tc>
        <w:tc>
          <w:tcPr>
            <w:tcW w:w="417" w:type="dxa"/>
            <w:tcBorders>
              <w:bottom w:val="single" w:sz="4" w:space="0" w:color="A6A6A6" w:themeColor="background1" w:themeShade="A6"/>
            </w:tcBorders>
            <w:shd w:val="clear" w:color="auto" w:fill="auto"/>
          </w:tcPr>
          <w:p w14:paraId="41733C8F" w14:textId="77777777" w:rsidR="005D05F9" w:rsidRPr="00181EF3" w:rsidRDefault="005D05F9" w:rsidP="005D05F9">
            <w:pPr>
              <w:pStyle w:val="TableText"/>
              <w:jc w:val="center"/>
              <w:rPr>
                <w:sz w:val="16"/>
                <w:szCs w:val="16"/>
              </w:rPr>
            </w:pPr>
            <w:r w:rsidRPr="00181EF3">
              <w:rPr>
                <w:sz w:val="16"/>
                <w:szCs w:val="16"/>
              </w:rPr>
              <w:t>IHD</w:t>
            </w:r>
          </w:p>
        </w:tc>
        <w:tc>
          <w:tcPr>
            <w:tcW w:w="416" w:type="dxa"/>
            <w:tcBorders>
              <w:bottom w:val="single" w:sz="4" w:space="0" w:color="A6A6A6" w:themeColor="background1" w:themeShade="A6"/>
            </w:tcBorders>
            <w:shd w:val="clear" w:color="auto" w:fill="auto"/>
          </w:tcPr>
          <w:p w14:paraId="7CE71D13" w14:textId="77777777" w:rsidR="005D05F9" w:rsidRPr="00181EF3" w:rsidRDefault="005D05F9" w:rsidP="005D05F9">
            <w:pPr>
              <w:pStyle w:val="TableText"/>
              <w:jc w:val="center"/>
              <w:rPr>
                <w:sz w:val="16"/>
                <w:szCs w:val="16"/>
              </w:rPr>
            </w:pPr>
            <w:r w:rsidRPr="00181EF3">
              <w:rPr>
                <w:sz w:val="16"/>
                <w:szCs w:val="16"/>
              </w:rPr>
              <w:t>IHD</w:t>
            </w:r>
          </w:p>
        </w:tc>
        <w:tc>
          <w:tcPr>
            <w:tcW w:w="417" w:type="dxa"/>
            <w:tcBorders>
              <w:bottom w:val="single" w:sz="4" w:space="0" w:color="A6A6A6" w:themeColor="background1" w:themeShade="A6"/>
            </w:tcBorders>
            <w:shd w:val="clear" w:color="auto" w:fill="auto"/>
          </w:tcPr>
          <w:p w14:paraId="49536E05" w14:textId="77777777" w:rsidR="005D05F9" w:rsidRPr="00181EF3" w:rsidRDefault="005D05F9" w:rsidP="005D05F9">
            <w:pPr>
              <w:pStyle w:val="TableText"/>
              <w:jc w:val="center"/>
              <w:rPr>
                <w:sz w:val="16"/>
                <w:szCs w:val="16"/>
              </w:rPr>
            </w:pPr>
            <w:r w:rsidRPr="00181EF3">
              <w:rPr>
                <w:sz w:val="16"/>
                <w:szCs w:val="16"/>
              </w:rPr>
              <w:t>IHD</w:t>
            </w:r>
          </w:p>
        </w:tc>
        <w:tc>
          <w:tcPr>
            <w:tcW w:w="417" w:type="dxa"/>
            <w:tcBorders>
              <w:bottom w:val="single" w:sz="4" w:space="0" w:color="A6A6A6" w:themeColor="background1" w:themeShade="A6"/>
            </w:tcBorders>
            <w:shd w:val="clear" w:color="auto" w:fill="auto"/>
          </w:tcPr>
          <w:p w14:paraId="20B08312" w14:textId="77777777" w:rsidR="005D05F9" w:rsidRPr="00181EF3" w:rsidRDefault="005D05F9" w:rsidP="005D05F9">
            <w:pPr>
              <w:pStyle w:val="TableText"/>
              <w:jc w:val="center"/>
              <w:rPr>
                <w:sz w:val="16"/>
                <w:szCs w:val="16"/>
              </w:rPr>
            </w:pPr>
            <w:r w:rsidRPr="00181EF3">
              <w:rPr>
                <w:sz w:val="16"/>
                <w:szCs w:val="16"/>
              </w:rPr>
              <w:t>IHD</w:t>
            </w:r>
          </w:p>
        </w:tc>
        <w:tc>
          <w:tcPr>
            <w:tcW w:w="416" w:type="dxa"/>
            <w:tcBorders>
              <w:bottom w:val="single" w:sz="4" w:space="0" w:color="A6A6A6" w:themeColor="background1" w:themeShade="A6"/>
            </w:tcBorders>
            <w:shd w:val="clear" w:color="auto" w:fill="auto"/>
          </w:tcPr>
          <w:p w14:paraId="2EA1076E" w14:textId="77777777" w:rsidR="005D05F9" w:rsidRPr="00181EF3" w:rsidRDefault="005D05F9" w:rsidP="005D05F9">
            <w:pPr>
              <w:pStyle w:val="TableText"/>
              <w:jc w:val="center"/>
              <w:rPr>
                <w:sz w:val="16"/>
                <w:szCs w:val="16"/>
              </w:rPr>
            </w:pPr>
            <w:r w:rsidRPr="00181EF3">
              <w:rPr>
                <w:sz w:val="16"/>
                <w:szCs w:val="16"/>
              </w:rPr>
              <w:t>IHD</w:t>
            </w:r>
          </w:p>
        </w:tc>
        <w:tc>
          <w:tcPr>
            <w:tcW w:w="417" w:type="dxa"/>
            <w:tcBorders>
              <w:bottom w:val="single" w:sz="4" w:space="0" w:color="A6A6A6" w:themeColor="background1" w:themeShade="A6"/>
            </w:tcBorders>
            <w:shd w:val="clear" w:color="auto" w:fill="auto"/>
          </w:tcPr>
          <w:p w14:paraId="72A6E225" w14:textId="77777777" w:rsidR="005D05F9" w:rsidRPr="00181EF3" w:rsidRDefault="005D05F9" w:rsidP="005D05F9">
            <w:pPr>
              <w:pStyle w:val="TableText"/>
              <w:jc w:val="center"/>
              <w:rPr>
                <w:sz w:val="16"/>
                <w:szCs w:val="16"/>
              </w:rPr>
            </w:pPr>
            <w:r w:rsidRPr="00181EF3">
              <w:rPr>
                <w:sz w:val="16"/>
                <w:szCs w:val="16"/>
              </w:rPr>
              <w:t>IHD</w:t>
            </w:r>
          </w:p>
        </w:tc>
        <w:tc>
          <w:tcPr>
            <w:tcW w:w="417" w:type="dxa"/>
            <w:tcBorders>
              <w:bottom w:val="single" w:sz="4" w:space="0" w:color="A6A6A6" w:themeColor="background1" w:themeShade="A6"/>
            </w:tcBorders>
            <w:shd w:val="clear" w:color="auto" w:fill="auto"/>
          </w:tcPr>
          <w:p w14:paraId="073EA7D2" w14:textId="77777777" w:rsidR="005D05F9" w:rsidRPr="00181EF3" w:rsidRDefault="005D05F9" w:rsidP="005D05F9">
            <w:pPr>
              <w:pStyle w:val="TableText"/>
              <w:jc w:val="center"/>
              <w:rPr>
                <w:sz w:val="16"/>
                <w:szCs w:val="16"/>
              </w:rPr>
            </w:pPr>
            <w:r w:rsidRPr="00181EF3">
              <w:rPr>
                <w:sz w:val="16"/>
                <w:szCs w:val="16"/>
              </w:rPr>
              <w:t>IHD</w:t>
            </w:r>
          </w:p>
        </w:tc>
        <w:tc>
          <w:tcPr>
            <w:tcW w:w="416" w:type="dxa"/>
            <w:tcBorders>
              <w:bottom w:val="single" w:sz="4" w:space="0" w:color="A6A6A6" w:themeColor="background1" w:themeShade="A6"/>
            </w:tcBorders>
            <w:shd w:val="clear" w:color="auto" w:fill="auto"/>
          </w:tcPr>
          <w:p w14:paraId="09B8D8DE" w14:textId="77777777" w:rsidR="005D05F9" w:rsidRPr="00181EF3" w:rsidRDefault="005D05F9" w:rsidP="005D05F9">
            <w:pPr>
              <w:pStyle w:val="TableText"/>
              <w:jc w:val="center"/>
              <w:rPr>
                <w:sz w:val="16"/>
                <w:szCs w:val="16"/>
              </w:rPr>
            </w:pPr>
            <w:r w:rsidRPr="00181EF3">
              <w:rPr>
                <w:sz w:val="16"/>
                <w:szCs w:val="16"/>
              </w:rPr>
              <w:t>IHD</w:t>
            </w:r>
          </w:p>
        </w:tc>
        <w:tc>
          <w:tcPr>
            <w:tcW w:w="417" w:type="dxa"/>
            <w:tcBorders>
              <w:bottom w:val="single" w:sz="4" w:space="0" w:color="A6A6A6" w:themeColor="background1" w:themeShade="A6"/>
            </w:tcBorders>
            <w:shd w:val="clear" w:color="auto" w:fill="auto"/>
          </w:tcPr>
          <w:p w14:paraId="13646B42" w14:textId="77777777" w:rsidR="005D05F9" w:rsidRPr="00181EF3" w:rsidRDefault="005D05F9" w:rsidP="005D05F9">
            <w:pPr>
              <w:pStyle w:val="TableText"/>
              <w:jc w:val="center"/>
              <w:rPr>
                <w:sz w:val="16"/>
                <w:szCs w:val="16"/>
              </w:rPr>
            </w:pPr>
            <w:r w:rsidRPr="00181EF3">
              <w:rPr>
                <w:sz w:val="16"/>
                <w:szCs w:val="16"/>
              </w:rPr>
              <w:t>IHD</w:t>
            </w:r>
          </w:p>
        </w:tc>
        <w:tc>
          <w:tcPr>
            <w:tcW w:w="417" w:type="dxa"/>
            <w:tcBorders>
              <w:bottom w:val="single" w:sz="4" w:space="0" w:color="A6A6A6" w:themeColor="background1" w:themeShade="A6"/>
            </w:tcBorders>
            <w:shd w:val="clear" w:color="auto" w:fill="auto"/>
          </w:tcPr>
          <w:p w14:paraId="0E7375B5" w14:textId="77777777" w:rsidR="005D05F9" w:rsidRPr="00181EF3" w:rsidRDefault="005D05F9" w:rsidP="005D05F9">
            <w:pPr>
              <w:pStyle w:val="TableText"/>
              <w:jc w:val="center"/>
              <w:rPr>
                <w:sz w:val="16"/>
                <w:szCs w:val="16"/>
              </w:rPr>
            </w:pPr>
            <w:r w:rsidRPr="00181EF3">
              <w:rPr>
                <w:sz w:val="16"/>
                <w:szCs w:val="16"/>
              </w:rPr>
              <w:t>IHD</w:t>
            </w:r>
          </w:p>
        </w:tc>
        <w:tc>
          <w:tcPr>
            <w:tcW w:w="416" w:type="dxa"/>
            <w:tcBorders>
              <w:bottom w:val="single" w:sz="4" w:space="0" w:color="A6A6A6" w:themeColor="background1" w:themeShade="A6"/>
            </w:tcBorders>
            <w:shd w:val="clear" w:color="auto" w:fill="auto"/>
          </w:tcPr>
          <w:p w14:paraId="7E77531A" w14:textId="77777777" w:rsidR="005D05F9" w:rsidRPr="00181EF3" w:rsidRDefault="005D05F9" w:rsidP="005D05F9">
            <w:pPr>
              <w:pStyle w:val="TableText"/>
              <w:jc w:val="center"/>
              <w:rPr>
                <w:sz w:val="16"/>
                <w:szCs w:val="16"/>
              </w:rPr>
            </w:pPr>
            <w:r w:rsidRPr="00181EF3">
              <w:rPr>
                <w:sz w:val="16"/>
                <w:szCs w:val="16"/>
              </w:rPr>
              <w:t>IHD</w:t>
            </w:r>
          </w:p>
        </w:tc>
        <w:tc>
          <w:tcPr>
            <w:tcW w:w="417" w:type="dxa"/>
            <w:tcBorders>
              <w:bottom w:val="single" w:sz="4" w:space="0" w:color="A6A6A6" w:themeColor="background1" w:themeShade="A6"/>
            </w:tcBorders>
            <w:shd w:val="clear" w:color="auto" w:fill="auto"/>
          </w:tcPr>
          <w:p w14:paraId="42BC0F0C" w14:textId="77777777" w:rsidR="005D05F9" w:rsidRPr="00181EF3" w:rsidRDefault="005D05F9" w:rsidP="005D05F9">
            <w:pPr>
              <w:pStyle w:val="TableText"/>
              <w:jc w:val="center"/>
              <w:rPr>
                <w:sz w:val="16"/>
                <w:szCs w:val="16"/>
              </w:rPr>
            </w:pPr>
            <w:r w:rsidRPr="00181EF3">
              <w:rPr>
                <w:sz w:val="16"/>
                <w:szCs w:val="16"/>
              </w:rPr>
              <w:t>IHD</w:t>
            </w:r>
          </w:p>
        </w:tc>
        <w:tc>
          <w:tcPr>
            <w:tcW w:w="417" w:type="dxa"/>
            <w:tcBorders>
              <w:bottom w:val="single" w:sz="4" w:space="0" w:color="A6A6A6" w:themeColor="background1" w:themeShade="A6"/>
            </w:tcBorders>
            <w:shd w:val="clear" w:color="auto" w:fill="auto"/>
          </w:tcPr>
          <w:p w14:paraId="439A09EA" w14:textId="77777777" w:rsidR="005D05F9" w:rsidRPr="00181EF3" w:rsidRDefault="005D05F9" w:rsidP="005D05F9">
            <w:pPr>
              <w:pStyle w:val="TableText"/>
              <w:jc w:val="center"/>
              <w:rPr>
                <w:sz w:val="16"/>
                <w:szCs w:val="16"/>
              </w:rPr>
            </w:pPr>
            <w:r w:rsidRPr="00181EF3">
              <w:rPr>
                <w:sz w:val="16"/>
                <w:szCs w:val="16"/>
              </w:rPr>
              <w:t>IHD</w:t>
            </w:r>
          </w:p>
        </w:tc>
        <w:tc>
          <w:tcPr>
            <w:tcW w:w="416" w:type="dxa"/>
            <w:tcBorders>
              <w:bottom w:val="single" w:sz="4" w:space="0" w:color="A6A6A6" w:themeColor="background1" w:themeShade="A6"/>
            </w:tcBorders>
            <w:shd w:val="clear" w:color="auto" w:fill="auto"/>
          </w:tcPr>
          <w:p w14:paraId="077B2596" w14:textId="77777777" w:rsidR="005D05F9" w:rsidRPr="00181EF3" w:rsidRDefault="005D05F9" w:rsidP="005D05F9">
            <w:pPr>
              <w:pStyle w:val="TableText"/>
              <w:jc w:val="center"/>
              <w:rPr>
                <w:sz w:val="16"/>
                <w:szCs w:val="16"/>
              </w:rPr>
            </w:pPr>
            <w:r w:rsidRPr="00181EF3">
              <w:rPr>
                <w:sz w:val="16"/>
                <w:szCs w:val="16"/>
              </w:rPr>
              <w:t>IHD</w:t>
            </w:r>
          </w:p>
        </w:tc>
        <w:tc>
          <w:tcPr>
            <w:tcW w:w="417" w:type="dxa"/>
            <w:tcBorders>
              <w:bottom w:val="single" w:sz="4" w:space="0" w:color="A6A6A6" w:themeColor="background1" w:themeShade="A6"/>
            </w:tcBorders>
            <w:shd w:val="clear" w:color="auto" w:fill="auto"/>
          </w:tcPr>
          <w:p w14:paraId="1A5D9B39" w14:textId="77777777" w:rsidR="005D05F9" w:rsidRPr="00181EF3" w:rsidRDefault="005D05F9" w:rsidP="005D05F9">
            <w:pPr>
              <w:pStyle w:val="TableText"/>
              <w:jc w:val="center"/>
              <w:rPr>
                <w:sz w:val="16"/>
                <w:szCs w:val="16"/>
              </w:rPr>
            </w:pPr>
            <w:r w:rsidRPr="00181EF3">
              <w:rPr>
                <w:sz w:val="16"/>
                <w:szCs w:val="16"/>
              </w:rPr>
              <w:t>IHD</w:t>
            </w:r>
          </w:p>
        </w:tc>
        <w:tc>
          <w:tcPr>
            <w:tcW w:w="417" w:type="dxa"/>
            <w:tcBorders>
              <w:bottom w:val="single" w:sz="4" w:space="0" w:color="A6A6A6" w:themeColor="background1" w:themeShade="A6"/>
            </w:tcBorders>
            <w:shd w:val="clear" w:color="auto" w:fill="auto"/>
          </w:tcPr>
          <w:p w14:paraId="1418A83C" w14:textId="77777777" w:rsidR="005D05F9" w:rsidRPr="00181EF3" w:rsidRDefault="005D05F9" w:rsidP="005D05F9">
            <w:pPr>
              <w:pStyle w:val="TableText"/>
              <w:jc w:val="center"/>
              <w:rPr>
                <w:sz w:val="16"/>
                <w:szCs w:val="16"/>
              </w:rPr>
            </w:pPr>
            <w:r w:rsidRPr="00181EF3">
              <w:rPr>
                <w:sz w:val="16"/>
                <w:szCs w:val="16"/>
              </w:rPr>
              <w:t>IHD</w:t>
            </w:r>
          </w:p>
        </w:tc>
      </w:tr>
      <w:tr w:rsidR="005D05F9" w:rsidRPr="00181EF3" w14:paraId="6662235D" w14:textId="77777777" w:rsidTr="005D05F9">
        <w:tc>
          <w:tcPr>
            <w:tcW w:w="567" w:type="dxa"/>
            <w:vMerge/>
          </w:tcPr>
          <w:p w14:paraId="7FB36C4D" w14:textId="77777777" w:rsidR="005D05F9" w:rsidRPr="00181EF3" w:rsidRDefault="005D05F9" w:rsidP="005D05F9">
            <w:pPr>
              <w:pStyle w:val="TableText"/>
              <w:rPr>
                <w:sz w:val="16"/>
                <w:szCs w:val="16"/>
              </w:rPr>
            </w:pPr>
          </w:p>
        </w:tc>
        <w:tc>
          <w:tcPr>
            <w:tcW w:w="430" w:type="dxa"/>
            <w:tcBorders>
              <w:top w:val="single" w:sz="4" w:space="0" w:color="A6A6A6" w:themeColor="background1" w:themeShade="A6"/>
              <w:bottom w:val="single" w:sz="4" w:space="0" w:color="A6A6A6" w:themeColor="background1" w:themeShade="A6"/>
            </w:tcBorders>
            <w:shd w:val="clear" w:color="auto" w:fill="auto"/>
          </w:tcPr>
          <w:p w14:paraId="214ECEB8" w14:textId="77777777" w:rsidR="005D05F9" w:rsidRPr="00181EF3" w:rsidRDefault="005D05F9" w:rsidP="005D05F9">
            <w:pPr>
              <w:pStyle w:val="TableText"/>
              <w:jc w:val="center"/>
              <w:rPr>
                <w:sz w:val="16"/>
                <w:szCs w:val="16"/>
              </w:rPr>
            </w:pPr>
            <w:r w:rsidRPr="00181EF3">
              <w:rPr>
                <w:sz w:val="16"/>
                <w:szCs w:val="16"/>
              </w:rPr>
              <w:t>2</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675D2F59" w14:textId="77777777" w:rsidR="005D05F9" w:rsidRPr="00181EF3" w:rsidRDefault="005D05F9" w:rsidP="005D05F9">
            <w:pPr>
              <w:pStyle w:val="TableText"/>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CEE669C" w14:textId="77777777" w:rsidR="005D05F9" w:rsidRPr="00181EF3" w:rsidRDefault="005D05F9" w:rsidP="005D05F9">
            <w:pPr>
              <w:pStyle w:val="TableText"/>
              <w:jc w:val="center"/>
              <w:rPr>
                <w:sz w:val="16"/>
              </w:rPr>
            </w:pPr>
            <w:r w:rsidRPr="00181EF3">
              <w:rPr>
                <w:sz w:val="16"/>
              </w:rPr>
              <w:t>MV</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60E3637C" w14:textId="77777777" w:rsidR="005D05F9" w:rsidRPr="00181EF3" w:rsidRDefault="005D05F9" w:rsidP="005D05F9">
            <w:pPr>
              <w:pStyle w:val="TableText"/>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E6C6CC8" w14:textId="77777777" w:rsidR="005D05F9" w:rsidRPr="00181EF3" w:rsidRDefault="005D05F9" w:rsidP="005D05F9">
            <w:pPr>
              <w:pStyle w:val="TableText"/>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095FB3C" w14:textId="77777777" w:rsidR="005D05F9" w:rsidRPr="00181EF3" w:rsidRDefault="005D05F9" w:rsidP="005D05F9">
            <w:pPr>
              <w:pStyle w:val="TableText"/>
              <w:jc w:val="center"/>
              <w:rPr>
                <w:sz w:val="16"/>
              </w:rPr>
            </w:pPr>
            <w:r w:rsidRPr="00181EF3">
              <w:rPr>
                <w:sz w:val="16"/>
              </w:rPr>
              <w:t>MV</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44D4310C" w14:textId="77777777" w:rsidR="005D05F9" w:rsidRPr="00181EF3" w:rsidRDefault="005D05F9" w:rsidP="005D05F9">
            <w:pPr>
              <w:pStyle w:val="TableText"/>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B6A63C4" w14:textId="77777777" w:rsidR="005D05F9" w:rsidRPr="00181EF3" w:rsidRDefault="005D05F9" w:rsidP="005D05F9">
            <w:pPr>
              <w:pStyle w:val="TableText"/>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B8217D7" w14:textId="77777777" w:rsidR="005D05F9" w:rsidRPr="00181EF3" w:rsidRDefault="005D05F9" w:rsidP="005D05F9">
            <w:pPr>
              <w:pStyle w:val="TableText"/>
              <w:jc w:val="center"/>
              <w:rPr>
                <w:sz w:val="16"/>
              </w:rPr>
            </w:pPr>
            <w:r w:rsidRPr="00181EF3">
              <w:rPr>
                <w:sz w:val="16"/>
              </w:rPr>
              <w:t>MV</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28D97171" w14:textId="77777777" w:rsidR="005D05F9" w:rsidRPr="00181EF3" w:rsidRDefault="005D05F9" w:rsidP="005D05F9">
            <w:pPr>
              <w:pStyle w:val="TableText"/>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8E1C9D4" w14:textId="77777777" w:rsidR="005D05F9" w:rsidRPr="00181EF3" w:rsidRDefault="005D05F9" w:rsidP="005D05F9">
            <w:pPr>
              <w:pStyle w:val="TableText"/>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9089252" w14:textId="77777777" w:rsidR="005D05F9" w:rsidRPr="00181EF3" w:rsidRDefault="005D05F9" w:rsidP="005D05F9">
            <w:pPr>
              <w:pStyle w:val="TableText"/>
              <w:jc w:val="center"/>
              <w:rPr>
                <w:sz w:val="16"/>
              </w:rPr>
            </w:pPr>
            <w:r w:rsidRPr="00181EF3">
              <w:rPr>
                <w:sz w:val="16"/>
              </w:rPr>
              <w:t>MV</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68E2387E" w14:textId="77777777" w:rsidR="005D05F9" w:rsidRPr="00181EF3" w:rsidRDefault="005D05F9" w:rsidP="005D05F9">
            <w:pPr>
              <w:pStyle w:val="TableText"/>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99E1868" w14:textId="77777777" w:rsidR="005D05F9" w:rsidRPr="00181EF3" w:rsidRDefault="005D05F9" w:rsidP="005D05F9">
            <w:pPr>
              <w:pStyle w:val="TableText"/>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11B376E" w14:textId="77777777" w:rsidR="005D05F9" w:rsidRPr="00181EF3" w:rsidRDefault="005D05F9" w:rsidP="005D05F9">
            <w:pPr>
              <w:pStyle w:val="TableText"/>
              <w:jc w:val="center"/>
              <w:rPr>
                <w:sz w:val="16"/>
              </w:rPr>
            </w:pPr>
            <w:r w:rsidRPr="00181EF3">
              <w:rPr>
                <w:sz w:val="16"/>
              </w:rPr>
              <w:t>LC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1C2A5526" w14:textId="77777777" w:rsidR="005D05F9" w:rsidRPr="00181EF3" w:rsidRDefault="005D05F9" w:rsidP="005D05F9">
            <w:pPr>
              <w:pStyle w:val="TableText"/>
              <w:jc w:val="center"/>
              <w:rPr>
                <w:sz w:val="16"/>
              </w:rPr>
            </w:pPr>
            <w:r w:rsidRPr="00181EF3">
              <w:rPr>
                <w:sz w:val="16"/>
              </w:rPr>
              <w:t>SU</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F1152A5" w14:textId="77777777" w:rsidR="005D05F9" w:rsidRPr="00181EF3" w:rsidRDefault="005D05F9" w:rsidP="005D05F9">
            <w:pPr>
              <w:pStyle w:val="TableText"/>
              <w:jc w:val="center"/>
              <w:rPr>
                <w:sz w:val="16"/>
              </w:rPr>
            </w:pPr>
            <w:r w:rsidRPr="00181EF3">
              <w:rPr>
                <w:sz w:val="16"/>
              </w:rPr>
              <w:t>SU</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69C547C" w14:textId="77777777" w:rsidR="005D05F9" w:rsidRPr="00181EF3" w:rsidRDefault="005D05F9" w:rsidP="005D05F9">
            <w:pPr>
              <w:pStyle w:val="TableText"/>
              <w:jc w:val="center"/>
              <w:rPr>
                <w:sz w:val="16"/>
              </w:rPr>
            </w:pPr>
            <w:r w:rsidRPr="00181EF3">
              <w:rPr>
                <w:sz w:val="16"/>
              </w:rPr>
              <w:t>LC</w:t>
            </w:r>
          </w:p>
        </w:tc>
      </w:tr>
      <w:tr w:rsidR="005D05F9" w:rsidRPr="00181EF3" w14:paraId="0EC8715D" w14:textId="77777777" w:rsidTr="005D05F9">
        <w:tc>
          <w:tcPr>
            <w:tcW w:w="567" w:type="dxa"/>
            <w:vMerge/>
          </w:tcPr>
          <w:p w14:paraId="5DF38C9C" w14:textId="77777777" w:rsidR="005D05F9" w:rsidRPr="00181EF3" w:rsidRDefault="005D05F9" w:rsidP="005D05F9">
            <w:pPr>
              <w:pStyle w:val="TableText"/>
              <w:rPr>
                <w:sz w:val="16"/>
                <w:szCs w:val="16"/>
              </w:rPr>
            </w:pPr>
          </w:p>
        </w:tc>
        <w:tc>
          <w:tcPr>
            <w:tcW w:w="430" w:type="dxa"/>
            <w:tcBorders>
              <w:top w:val="single" w:sz="4" w:space="0" w:color="A6A6A6" w:themeColor="background1" w:themeShade="A6"/>
              <w:bottom w:val="single" w:sz="4" w:space="0" w:color="A6A6A6" w:themeColor="background1" w:themeShade="A6"/>
            </w:tcBorders>
            <w:shd w:val="clear" w:color="auto" w:fill="auto"/>
          </w:tcPr>
          <w:p w14:paraId="6366371A" w14:textId="77777777" w:rsidR="005D05F9" w:rsidRPr="00181EF3" w:rsidRDefault="005D05F9" w:rsidP="005D05F9">
            <w:pPr>
              <w:pStyle w:val="TableText"/>
              <w:jc w:val="center"/>
              <w:rPr>
                <w:sz w:val="16"/>
                <w:szCs w:val="16"/>
              </w:rPr>
            </w:pPr>
            <w:r w:rsidRPr="00181EF3">
              <w:rPr>
                <w:sz w:val="16"/>
                <w:szCs w:val="16"/>
              </w:rPr>
              <w:t>3</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635CD901" w14:textId="77777777" w:rsidR="005D05F9" w:rsidRPr="00181EF3" w:rsidRDefault="005D05F9" w:rsidP="005D05F9">
            <w:pPr>
              <w:pStyle w:val="TableText"/>
              <w:jc w:val="center"/>
              <w:rPr>
                <w:sz w:val="16"/>
              </w:rPr>
            </w:pPr>
            <w:r w:rsidRPr="00181EF3">
              <w:rPr>
                <w:sz w:val="16"/>
              </w:rPr>
              <w:t>SU</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BFDDF2A" w14:textId="77777777" w:rsidR="005D05F9" w:rsidRPr="00181EF3" w:rsidRDefault="005D05F9" w:rsidP="005D05F9">
            <w:pPr>
              <w:pStyle w:val="TableText"/>
              <w:jc w:val="center"/>
              <w:rPr>
                <w:sz w:val="16"/>
              </w:rPr>
            </w:pPr>
            <w:r w:rsidRPr="00181EF3">
              <w:rPr>
                <w:sz w:val="16"/>
              </w:rPr>
              <w:t>SU</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55674C5C" w14:textId="77777777" w:rsidR="005D05F9" w:rsidRPr="00181EF3" w:rsidRDefault="005D05F9" w:rsidP="005D05F9">
            <w:pPr>
              <w:pStyle w:val="TableText"/>
              <w:jc w:val="center"/>
              <w:rPr>
                <w:sz w:val="16"/>
              </w:rPr>
            </w:pPr>
            <w:r w:rsidRPr="00181EF3">
              <w:rPr>
                <w:sz w:val="16"/>
              </w:rPr>
              <w:t>SU</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6E95A3B" w14:textId="77777777" w:rsidR="005D05F9" w:rsidRPr="00181EF3" w:rsidRDefault="005D05F9" w:rsidP="005D05F9">
            <w:pPr>
              <w:pStyle w:val="TableText"/>
              <w:jc w:val="center"/>
              <w:rPr>
                <w:sz w:val="16"/>
              </w:rPr>
            </w:pPr>
            <w:r w:rsidRPr="00181EF3">
              <w:rPr>
                <w:sz w:val="16"/>
              </w:rPr>
              <w:t>SU</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1379074" w14:textId="77777777" w:rsidR="005D05F9" w:rsidRPr="00181EF3" w:rsidRDefault="005D05F9" w:rsidP="005D05F9">
            <w:pPr>
              <w:pStyle w:val="TableText"/>
              <w:jc w:val="center"/>
              <w:rPr>
                <w:sz w:val="16"/>
              </w:rPr>
            </w:pPr>
            <w:r w:rsidRPr="00181EF3">
              <w:rPr>
                <w:sz w:val="16"/>
              </w:rPr>
              <w:t>SU</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7BAD9844" w14:textId="77777777" w:rsidR="005D05F9" w:rsidRPr="00181EF3" w:rsidRDefault="005D05F9" w:rsidP="005D05F9">
            <w:pPr>
              <w:pStyle w:val="TableText"/>
              <w:jc w:val="center"/>
              <w:rPr>
                <w:sz w:val="16"/>
              </w:rPr>
            </w:pPr>
            <w:r w:rsidRPr="00181EF3">
              <w:rPr>
                <w:sz w:val="16"/>
              </w:rPr>
              <w:t>SU</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DB758B8" w14:textId="77777777" w:rsidR="005D05F9" w:rsidRPr="00181EF3" w:rsidRDefault="005D05F9" w:rsidP="005D05F9">
            <w:pPr>
              <w:pStyle w:val="TableText"/>
              <w:jc w:val="center"/>
              <w:rPr>
                <w:sz w:val="16"/>
              </w:rPr>
            </w:pPr>
            <w:r w:rsidRPr="00181EF3">
              <w:rPr>
                <w:sz w:val="16"/>
              </w:rPr>
              <w:t>SU</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DD379F7" w14:textId="77777777" w:rsidR="005D05F9" w:rsidRPr="00181EF3" w:rsidRDefault="005D05F9" w:rsidP="005D05F9">
            <w:pPr>
              <w:pStyle w:val="TableText"/>
              <w:jc w:val="center"/>
              <w:rPr>
                <w:sz w:val="16"/>
              </w:rPr>
            </w:pPr>
            <w:r w:rsidRPr="00181EF3">
              <w:rPr>
                <w:sz w:val="16"/>
              </w:rPr>
              <w:t>SU</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04FABA85" w14:textId="77777777" w:rsidR="005D05F9" w:rsidRPr="00181EF3" w:rsidRDefault="005D05F9" w:rsidP="005D05F9">
            <w:pPr>
              <w:pStyle w:val="TableText"/>
              <w:jc w:val="center"/>
              <w:rPr>
                <w:sz w:val="16"/>
              </w:rPr>
            </w:pPr>
            <w:r w:rsidRPr="00181EF3">
              <w:rPr>
                <w:sz w:val="16"/>
              </w:rPr>
              <w:t>SU</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1D2463A" w14:textId="77777777" w:rsidR="005D05F9" w:rsidRPr="00181EF3" w:rsidRDefault="005D05F9" w:rsidP="005D05F9">
            <w:pPr>
              <w:pStyle w:val="TableText"/>
              <w:jc w:val="center"/>
              <w:rPr>
                <w:sz w:val="16"/>
              </w:rPr>
            </w:pPr>
            <w:r w:rsidRPr="00181EF3">
              <w:rPr>
                <w:sz w:val="16"/>
              </w:rPr>
              <w:t>SU</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ADCE49B" w14:textId="77777777" w:rsidR="005D05F9" w:rsidRPr="00181EF3" w:rsidRDefault="005D05F9" w:rsidP="005D05F9">
            <w:pPr>
              <w:pStyle w:val="TableText"/>
              <w:jc w:val="center"/>
              <w:rPr>
                <w:sz w:val="16"/>
              </w:rPr>
            </w:pPr>
            <w:r w:rsidRPr="00181EF3">
              <w:rPr>
                <w:sz w:val="16"/>
              </w:rPr>
              <w:t>SU</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273AD75E" w14:textId="77777777" w:rsidR="005D05F9" w:rsidRPr="00181EF3" w:rsidRDefault="005D05F9" w:rsidP="005D05F9">
            <w:pPr>
              <w:pStyle w:val="TableText"/>
              <w:jc w:val="center"/>
              <w:rPr>
                <w:sz w:val="16"/>
              </w:rPr>
            </w:pPr>
            <w:r w:rsidRPr="00181EF3">
              <w:rPr>
                <w:sz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764E873" w14:textId="77777777" w:rsidR="005D05F9" w:rsidRPr="00181EF3" w:rsidRDefault="005D05F9" w:rsidP="005D05F9">
            <w:pPr>
              <w:pStyle w:val="TableText"/>
              <w:jc w:val="center"/>
              <w:rPr>
                <w:sz w:val="16"/>
              </w:rPr>
            </w:pPr>
            <w:r w:rsidRPr="00181EF3">
              <w:rPr>
                <w:sz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5363934" w14:textId="77777777" w:rsidR="005D05F9" w:rsidRPr="00181EF3" w:rsidRDefault="005D05F9" w:rsidP="005D05F9">
            <w:pPr>
              <w:pStyle w:val="TableText"/>
              <w:jc w:val="center"/>
              <w:rPr>
                <w:sz w:val="16"/>
              </w:rPr>
            </w:pPr>
            <w:r w:rsidRPr="00181EF3">
              <w:rPr>
                <w:sz w:val="16"/>
              </w:rPr>
              <w:t>SU</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5C3D46EC" w14:textId="77777777" w:rsidR="005D05F9" w:rsidRPr="00181EF3" w:rsidRDefault="005D05F9" w:rsidP="005D05F9">
            <w:pPr>
              <w:pStyle w:val="TableText"/>
              <w:jc w:val="center"/>
              <w:rPr>
                <w:sz w:val="16"/>
              </w:rPr>
            </w:pPr>
            <w:r w:rsidRPr="00181EF3">
              <w:rPr>
                <w:sz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5D6AD11" w14:textId="77777777" w:rsidR="005D05F9" w:rsidRPr="00181EF3" w:rsidRDefault="005D05F9" w:rsidP="005D05F9">
            <w:pPr>
              <w:pStyle w:val="TableText"/>
              <w:jc w:val="center"/>
              <w:rPr>
                <w:sz w:val="16"/>
              </w:rPr>
            </w:pPr>
            <w:r w:rsidRPr="00181EF3">
              <w:rPr>
                <w:sz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7BA3D25" w14:textId="77777777" w:rsidR="005D05F9" w:rsidRPr="00181EF3" w:rsidRDefault="005D05F9" w:rsidP="005D05F9">
            <w:pPr>
              <w:pStyle w:val="TableText"/>
              <w:jc w:val="center"/>
              <w:rPr>
                <w:sz w:val="16"/>
              </w:rPr>
            </w:pPr>
            <w:r w:rsidRPr="00181EF3">
              <w:rPr>
                <w:sz w:val="16"/>
              </w:rPr>
              <w:t>SU</w:t>
            </w:r>
          </w:p>
        </w:tc>
      </w:tr>
      <w:tr w:rsidR="005D05F9" w:rsidRPr="00181EF3" w14:paraId="3E516A5D" w14:textId="77777777" w:rsidTr="005D05F9">
        <w:tc>
          <w:tcPr>
            <w:tcW w:w="567" w:type="dxa"/>
            <w:vMerge/>
          </w:tcPr>
          <w:p w14:paraId="3AB1A3C0" w14:textId="77777777" w:rsidR="005D05F9" w:rsidRPr="00181EF3" w:rsidRDefault="005D05F9" w:rsidP="005D05F9">
            <w:pPr>
              <w:pStyle w:val="TableText"/>
              <w:rPr>
                <w:sz w:val="16"/>
                <w:szCs w:val="16"/>
              </w:rPr>
            </w:pPr>
          </w:p>
        </w:tc>
        <w:tc>
          <w:tcPr>
            <w:tcW w:w="430" w:type="dxa"/>
            <w:tcBorders>
              <w:top w:val="single" w:sz="4" w:space="0" w:color="A6A6A6" w:themeColor="background1" w:themeShade="A6"/>
              <w:bottom w:val="single" w:sz="4" w:space="0" w:color="A6A6A6" w:themeColor="background1" w:themeShade="A6"/>
            </w:tcBorders>
            <w:shd w:val="clear" w:color="auto" w:fill="auto"/>
          </w:tcPr>
          <w:p w14:paraId="4BE3C19C" w14:textId="77777777" w:rsidR="005D05F9" w:rsidRPr="00181EF3" w:rsidRDefault="005D05F9" w:rsidP="005D05F9">
            <w:pPr>
              <w:pStyle w:val="TableText"/>
              <w:jc w:val="center"/>
              <w:rPr>
                <w:sz w:val="16"/>
                <w:szCs w:val="16"/>
              </w:rPr>
            </w:pPr>
            <w:r w:rsidRPr="00181EF3">
              <w:rPr>
                <w:sz w:val="16"/>
                <w:szCs w:val="16"/>
              </w:rPr>
              <w:t>4</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7B8754BC" w14:textId="77777777" w:rsidR="005D05F9" w:rsidRPr="00181EF3" w:rsidRDefault="005D05F9" w:rsidP="005D05F9">
            <w:pPr>
              <w:pStyle w:val="TableText"/>
              <w:jc w:val="center"/>
              <w:rPr>
                <w:sz w:val="16"/>
              </w:rPr>
            </w:pPr>
            <w:r w:rsidRPr="00181EF3">
              <w:rPr>
                <w:sz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1CAB30D" w14:textId="77777777" w:rsidR="005D05F9" w:rsidRPr="00181EF3" w:rsidRDefault="005D05F9" w:rsidP="005D05F9">
            <w:pPr>
              <w:pStyle w:val="TableText"/>
              <w:jc w:val="center"/>
              <w:rPr>
                <w:sz w:val="16"/>
              </w:rPr>
            </w:pPr>
            <w:r w:rsidRPr="00181EF3">
              <w:rPr>
                <w:sz w:val="16"/>
              </w:rPr>
              <w:t>LC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2843ABDA" w14:textId="77777777" w:rsidR="005D05F9" w:rsidRPr="00181EF3" w:rsidRDefault="005D05F9" w:rsidP="005D05F9">
            <w:pPr>
              <w:pStyle w:val="TableText"/>
              <w:jc w:val="center"/>
              <w:rPr>
                <w:sz w:val="16"/>
              </w:rPr>
            </w:pPr>
            <w:r w:rsidRPr="00181EF3">
              <w:rPr>
                <w:sz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7249187" w14:textId="77777777" w:rsidR="005D05F9" w:rsidRPr="00181EF3" w:rsidRDefault="005D05F9" w:rsidP="005D05F9">
            <w:pPr>
              <w:pStyle w:val="TableText"/>
              <w:jc w:val="center"/>
              <w:rPr>
                <w:sz w:val="16"/>
              </w:rPr>
            </w:pPr>
            <w:r w:rsidRPr="00181EF3">
              <w:rPr>
                <w:sz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0EFBEE2" w14:textId="77777777" w:rsidR="005D05F9" w:rsidRPr="00181EF3" w:rsidRDefault="005D05F9" w:rsidP="005D05F9">
            <w:pPr>
              <w:pStyle w:val="TableText"/>
              <w:jc w:val="center"/>
              <w:rPr>
                <w:sz w:val="16"/>
              </w:rPr>
            </w:pPr>
            <w:r w:rsidRPr="00181EF3">
              <w:rPr>
                <w:sz w:val="16"/>
              </w:rPr>
              <w:t>LC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687AD1F2" w14:textId="77777777" w:rsidR="005D05F9" w:rsidRPr="00181EF3" w:rsidRDefault="005D05F9" w:rsidP="005D05F9">
            <w:pPr>
              <w:pStyle w:val="TableText"/>
              <w:jc w:val="center"/>
              <w:rPr>
                <w:sz w:val="16"/>
              </w:rPr>
            </w:pPr>
            <w:r w:rsidRPr="00181EF3">
              <w:rPr>
                <w:sz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AD515B1" w14:textId="77777777" w:rsidR="005D05F9" w:rsidRPr="00181EF3" w:rsidRDefault="005D05F9" w:rsidP="005D05F9">
            <w:pPr>
              <w:pStyle w:val="TableText"/>
              <w:jc w:val="center"/>
              <w:rPr>
                <w:sz w:val="16"/>
              </w:rPr>
            </w:pPr>
            <w:r w:rsidRPr="00181EF3">
              <w:rPr>
                <w:sz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BAE0CE7" w14:textId="77777777" w:rsidR="005D05F9" w:rsidRPr="00181EF3" w:rsidRDefault="005D05F9" w:rsidP="005D05F9">
            <w:pPr>
              <w:pStyle w:val="TableText"/>
              <w:jc w:val="center"/>
              <w:rPr>
                <w:sz w:val="16"/>
              </w:rPr>
            </w:pPr>
            <w:r w:rsidRPr="00181EF3">
              <w:rPr>
                <w:sz w:val="16"/>
              </w:rPr>
              <w:t>LC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0F31DF73" w14:textId="77777777" w:rsidR="005D05F9" w:rsidRPr="00181EF3" w:rsidRDefault="005D05F9" w:rsidP="005D05F9">
            <w:pPr>
              <w:pStyle w:val="TableText"/>
              <w:jc w:val="center"/>
              <w:rPr>
                <w:sz w:val="16"/>
              </w:rPr>
            </w:pPr>
            <w:r w:rsidRPr="00181EF3">
              <w:rPr>
                <w:sz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755F70D" w14:textId="77777777" w:rsidR="005D05F9" w:rsidRPr="00181EF3" w:rsidRDefault="005D05F9" w:rsidP="005D05F9">
            <w:pPr>
              <w:pStyle w:val="TableText"/>
              <w:jc w:val="center"/>
              <w:rPr>
                <w:sz w:val="16"/>
              </w:rPr>
            </w:pPr>
            <w:r w:rsidRPr="00181EF3">
              <w:rPr>
                <w:sz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7F37103" w14:textId="77777777" w:rsidR="005D05F9" w:rsidRPr="00181EF3" w:rsidRDefault="005D05F9" w:rsidP="005D05F9">
            <w:pPr>
              <w:pStyle w:val="TableText"/>
              <w:jc w:val="center"/>
              <w:rPr>
                <w:sz w:val="16"/>
              </w:rPr>
            </w:pPr>
            <w:r w:rsidRPr="00181EF3">
              <w:rPr>
                <w:sz w:val="16"/>
              </w:rPr>
              <w:t>DI</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214337EA" w14:textId="77777777" w:rsidR="005D05F9" w:rsidRPr="00181EF3" w:rsidRDefault="005D05F9" w:rsidP="005D05F9">
            <w:pPr>
              <w:pStyle w:val="TableText"/>
              <w:jc w:val="center"/>
              <w:rPr>
                <w:sz w:val="16"/>
              </w:rPr>
            </w:pPr>
            <w:r w:rsidRPr="00181EF3">
              <w:rPr>
                <w:sz w:val="16"/>
              </w:rPr>
              <w:t>SU</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AC4CBD9" w14:textId="77777777" w:rsidR="005D05F9" w:rsidRPr="00181EF3" w:rsidRDefault="005D05F9" w:rsidP="005D05F9">
            <w:pPr>
              <w:pStyle w:val="TableText"/>
              <w:jc w:val="center"/>
              <w:rPr>
                <w:sz w:val="16"/>
              </w:rPr>
            </w:pPr>
            <w:r w:rsidRPr="00181EF3">
              <w:rPr>
                <w:sz w:val="16"/>
              </w:rPr>
              <w:t>SU</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ACD1461" w14:textId="77777777" w:rsidR="005D05F9" w:rsidRPr="00181EF3" w:rsidRDefault="005D05F9" w:rsidP="005D05F9">
            <w:pPr>
              <w:pStyle w:val="TableText"/>
              <w:jc w:val="center"/>
              <w:rPr>
                <w:sz w:val="16"/>
              </w:rPr>
            </w:pPr>
            <w:r w:rsidRPr="00181EF3">
              <w:rPr>
                <w:sz w:val="16"/>
              </w:rPr>
              <w:t>MV</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0893B132" w14:textId="77777777" w:rsidR="005D05F9" w:rsidRPr="00181EF3" w:rsidRDefault="005D05F9" w:rsidP="005D05F9">
            <w:pPr>
              <w:pStyle w:val="TableText"/>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5018A7B" w14:textId="77777777" w:rsidR="005D05F9" w:rsidRPr="00181EF3" w:rsidRDefault="005D05F9" w:rsidP="005D05F9">
            <w:pPr>
              <w:pStyle w:val="TableText"/>
              <w:jc w:val="center"/>
              <w:rPr>
                <w:sz w:val="16"/>
              </w:rPr>
            </w:pPr>
            <w:r w:rsidRPr="00181EF3">
              <w:rPr>
                <w:sz w:val="16"/>
              </w:rPr>
              <w:t>DI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72A56D1" w14:textId="77777777" w:rsidR="005D05F9" w:rsidRPr="00181EF3" w:rsidRDefault="005D05F9" w:rsidP="005D05F9">
            <w:pPr>
              <w:pStyle w:val="TableText"/>
              <w:jc w:val="center"/>
              <w:rPr>
                <w:sz w:val="16"/>
              </w:rPr>
            </w:pPr>
            <w:r w:rsidRPr="00181EF3">
              <w:rPr>
                <w:sz w:val="16"/>
              </w:rPr>
              <w:t>HD</w:t>
            </w:r>
          </w:p>
        </w:tc>
      </w:tr>
      <w:tr w:rsidR="005D05F9" w:rsidRPr="00181EF3" w14:paraId="2BA60F27" w14:textId="77777777" w:rsidTr="005D05F9">
        <w:tc>
          <w:tcPr>
            <w:tcW w:w="567" w:type="dxa"/>
            <w:vMerge/>
            <w:tcBorders>
              <w:bottom w:val="single" w:sz="4" w:space="0" w:color="A6A6A6" w:themeColor="background1" w:themeShade="A6"/>
            </w:tcBorders>
          </w:tcPr>
          <w:p w14:paraId="546A54D7" w14:textId="77777777" w:rsidR="005D05F9" w:rsidRPr="00181EF3" w:rsidRDefault="005D05F9" w:rsidP="005D05F9">
            <w:pPr>
              <w:pStyle w:val="TableText"/>
              <w:rPr>
                <w:sz w:val="16"/>
                <w:szCs w:val="16"/>
              </w:rPr>
            </w:pPr>
          </w:p>
        </w:tc>
        <w:tc>
          <w:tcPr>
            <w:tcW w:w="430" w:type="dxa"/>
            <w:tcBorders>
              <w:top w:val="single" w:sz="4" w:space="0" w:color="A6A6A6" w:themeColor="background1" w:themeShade="A6"/>
              <w:bottom w:val="single" w:sz="4" w:space="0" w:color="A6A6A6" w:themeColor="background1" w:themeShade="A6"/>
            </w:tcBorders>
            <w:shd w:val="clear" w:color="auto" w:fill="auto"/>
          </w:tcPr>
          <w:p w14:paraId="0E459AE5" w14:textId="77777777" w:rsidR="005D05F9" w:rsidRPr="00181EF3" w:rsidRDefault="005D05F9" w:rsidP="005D05F9">
            <w:pPr>
              <w:pStyle w:val="TableText"/>
              <w:jc w:val="center"/>
              <w:rPr>
                <w:sz w:val="16"/>
                <w:szCs w:val="16"/>
              </w:rPr>
            </w:pPr>
            <w:r w:rsidRPr="00181EF3">
              <w:rPr>
                <w:sz w:val="16"/>
                <w:szCs w:val="16"/>
              </w:rPr>
              <w:t>5</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1F53EE0D" w14:textId="77777777" w:rsidR="005D05F9" w:rsidRPr="00181EF3" w:rsidRDefault="005D05F9" w:rsidP="005D05F9">
            <w:pPr>
              <w:pStyle w:val="TableText"/>
              <w:jc w:val="center"/>
              <w:rPr>
                <w:sz w:val="16"/>
              </w:rPr>
            </w:pPr>
            <w:r w:rsidRPr="00181EF3">
              <w:rPr>
                <w:sz w:val="16"/>
              </w:rPr>
              <w:t>HD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1E03EAA" w14:textId="77777777" w:rsidR="005D05F9" w:rsidRPr="00181EF3" w:rsidRDefault="005D05F9" w:rsidP="005D05F9">
            <w:pPr>
              <w:pStyle w:val="TableText"/>
              <w:jc w:val="center"/>
              <w:rPr>
                <w:sz w:val="16"/>
              </w:rPr>
            </w:pPr>
            <w:r w:rsidRPr="00181EF3">
              <w:rPr>
                <w:sz w:val="16"/>
              </w:rPr>
              <w:t>DI</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42D0E6B6" w14:textId="77777777" w:rsidR="005D05F9" w:rsidRPr="00181EF3" w:rsidRDefault="005D05F9" w:rsidP="005D05F9">
            <w:pPr>
              <w:pStyle w:val="TableText"/>
              <w:jc w:val="center"/>
              <w:rPr>
                <w:sz w:val="16"/>
              </w:rPr>
            </w:pPr>
            <w:r w:rsidRPr="00181EF3">
              <w:rPr>
                <w:sz w:val="16"/>
              </w:rPr>
              <w:t>DI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32F9DC5" w14:textId="77777777" w:rsidR="005D05F9" w:rsidRPr="00181EF3" w:rsidRDefault="005D05F9" w:rsidP="005D05F9">
            <w:pPr>
              <w:pStyle w:val="TableText"/>
              <w:jc w:val="center"/>
              <w:rPr>
                <w:sz w:val="16"/>
              </w:rPr>
            </w:pPr>
            <w:r w:rsidRPr="00181EF3">
              <w:rPr>
                <w:sz w:val="16"/>
              </w:rPr>
              <w:t>DI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4C47D9C" w14:textId="77777777" w:rsidR="005D05F9" w:rsidRPr="00181EF3" w:rsidRDefault="005D05F9" w:rsidP="005D05F9">
            <w:pPr>
              <w:pStyle w:val="TableText"/>
              <w:jc w:val="center"/>
              <w:rPr>
                <w:sz w:val="16"/>
              </w:rPr>
            </w:pPr>
            <w:r w:rsidRPr="00181EF3">
              <w:rPr>
                <w:sz w:val="16"/>
              </w:rPr>
              <w:t>DI</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7113AADA" w14:textId="77777777" w:rsidR="005D05F9" w:rsidRPr="00181EF3" w:rsidRDefault="005D05F9" w:rsidP="005D05F9">
            <w:pPr>
              <w:pStyle w:val="TableText"/>
              <w:jc w:val="center"/>
              <w:rPr>
                <w:sz w:val="16"/>
              </w:rPr>
            </w:pPr>
            <w:r w:rsidRPr="00181EF3">
              <w:rPr>
                <w:sz w:val="16"/>
              </w:rPr>
              <w:t>DI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A8E5D97" w14:textId="77777777" w:rsidR="005D05F9" w:rsidRPr="00181EF3" w:rsidRDefault="005D05F9" w:rsidP="005D05F9">
            <w:pPr>
              <w:pStyle w:val="TableText"/>
              <w:jc w:val="center"/>
              <w:rPr>
                <w:sz w:val="16"/>
              </w:rPr>
            </w:pPr>
            <w:r w:rsidRPr="00181EF3">
              <w:rPr>
                <w:sz w:val="16"/>
              </w:rPr>
              <w:t>DI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2A92F03" w14:textId="77777777" w:rsidR="005D05F9" w:rsidRPr="00181EF3" w:rsidRDefault="005D05F9" w:rsidP="005D05F9">
            <w:pPr>
              <w:pStyle w:val="TableText"/>
              <w:jc w:val="center"/>
              <w:rPr>
                <w:sz w:val="16"/>
              </w:rPr>
            </w:pPr>
            <w:r w:rsidRPr="00181EF3">
              <w:rPr>
                <w:sz w:val="16"/>
              </w:rPr>
              <w:t>DI</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0F7D7908" w14:textId="77777777" w:rsidR="005D05F9" w:rsidRPr="00181EF3" w:rsidRDefault="005D05F9" w:rsidP="005D05F9">
            <w:pPr>
              <w:pStyle w:val="TableText"/>
              <w:jc w:val="center"/>
              <w:rPr>
                <w:sz w:val="16"/>
              </w:rPr>
            </w:pPr>
            <w:r w:rsidRPr="00181EF3">
              <w:rPr>
                <w:sz w:val="16"/>
              </w:rPr>
              <w:t>DI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B98F3CF" w14:textId="77777777" w:rsidR="005D05F9" w:rsidRPr="00181EF3" w:rsidRDefault="005D05F9" w:rsidP="005D05F9">
            <w:pPr>
              <w:pStyle w:val="TableText"/>
              <w:jc w:val="center"/>
              <w:rPr>
                <w:sz w:val="16"/>
              </w:rPr>
            </w:pPr>
            <w:r w:rsidRPr="00181EF3">
              <w:rPr>
                <w:sz w:val="16"/>
              </w:rPr>
              <w:t>DI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5CE261E" w14:textId="77777777" w:rsidR="005D05F9" w:rsidRPr="00181EF3" w:rsidRDefault="005D05F9" w:rsidP="005D05F9">
            <w:pPr>
              <w:pStyle w:val="TableText"/>
              <w:jc w:val="center"/>
              <w:rPr>
                <w:sz w:val="16"/>
              </w:rPr>
            </w:pPr>
            <w:r w:rsidRPr="00181EF3">
              <w:rPr>
                <w:sz w:val="16"/>
              </w:rPr>
              <w:t>HD</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2098FF2D" w14:textId="77777777" w:rsidR="005D05F9" w:rsidRPr="00181EF3" w:rsidRDefault="005D05F9" w:rsidP="005D05F9">
            <w:pPr>
              <w:pStyle w:val="TableText"/>
              <w:jc w:val="center"/>
              <w:rPr>
                <w:sz w:val="16"/>
              </w:rPr>
            </w:pPr>
            <w:r w:rsidRPr="00181EF3">
              <w:rPr>
                <w:sz w:val="16"/>
              </w:rPr>
              <w:t>DI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882369E" w14:textId="77777777" w:rsidR="005D05F9" w:rsidRPr="00181EF3" w:rsidRDefault="005D05F9" w:rsidP="005D05F9">
            <w:pPr>
              <w:pStyle w:val="TableText"/>
              <w:jc w:val="center"/>
              <w:rPr>
                <w:sz w:val="16"/>
              </w:rPr>
            </w:pPr>
            <w:r w:rsidRPr="00181EF3">
              <w:rPr>
                <w:sz w:val="16"/>
              </w:rPr>
              <w:t>DI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6761A00" w14:textId="77777777" w:rsidR="005D05F9" w:rsidRPr="00181EF3" w:rsidRDefault="005D05F9" w:rsidP="005D05F9">
            <w:pPr>
              <w:pStyle w:val="TableText"/>
              <w:jc w:val="center"/>
              <w:rPr>
                <w:sz w:val="16"/>
              </w:rPr>
            </w:pPr>
            <w:r w:rsidRPr="00181EF3">
              <w:rPr>
                <w:sz w:val="16"/>
              </w:rPr>
              <w:t>DI</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1BD03A3C" w14:textId="77777777" w:rsidR="005D05F9" w:rsidRPr="00181EF3" w:rsidRDefault="005D05F9" w:rsidP="005D05F9">
            <w:pPr>
              <w:pStyle w:val="TableText"/>
              <w:jc w:val="center"/>
              <w:rPr>
                <w:sz w:val="16"/>
              </w:rPr>
            </w:pPr>
            <w:r w:rsidRPr="00181EF3">
              <w:rPr>
                <w:sz w:val="16"/>
              </w:rPr>
              <w:t>DI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E56C72C" w14:textId="77777777" w:rsidR="005D05F9" w:rsidRPr="00181EF3" w:rsidRDefault="005D05F9" w:rsidP="005D05F9">
            <w:pPr>
              <w:pStyle w:val="TableText"/>
              <w:jc w:val="center"/>
              <w:rPr>
                <w:sz w:val="16"/>
              </w:rPr>
            </w:pPr>
            <w:r w:rsidRPr="00181EF3">
              <w:rPr>
                <w:sz w:val="16"/>
              </w:rPr>
              <w:t>HD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2239F61" w14:textId="77777777" w:rsidR="005D05F9" w:rsidRPr="00181EF3" w:rsidRDefault="005D05F9" w:rsidP="005D05F9">
            <w:pPr>
              <w:pStyle w:val="TableText"/>
              <w:jc w:val="center"/>
              <w:rPr>
                <w:sz w:val="16"/>
              </w:rPr>
            </w:pPr>
            <w:r w:rsidRPr="00181EF3">
              <w:rPr>
                <w:sz w:val="16"/>
              </w:rPr>
              <w:t>DI</w:t>
            </w:r>
          </w:p>
        </w:tc>
      </w:tr>
      <w:tr w:rsidR="005D05F9" w:rsidRPr="00181EF3" w14:paraId="152F609B" w14:textId="77777777" w:rsidTr="005D05F9">
        <w:tc>
          <w:tcPr>
            <w:tcW w:w="567" w:type="dxa"/>
            <w:vMerge w:val="restart"/>
            <w:tcBorders>
              <w:top w:val="single" w:sz="4" w:space="0" w:color="A6A6A6" w:themeColor="background1" w:themeShade="A6"/>
            </w:tcBorders>
          </w:tcPr>
          <w:p w14:paraId="1CA00684" w14:textId="69CC06DF" w:rsidR="005D05F9" w:rsidRPr="00181EF3" w:rsidRDefault="00EC03A3" w:rsidP="005D05F9">
            <w:pPr>
              <w:pStyle w:val="TableText"/>
              <w:rPr>
                <w:sz w:val="16"/>
                <w:szCs w:val="16"/>
              </w:rPr>
            </w:pPr>
            <w:r>
              <w:rPr>
                <w:sz w:val="16"/>
                <w:szCs w:val="16"/>
              </w:rPr>
              <w:t>Non</w:t>
            </w:r>
            <w:r>
              <w:rPr>
                <w:sz w:val="16"/>
                <w:szCs w:val="16"/>
              </w:rPr>
              <w:noBreakHyphen/>
              <w:t>M</w:t>
            </w:r>
            <w:r w:rsidR="005D05F9" w:rsidRPr="00181EF3">
              <w:rPr>
                <w:sz w:val="16"/>
                <w:szCs w:val="16"/>
              </w:rPr>
              <w:t>āori</w:t>
            </w:r>
          </w:p>
        </w:tc>
        <w:tc>
          <w:tcPr>
            <w:tcW w:w="430" w:type="dxa"/>
            <w:tcBorders>
              <w:top w:val="single" w:sz="4" w:space="0" w:color="A6A6A6" w:themeColor="background1" w:themeShade="A6"/>
              <w:bottom w:val="single" w:sz="4" w:space="0" w:color="A6A6A6" w:themeColor="background1" w:themeShade="A6"/>
            </w:tcBorders>
            <w:shd w:val="clear" w:color="auto" w:fill="auto"/>
          </w:tcPr>
          <w:p w14:paraId="4226BB0A" w14:textId="77777777" w:rsidR="005D05F9" w:rsidRPr="00181EF3" w:rsidRDefault="005D05F9" w:rsidP="005D05F9">
            <w:pPr>
              <w:pStyle w:val="TableText"/>
              <w:jc w:val="center"/>
              <w:rPr>
                <w:sz w:val="16"/>
                <w:szCs w:val="16"/>
              </w:rPr>
            </w:pPr>
            <w:r w:rsidRPr="00181EF3">
              <w:rPr>
                <w:sz w:val="16"/>
                <w:szCs w:val="16"/>
              </w:rPr>
              <w:t>1</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62E2343D" w14:textId="77777777" w:rsidR="005D05F9" w:rsidRPr="00181EF3" w:rsidRDefault="005D05F9" w:rsidP="005D05F9">
            <w:pPr>
              <w:pStyle w:val="TableText"/>
              <w:jc w:val="center"/>
              <w:rPr>
                <w:sz w:val="16"/>
              </w:rPr>
            </w:pPr>
            <w:r w:rsidRPr="00181EF3">
              <w:rPr>
                <w:sz w:val="16"/>
              </w:rPr>
              <w:t>IHD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AFAFE8D" w14:textId="77777777" w:rsidR="005D05F9" w:rsidRPr="00181EF3" w:rsidRDefault="005D05F9" w:rsidP="005D05F9">
            <w:pPr>
              <w:pStyle w:val="TableText"/>
              <w:jc w:val="center"/>
              <w:rPr>
                <w:sz w:val="16"/>
              </w:rPr>
            </w:pPr>
            <w:r w:rsidRPr="00181EF3">
              <w:rPr>
                <w:sz w:val="16"/>
              </w:rPr>
              <w:t>IHD</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2A041A66" w14:textId="77777777" w:rsidR="005D05F9" w:rsidRPr="00181EF3" w:rsidRDefault="005D05F9" w:rsidP="005D05F9">
            <w:pPr>
              <w:pStyle w:val="TableText"/>
              <w:jc w:val="center"/>
              <w:rPr>
                <w:sz w:val="16"/>
              </w:rPr>
            </w:pPr>
            <w:r w:rsidRPr="00181EF3">
              <w:rPr>
                <w:sz w:val="16"/>
              </w:rPr>
              <w:t>IHD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A759737" w14:textId="77777777" w:rsidR="005D05F9" w:rsidRPr="00181EF3" w:rsidRDefault="005D05F9" w:rsidP="005D05F9">
            <w:pPr>
              <w:pStyle w:val="TableText"/>
              <w:jc w:val="center"/>
              <w:rPr>
                <w:sz w:val="16"/>
              </w:rPr>
            </w:pPr>
            <w:r w:rsidRPr="00181EF3">
              <w:rPr>
                <w:sz w:val="16"/>
              </w:rPr>
              <w:t>IHD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C3702DC" w14:textId="77777777" w:rsidR="005D05F9" w:rsidRPr="00181EF3" w:rsidRDefault="005D05F9" w:rsidP="005D05F9">
            <w:pPr>
              <w:pStyle w:val="TableText"/>
              <w:jc w:val="center"/>
              <w:rPr>
                <w:sz w:val="16"/>
              </w:rPr>
            </w:pPr>
            <w:r w:rsidRPr="00181EF3">
              <w:rPr>
                <w:sz w:val="16"/>
              </w:rPr>
              <w:t>IHD</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3575585C" w14:textId="77777777" w:rsidR="005D05F9" w:rsidRPr="00181EF3" w:rsidRDefault="005D05F9" w:rsidP="005D05F9">
            <w:pPr>
              <w:pStyle w:val="TableText"/>
              <w:jc w:val="center"/>
              <w:rPr>
                <w:sz w:val="16"/>
              </w:rPr>
            </w:pPr>
            <w:r w:rsidRPr="00181EF3">
              <w:rPr>
                <w:sz w:val="16"/>
              </w:rPr>
              <w:t>IHD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1CBA23A" w14:textId="77777777" w:rsidR="005D05F9" w:rsidRPr="00181EF3" w:rsidRDefault="005D05F9" w:rsidP="005D05F9">
            <w:pPr>
              <w:pStyle w:val="TableText"/>
              <w:jc w:val="center"/>
              <w:rPr>
                <w:sz w:val="16"/>
              </w:rPr>
            </w:pPr>
            <w:r w:rsidRPr="00181EF3">
              <w:rPr>
                <w:sz w:val="16"/>
              </w:rPr>
              <w:t>IHD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C1B7EFC" w14:textId="77777777" w:rsidR="005D05F9" w:rsidRPr="00181EF3" w:rsidRDefault="005D05F9" w:rsidP="005D05F9">
            <w:pPr>
              <w:pStyle w:val="TableText"/>
              <w:jc w:val="center"/>
              <w:rPr>
                <w:sz w:val="16"/>
              </w:rPr>
            </w:pPr>
            <w:r w:rsidRPr="00181EF3">
              <w:rPr>
                <w:sz w:val="16"/>
              </w:rPr>
              <w:t>IHD</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35E36363" w14:textId="77777777" w:rsidR="005D05F9" w:rsidRPr="00181EF3" w:rsidRDefault="005D05F9" w:rsidP="005D05F9">
            <w:pPr>
              <w:pStyle w:val="TableText"/>
              <w:jc w:val="center"/>
              <w:rPr>
                <w:sz w:val="16"/>
              </w:rPr>
            </w:pPr>
            <w:r w:rsidRPr="00181EF3">
              <w:rPr>
                <w:sz w:val="16"/>
              </w:rPr>
              <w:t>IHD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F689EA2" w14:textId="77777777" w:rsidR="005D05F9" w:rsidRPr="00181EF3" w:rsidRDefault="005D05F9" w:rsidP="005D05F9">
            <w:pPr>
              <w:pStyle w:val="TableText"/>
              <w:jc w:val="center"/>
              <w:rPr>
                <w:sz w:val="16"/>
              </w:rPr>
            </w:pPr>
            <w:r w:rsidRPr="00181EF3">
              <w:rPr>
                <w:sz w:val="16"/>
              </w:rPr>
              <w:t>IHD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B9AAC9B" w14:textId="77777777" w:rsidR="005D05F9" w:rsidRPr="00181EF3" w:rsidRDefault="005D05F9" w:rsidP="005D05F9">
            <w:pPr>
              <w:pStyle w:val="TableText"/>
              <w:jc w:val="center"/>
              <w:rPr>
                <w:sz w:val="16"/>
              </w:rPr>
            </w:pPr>
            <w:r w:rsidRPr="00181EF3">
              <w:rPr>
                <w:sz w:val="16"/>
              </w:rPr>
              <w:t>IHD</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17DC849D" w14:textId="77777777" w:rsidR="005D05F9" w:rsidRPr="00181EF3" w:rsidRDefault="005D05F9" w:rsidP="005D05F9">
            <w:pPr>
              <w:pStyle w:val="TableText"/>
              <w:jc w:val="center"/>
              <w:rPr>
                <w:sz w:val="16"/>
              </w:rPr>
            </w:pPr>
            <w:r w:rsidRPr="00181EF3">
              <w:rPr>
                <w:sz w:val="16"/>
              </w:rPr>
              <w:t>IHD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1D82766" w14:textId="77777777" w:rsidR="005D05F9" w:rsidRPr="00181EF3" w:rsidRDefault="005D05F9" w:rsidP="005D05F9">
            <w:pPr>
              <w:pStyle w:val="TableText"/>
              <w:jc w:val="center"/>
              <w:rPr>
                <w:sz w:val="16"/>
              </w:rPr>
            </w:pPr>
            <w:r w:rsidRPr="00181EF3">
              <w:rPr>
                <w:sz w:val="16"/>
              </w:rPr>
              <w:t>IHD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C6C158C" w14:textId="77777777" w:rsidR="005D05F9" w:rsidRPr="00181EF3" w:rsidRDefault="005D05F9" w:rsidP="005D05F9">
            <w:pPr>
              <w:pStyle w:val="TableText"/>
              <w:jc w:val="center"/>
              <w:rPr>
                <w:sz w:val="16"/>
              </w:rPr>
            </w:pPr>
            <w:r w:rsidRPr="00181EF3">
              <w:rPr>
                <w:sz w:val="16"/>
              </w:rPr>
              <w:t>IHD</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39837D1F" w14:textId="77777777" w:rsidR="005D05F9" w:rsidRPr="00181EF3" w:rsidRDefault="005D05F9" w:rsidP="005D05F9">
            <w:pPr>
              <w:pStyle w:val="TableText"/>
              <w:jc w:val="center"/>
              <w:rPr>
                <w:sz w:val="16"/>
              </w:rPr>
            </w:pPr>
            <w:r w:rsidRPr="00181EF3">
              <w:rPr>
                <w:sz w:val="16"/>
              </w:rPr>
              <w:t>IHD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463CFE7" w14:textId="77777777" w:rsidR="005D05F9" w:rsidRPr="00181EF3" w:rsidRDefault="005D05F9" w:rsidP="005D05F9">
            <w:pPr>
              <w:pStyle w:val="TableText"/>
              <w:jc w:val="center"/>
              <w:rPr>
                <w:sz w:val="16"/>
              </w:rPr>
            </w:pPr>
            <w:r w:rsidRPr="00181EF3">
              <w:rPr>
                <w:sz w:val="16"/>
              </w:rPr>
              <w:t>IHD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42B88E5" w14:textId="77777777" w:rsidR="005D05F9" w:rsidRPr="00181EF3" w:rsidRDefault="005D05F9" w:rsidP="005D05F9">
            <w:pPr>
              <w:pStyle w:val="TableText"/>
              <w:jc w:val="center"/>
              <w:rPr>
                <w:sz w:val="16"/>
              </w:rPr>
            </w:pPr>
            <w:r w:rsidRPr="00181EF3">
              <w:rPr>
                <w:sz w:val="16"/>
              </w:rPr>
              <w:t>IHD</w:t>
            </w:r>
          </w:p>
        </w:tc>
      </w:tr>
      <w:tr w:rsidR="005D05F9" w:rsidRPr="00181EF3" w14:paraId="26629DD4" w14:textId="77777777" w:rsidTr="005D05F9">
        <w:tc>
          <w:tcPr>
            <w:tcW w:w="567" w:type="dxa"/>
            <w:vMerge/>
          </w:tcPr>
          <w:p w14:paraId="5599E29D" w14:textId="77777777" w:rsidR="005D05F9" w:rsidRPr="00181EF3" w:rsidRDefault="005D05F9" w:rsidP="005D05F9">
            <w:pPr>
              <w:pStyle w:val="TableText"/>
              <w:rPr>
                <w:sz w:val="16"/>
                <w:szCs w:val="16"/>
              </w:rPr>
            </w:pPr>
          </w:p>
        </w:tc>
        <w:tc>
          <w:tcPr>
            <w:tcW w:w="430" w:type="dxa"/>
            <w:tcBorders>
              <w:top w:val="single" w:sz="4" w:space="0" w:color="A6A6A6" w:themeColor="background1" w:themeShade="A6"/>
              <w:bottom w:val="single" w:sz="4" w:space="0" w:color="A6A6A6" w:themeColor="background1" w:themeShade="A6"/>
            </w:tcBorders>
            <w:shd w:val="clear" w:color="auto" w:fill="auto"/>
          </w:tcPr>
          <w:p w14:paraId="0B9785BE" w14:textId="77777777" w:rsidR="005D05F9" w:rsidRPr="00181EF3" w:rsidRDefault="005D05F9" w:rsidP="005D05F9">
            <w:pPr>
              <w:pStyle w:val="TableText"/>
              <w:jc w:val="center"/>
              <w:rPr>
                <w:sz w:val="16"/>
                <w:szCs w:val="16"/>
              </w:rPr>
            </w:pPr>
            <w:r w:rsidRPr="00181EF3">
              <w:rPr>
                <w:sz w:val="16"/>
                <w:szCs w:val="16"/>
              </w:rPr>
              <w:t>2</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4EF2824B" w14:textId="77777777" w:rsidR="005D05F9" w:rsidRPr="00181EF3" w:rsidRDefault="005D05F9" w:rsidP="005D05F9">
            <w:pPr>
              <w:pStyle w:val="TableText"/>
              <w:jc w:val="center"/>
              <w:rPr>
                <w:sz w:val="16"/>
              </w:rPr>
            </w:pPr>
            <w:r w:rsidRPr="00181EF3">
              <w:rPr>
                <w:sz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87D60E5" w14:textId="77777777" w:rsidR="005D05F9" w:rsidRPr="00181EF3" w:rsidRDefault="005D05F9" w:rsidP="005D05F9">
            <w:pPr>
              <w:pStyle w:val="TableText"/>
              <w:jc w:val="center"/>
              <w:rPr>
                <w:sz w:val="16"/>
              </w:rPr>
            </w:pPr>
            <w:r w:rsidRPr="00181EF3">
              <w:rPr>
                <w:sz w:val="16"/>
              </w:rPr>
              <w:t>LC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0CFB0F61" w14:textId="77777777" w:rsidR="005D05F9" w:rsidRPr="00181EF3" w:rsidRDefault="005D05F9" w:rsidP="005D05F9">
            <w:pPr>
              <w:pStyle w:val="TableText"/>
              <w:jc w:val="center"/>
              <w:rPr>
                <w:sz w:val="16"/>
              </w:rPr>
            </w:pPr>
            <w:r w:rsidRPr="00181EF3">
              <w:rPr>
                <w:sz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689BC14" w14:textId="77777777" w:rsidR="005D05F9" w:rsidRPr="00181EF3" w:rsidRDefault="005D05F9" w:rsidP="005D05F9">
            <w:pPr>
              <w:pStyle w:val="TableText"/>
              <w:jc w:val="center"/>
              <w:rPr>
                <w:sz w:val="16"/>
              </w:rPr>
            </w:pPr>
            <w:r w:rsidRPr="00181EF3">
              <w:rPr>
                <w:sz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D011BD0" w14:textId="77777777" w:rsidR="005D05F9" w:rsidRPr="00181EF3" w:rsidRDefault="005D05F9" w:rsidP="005D05F9">
            <w:pPr>
              <w:pStyle w:val="TableText"/>
              <w:jc w:val="center"/>
              <w:rPr>
                <w:sz w:val="16"/>
              </w:rPr>
            </w:pPr>
            <w:r w:rsidRPr="00181EF3">
              <w:rPr>
                <w:sz w:val="16"/>
              </w:rPr>
              <w:t>CD</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6E94DE84" w14:textId="77777777" w:rsidR="005D05F9" w:rsidRPr="00181EF3" w:rsidRDefault="005D05F9" w:rsidP="005D05F9">
            <w:pPr>
              <w:pStyle w:val="TableText"/>
              <w:jc w:val="center"/>
              <w:rPr>
                <w:sz w:val="16"/>
              </w:rPr>
            </w:pPr>
            <w:r w:rsidRPr="00181EF3">
              <w:rPr>
                <w:sz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02953A1" w14:textId="77777777" w:rsidR="005D05F9" w:rsidRPr="00181EF3" w:rsidRDefault="005D05F9" w:rsidP="005D05F9">
            <w:pPr>
              <w:pStyle w:val="TableText"/>
              <w:jc w:val="center"/>
              <w:rPr>
                <w:sz w:val="16"/>
              </w:rPr>
            </w:pPr>
            <w:r w:rsidRPr="00181EF3">
              <w:rPr>
                <w:sz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C7A3410" w14:textId="77777777" w:rsidR="005D05F9" w:rsidRPr="00181EF3" w:rsidRDefault="005D05F9" w:rsidP="005D05F9">
            <w:pPr>
              <w:pStyle w:val="TableText"/>
              <w:jc w:val="center"/>
              <w:rPr>
                <w:sz w:val="16"/>
              </w:rPr>
            </w:pPr>
            <w:r w:rsidRPr="00181EF3">
              <w:rPr>
                <w:sz w:val="16"/>
              </w:rPr>
              <w:t>LC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672C04DB" w14:textId="77777777" w:rsidR="005D05F9" w:rsidRPr="00181EF3" w:rsidRDefault="005D05F9" w:rsidP="005D05F9">
            <w:pPr>
              <w:pStyle w:val="TableText"/>
              <w:jc w:val="center"/>
              <w:rPr>
                <w:sz w:val="16"/>
              </w:rPr>
            </w:pPr>
            <w:r w:rsidRPr="00181EF3">
              <w:rPr>
                <w:sz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EC3247F" w14:textId="77777777" w:rsidR="005D05F9" w:rsidRPr="00181EF3" w:rsidRDefault="005D05F9" w:rsidP="005D05F9">
            <w:pPr>
              <w:pStyle w:val="TableText"/>
              <w:jc w:val="center"/>
              <w:rPr>
                <w:sz w:val="16"/>
              </w:rPr>
            </w:pPr>
            <w:r w:rsidRPr="00181EF3">
              <w:rPr>
                <w:sz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F5BD4EF" w14:textId="77777777" w:rsidR="005D05F9" w:rsidRPr="00181EF3" w:rsidRDefault="005D05F9" w:rsidP="005D05F9">
            <w:pPr>
              <w:pStyle w:val="TableText"/>
              <w:jc w:val="center"/>
              <w:rPr>
                <w:sz w:val="16"/>
              </w:rPr>
            </w:pPr>
            <w:r w:rsidRPr="00181EF3">
              <w:rPr>
                <w:sz w:val="16"/>
              </w:rPr>
              <w:t>LC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4104A286" w14:textId="77777777" w:rsidR="005D05F9" w:rsidRPr="00181EF3" w:rsidRDefault="005D05F9" w:rsidP="005D05F9">
            <w:pPr>
              <w:pStyle w:val="TableText"/>
              <w:jc w:val="center"/>
              <w:rPr>
                <w:sz w:val="16"/>
              </w:rPr>
            </w:pPr>
            <w:r w:rsidRPr="00181EF3">
              <w:rPr>
                <w:sz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9DBD661" w14:textId="77777777" w:rsidR="005D05F9" w:rsidRPr="00181EF3" w:rsidRDefault="005D05F9" w:rsidP="005D05F9">
            <w:pPr>
              <w:pStyle w:val="TableText"/>
              <w:jc w:val="center"/>
              <w:rPr>
                <w:sz w:val="16"/>
              </w:rPr>
            </w:pPr>
            <w:r w:rsidRPr="00181EF3">
              <w:rPr>
                <w:sz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1BC3010" w14:textId="77777777" w:rsidR="005D05F9" w:rsidRPr="00181EF3" w:rsidRDefault="005D05F9" w:rsidP="005D05F9">
            <w:pPr>
              <w:pStyle w:val="TableText"/>
              <w:jc w:val="center"/>
              <w:rPr>
                <w:sz w:val="16"/>
              </w:rPr>
            </w:pPr>
            <w:r w:rsidRPr="00181EF3">
              <w:rPr>
                <w:sz w:val="16"/>
              </w:rPr>
              <w:t>LC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1B8CB413" w14:textId="77777777" w:rsidR="005D05F9" w:rsidRPr="00181EF3" w:rsidRDefault="005D05F9" w:rsidP="005D05F9">
            <w:pPr>
              <w:pStyle w:val="TableText"/>
              <w:jc w:val="center"/>
              <w:rPr>
                <w:sz w:val="16"/>
              </w:rPr>
            </w:pPr>
            <w:r w:rsidRPr="00181EF3">
              <w:rPr>
                <w:sz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FE503B5" w14:textId="77777777" w:rsidR="005D05F9" w:rsidRPr="00181EF3" w:rsidRDefault="005D05F9" w:rsidP="005D05F9">
            <w:pPr>
              <w:pStyle w:val="TableText"/>
              <w:jc w:val="center"/>
              <w:rPr>
                <w:sz w:val="16"/>
              </w:rPr>
            </w:pPr>
            <w:r w:rsidRPr="00181EF3">
              <w:rPr>
                <w:sz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FCC298C" w14:textId="77777777" w:rsidR="005D05F9" w:rsidRPr="00181EF3" w:rsidRDefault="005D05F9" w:rsidP="005D05F9">
            <w:pPr>
              <w:pStyle w:val="TableText"/>
              <w:jc w:val="center"/>
              <w:rPr>
                <w:sz w:val="16"/>
              </w:rPr>
            </w:pPr>
            <w:r w:rsidRPr="00181EF3">
              <w:rPr>
                <w:sz w:val="16"/>
              </w:rPr>
              <w:t>LC</w:t>
            </w:r>
          </w:p>
        </w:tc>
      </w:tr>
      <w:tr w:rsidR="005D05F9" w:rsidRPr="00181EF3" w14:paraId="68A67481" w14:textId="77777777" w:rsidTr="005D05F9">
        <w:tc>
          <w:tcPr>
            <w:tcW w:w="567" w:type="dxa"/>
            <w:vMerge/>
          </w:tcPr>
          <w:p w14:paraId="304D89CF" w14:textId="77777777" w:rsidR="005D05F9" w:rsidRPr="00181EF3" w:rsidRDefault="005D05F9" w:rsidP="005D05F9">
            <w:pPr>
              <w:pStyle w:val="TableText"/>
              <w:rPr>
                <w:sz w:val="16"/>
                <w:szCs w:val="16"/>
              </w:rPr>
            </w:pPr>
          </w:p>
        </w:tc>
        <w:tc>
          <w:tcPr>
            <w:tcW w:w="430" w:type="dxa"/>
            <w:tcBorders>
              <w:top w:val="single" w:sz="4" w:space="0" w:color="A6A6A6" w:themeColor="background1" w:themeShade="A6"/>
              <w:bottom w:val="single" w:sz="4" w:space="0" w:color="A6A6A6" w:themeColor="background1" w:themeShade="A6"/>
            </w:tcBorders>
            <w:shd w:val="clear" w:color="auto" w:fill="auto"/>
          </w:tcPr>
          <w:p w14:paraId="29ACA217" w14:textId="77777777" w:rsidR="005D05F9" w:rsidRPr="00181EF3" w:rsidRDefault="005D05F9" w:rsidP="005D05F9">
            <w:pPr>
              <w:pStyle w:val="TableText"/>
              <w:jc w:val="center"/>
              <w:rPr>
                <w:sz w:val="16"/>
                <w:szCs w:val="16"/>
              </w:rPr>
            </w:pPr>
            <w:r w:rsidRPr="00181EF3">
              <w:rPr>
                <w:sz w:val="16"/>
                <w:szCs w:val="16"/>
              </w:rPr>
              <w:t>3</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5ED328AA" w14:textId="77777777" w:rsidR="005D05F9" w:rsidRPr="00181EF3" w:rsidRDefault="005D05F9" w:rsidP="005D05F9">
            <w:pPr>
              <w:pStyle w:val="TableText"/>
              <w:jc w:val="center"/>
              <w:rPr>
                <w:sz w:val="16"/>
              </w:rPr>
            </w:pPr>
            <w:r w:rsidRPr="00181EF3">
              <w:rPr>
                <w:sz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5CBF991" w14:textId="77777777" w:rsidR="005D05F9" w:rsidRPr="00181EF3" w:rsidRDefault="005D05F9" w:rsidP="005D05F9">
            <w:pPr>
              <w:pStyle w:val="TableText"/>
              <w:jc w:val="center"/>
              <w:rPr>
                <w:sz w:val="16"/>
              </w:rPr>
            </w:pPr>
            <w:r w:rsidRPr="00181EF3">
              <w:rPr>
                <w:sz w:val="16"/>
              </w:rPr>
              <w:t>CD</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5D321A86" w14:textId="77777777" w:rsidR="005D05F9" w:rsidRPr="00181EF3" w:rsidRDefault="005D05F9" w:rsidP="005D05F9">
            <w:pPr>
              <w:pStyle w:val="TableText"/>
              <w:jc w:val="center"/>
              <w:rPr>
                <w:sz w:val="16"/>
              </w:rPr>
            </w:pPr>
            <w:r w:rsidRPr="00181EF3">
              <w:rPr>
                <w:sz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6306144" w14:textId="77777777" w:rsidR="005D05F9" w:rsidRPr="00181EF3" w:rsidRDefault="005D05F9" w:rsidP="005D05F9">
            <w:pPr>
              <w:pStyle w:val="TableText"/>
              <w:jc w:val="center"/>
              <w:rPr>
                <w:sz w:val="16"/>
              </w:rPr>
            </w:pPr>
            <w:r w:rsidRPr="00181EF3">
              <w:rPr>
                <w:sz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9105EB1" w14:textId="77777777" w:rsidR="005D05F9" w:rsidRPr="00181EF3" w:rsidRDefault="005D05F9" w:rsidP="005D05F9">
            <w:pPr>
              <w:pStyle w:val="TableText"/>
              <w:jc w:val="center"/>
              <w:rPr>
                <w:sz w:val="16"/>
              </w:rPr>
            </w:pPr>
            <w:r w:rsidRPr="00181EF3">
              <w:rPr>
                <w:sz w:val="16"/>
              </w:rPr>
              <w:t>LC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340DA935" w14:textId="77777777" w:rsidR="005D05F9" w:rsidRPr="00181EF3" w:rsidRDefault="005D05F9" w:rsidP="005D05F9">
            <w:pPr>
              <w:pStyle w:val="TableText"/>
              <w:jc w:val="center"/>
              <w:rPr>
                <w:sz w:val="16"/>
              </w:rPr>
            </w:pPr>
            <w:r w:rsidRPr="00181EF3">
              <w:rPr>
                <w:sz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B21283B" w14:textId="77777777" w:rsidR="005D05F9" w:rsidRPr="00181EF3" w:rsidRDefault="005D05F9" w:rsidP="005D05F9">
            <w:pPr>
              <w:pStyle w:val="TableText"/>
              <w:jc w:val="center"/>
              <w:rPr>
                <w:sz w:val="16"/>
              </w:rPr>
            </w:pPr>
            <w:r w:rsidRPr="00181EF3">
              <w:rPr>
                <w:sz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21107F9" w14:textId="77777777" w:rsidR="005D05F9" w:rsidRPr="00181EF3" w:rsidRDefault="005D05F9" w:rsidP="005D05F9">
            <w:pPr>
              <w:pStyle w:val="TableText"/>
              <w:jc w:val="center"/>
              <w:rPr>
                <w:sz w:val="16"/>
              </w:rPr>
            </w:pPr>
            <w:r w:rsidRPr="00181EF3">
              <w:rPr>
                <w:sz w:val="16"/>
              </w:rPr>
              <w:t>CD</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326B9933" w14:textId="77777777" w:rsidR="005D05F9" w:rsidRPr="00181EF3" w:rsidRDefault="005D05F9" w:rsidP="005D05F9">
            <w:pPr>
              <w:pStyle w:val="TableText"/>
              <w:jc w:val="center"/>
              <w:rPr>
                <w:sz w:val="16"/>
              </w:rPr>
            </w:pPr>
            <w:r w:rsidRPr="00181EF3">
              <w:rPr>
                <w:sz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4E106C7" w14:textId="77777777" w:rsidR="005D05F9" w:rsidRPr="00181EF3" w:rsidRDefault="005D05F9" w:rsidP="005D05F9">
            <w:pPr>
              <w:pStyle w:val="TableText"/>
              <w:jc w:val="center"/>
              <w:rPr>
                <w:sz w:val="16"/>
              </w:rPr>
            </w:pPr>
            <w:r w:rsidRPr="00181EF3">
              <w:rPr>
                <w:sz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7CDE48C" w14:textId="77777777" w:rsidR="005D05F9" w:rsidRPr="00181EF3" w:rsidRDefault="005D05F9" w:rsidP="005D05F9">
            <w:pPr>
              <w:pStyle w:val="TableText"/>
              <w:jc w:val="center"/>
              <w:rPr>
                <w:sz w:val="16"/>
              </w:rPr>
            </w:pPr>
            <w:r w:rsidRPr="00181EF3">
              <w:rPr>
                <w:sz w:val="16"/>
              </w:rPr>
              <w:t>CD</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20C5AA0D" w14:textId="77777777" w:rsidR="005D05F9" w:rsidRPr="00181EF3" w:rsidRDefault="005D05F9" w:rsidP="005D05F9">
            <w:pPr>
              <w:pStyle w:val="TableText"/>
              <w:jc w:val="center"/>
              <w:rPr>
                <w:sz w:val="16"/>
              </w:rPr>
            </w:pPr>
            <w:r w:rsidRPr="00181EF3">
              <w:rPr>
                <w:sz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A196A5F" w14:textId="77777777" w:rsidR="005D05F9" w:rsidRPr="00181EF3" w:rsidRDefault="005D05F9" w:rsidP="005D05F9">
            <w:pPr>
              <w:pStyle w:val="TableText"/>
              <w:jc w:val="center"/>
              <w:rPr>
                <w:sz w:val="16"/>
              </w:rPr>
            </w:pPr>
            <w:r w:rsidRPr="00181EF3">
              <w:rPr>
                <w:sz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C129A74" w14:textId="77777777" w:rsidR="005D05F9" w:rsidRPr="00181EF3" w:rsidRDefault="005D05F9" w:rsidP="005D05F9">
            <w:pPr>
              <w:pStyle w:val="TableText"/>
              <w:jc w:val="center"/>
              <w:rPr>
                <w:sz w:val="16"/>
              </w:rPr>
            </w:pPr>
            <w:r w:rsidRPr="00181EF3">
              <w:rPr>
                <w:sz w:val="16"/>
              </w:rPr>
              <w:t>CD</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10BC02C0" w14:textId="77777777" w:rsidR="005D05F9" w:rsidRPr="00181EF3" w:rsidRDefault="005D05F9" w:rsidP="005D05F9">
            <w:pPr>
              <w:pStyle w:val="TableText"/>
              <w:jc w:val="center"/>
              <w:rPr>
                <w:sz w:val="16"/>
              </w:rPr>
            </w:pPr>
            <w:r w:rsidRPr="00181EF3">
              <w:rPr>
                <w:sz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7C2327B" w14:textId="77777777" w:rsidR="005D05F9" w:rsidRPr="00181EF3" w:rsidRDefault="005D05F9" w:rsidP="005D05F9">
            <w:pPr>
              <w:pStyle w:val="TableText"/>
              <w:jc w:val="center"/>
              <w:rPr>
                <w:sz w:val="16"/>
              </w:rPr>
            </w:pPr>
            <w:r w:rsidRPr="00181EF3">
              <w:rPr>
                <w:sz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0174B0A" w14:textId="77777777" w:rsidR="005D05F9" w:rsidRPr="00181EF3" w:rsidRDefault="005D05F9" w:rsidP="005D05F9">
            <w:pPr>
              <w:pStyle w:val="TableText"/>
              <w:jc w:val="center"/>
              <w:rPr>
                <w:sz w:val="16"/>
              </w:rPr>
            </w:pPr>
            <w:r w:rsidRPr="00181EF3">
              <w:rPr>
                <w:sz w:val="16"/>
              </w:rPr>
              <w:t>CD</w:t>
            </w:r>
          </w:p>
        </w:tc>
      </w:tr>
      <w:tr w:rsidR="005D05F9" w:rsidRPr="00181EF3" w14:paraId="5A5225AC" w14:textId="77777777" w:rsidTr="005D05F9">
        <w:tc>
          <w:tcPr>
            <w:tcW w:w="567" w:type="dxa"/>
            <w:vMerge/>
          </w:tcPr>
          <w:p w14:paraId="54D069B4" w14:textId="77777777" w:rsidR="005D05F9" w:rsidRPr="00181EF3" w:rsidRDefault="005D05F9" w:rsidP="005D05F9">
            <w:pPr>
              <w:pStyle w:val="TableText"/>
              <w:rPr>
                <w:sz w:val="16"/>
                <w:szCs w:val="16"/>
              </w:rPr>
            </w:pPr>
          </w:p>
        </w:tc>
        <w:tc>
          <w:tcPr>
            <w:tcW w:w="430" w:type="dxa"/>
            <w:tcBorders>
              <w:top w:val="single" w:sz="4" w:space="0" w:color="A6A6A6" w:themeColor="background1" w:themeShade="A6"/>
              <w:bottom w:val="single" w:sz="4" w:space="0" w:color="A6A6A6" w:themeColor="background1" w:themeShade="A6"/>
            </w:tcBorders>
            <w:shd w:val="clear" w:color="auto" w:fill="auto"/>
          </w:tcPr>
          <w:p w14:paraId="5A740D5C" w14:textId="77777777" w:rsidR="005D05F9" w:rsidRPr="00181EF3" w:rsidRDefault="005D05F9" w:rsidP="005D05F9">
            <w:pPr>
              <w:pStyle w:val="TableText"/>
              <w:jc w:val="center"/>
              <w:rPr>
                <w:sz w:val="16"/>
                <w:szCs w:val="16"/>
              </w:rPr>
            </w:pPr>
            <w:r w:rsidRPr="00181EF3">
              <w:rPr>
                <w:sz w:val="16"/>
                <w:szCs w:val="16"/>
              </w:rPr>
              <w:t>4</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31315CA3" w14:textId="77777777" w:rsidR="005D05F9" w:rsidRPr="00181EF3" w:rsidRDefault="005D05F9" w:rsidP="005D05F9">
            <w:pPr>
              <w:pStyle w:val="TableText"/>
              <w:jc w:val="center"/>
              <w:rPr>
                <w:sz w:val="16"/>
              </w:rPr>
            </w:pPr>
            <w:r w:rsidRPr="00181EF3">
              <w:rPr>
                <w:sz w:val="16"/>
              </w:rPr>
              <w:t>SU</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DBBA75D" w14:textId="77777777" w:rsidR="005D05F9" w:rsidRPr="00181EF3" w:rsidRDefault="005D05F9" w:rsidP="005D05F9">
            <w:pPr>
              <w:pStyle w:val="TableText"/>
              <w:jc w:val="center"/>
              <w:rPr>
                <w:sz w:val="16"/>
              </w:rPr>
            </w:pPr>
            <w:r w:rsidRPr="00181EF3">
              <w:rPr>
                <w:sz w:val="16"/>
              </w:rPr>
              <w:t>SU</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331085EF" w14:textId="77777777" w:rsidR="005D05F9" w:rsidRPr="00181EF3" w:rsidRDefault="005D05F9" w:rsidP="005D05F9">
            <w:pPr>
              <w:pStyle w:val="TableText"/>
              <w:jc w:val="center"/>
              <w:rPr>
                <w:sz w:val="16"/>
              </w:rPr>
            </w:pPr>
            <w:r w:rsidRPr="00181EF3">
              <w:rPr>
                <w:sz w:val="16"/>
              </w:rPr>
              <w:t>SU</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BEEF1ED" w14:textId="77777777" w:rsidR="005D05F9" w:rsidRPr="00181EF3" w:rsidRDefault="005D05F9" w:rsidP="005D05F9">
            <w:pPr>
              <w:pStyle w:val="TableText"/>
              <w:jc w:val="center"/>
              <w:rPr>
                <w:sz w:val="16"/>
              </w:rPr>
            </w:pPr>
            <w:r w:rsidRPr="00181EF3">
              <w:rPr>
                <w:sz w:val="16"/>
              </w:rPr>
              <w:t>SU</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8C3CB3E" w14:textId="77777777" w:rsidR="005D05F9" w:rsidRPr="00181EF3" w:rsidRDefault="005D05F9" w:rsidP="005D05F9">
            <w:pPr>
              <w:pStyle w:val="TableText"/>
              <w:jc w:val="center"/>
              <w:rPr>
                <w:sz w:val="16"/>
              </w:rPr>
            </w:pPr>
            <w:r w:rsidRPr="00181EF3">
              <w:rPr>
                <w:sz w:val="16"/>
              </w:rPr>
              <w:t>SU</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4A58E190" w14:textId="77777777" w:rsidR="005D05F9" w:rsidRPr="00181EF3" w:rsidRDefault="005D05F9" w:rsidP="005D05F9">
            <w:pPr>
              <w:pStyle w:val="TableText"/>
              <w:jc w:val="center"/>
              <w:rPr>
                <w:sz w:val="16"/>
              </w:rPr>
            </w:pPr>
            <w:r w:rsidRPr="00181EF3">
              <w:rPr>
                <w:sz w:val="16"/>
              </w:rPr>
              <w:t>SU</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ED23B8F" w14:textId="77777777" w:rsidR="005D05F9" w:rsidRPr="00181EF3" w:rsidRDefault="005D05F9" w:rsidP="005D05F9">
            <w:pPr>
              <w:pStyle w:val="TableText"/>
              <w:jc w:val="center"/>
              <w:rPr>
                <w:sz w:val="16"/>
              </w:rPr>
            </w:pPr>
            <w:r w:rsidRPr="00181EF3">
              <w:rPr>
                <w:sz w:val="16"/>
              </w:rPr>
              <w:t>SU</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243CC84" w14:textId="77777777" w:rsidR="005D05F9" w:rsidRPr="00181EF3" w:rsidRDefault="005D05F9" w:rsidP="005D05F9">
            <w:pPr>
              <w:pStyle w:val="TableText"/>
              <w:jc w:val="center"/>
              <w:rPr>
                <w:sz w:val="16"/>
              </w:rPr>
            </w:pPr>
            <w:r w:rsidRPr="00181EF3">
              <w:rPr>
                <w:sz w:val="16"/>
              </w:rPr>
              <w:t>SU</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2E09CF8D" w14:textId="77777777" w:rsidR="005D05F9" w:rsidRPr="00181EF3" w:rsidRDefault="005D05F9" w:rsidP="005D05F9">
            <w:pPr>
              <w:pStyle w:val="TableText"/>
              <w:jc w:val="center"/>
              <w:rPr>
                <w:sz w:val="16"/>
              </w:rPr>
            </w:pPr>
            <w:r w:rsidRPr="00181EF3">
              <w:rPr>
                <w:sz w:val="16"/>
              </w:rPr>
              <w:t>SU</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96C27C4" w14:textId="77777777" w:rsidR="005D05F9" w:rsidRPr="00181EF3" w:rsidRDefault="005D05F9" w:rsidP="005D05F9">
            <w:pPr>
              <w:pStyle w:val="TableText"/>
              <w:jc w:val="center"/>
              <w:rPr>
                <w:sz w:val="16"/>
              </w:rPr>
            </w:pPr>
            <w:r w:rsidRPr="00181EF3">
              <w:rPr>
                <w:sz w:val="16"/>
              </w:rPr>
              <w:t>SU</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53E7859" w14:textId="77777777" w:rsidR="005D05F9" w:rsidRPr="00181EF3" w:rsidRDefault="005D05F9" w:rsidP="005D05F9">
            <w:pPr>
              <w:pStyle w:val="TableText"/>
              <w:jc w:val="center"/>
              <w:rPr>
                <w:sz w:val="16"/>
              </w:rPr>
            </w:pPr>
            <w:r w:rsidRPr="00181EF3">
              <w:rPr>
                <w:sz w:val="16"/>
              </w:rPr>
              <w:t>SU</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589BC89F" w14:textId="77777777" w:rsidR="005D05F9" w:rsidRPr="00181EF3" w:rsidRDefault="005D05F9" w:rsidP="005D05F9">
            <w:pPr>
              <w:pStyle w:val="TableText"/>
              <w:jc w:val="center"/>
              <w:rPr>
                <w:sz w:val="16"/>
              </w:rPr>
            </w:pPr>
            <w:r w:rsidRPr="00181EF3">
              <w:rPr>
                <w:sz w:val="16"/>
              </w:rPr>
              <w:t>SU</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B6C50E1" w14:textId="77777777" w:rsidR="005D05F9" w:rsidRPr="00181EF3" w:rsidRDefault="005D05F9" w:rsidP="005D05F9">
            <w:pPr>
              <w:pStyle w:val="TableText"/>
              <w:jc w:val="center"/>
              <w:rPr>
                <w:sz w:val="16"/>
              </w:rPr>
            </w:pPr>
            <w:r w:rsidRPr="00181EF3">
              <w:rPr>
                <w:sz w:val="16"/>
              </w:rPr>
              <w:t>SU</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567AEC4" w14:textId="77777777" w:rsidR="005D05F9" w:rsidRPr="00181EF3" w:rsidRDefault="005D05F9" w:rsidP="005D05F9">
            <w:pPr>
              <w:pStyle w:val="TableText"/>
              <w:jc w:val="center"/>
              <w:rPr>
                <w:sz w:val="16"/>
              </w:rPr>
            </w:pPr>
            <w:r w:rsidRPr="00181EF3">
              <w:rPr>
                <w:sz w:val="16"/>
              </w:rPr>
              <w:t>SU</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65A865C0" w14:textId="77777777" w:rsidR="005D05F9" w:rsidRPr="00181EF3" w:rsidRDefault="005D05F9" w:rsidP="005D05F9">
            <w:pPr>
              <w:pStyle w:val="TableText"/>
              <w:jc w:val="center"/>
              <w:rPr>
                <w:sz w:val="16"/>
              </w:rPr>
            </w:pPr>
            <w:r w:rsidRPr="00181EF3">
              <w:rPr>
                <w:sz w:val="16"/>
              </w:rPr>
              <w:t>SU</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8545AB5" w14:textId="77777777" w:rsidR="005D05F9" w:rsidRPr="00181EF3" w:rsidRDefault="005D05F9" w:rsidP="005D05F9">
            <w:pPr>
              <w:pStyle w:val="TableText"/>
              <w:jc w:val="center"/>
              <w:rPr>
                <w:sz w:val="16"/>
              </w:rPr>
            </w:pPr>
            <w:r w:rsidRPr="00181EF3">
              <w:rPr>
                <w:sz w:val="16"/>
              </w:rPr>
              <w:t>SU</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7289112" w14:textId="77777777" w:rsidR="005D05F9" w:rsidRPr="00181EF3" w:rsidRDefault="005D05F9" w:rsidP="005D05F9">
            <w:pPr>
              <w:pStyle w:val="TableText"/>
              <w:jc w:val="center"/>
              <w:rPr>
                <w:sz w:val="16"/>
              </w:rPr>
            </w:pPr>
            <w:r w:rsidRPr="00181EF3">
              <w:rPr>
                <w:sz w:val="16"/>
              </w:rPr>
              <w:t>SU</w:t>
            </w:r>
          </w:p>
        </w:tc>
      </w:tr>
      <w:tr w:rsidR="005D05F9" w:rsidRPr="00181EF3" w14:paraId="079447AA" w14:textId="77777777" w:rsidTr="005D05F9">
        <w:tc>
          <w:tcPr>
            <w:tcW w:w="567" w:type="dxa"/>
            <w:vMerge/>
            <w:tcBorders>
              <w:bottom w:val="single" w:sz="4" w:space="0" w:color="A6A6A6" w:themeColor="background1" w:themeShade="A6"/>
            </w:tcBorders>
          </w:tcPr>
          <w:p w14:paraId="1C7C11ED" w14:textId="77777777" w:rsidR="005D05F9" w:rsidRPr="00181EF3" w:rsidRDefault="005D05F9" w:rsidP="005D05F9">
            <w:pPr>
              <w:pStyle w:val="TableText"/>
              <w:rPr>
                <w:sz w:val="16"/>
                <w:szCs w:val="16"/>
              </w:rPr>
            </w:pPr>
          </w:p>
        </w:tc>
        <w:tc>
          <w:tcPr>
            <w:tcW w:w="430" w:type="dxa"/>
            <w:tcBorders>
              <w:top w:val="single" w:sz="4" w:space="0" w:color="A6A6A6" w:themeColor="background1" w:themeShade="A6"/>
              <w:bottom w:val="single" w:sz="4" w:space="0" w:color="A6A6A6" w:themeColor="background1" w:themeShade="A6"/>
            </w:tcBorders>
            <w:shd w:val="clear" w:color="auto" w:fill="auto"/>
          </w:tcPr>
          <w:p w14:paraId="5EC86DCA" w14:textId="77777777" w:rsidR="005D05F9" w:rsidRPr="00181EF3" w:rsidRDefault="005D05F9" w:rsidP="005D05F9">
            <w:pPr>
              <w:pStyle w:val="TableText"/>
              <w:jc w:val="center"/>
              <w:rPr>
                <w:sz w:val="16"/>
                <w:szCs w:val="16"/>
              </w:rPr>
            </w:pPr>
            <w:r w:rsidRPr="00181EF3">
              <w:rPr>
                <w:sz w:val="16"/>
                <w:szCs w:val="16"/>
              </w:rPr>
              <w:t>5</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4A28BD2B" w14:textId="77777777" w:rsidR="005D05F9" w:rsidRPr="00181EF3" w:rsidRDefault="005D05F9" w:rsidP="005D05F9">
            <w:pPr>
              <w:pStyle w:val="TableText"/>
              <w:jc w:val="center"/>
              <w:rPr>
                <w:sz w:val="16"/>
              </w:rPr>
            </w:pPr>
            <w:r w:rsidRPr="00181EF3">
              <w:rPr>
                <w:sz w:val="16"/>
              </w:rPr>
              <w:t>CC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7EDEBD9" w14:textId="77777777" w:rsidR="005D05F9" w:rsidRPr="00181EF3" w:rsidRDefault="005D05F9" w:rsidP="005D05F9">
            <w:pPr>
              <w:pStyle w:val="TableText"/>
              <w:jc w:val="center"/>
              <w:rPr>
                <w:sz w:val="16"/>
              </w:rPr>
            </w:pPr>
            <w:r w:rsidRPr="00181EF3">
              <w:rPr>
                <w:sz w:val="16"/>
              </w:rPr>
              <w:t>CC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1D7D936A" w14:textId="77777777" w:rsidR="005D05F9" w:rsidRPr="00181EF3" w:rsidRDefault="005D05F9" w:rsidP="005D05F9">
            <w:pPr>
              <w:pStyle w:val="TableText"/>
              <w:jc w:val="center"/>
              <w:rPr>
                <w:sz w:val="16"/>
              </w:rPr>
            </w:pPr>
            <w:r w:rsidRPr="00181EF3">
              <w:rPr>
                <w:sz w:val="16"/>
              </w:rPr>
              <w:t>CC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58D0A18" w14:textId="77777777" w:rsidR="005D05F9" w:rsidRPr="00181EF3" w:rsidRDefault="005D05F9" w:rsidP="005D05F9">
            <w:pPr>
              <w:pStyle w:val="TableText"/>
              <w:jc w:val="center"/>
              <w:rPr>
                <w:sz w:val="16"/>
              </w:rPr>
            </w:pPr>
            <w:r w:rsidRPr="00181EF3">
              <w:rPr>
                <w:sz w:val="16"/>
              </w:rPr>
              <w:t>CC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EC92A96" w14:textId="77777777" w:rsidR="005D05F9" w:rsidRPr="00181EF3" w:rsidRDefault="005D05F9" w:rsidP="005D05F9">
            <w:pPr>
              <w:pStyle w:val="TableText"/>
              <w:jc w:val="center"/>
              <w:rPr>
                <w:sz w:val="16"/>
              </w:rPr>
            </w:pPr>
            <w:r w:rsidRPr="00181EF3">
              <w:rPr>
                <w:sz w:val="16"/>
              </w:rPr>
              <w:t>CC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46739DAD" w14:textId="77777777" w:rsidR="005D05F9" w:rsidRPr="00181EF3" w:rsidRDefault="005D05F9" w:rsidP="005D05F9">
            <w:pPr>
              <w:pStyle w:val="TableText"/>
              <w:jc w:val="center"/>
              <w:rPr>
                <w:sz w:val="16"/>
              </w:rPr>
            </w:pPr>
            <w:r w:rsidRPr="00181EF3">
              <w:rPr>
                <w:sz w:val="16"/>
              </w:rPr>
              <w:t>CPD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C74BFE0" w14:textId="77777777" w:rsidR="005D05F9" w:rsidRPr="00181EF3" w:rsidRDefault="005D05F9" w:rsidP="005D05F9">
            <w:pPr>
              <w:pStyle w:val="TableText"/>
              <w:jc w:val="center"/>
              <w:rPr>
                <w:sz w:val="16"/>
              </w:rPr>
            </w:pPr>
            <w:r w:rsidRPr="00181EF3">
              <w:rPr>
                <w:sz w:val="16"/>
              </w:rPr>
              <w:t>CPD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5F1DFE7" w14:textId="77777777" w:rsidR="005D05F9" w:rsidRPr="00181EF3" w:rsidRDefault="005D05F9" w:rsidP="005D05F9">
            <w:pPr>
              <w:pStyle w:val="TableText"/>
              <w:jc w:val="center"/>
              <w:rPr>
                <w:sz w:val="16"/>
              </w:rPr>
            </w:pPr>
            <w:r w:rsidRPr="00181EF3">
              <w:rPr>
                <w:sz w:val="16"/>
              </w:rPr>
              <w:t>CC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2B274722" w14:textId="77777777" w:rsidR="005D05F9" w:rsidRPr="00181EF3" w:rsidRDefault="005D05F9" w:rsidP="005D05F9">
            <w:pPr>
              <w:pStyle w:val="TableText"/>
              <w:jc w:val="center"/>
              <w:rPr>
                <w:sz w:val="16"/>
              </w:rPr>
            </w:pPr>
            <w:r w:rsidRPr="00181EF3">
              <w:rPr>
                <w:sz w:val="16"/>
              </w:rPr>
              <w:t>CC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CE0AF42" w14:textId="77777777" w:rsidR="005D05F9" w:rsidRPr="00181EF3" w:rsidRDefault="005D05F9" w:rsidP="005D05F9">
            <w:pPr>
              <w:pStyle w:val="TableText"/>
              <w:jc w:val="center"/>
              <w:rPr>
                <w:sz w:val="16"/>
              </w:rPr>
            </w:pPr>
            <w:r w:rsidRPr="00181EF3">
              <w:rPr>
                <w:sz w:val="16"/>
              </w:rPr>
              <w:t>CC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2B02A86" w14:textId="77777777" w:rsidR="005D05F9" w:rsidRPr="00181EF3" w:rsidRDefault="005D05F9" w:rsidP="005D05F9">
            <w:pPr>
              <w:pStyle w:val="TableText"/>
              <w:jc w:val="center"/>
              <w:rPr>
                <w:sz w:val="16"/>
              </w:rPr>
            </w:pPr>
            <w:r w:rsidRPr="00181EF3">
              <w:rPr>
                <w:sz w:val="16"/>
              </w:rPr>
              <w:t>CC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6B5C55AE" w14:textId="77777777" w:rsidR="005D05F9" w:rsidRPr="00181EF3" w:rsidRDefault="005D05F9" w:rsidP="005D05F9">
            <w:pPr>
              <w:pStyle w:val="TableText"/>
              <w:jc w:val="center"/>
              <w:rPr>
                <w:sz w:val="16"/>
              </w:rPr>
            </w:pPr>
            <w:r w:rsidRPr="00181EF3">
              <w:rPr>
                <w:sz w:val="16"/>
              </w:rPr>
              <w:t>CC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04FEFEB" w14:textId="77777777" w:rsidR="005D05F9" w:rsidRPr="00181EF3" w:rsidRDefault="005D05F9" w:rsidP="005D05F9">
            <w:pPr>
              <w:pStyle w:val="TableText"/>
              <w:jc w:val="center"/>
              <w:rPr>
                <w:sz w:val="16"/>
              </w:rPr>
            </w:pPr>
            <w:r w:rsidRPr="00181EF3">
              <w:rPr>
                <w:sz w:val="16"/>
              </w:rPr>
              <w:t>CC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5B3E004" w14:textId="77777777" w:rsidR="005D05F9" w:rsidRPr="00181EF3" w:rsidRDefault="005D05F9" w:rsidP="005D05F9">
            <w:pPr>
              <w:pStyle w:val="TableText"/>
              <w:jc w:val="center"/>
              <w:rPr>
                <w:sz w:val="16"/>
              </w:rPr>
            </w:pPr>
            <w:r w:rsidRPr="00181EF3">
              <w:rPr>
                <w:sz w:val="16"/>
              </w:rPr>
              <w:t>CC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00A5C489" w14:textId="77777777" w:rsidR="005D05F9" w:rsidRPr="00181EF3" w:rsidRDefault="005D05F9" w:rsidP="005D05F9">
            <w:pPr>
              <w:pStyle w:val="TableText"/>
              <w:jc w:val="center"/>
              <w:rPr>
                <w:sz w:val="16"/>
              </w:rPr>
            </w:pPr>
            <w:r w:rsidRPr="00181EF3">
              <w:rPr>
                <w:sz w:val="16"/>
              </w:rPr>
              <w:t>CC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2716F64" w14:textId="77777777" w:rsidR="005D05F9" w:rsidRPr="00181EF3" w:rsidRDefault="005D05F9" w:rsidP="005D05F9">
            <w:pPr>
              <w:pStyle w:val="TableText"/>
              <w:jc w:val="center"/>
              <w:rPr>
                <w:sz w:val="16"/>
              </w:rPr>
            </w:pPr>
            <w:r w:rsidRPr="00181EF3">
              <w:rPr>
                <w:sz w:val="16"/>
              </w:rPr>
              <w:t>CC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4CB554E" w14:textId="77777777" w:rsidR="005D05F9" w:rsidRPr="00181EF3" w:rsidRDefault="005D05F9" w:rsidP="005D05F9">
            <w:pPr>
              <w:pStyle w:val="TableText"/>
              <w:jc w:val="center"/>
              <w:rPr>
                <w:sz w:val="16"/>
              </w:rPr>
            </w:pPr>
            <w:r w:rsidRPr="00181EF3">
              <w:rPr>
                <w:sz w:val="16"/>
              </w:rPr>
              <w:t>CC</w:t>
            </w:r>
          </w:p>
        </w:tc>
      </w:tr>
    </w:tbl>
    <w:p w14:paraId="5E8DEC52" w14:textId="77777777" w:rsidR="00CD34CF" w:rsidRPr="00181EF3" w:rsidRDefault="00CD34CF" w:rsidP="00CD34CF">
      <w:pPr>
        <w:pStyle w:val="Note"/>
      </w:pPr>
      <w:r>
        <w:t>N</w:t>
      </w:r>
      <w:r w:rsidRPr="009074BE">
        <w:t>ote:</w:t>
      </w:r>
      <w:r>
        <w:t xml:space="preserve"> Prioritised ethnicity has been used.</w:t>
      </w:r>
    </w:p>
    <w:p w14:paraId="05AFDC09" w14:textId="2DC52F8A" w:rsidR="005D05F9" w:rsidRPr="00181EF3" w:rsidRDefault="005D05F9" w:rsidP="005D05F9">
      <w:pPr>
        <w:pStyle w:val="Source"/>
      </w:pPr>
      <w:r w:rsidRPr="00181EF3">
        <w:t>Source: Mortality Collection Data Set (MORT), Ministry of Health</w:t>
      </w:r>
      <w:r w:rsidR="0094130D">
        <w:t>,</w:t>
      </w:r>
      <w:r w:rsidRPr="00181EF3">
        <w:t xml:space="preserve"> 1996–201</w:t>
      </w:r>
      <w:r>
        <w:t>4</w:t>
      </w:r>
      <w:r w:rsidRPr="00181EF3">
        <w:t>.</w:t>
      </w:r>
    </w:p>
    <w:p w14:paraId="4698FB5E" w14:textId="77777777" w:rsidR="005D05F9" w:rsidRPr="00181EF3" w:rsidRDefault="005D05F9" w:rsidP="005D05F9"/>
    <w:p w14:paraId="75F02487" w14:textId="6F73EC21" w:rsidR="005D05F9" w:rsidRPr="00181EF3" w:rsidRDefault="005D05F9" w:rsidP="005D05F9">
      <w:r w:rsidRPr="00181EF3">
        <w:t xml:space="preserve">Table </w:t>
      </w:r>
      <w:r w:rsidR="00CD34CF">
        <w:t>20</w:t>
      </w:r>
      <w:r w:rsidRPr="00181EF3">
        <w:t xml:space="preserve"> shows the ranking of the major causes of premature death, ranked by years of life lost, for Māori and </w:t>
      </w:r>
      <w:r w:rsidR="00EC03A3">
        <w:t>non</w:t>
      </w:r>
      <w:r w:rsidR="00EC03A3">
        <w:noBreakHyphen/>
        <w:t>M</w:t>
      </w:r>
      <w:r w:rsidRPr="00181EF3">
        <w:t>āori males between 1996–98 and 2012–14.</w:t>
      </w:r>
    </w:p>
    <w:p w14:paraId="18B65804" w14:textId="77777777" w:rsidR="005D05F9" w:rsidRPr="00181EF3" w:rsidRDefault="005D05F9" w:rsidP="005D05F9"/>
    <w:p w14:paraId="265B466E" w14:textId="424487E6" w:rsidR="005D05F9" w:rsidRPr="00181EF3" w:rsidRDefault="005D05F9" w:rsidP="005D05F9">
      <w:r w:rsidRPr="00181EF3">
        <w:t xml:space="preserve">The leading cause of premature death, ranked by years of life lost, for Māori and </w:t>
      </w:r>
      <w:r w:rsidR="00EC03A3">
        <w:t>non</w:t>
      </w:r>
      <w:r w:rsidR="00EC03A3">
        <w:noBreakHyphen/>
        <w:t>M</w:t>
      </w:r>
      <w:r w:rsidRPr="00181EF3">
        <w:t>āori males was ischaemic heart disease between 1996–98 and 2012–14.</w:t>
      </w:r>
    </w:p>
    <w:p w14:paraId="16A9AD8D" w14:textId="77777777" w:rsidR="005D05F9" w:rsidRPr="00181EF3" w:rsidRDefault="005D05F9" w:rsidP="005D05F9"/>
    <w:p w14:paraId="0673A78F" w14:textId="77777777" w:rsidR="005D05F9" w:rsidRPr="00181EF3" w:rsidRDefault="005D05F9" w:rsidP="005D05F9">
      <w:r w:rsidRPr="00181EF3">
        <w:t>Motor vehicle accidents were the second leading cause of premature death, ranked by years of life lost, for Māori males between 1996–98 and 2008–10.</w:t>
      </w:r>
    </w:p>
    <w:p w14:paraId="1DEFC84E" w14:textId="77777777" w:rsidR="005D05F9" w:rsidRPr="00181EF3" w:rsidRDefault="005D05F9" w:rsidP="005D05F9"/>
    <w:p w14:paraId="12E42A63" w14:textId="57FC952F" w:rsidR="005D05F9" w:rsidRPr="00181EF3" w:rsidRDefault="005D05F9" w:rsidP="005D05F9">
      <w:r w:rsidRPr="00181EF3">
        <w:t xml:space="preserve">Lung cancer was the second leading cause of premature death, ranked by years of life lost, for </w:t>
      </w:r>
      <w:r w:rsidR="00EC03A3">
        <w:t>non</w:t>
      </w:r>
      <w:r w:rsidR="00EC03A3">
        <w:noBreakHyphen/>
        <w:t>M</w:t>
      </w:r>
      <w:r w:rsidRPr="00181EF3">
        <w:t>āori males between 1996–98 and 2012–14.</w:t>
      </w:r>
    </w:p>
    <w:p w14:paraId="563AC778" w14:textId="77777777" w:rsidR="005D05F9" w:rsidRPr="00181EF3" w:rsidRDefault="005D05F9" w:rsidP="005D05F9"/>
    <w:p w14:paraId="28032694" w14:textId="213480EE" w:rsidR="005D05F9" w:rsidRPr="00181EF3" w:rsidRDefault="005D05F9" w:rsidP="005D05F9">
      <w:r w:rsidRPr="00181EF3">
        <w:t xml:space="preserve">Motor vehicle accidents and diabetes frequently occurred in the five leading causes of premature death, ranked by years of life lost, for Māori males but did not feature in the five leading causes of premature death, ranked by years of life lost, for </w:t>
      </w:r>
      <w:r w:rsidR="00EC03A3">
        <w:t>non</w:t>
      </w:r>
      <w:r w:rsidR="00EC03A3">
        <w:noBreakHyphen/>
        <w:t>M</w:t>
      </w:r>
      <w:r w:rsidRPr="00181EF3">
        <w:t>āori males.</w:t>
      </w:r>
    </w:p>
    <w:p w14:paraId="1BEBC965" w14:textId="77777777" w:rsidR="005D05F9" w:rsidRPr="00181EF3" w:rsidRDefault="005D05F9" w:rsidP="005D05F9"/>
    <w:p w14:paraId="3F99E210" w14:textId="00A79693" w:rsidR="005D05F9" w:rsidRPr="00181EF3" w:rsidRDefault="005D05F9" w:rsidP="005D05F9">
      <w:r w:rsidRPr="00181EF3">
        <w:t xml:space="preserve">Cerebrovascular disease (stroke) and colorectal cancer (CC) frequently occurred in the five leading causes of premature death, ranked by years of life lost, for </w:t>
      </w:r>
      <w:r w:rsidR="00EC03A3">
        <w:t>non</w:t>
      </w:r>
      <w:r w:rsidR="00EC03A3">
        <w:noBreakHyphen/>
        <w:t>M</w:t>
      </w:r>
      <w:r w:rsidRPr="00181EF3">
        <w:t>āori males between 1996–98 and 2012–14. However, these did not feature in the leading causes of premature death, ranked by years of life lost, for Māori males.</w:t>
      </w:r>
    </w:p>
    <w:p w14:paraId="0D824666" w14:textId="77777777" w:rsidR="005D05F9" w:rsidRPr="00181EF3" w:rsidRDefault="005D05F9" w:rsidP="005D05F9"/>
    <w:p w14:paraId="59D36E93" w14:textId="47980BF1" w:rsidR="005D05F9" w:rsidRPr="00181EF3" w:rsidRDefault="00CD34CF" w:rsidP="005D05F9">
      <w:pPr>
        <w:pStyle w:val="Heading3"/>
      </w:pPr>
      <w:bookmarkStart w:id="111" w:name="_Toc19102328"/>
      <w:r w:rsidRPr="00181EF3">
        <w:lastRenderedPageBreak/>
        <w:t>Major cause</w:t>
      </w:r>
      <w:r>
        <w:t>s</w:t>
      </w:r>
      <w:r w:rsidRPr="00181EF3">
        <w:t xml:space="preserve"> of death</w:t>
      </w:r>
      <w:r>
        <w:t xml:space="preserve">, Māori and </w:t>
      </w:r>
      <w:r w:rsidR="00EC03A3">
        <w:t>non</w:t>
      </w:r>
      <w:r w:rsidR="00EC03A3">
        <w:noBreakHyphen/>
        <w:t>M</w:t>
      </w:r>
      <w:r>
        <w:t>āori females, 1996–2014</w:t>
      </w:r>
      <w:bookmarkEnd w:id="111"/>
    </w:p>
    <w:p w14:paraId="1F45EE19" w14:textId="4599280D" w:rsidR="005D05F9" w:rsidRPr="00181EF3" w:rsidRDefault="00CD34CF" w:rsidP="005D05F9">
      <w:pPr>
        <w:pStyle w:val="Table"/>
      </w:pPr>
      <w:bookmarkStart w:id="112" w:name="_Toc18594761"/>
      <w:r w:rsidRPr="00181EF3">
        <w:t xml:space="preserve">Table </w:t>
      </w:r>
      <w:r>
        <w:t>21</w:t>
      </w:r>
      <w:r w:rsidRPr="00181EF3">
        <w:t xml:space="preserve">: </w:t>
      </w:r>
      <w:r w:rsidRPr="00CD34CF">
        <w:t xml:space="preserve">Major causes of death, ranked by age-standardised mortality rates, Māori and </w:t>
      </w:r>
      <w:r w:rsidR="00EC03A3">
        <w:t>non</w:t>
      </w:r>
      <w:r w:rsidR="00EC03A3">
        <w:noBreakHyphen/>
        <w:t>M</w:t>
      </w:r>
      <w:r w:rsidRPr="00CD34CF">
        <w:t>āori</w:t>
      </w:r>
      <w:r w:rsidR="00B7110B">
        <w:t xml:space="preserve"> females</w:t>
      </w:r>
      <w:r w:rsidRPr="00CD34CF">
        <w:t>, 1996–2014</w:t>
      </w:r>
      <w:bookmarkEnd w:id="112"/>
    </w:p>
    <w:tbl>
      <w:tblPr>
        <w:tblW w:w="8080" w:type="dxa"/>
        <w:tblInd w:w="57" w:type="dxa"/>
        <w:tblLayout w:type="fixed"/>
        <w:tblCellMar>
          <w:left w:w="57" w:type="dxa"/>
          <w:right w:w="57" w:type="dxa"/>
        </w:tblCellMar>
        <w:tblLook w:val="04A0" w:firstRow="1" w:lastRow="0" w:firstColumn="1" w:lastColumn="0" w:noHBand="0" w:noVBand="1"/>
      </w:tblPr>
      <w:tblGrid>
        <w:gridCol w:w="567"/>
        <w:gridCol w:w="430"/>
        <w:gridCol w:w="416"/>
        <w:gridCol w:w="417"/>
        <w:gridCol w:w="416"/>
        <w:gridCol w:w="417"/>
        <w:gridCol w:w="417"/>
        <w:gridCol w:w="416"/>
        <w:gridCol w:w="417"/>
        <w:gridCol w:w="417"/>
        <w:gridCol w:w="416"/>
        <w:gridCol w:w="417"/>
        <w:gridCol w:w="417"/>
        <w:gridCol w:w="416"/>
        <w:gridCol w:w="417"/>
        <w:gridCol w:w="417"/>
        <w:gridCol w:w="416"/>
        <w:gridCol w:w="417"/>
        <w:gridCol w:w="417"/>
      </w:tblGrid>
      <w:tr w:rsidR="005D05F9" w:rsidRPr="00181EF3" w14:paraId="7E5391DB" w14:textId="77777777" w:rsidTr="005D05F9">
        <w:trPr>
          <w:cantSplit/>
        </w:trPr>
        <w:tc>
          <w:tcPr>
            <w:tcW w:w="567" w:type="dxa"/>
            <w:vMerge w:val="restart"/>
            <w:shd w:val="clear" w:color="auto" w:fill="D9D9D9" w:themeFill="background1" w:themeFillShade="D9"/>
          </w:tcPr>
          <w:p w14:paraId="58CBEFC0" w14:textId="77777777" w:rsidR="005D05F9" w:rsidRPr="00181EF3" w:rsidRDefault="005D05F9" w:rsidP="005D05F9">
            <w:pPr>
              <w:pStyle w:val="TableText"/>
              <w:rPr>
                <w:sz w:val="16"/>
                <w:szCs w:val="16"/>
              </w:rPr>
            </w:pPr>
          </w:p>
        </w:tc>
        <w:tc>
          <w:tcPr>
            <w:tcW w:w="430" w:type="dxa"/>
            <w:vMerge w:val="restart"/>
            <w:shd w:val="clear" w:color="auto" w:fill="D9D9D9" w:themeFill="background1" w:themeFillShade="D9"/>
            <w:textDirection w:val="btLr"/>
            <w:vAlign w:val="bottom"/>
          </w:tcPr>
          <w:p w14:paraId="22B97B35" w14:textId="77777777" w:rsidR="005D05F9" w:rsidRPr="00181EF3" w:rsidRDefault="005D05F9" w:rsidP="005D05F9">
            <w:pPr>
              <w:pStyle w:val="TableText"/>
              <w:ind w:left="57"/>
              <w:rPr>
                <w:b/>
                <w:sz w:val="16"/>
                <w:szCs w:val="16"/>
              </w:rPr>
            </w:pPr>
            <w:r w:rsidRPr="00181EF3">
              <w:rPr>
                <w:b/>
                <w:spacing w:val="-2"/>
                <w:sz w:val="16"/>
                <w:szCs w:val="16"/>
              </w:rPr>
              <w:t>Ranking</w:t>
            </w:r>
          </w:p>
        </w:tc>
        <w:tc>
          <w:tcPr>
            <w:tcW w:w="7083" w:type="dxa"/>
            <w:gridSpan w:val="17"/>
            <w:shd w:val="clear" w:color="auto" w:fill="D9D9D9" w:themeFill="background1" w:themeFillShade="D9"/>
          </w:tcPr>
          <w:p w14:paraId="40B86DA8" w14:textId="77777777" w:rsidR="005D05F9" w:rsidRPr="00181EF3" w:rsidRDefault="005D05F9" w:rsidP="005D05F9">
            <w:pPr>
              <w:pStyle w:val="TableText"/>
              <w:spacing w:after="0"/>
              <w:jc w:val="center"/>
              <w:rPr>
                <w:b/>
                <w:sz w:val="16"/>
                <w:szCs w:val="16"/>
              </w:rPr>
            </w:pPr>
            <w:r w:rsidRPr="00181EF3">
              <w:rPr>
                <w:b/>
                <w:sz w:val="16"/>
                <w:szCs w:val="16"/>
              </w:rPr>
              <w:t>Year</w:t>
            </w:r>
          </w:p>
        </w:tc>
      </w:tr>
      <w:tr w:rsidR="005D05F9" w:rsidRPr="00181EF3" w14:paraId="1AFF4C19" w14:textId="77777777" w:rsidTr="005D05F9">
        <w:trPr>
          <w:cantSplit/>
          <w:trHeight w:val="765"/>
        </w:trPr>
        <w:tc>
          <w:tcPr>
            <w:tcW w:w="567" w:type="dxa"/>
            <w:vMerge/>
            <w:shd w:val="clear" w:color="auto" w:fill="D9D9D9" w:themeFill="background1" w:themeFillShade="D9"/>
          </w:tcPr>
          <w:p w14:paraId="670F77DE" w14:textId="77777777" w:rsidR="005D05F9" w:rsidRPr="00181EF3" w:rsidRDefault="005D05F9" w:rsidP="005D05F9">
            <w:pPr>
              <w:pStyle w:val="TableText"/>
              <w:ind w:left="57"/>
              <w:rPr>
                <w:sz w:val="16"/>
                <w:szCs w:val="16"/>
              </w:rPr>
            </w:pPr>
          </w:p>
        </w:tc>
        <w:tc>
          <w:tcPr>
            <w:tcW w:w="430" w:type="dxa"/>
            <w:vMerge/>
            <w:shd w:val="clear" w:color="auto" w:fill="D9D9D9" w:themeFill="background1" w:themeFillShade="D9"/>
            <w:textDirection w:val="btLr"/>
            <w:vAlign w:val="bottom"/>
          </w:tcPr>
          <w:p w14:paraId="57765C7C" w14:textId="77777777" w:rsidR="005D05F9" w:rsidRPr="00181EF3" w:rsidRDefault="005D05F9" w:rsidP="005D05F9">
            <w:pPr>
              <w:pStyle w:val="TableText"/>
              <w:ind w:left="57"/>
              <w:rPr>
                <w:spacing w:val="-2"/>
                <w:sz w:val="16"/>
                <w:szCs w:val="16"/>
              </w:rPr>
            </w:pPr>
          </w:p>
        </w:tc>
        <w:tc>
          <w:tcPr>
            <w:tcW w:w="416" w:type="dxa"/>
            <w:shd w:val="clear" w:color="auto" w:fill="D9D9D9" w:themeFill="background1" w:themeFillShade="D9"/>
            <w:textDirection w:val="btLr"/>
            <w:vAlign w:val="bottom"/>
          </w:tcPr>
          <w:p w14:paraId="72C6DCE8" w14:textId="77777777" w:rsidR="005D05F9" w:rsidRPr="00181EF3" w:rsidRDefault="005D05F9" w:rsidP="005D05F9">
            <w:pPr>
              <w:pStyle w:val="TableText"/>
              <w:ind w:left="57"/>
              <w:rPr>
                <w:b/>
                <w:sz w:val="16"/>
                <w:szCs w:val="16"/>
              </w:rPr>
            </w:pPr>
            <w:r w:rsidRPr="00181EF3">
              <w:rPr>
                <w:b/>
                <w:sz w:val="16"/>
                <w:szCs w:val="16"/>
              </w:rPr>
              <w:t>1996–98</w:t>
            </w:r>
          </w:p>
        </w:tc>
        <w:tc>
          <w:tcPr>
            <w:tcW w:w="417" w:type="dxa"/>
            <w:shd w:val="clear" w:color="auto" w:fill="D9D9D9" w:themeFill="background1" w:themeFillShade="D9"/>
            <w:textDirection w:val="btLr"/>
            <w:vAlign w:val="bottom"/>
          </w:tcPr>
          <w:p w14:paraId="5215A4A5" w14:textId="77777777" w:rsidR="005D05F9" w:rsidRPr="00181EF3" w:rsidRDefault="005D05F9" w:rsidP="005D05F9">
            <w:pPr>
              <w:pStyle w:val="TableText"/>
              <w:ind w:left="57"/>
              <w:rPr>
                <w:b/>
                <w:sz w:val="16"/>
                <w:szCs w:val="16"/>
              </w:rPr>
            </w:pPr>
            <w:r w:rsidRPr="00181EF3">
              <w:rPr>
                <w:b/>
                <w:sz w:val="16"/>
                <w:szCs w:val="16"/>
              </w:rPr>
              <w:t>1997–99</w:t>
            </w:r>
          </w:p>
        </w:tc>
        <w:tc>
          <w:tcPr>
            <w:tcW w:w="416" w:type="dxa"/>
            <w:shd w:val="clear" w:color="auto" w:fill="D9D9D9" w:themeFill="background1" w:themeFillShade="D9"/>
            <w:textDirection w:val="btLr"/>
            <w:vAlign w:val="bottom"/>
          </w:tcPr>
          <w:p w14:paraId="235A2B3B" w14:textId="77777777" w:rsidR="005D05F9" w:rsidRPr="00181EF3" w:rsidRDefault="005D05F9" w:rsidP="005D05F9">
            <w:pPr>
              <w:pStyle w:val="TableText"/>
              <w:ind w:left="57"/>
              <w:rPr>
                <w:b/>
                <w:sz w:val="16"/>
                <w:szCs w:val="16"/>
              </w:rPr>
            </w:pPr>
            <w:r w:rsidRPr="00181EF3">
              <w:rPr>
                <w:b/>
                <w:sz w:val="16"/>
                <w:szCs w:val="16"/>
              </w:rPr>
              <w:t>1998-00</w:t>
            </w:r>
          </w:p>
        </w:tc>
        <w:tc>
          <w:tcPr>
            <w:tcW w:w="417" w:type="dxa"/>
            <w:shd w:val="clear" w:color="auto" w:fill="D9D9D9" w:themeFill="background1" w:themeFillShade="D9"/>
            <w:textDirection w:val="btLr"/>
            <w:vAlign w:val="bottom"/>
          </w:tcPr>
          <w:p w14:paraId="55392F61" w14:textId="77777777" w:rsidR="005D05F9" w:rsidRPr="00181EF3" w:rsidRDefault="005D05F9" w:rsidP="005D05F9">
            <w:pPr>
              <w:pStyle w:val="TableText"/>
              <w:ind w:left="57"/>
              <w:rPr>
                <w:b/>
                <w:sz w:val="16"/>
                <w:szCs w:val="16"/>
              </w:rPr>
            </w:pPr>
            <w:r w:rsidRPr="00181EF3">
              <w:rPr>
                <w:b/>
                <w:sz w:val="16"/>
                <w:szCs w:val="16"/>
              </w:rPr>
              <w:t>1999–01</w:t>
            </w:r>
          </w:p>
        </w:tc>
        <w:tc>
          <w:tcPr>
            <w:tcW w:w="417" w:type="dxa"/>
            <w:shd w:val="clear" w:color="auto" w:fill="D9D9D9" w:themeFill="background1" w:themeFillShade="D9"/>
            <w:textDirection w:val="btLr"/>
            <w:vAlign w:val="bottom"/>
          </w:tcPr>
          <w:p w14:paraId="0DDB77E1" w14:textId="77777777" w:rsidR="005D05F9" w:rsidRPr="00181EF3" w:rsidRDefault="005D05F9" w:rsidP="005D05F9">
            <w:pPr>
              <w:pStyle w:val="TableText"/>
              <w:ind w:left="57"/>
              <w:rPr>
                <w:b/>
                <w:sz w:val="16"/>
                <w:szCs w:val="16"/>
              </w:rPr>
            </w:pPr>
            <w:r w:rsidRPr="00181EF3">
              <w:rPr>
                <w:b/>
                <w:sz w:val="16"/>
                <w:szCs w:val="16"/>
              </w:rPr>
              <w:t>2000-02</w:t>
            </w:r>
          </w:p>
        </w:tc>
        <w:tc>
          <w:tcPr>
            <w:tcW w:w="416" w:type="dxa"/>
            <w:shd w:val="clear" w:color="auto" w:fill="D9D9D9" w:themeFill="background1" w:themeFillShade="D9"/>
            <w:textDirection w:val="btLr"/>
            <w:vAlign w:val="bottom"/>
          </w:tcPr>
          <w:p w14:paraId="3792ABD6" w14:textId="77777777" w:rsidR="005D05F9" w:rsidRPr="00181EF3" w:rsidRDefault="005D05F9" w:rsidP="005D05F9">
            <w:pPr>
              <w:pStyle w:val="TableText"/>
              <w:ind w:left="57"/>
              <w:rPr>
                <w:b/>
                <w:sz w:val="16"/>
                <w:szCs w:val="16"/>
              </w:rPr>
            </w:pPr>
            <w:r w:rsidRPr="00181EF3">
              <w:rPr>
                <w:b/>
                <w:sz w:val="16"/>
                <w:szCs w:val="16"/>
              </w:rPr>
              <w:t>2001–03</w:t>
            </w:r>
          </w:p>
        </w:tc>
        <w:tc>
          <w:tcPr>
            <w:tcW w:w="417" w:type="dxa"/>
            <w:shd w:val="clear" w:color="auto" w:fill="D9D9D9" w:themeFill="background1" w:themeFillShade="D9"/>
            <w:textDirection w:val="btLr"/>
            <w:vAlign w:val="bottom"/>
          </w:tcPr>
          <w:p w14:paraId="10D6F3F5" w14:textId="77777777" w:rsidR="005D05F9" w:rsidRPr="00181EF3" w:rsidRDefault="005D05F9" w:rsidP="005D05F9">
            <w:pPr>
              <w:pStyle w:val="TableText"/>
              <w:ind w:left="57"/>
              <w:rPr>
                <w:b/>
                <w:sz w:val="16"/>
                <w:szCs w:val="16"/>
              </w:rPr>
            </w:pPr>
            <w:r w:rsidRPr="00181EF3">
              <w:rPr>
                <w:b/>
                <w:sz w:val="16"/>
                <w:szCs w:val="16"/>
              </w:rPr>
              <w:t>2002-04</w:t>
            </w:r>
          </w:p>
        </w:tc>
        <w:tc>
          <w:tcPr>
            <w:tcW w:w="417" w:type="dxa"/>
            <w:shd w:val="clear" w:color="auto" w:fill="D9D9D9" w:themeFill="background1" w:themeFillShade="D9"/>
            <w:textDirection w:val="btLr"/>
            <w:vAlign w:val="bottom"/>
          </w:tcPr>
          <w:p w14:paraId="2159AEDC" w14:textId="77777777" w:rsidR="005D05F9" w:rsidRPr="00181EF3" w:rsidRDefault="005D05F9" w:rsidP="005D05F9">
            <w:pPr>
              <w:pStyle w:val="TableText"/>
              <w:ind w:left="57"/>
              <w:rPr>
                <w:b/>
                <w:sz w:val="16"/>
                <w:szCs w:val="16"/>
              </w:rPr>
            </w:pPr>
            <w:r w:rsidRPr="00181EF3">
              <w:rPr>
                <w:b/>
                <w:sz w:val="16"/>
                <w:szCs w:val="16"/>
              </w:rPr>
              <w:t>2003-05</w:t>
            </w:r>
          </w:p>
        </w:tc>
        <w:tc>
          <w:tcPr>
            <w:tcW w:w="416" w:type="dxa"/>
            <w:shd w:val="clear" w:color="auto" w:fill="D9D9D9" w:themeFill="background1" w:themeFillShade="D9"/>
            <w:textDirection w:val="btLr"/>
            <w:vAlign w:val="bottom"/>
          </w:tcPr>
          <w:p w14:paraId="0895F1E3" w14:textId="77777777" w:rsidR="005D05F9" w:rsidRPr="00181EF3" w:rsidRDefault="005D05F9" w:rsidP="005D05F9">
            <w:pPr>
              <w:pStyle w:val="TableText"/>
              <w:ind w:left="57"/>
              <w:rPr>
                <w:b/>
                <w:sz w:val="16"/>
                <w:szCs w:val="16"/>
              </w:rPr>
            </w:pPr>
            <w:r w:rsidRPr="00181EF3">
              <w:rPr>
                <w:b/>
                <w:sz w:val="16"/>
                <w:szCs w:val="16"/>
              </w:rPr>
              <w:t>2004-06</w:t>
            </w:r>
          </w:p>
        </w:tc>
        <w:tc>
          <w:tcPr>
            <w:tcW w:w="417" w:type="dxa"/>
            <w:shd w:val="clear" w:color="auto" w:fill="D9D9D9" w:themeFill="background1" w:themeFillShade="D9"/>
            <w:textDirection w:val="btLr"/>
            <w:vAlign w:val="bottom"/>
          </w:tcPr>
          <w:p w14:paraId="7B6D3B46" w14:textId="77777777" w:rsidR="005D05F9" w:rsidRPr="00181EF3" w:rsidRDefault="005D05F9" w:rsidP="005D05F9">
            <w:pPr>
              <w:pStyle w:val="TableText"/>
              <w:ind w:left="57"/>
              <w:rPr>
                <w:b/>
                <w:sz w:val="16"/>
                <w:szCs w:val="16"/>
              </w:rPr>
            </w:pPr>
            <w:r w:rsidRPr="00181EF3">
              <w:rPr>
                <w:b/>
                <w:sz w:val="16"/>
                <w:szCs w:val="16"/>
              </w:rPr>
              <w:t>2005–07</w:t>
            </w:r>
          </w:p>
        </w:tc>
        <w:tc>
          <w:tcPr>
            <w:tcW w:w="417" w:type="dxa"/>
            <w:shd w:val="clear" w:color="auto" w:fill="D9D9D9" w:themeFill="background1" w:themeFillShade="D9"/>
            <w:textDirection w:val="btLr"/>
            <w:vAlign w:val="bottom"/>
          </w:tcPr>
          <w:p w14:paraId="2887D3E8" w14:textId="77777777" w:rsidR="005D05F9" w:rsidRPr="00181EF3" w:rsidRDefault="005D05F9" w:rsidP="005D05F9">
            <w:pPr>
              <w:pStyle w:val="TableText"/>
              <w:ind w:left="57"/>
              <w:rPr>
                <w:b/>
                <w:sz w:val="16"/>
                <w:szCs w:val="16"/>
              </w:rPr>
            </w:pPr>
            <w:r w:rsidRPr="00181EF3">
              <w:rPr>
                <w:b/>
                <w:sz w:val="16"/>
                <w:szCs w:val="16"/>
              </w:rPr>
              <w:t>2006–08</w:t>
            </w:r>
          </w:p>
        </w:tc>
        <w:tc>
          <w:tcPr>
            <w:tcW w:w="416" w:type="dxa"/>
            <w:shd w:val="clear" w:color="auto" w:fill="D9D9D9" w:themeFill="background1" w:themeFillShade="D9"/>
            <w:textDirection w:val="btLr"/>
            <w:vAlign w:val="bottom"/>
          </w:tcPr>
          <w:p w14:paraId="7DD93F46" w14:textId="77777777" w:rsidR="005D05F9" w:rsidRPr="00181EF3" w:rsidRDefault="005D05F9" w:rsidP="005D05F9">
            <w:pPr>
              <w:pStyle w:val="TableText"/>
              <w:ind w:left="57"/>
              <w:rPr>
                <w:b/>
                <w:sz w:val="16"/>
                <w:szCs w:val="16"/>
              </w:rPr>
            </w:pPr>
            <w:r w:rsidRPr="00181EF3">
              <w:rPr>
                <w:b/>
                <w:sz w:val="16"/>
                <w:szCs w:val="16"/>
              </w:rPr>
              <w:t>2007–09</w:t>
            </w:r>
          </w:p>
        </w:tc>
        <w:tc>
          <w:tcPr>
            <w:tcW w:w="417" w:type="dxa"/>
            <w:shd w:val="clear" w:color="auto" w:fill="D9D9D9" w:themeFill="background1" w:themeFillShade="D9"/>
            <w:textDirection w:val="btLr"/>
            <w:vAlign w:val="bottom"/>
          </w:tcPr>
          <w:p w14:paraId="125D5206" w14:textId="77777777" w:rsidR="005D05F9" w:rsidRPr="00181EF3" w:rsidRDefault="005D05F9" w:rsidP="005D05F9">
            <w:pPr>
              <w:pStyle w:val="TableText"/>
              <w:ind w:left="57"/>
              <w:rPr>
                <w:b/>
                <w:sz w:val="16"/>
                <w:szCs w:val="16"/>
              </w:rPr>
            </w:pPr>
            <w:r w:rsidRPr="00181EF3">
              <w:rPr>
                <w:b/>
                <w:sz w:val="16"/>
                <w:szCs w:val="16"/>
              </w:rPr>
              <w:t>2008–10</w:t>
            </w:r>
          </w:p>
        </w:tc>
        <w:tc>
          <w:tcPr>
            <w:tcW w:w="417" w:type="dxa"/>
            <w:shd w:val="clear" w:color="auto" w:fill="D9D9D9" w:themeFill="background1" w:themeFillShade="D9"/>
            <w:textDirection w:val="btLr"/>
            <w:vAlign w:val="bottom"/>
          </w:tcPr>
          <w:p w14:paraId="212071BF" w14:textId="77777777" w:rsidR="005D05F9" w:rsidRPr="00181EF3" w:rsidRDefault="005D05F9" w:rsidP="005D05F9">
            <w:pPr>
              <w:pStyle w:val="TableText"/>
              <w:ind w:left="57"/>
              <w:rPr>
                <w:b/>
                <w:sz w:val="16"/>
                <w:szCs w:val="16"/>
              </w:rPr>
            </w:pPr>
            <w:r w:rsidRPr="00181EF3">
              <w:rPr>
                <w:b/>
                <w:sz w:val="16"/>
                <w:szCs w:val="16"/>
              </w:rPr>
              <w:t>2009–11</w:t>
            </w:r>
          </w:p>
        </w:tc>
        <w:tc>
          <w:tcPr>
            <w:tcW w:w="416" w:type="dxa"/>
            <w:shd w:val="clear" w:color="auto" w:fill="D9D9D9" w:themeFill="background1" w:themeFillShade="D9"/>
            <w:textDirection w:val="btLr"/>
            <w:vAlign w:val="bottom"/>
          </w:tcPr>
          <w:p w14:paraId="74B85D63" w14:textId="77777777" w:rsidR="005D05F9" w:rsidRPr="00181EF3" w:rsidRDefault="005D05F9" w:rsidP="005D05F9">
            <w:pPr>
              <w:pStyle w:val="TableText"/>
              <w:ind w:left="57"/>
              <w:rPr>
                <w:b/>
                <w:sz w:val="16"/>
                <w:szCs w:val="16"/>
              </w:rPr>
            </w:pPr>
            <w:r w:rsidRPr="00181EF3">
              <w:rPr>
                <w:b/>
                <w:sz w:val="16"/>
                <w:szCs w:val="16"/>
              </w:rPr>
              <w:t>2010–12</w:t>
            </w:r>
          </w:p>
        </w:tc>
        <w:tc>
          <w:tcPr>
            <w:tcW w:w="417" w:type="dxa"/>
            <w:shd w:val="clear" w:color="auto" w:fill="D9D9D9" w:themeFill="background1" w:themeFillShade="D9"/>
            <w:textDirection w:val="btLr"/>
            <w:vAlign w:val="bottom"/>
          </w:tcPr>
          <w:p w14:paraId="5FE39739" w14:textId="77777777" w:rsidR="005D05F9" w:rsidRPr="00181EF3" w:rsidRDefault="005D05F9" w:rsidP="005D05F9">
            <w:pPr>
              <w:pStyle w:val="TableText"/>
              <w:ind w:left="57"/>
              <w:rPr>
                <w:b/>
                <w:sz w:val="16"/>
                <w:szCs w:val="16"/>
              </w:rPr>
            </w:pPr>
            <w:r w:rsidRPr="00181EF3">
              <w:rPr>
                <w:b/>
                <w:sz w:val="16"/>
                <w:szCs w:val="16"/>
              </w:rPr>
              <w:t>2011–13</w:t>
            </w:r>
          </w:p>
        </w:tc>
        <w:tc>
          <w:tcPr>
            <w:tcW w:w="417" w:type="dxa"/>
            <w:shd w:val="clear" w:color="auto" w:fill="D9D9D9" w:themeFill="background1" w:themeFillShade="D9"/>
            <w:textDirection w:val="btLr"/>
            <w:vAlign w:val="bottom"/>
          </w:tcPr>
          <w:p w14:paraId="392D5414" w14:textId="77777777" w:rsidR="005D05F9" w:rsidRPr="00181EF3" w:rsidRDefault="005D05F9" w:rsidP="005D05F9">
            <w:pPr>
              <w:pStyle w:val="TableText"/>
              <w:ind w:left="57"/>
              <w:rPr>
                <w:b/>
                <w:sz w:val="16"/>
                <w:szCs w:val="16"/>
              </w:rPr>
            </w:pPr>
            <w:r w:rsidRPr="00181EF3">
              <w:rPr>
                <w:b/>
                <w:sz w:val="16"/>
                <w:szCs w:val="16"/>
              </w:rPr>
              <w:t>2012–14</w:t>
            </w:r>
          </w:p>
        </w:tc>
      </w:tr>
      <w:tr w:rsidR="005D05F9" w:rsidRPr="00181EF3" w14:paraId="4CDAEEA1" w14:textId="77777777" w:rsidTr="005D05F9">
        <w:tc>
          <w:tcPr>
            <w:tcW w:w="567" w:type="dxa"/>
            <w:vMerge w:val="restart"/>
          </w:tcPr>
          <w:p w14:paraId="4F1723D6" w14:textId="77777777" w:rsidR="005D05F9" w:rsidRPr="00181EF3" w:rsidRDefault="005D05F9" w:rsidP="005D05F9">
            <w:pPr>
              <w:pStyle w:val="TableText"/>
              <w:rPr>
                <w:sz w:val="16"/>
                <w:szCs w:val="16"/>
              </w:rPr>
            </w:pPr>
            <w:r w:rsidRPr="00181EF3">
              <w:rPr>
                <w:sz w:val="16"/>
                <w:szCs w:val="16"/>
              </w:rPr>
              <w:t>Māori</w:t>
            </w:r>
          </w:p>
        </w:tc>
        <w:tc>
          <w:tcPr>
            <w:tcW w:w="430" w:type="dxa"/>
            <w:tcBorders>
              <w:bottom w:val="single" w:sz="4" w:space="0" w:color="A6A6A6" w:themeColor="background1" w:themeShade="A6"/>
            </w:tcBorders>
            <w:shd w:val="clear" w:color="auto" w:fill="auto"/>
          </w:tcPr>
          <w:p w14:paraId="45C6B0E4" w14:textId="77777777" w:rsidR="005D05F9" w:rsidRPr="00181EF3" w:rsidRDefault="005D05F9" w:rsidP="005D05F9">
            <w:pPr>
              <w:pStyle w:val="TableText"/>
              <w:jc w:val="center"/>
              <w:rPr>
                <w:sz w:val="16"/>
                <w:szCs w:val="16"/>
              </w:rPr>
            </w:pPr>
            <w:r w:rsidRPr="00181EF3">
              <w:rPr>
                <w:sz w:val="16"/>
                <w:szCs w:val="16"/>
              </w:rPr>
              <w:t>1</w:t>
            </w:r>
          </w:p>
        </w:tc>
        <w:tc>
          <w:tcPr>
            <w:tcW w:w="416" w:type="dxa"/>
            <w:tcBorders>
              <w:bottom w:val="single" w:sz="4" w:space="0" w:color="A6A6A6" w:themeColor="background1" w:themeShade="A6"/>
            </w:tcBorders>
            <w:shd w:val="clear" w:color="auto" w:fill="auto"/>
          </w:tcPr>
          <w:p w14:paraId="727D0719" w14:textId="77777777" w:rsidR="005D05F9" w:rsidRPr="00181EF3" w:rsidRDefault="005D05F9" w:rsidP="005D05F9">
            <w:pPr>
              <w:pStyle w:val="TableText"/>
              <w:jc w:val="center"/>
              <w:rPr>
                <w:sz w:val="16"/>
              </w:rPr>
            </w:pPr>
            <w:r w:rsidRPr="00181EF3">
              <w:rPr>
                <w:sz w:val="16"/>
              </w:rPr>
              <w:t>IHD</w:t>
            </w:r>
          </w:p>
        </w:tc>
        <w:tc>
          <w:tcPr>
            <w:tcW w:w="417" w:type="dxa"/>
            <w:tcBorders>
              <w:bottom w:val="single" w:sz="4" w:space="0" w:color="A6A6A6" w:themeColor="background1" w:themeShade="A6"/>
            </w:tcBorders>
            <w:shd w:val="clear" w:color="auto" w:fill="auto"/>
          </w:tcPr>
          <w:p w14:paraId="418635FB" w14:textId="77777777" w:rsidR="005D05F9" w:rsidRPr="00181EF3" w:rsidRDefault="005D05F9" w:rsidP="005D05F9">
            <w:pPr>
              <w:pStyle w:val="TableText"/>
              <w:jc w:val="center"/>
              <w:rPr>
                <w:sz w:val="16"/>
              </w:rPr>
            </w:pPr>
            <w:r w:rsidRPr="00181EF3">
              <w:rPr>
                <w:sz w:val="16"/>
              </w:rPr>
              <w:t>IHD</w:t>
            </w:r>
          </w:p>
        </w:tc>
        <w:tc>
          <w:tcPr>
            <w:tcW w:w="416" w:type="dxa"/>
            <w:tcBorders>
              <w:bottom w:val="single" w:sz="4" w:space="0" w:color="A6A6A6" w:themeColor="background1" w:themeShade="A6"/>
            </w:tcBorders>
            <w:shd w:val="clear" w:color="auto" w:fill="auto"/>
          </w:tcPr>
          <w:p w14:paraId="54D1A73D" w14:textId="77777777" w:rsidR="005D05F9" w:rsidRPr="00181EF3" w:rsidRDefault="005D05F9" w:rsidP="005D05F9">
            <w:pPr>
              <w:pStyle w:val="TableText"/>
              <w:jc w:val="center"/>
              <w:rPr>
                <w:sz w:val="16"/>
              </w:rPr>
            </w:pPr>
            <w:r w:rsidRPr="00181EF3">
              <w:rPr>
                <w:sz w:val="16"/>
              </w:rPr>
              <w:t>IHD</w:t>
            </w:r>
          </w:p>
        </w:tc>
        <w:tc>
          <w:tcPr>
            <w:tcW w:w="417" w:type="dxa"/>
            <w:tcBorders>
              <w:bottom w:val="single" w:sz="4" w:space="0" w:color="A6A6A6" w:themeColor="background1" w:themeShade="A6"/>
            </w:tcBorders>
            <w:shd w:val="clear" w:color="auto" w:fill="auto"/>
          </w:tcPr>
          <w:p w14:paraId="0A09ACD3" w14:textId="77777777" w:rsidR="005D05F9" w:rsidRPr="00181EF3" w:rsidRDefault="005D05F9" w:rsidP="005D05F9">
            <w:pPr>
              <w:pStyle w:val="TableText"/>
              <w:jc w:val="center"/>
              <w:rPr>
                <w:sz w:val="16"/>
              </w:rPr>
            </w:pPr>
            <w:r w:rsidRPr="00181EF3">
              <w:rPr>
                <w:sz w:val="16"/>
              </w:rPr>
              <w:t>IHD</w:t>
            </w:r>
          </w:p>
        </w:tc>
        <w:tc>
          <w:tcPr>
            <w:tcW w:w="417" w:type="dxa"/>
            <w:tcBorders>
              <w:bottom w:val="single" w:sz="4" w:space="0" w:color="A6A6A6" w:themeColor="background1" w:themeShade="A6"/>
            </w:tcBorders>
            <w:shd w:val="clear" w:color="auto" w:fill="auto"/>
          </w:tcPr>
          <w:p w14:paraId="3037D014" w14:textId="77777777" w:rsidR="005D05F9" w:rsidRPr="00181EF3" w:rsidRDefault="005D05F9" w:rsidP="005D05F9">
            <w:pPr>
              <w:pStyle w:val="TableText"/>
              <w:jc w:val="center"/>
              <w:rPr>
                <w:sz w:val="16"/>
              </w:rPr>
            </w:pPr>
            <w:r w:rsidRPr="00181EF3">
              <w:rPr>
                <w:sz w:val="16"/>
              </w:rPr>
              <w:t>IHD</w:t>
            </w:r>
          </w:p>
        </w:tc>
        <w:tc>
          <w:tcPr>
            <w:tcW w:w="416" w:type="dxa"/>
            <w:tcBorders>
              <w:bottom w:val="single" w:sz="4" w:space="0" w:color="A6A6A6" w:themeColor="background1" w:themeShade="A6"/>
            </w:tcBorders>
            <w:shd w:val="clear" w:color="auto" w:fill="auto"/>
          </w:tcPr>
          <w:p w14:paraId="6836564C" w14:textId="77777777" w:rsidR="005D05F9" w:rsidRPr="00181EF3" w:rsidRDefault="005D05F9" w:rsidP="005D05F9">
            <w:pPr>
              <w:pStyle w:val="TableText"/>
              <w:jc w:val="center"/>
              <w:rPr>
                <w:sz w:val="16"/>
              </w:rPr>
            </w:pPr>
            <w:r w:rsidRPr="00181EF3">
              <w:rPr>
                <w:sz w:val="16"/>
              </w:rPr>
              <w:t>IHD</w:t>
            </w:r>
          </w:p>
        </w:tc>
        <w:tc>
          <w:tcPr>
            <w:tcW w:w="417" w:type="dxa"/>
            <w:tcBorders>
              <w:bottom w:val="single" w:sz="4" w:space="0" w:color="A6A6A6" w:themeColor="background1" w:themeShade="A6"/>
            </w:tcBorders>
            <w:shd w:val="clear" w:color="auto" w:fill="auto"/>
          </w:tcPr>
          <w:p w14:paraId="079982F2" w14:textId="77777777" w:rsidR="005D05F9" w:rsidRPr="00181EF3" w:rsidRDefault="005D05F9" w:rsidP="005D05F9">
            <w:pPr>
              <w:pStyle w:val="TableText"/>
              <w:jc w:val="center"/>
              <w:rPr>
                <w:sz w:val="16"/>
              </w:rPr>
            </w:pPr>
            <w:r w:rsidRPr="00181EF3">
              <w:rPr>
                <w:sz w:val="16"/>
              </w:rPr>
              <w:t>IHD</w:t>
            </w:r>
          </w:p>
        </w:tc>
        <w:tc>
          <w:tcPr>
            <w:tcW w:w="417" w:type="dxa"/>
            <w:tcBorders>
              <w:bottom w:val="single" w:sz="4" w:space="0" w:color="A6A6A6" w:themeColor="background1" w:themeShade="A6"/>
            </w:tcBorders>
            <w:shd w:val="clear" w:color="auto" w:fill="auto"/>
          </w:tcPr>
          <w:p w14:paraId="27412F85" w14:textId="77777777" w:rsidR="005D05F9" w:rsidRPr="00181EF3" w:rsidRDefault="005D05F9" w:rsidP="005D05F9">
            <w:pPr>
              <w:pStyle w:val="TableText"/>
              <w:jc w:val="center"/>
              <w:rPr>
                <w:sz w:val="16"/>
              </w:rPr>
            </w:pPr>
            <w:r w:rsidRPr="00181EF3">
              <w:rPr>
                <w:sz w:val="16"/>
              </w:rPr>
              <w:t>IHD</w:t>
            </w:r>
          </w:p>
        </w:tc>
        <w:tc>
          <w:tcPr>
            <w:tcW w:w="416" w:type="dxa"/>
            <w:tcBorders>
              <w:bottom w:val="single" w:sz="4" w:space="0" w:color="A6A6A6" w:themeColor="background1" w:themeShade="A6"/>
            </w:tcBorders>
            <w:shd w:val="clear" w:color="auto" w:fill="auto"/>
          </w:tcPr>
          <w:p w14:paraId="0AC8BE3D" w14:textId="77777777" w:rsidR="005D05F9" w:rsidRPr="00181EF3" w:rsidRDefault="005D05F9" w:rsidP="005D05F9">
            <w:pPr>
              <w:pStyle w:val="TableText"/>
              <w:jc w:val="center"/>
              <w:rPr>
                <w:sz w:val="16"/>
              </w:rPr>
            </w:pPr>
            <w:r w:rsidRPr="00181EF3">
              <w:rPr>
                <w:sz w:val="16"/>
              </w:rPr>
              <w:t>IHD</w:t>
            </w:r>
          </w:p>
        </w:tc>
        <w:tc>
          <w:tcPr>
            <w:tcW w:w="417" w:type="dxa"/>
            <w:tcBorders>
              <w:bottom w:val="single" w:sz="4" w:space="0" w:color="A6A6A6" w:themeColor="background1" w:themeShade="A6"/>
            </w:tcBorders>
            <w:shd w:val="clear" w:color="auto" w:fill="auto"/>
          </w:tcPr>
          <w:p w14:paraId="5236D11F" w14:textId="77777777" w:rsidR="005D05F9" w:rsidRPr="00181EF3" w:rsidRDefault="005D05F9" w:rsidP="005D05F9">
            <w:pPr>
              <w:pStyle w:val="TableText"/>
              <w:jc w:val="center"/>
              <w:rPr>
                <w:sz w:val="16"/>
              </w:rPr>
            </w:pPr>
            <w:r w:rsidRPr="00181EF3">
              <w:rPr>
                <w:sz w:val="16"/>
              </w:rPr>
              <w:t>IHD</w:t>
            </w:r>
          </w:p>
        </w:tc>
        <w:tc>
          <w:tcPr>
            <w:tcW w:w="417" w:type="dxa"/>
            <w:tcBorders>
              <w:bottom w:val="single" w:sz="4" w:space="0" w:color="A6A6A6" w:themeColor="background1" w:themeShade="A6"/>
            </w:tcBorders>
            <w:shd w:val="clear" w:color="auto" w:fill="auto"/>
          </w:tcPr>
          <w:p w14:paraId="1C017D7D" w14:textId="77777777" w:rsidR="005D05F9" w:rsidRPr="00181EF3" w:rsidRDefault="005D05F9" w:rsidP="005D05F9">
            <w:pPr>
              <w:pStyle w:val="TableText"/>
              <w:jc w:val="center"/>
              <w:rPr>
                <w:sz w:val="16"/>
              </w:rPr>
            </w:pPr>
            <w:r w:rsidRPr="00181EF3">
              <w:rPr>
                <w:sz w:val="16"/>
              </w:rPr>
              <w:t>IHD</w:t>
            </w:r>
          </w:p>
        </w:tc>
        <w:tc>
          <w:tcPr>
            <w:tcW w:w="416" w:type="dxa"/>
            <w:tcBorders>
              <w:bottom w:val="single" w:sz="4" w:space="0" w:color="A6A6A6" w:themeColor="background1" w:themeShade="A6"/>
            </w:tcBorders>
            <w:shd w:val="clear" w:color="auto" w:fill="auto"/>
          </w:tcPr>
          <w:p w14:paraId="0037D51E" w14:textId="77777777" w:rsidR="005D05F9" w:rsidRPr="00181EF3" w:rsidRDefault="005D05F9" w:rsidP="005D05F9">
            <w:pPr>
              <w:pStyle w:val="TableText"/>
              <w:jc w:val="center"/>
              <w:rPr>
                <w:sz w:val="16"/>
              </w:rPr>
            </w:pPr>
            <w:r w:rsidRPr="00181EF3">
              <w:rPr>
                <w:sz w:val="16"/>
              </w:rPr>
              <w:t>IHD</w:t>
            </w:r>
          </w:p>
        </w:tc>
        <w:tc>
          <w:tcPr>
            <w:tcW w:w="417" w:type="dxa"/>
            <w:tcBorders>
              <w:bottom w:val="single" w:sz="4" w:space="0" w:color="A6A6A6" w:themeColor="background1" w:themeShade="A6"/>
            </w:tcBorders>
            <w:shd w:val="clear" w:color="auto" w:fill="auto"/>
          </w:tcPr>
          <w:p w14:paraId="78F795EB" w14:textId="77777777" w:rsidR="005D05F9" w:rsidRPr="00181EF3" w:rsidRDefault="005D05F9" w:rsidP="005D05F9">
            <w:pPr>
              <w:pStyle w:val="TableText"/>
              <w:jc w:val="center"/>
              <w:rPr>
                <w:sz w:val="16"/>
              </w:rPr>
            </w:pPr>
            <w:r w:rsidRPr="00181EF3">
              <w:rPr>
                <w:sz w:val="16"/>
              </w:rPr>
              <w:t>IHD</w:t>
            </w:r>
          </w:p>
        </w:tc>
        <w:tc>
          <w:tcPr>
            <w:tcW w:w="417" w:type="dxa"/>
            <w:tcBorders>
              <w:bottom w:val="single" w:sz="4" w:space="0" w:color="A6A6A6" w:themeColor="background1" w:themeShade="A6"/>
            </w:tcBorders>
            <w:shd w:val="clear" w:color="auto" w:fill="auto"/>
          </w:tcPr>
          <w:p w14:paraId="4D3F5727" w14:textId="77777777" w:rsidR="005D05F9" w:rsidRPr="00181EF3" w:rsidRDefault="005D05F9" w:rsidP="005D05F9">
            <w:pPr>
              <w:pStyle w:val="TableText"/>
              <w:jc w:val="center"/>
              <w:rPr>
                <w:sz w:val="16"/>
              </w:rPr>
            </w:pPr>
            <w:r w:rsidRPr="00181EF3">
              <w:rPr>
                <w:sz w:val="16"/>
              </w:rPr>
              <w:t>IHD</w:t>
            </w:r>
          </w:p>
        </w:tc>
        <w:tc>
          <w:tcPr>
            <w:tcW w:w="416" w:type="dxa"/>
            <w:tcBorders>
              <w:bottom w:val="single" w:sz="4" w:space="0" w:color="A6A6A6" w:themeColor="background1" w:themeShade="A6"/>
            </w:tcBorders>
            <w:shd w:val="clear" w:color="auto" w:fill="auto"/>
          </w:tcPr>
          <w:p w14:paraId="11FF41EC" w14:textId="77777777" w:rsidR="005D05F9" w:rsidRPr="00181EF3" w:rsidRDefault="005D05F9" w:rsidP="005D05F9">
            <w:pPr>
              <w:pStyle w:val="TableText"/>
              <w:jc w:val="center"/>
              <w:rPr>
                <w:sz w:val="16"/>
              </w:rPr>
            </w:pPr>
            <w:r w:rsidRPr="00181EF3">
              <w:rPr>
                <w:sz w:val="16"/>
              </w:rPr>
              <w:t>LC</w:t>
            </w:r>
          </w:p>
        </w:tc>
        <w:tc>
          <w:tcPr>
            <w:tcW w:w="417" w:type="dxa"/>
            <w:tcBorders>
              <w:bottom w:val="single" w:sz="4" w:space="0" w:color="A6A6A6" w:themeColor="background1" w:themeShade="A6"/>
            </w:tcBorders>
            <w:shd w:val="clear" w:color="auto" w:fill="auto"/>
          </w:tcPr>
          <w:p w14:paraId="0890AA8B" w14:textId="77777777" w:rsidR="005D05F9" w:rsidRPr="00181EF3" w:rsidRDefault="005D05F9" w:rsidP="005D05F9">
            <w:pPr>
              <w:pStyle w:val="TableText"/>
              <w:jc w:val="center"/>
              <w:rPr>
                <w:sz w:val="16"/>
              </w:rPr>
            </w:pPr>
            <w:r w:rsidRPr="00181EF3">
              <w:rPr>
                <w:sz w:val="16"/>
              </w:rPr>
              <w:t>LC</w:t>
            </w:r>
          </w:p>
        </w:tc>
        <w:tc>
          <w:tcPr>
            <w:tcW w:w="417" w:type="dxa"/>
            <w:tcBorders>
              <w:bottom w:val="single" w:sz="4" w:space="0" w:color="A6A6A6" w:themeColor="background1" w:themeShade="A6"/>
            </w:tcBorders>
            <w:shd w:val="clear" w:color="auto" w:fill="auto"/>
          </w:tcPr>
          <w:p w14:paraId="30EB45A1" w14:textId="77777777" w:rsidR="005D05F9" w:rsidRPr="00181EF3" w:rsidRDefault="005D05F9" w:rsidP="005D05F9">
            <w:pPr>
              <w:pStyle w:val="TableText"/>
              <w:jc w:val="center"/>
              <w:rPr>
                <w:sz w:val="16"/>
              </w:rPr>
            </w:pPr>
            <w:r w:rsidRPr="00181EF3">
              <w:rPr>
                <w:sz w:val="16"/>
              </w:rPr>
              <w:t>LC</w:t>
            </w:r>
          </w:p>
        </w:tc>
      </w:tr>
      <w:tr w:rsidR="005D05F9" w:rsidRPr="00181EF3" w14:paraId="08142123" w14:textId="77777777" w:rsidTr="005D05F9">
        <w:tc>
          <w:tcPr>
            <w:tcW w:w="567" w:type="dxa"/>
            <w:vMerge/>
          </w:tcPr>
          <w:p w14:paraId="060178B9" w14:textId="77777777" w:rsidR="005D05F9" w:rsidRPr="00181EF3" w:rsidRDefault="005D05F9" w:rsidP="005D05F9">
            <w:pPr>
              <w:pStyle w:val="TableText"/>
              <w:rPr>
                <w:sz w:val="16"/>
                <w:szCs w:val="16"/>
              </w:rPr>
            </w:pPr>
          </w:p>
        </w:tc>
        <w:tc>
          <w:tcPr>
            <w:tcW w:w="430" w:type="dxa"/>
            <w:tcBorders>
              <w:top w:val="single" w:sz="4" w:space="0" w:color="A6A6A6" w:themeColor="background1" w:themeShade="A6"/>
              <w:bottom w:val="single" w:sz="4" w:space="0" w:color="A6A6A6" w:themeColor="background1" w:themeShade="A6"/>
            </w:tcBorders>
            <w:shd w:val="clear" w:color="auto" w:fill="auto"/>
          </w:tcPr>
          <w:p w14:paraId="018109B5" w14:textId="77777777" w:rsidR="005D05F9" w:rsidRPr="00181EF3" w:rsidRDefault="005D05F9" w:rsidP="005D05F9">
            <w:pPr>
              <w:pStyle w:val="TableText"/>
              <w:jc w:val="center"/>
              <w:rPr>
                <w:sz w:val="16"/>
                <w:szCs w:val="16"/>
              </w:rPr>
            </w:pPr>
            <w:r w:rsidRPr="00181EF3">
              <w:rPr>
                <w:sz w:val="16"/>
                <w:szCs w:val="16"/>
              </w:rPr>
              <w:t>2</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4E5E1695" w14:textId="77777777" w:rsidR="005D05F9" w:rsidRPr="00181EF3" w:rsidRDefault="005D05F9" w:rsidP="005D05F9">
            <w:pPr>
              <w:pStyle w:val="TableText"/>
              <w:jc w:val="center"/>
              <w:rPr>
                <w:sz w:val="16"/>
              </w:rPr>
            </w:pPr>
            <w:r w:rsidRPr="00181EF3">
              <w:rPr>
                <w:sz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A9523F5" w14:textId="77777777" w:rsidR="005D05F9" w:rsidRPr="00181EF3" w:rsidRDefault="005D05F9" w:rsidP="005D05F9">
            <w:pPr>
              <w:pStyle w:val="TableText"/>
              <w:jc w:val="center"/>
              <w:rPr>
                <w:sz w:val="16"/>
              </w:rPr>
            </w:pPr>
            <w:r w:rsidRPr="00181EF3">
              <w:rPr>
                <w:sz w:val="16"/>
              </w:rPr>
              <w:t>LC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16911412" w14:textId="77777777" w:rsidR="005D05F9" w:rsidRPr="00181EF3" w:rsidRDefault="005D05F9" w:rsidP="005D05F9">
            <w:pPr>
              <w:pStyle w:val="TableText"/>
              <w:jc w:val="center"/>
              <w:rPr>
                <w:sz w:val="16"/>
              </w:rPr>
            </w:pPr>
            <w:r w:rsidRPr="00181EF3">
              <w:rPr>
                <w:sz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6BBB481" w14:textId="77777777" w:rsidR="005D05F9" w:rsidRPr="00181EF3" w:rsidRDefault="005D05F9" w:rsidP="005D05F9">
            <w:pPr>
              <w:pStyle w:val="TableText"/>
              <w:jc w:val="center"/>
              <w:rPr>
                <w:sz w:val="16"/>
              </w:rPr>
            </w:pPr>
            <w:r w:rsidRPr="00181EF3">
              <w:rPr>
                <w:sz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A089B04" w14:textId="77777777" w:rsidR="005D05F9" w:rsidRPr="00181EF3" w:rsidRDefault="005D05F9" w:rsidP="005D05F9">
            <w:pPr>
              <w:pStyle w:val="TableText"/>
              <w:jc w:val="center"/>
              <w:rPr>
                <w:sz w:val="16"/>
              </w:rPr>
            </w:pPr>
            <w:r w:rsidRPr="00181EF3">
              <w:rPr>
                <w:sz w:val="16"/>
              </w:rPr>
              <w:t>LC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372FE6B5" w14:textId="77777777" w:rsidR="005D05F9" w:rsidRPr="00181EF3" w:rsidRDefault="005D05F9" w:rsidP="005D05F9">
            <w:pPr>
              <w:pStyle w:val="TableText"/>
              <w:jc w:val="center"/>
              <w:rPr>
                <w:sz w:val="16"/>
              </w:rPr>
            </w:pPr>
            <w:r w:rsidRPr="00181EF3">
              <w:rPr>
                <w:sz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3B28A24" w14:textId="77777777" w:rsidR="005D05F9" w:rsidRPr="00181EF3" w:rsidRDefault="005D05F9" w:rsidP="005D05F9">
            <w:pPr>
              <w:pStyle w:val="TableText"/>
              <w:jc w:val="center"/>
              <w:rPr>
                <w:sz w:val="16"/>
              </w:rPr>
            </w:pPr>
            <w:r w:rsidRPr="00181EF3">
              <w:rPr>
                <w:sz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36A5F7F" w14:textId="77777777" w:rsidR="005D05F9" w:rsidRPr="00181EF3" w:rsidRDefault="005D05F9" w:rsidP="005D05F9">
            <w:pPr>
              <w:pStyle w:val="TableText"/>
              <w:jc w:val="center"/>
              <w:rPr>
                <w:sz w:val="16"/>
              </w:rPr>
            </w:pPr>
            <w:r w:rsidRPr="00181EF3">
              <w:rPr>
                <w:sz w:val="16"/>
              </w:rPr>
              <w:t>LC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12DE4B81" w14:textId="77777777" w:rsidR="005D05F9" w:rsidRPr="00181EF3" w:rsidRDefault="005D05F9" w:rsidP="005D05F9">
            <w:pPr>
              <w:pStyle w:val="TableText"/>
              <w:jc w:val="center"/>
              <w:rPr>
                <w:sz w:val="16"/>
              </w:rPr>
            </w:pPr>
            <w:r w:rsidRPr="00181EF3">
              <w:rPr>
                <w:sz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5034876" w14:textId="77777777" w:rsidR="005D05F9" w:rsidRPr="00181EF3" w:rsidRDefault="005D05F9" w:rsidP="005D05F9">
            <w:pPr>
              <w:pStyle w:val="TableText"/>
              <w:jc w:val="center"/>
              <w:rPr>
                <w:sz w:val="16"/>
              </w:rPr>
            </w:pPr>
            <w:r w:rsidRPr="00181EF3">
              <w:rPr>
                <w:sz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9FFC457" w14:textId="77777777" w:rsidR="005D05F9" w:rsidRPr="00181EF3" w:rsidRDefault="005D05F9" w:rsidP="005D05F9">
            <w:pPr>
              <w:pStyle w:val="TableText"/>
              <w:jc w:val="center"/>
              <w:rPr>
                <w:sz w:val="16"/>
              </w:rPr>
            </w:pPr>
            <w:r w:rsidRPr="00181EF3">
              <w:rPr>
                <w:sz w:val="16"/>
              </w:rPr>
              <w:t>LC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041BFF9F" w14:textId="77777777" w:rsidR="005D05F9" w:rsidRPr="00181EF3" w:rsidRDefault="005D05F9" w:rsidP="005D05F9">
            <w:pPr>
              <w:pStyle w:val="TableText"/>
              <w:jc w:val="center"/>
              <w:rPr>
                <w:sz w:val="16"/>
              </w:rPr>
            </w:pPr>
            <w:r w:rsidRPr="00181EF3">
              <w:rPr>
                <w:sz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12A2B36" w14:textId="77777777" w:rsidR="005D05F9" w:rsidRPr="00181EF3" w:rsidRDefault="005D05F9" w:rsidP="005D05F9">
            <w:pPr>
              <w:pStyle w:val="TableText"/>
              <w:jc w:val="center"/>
              <w:rPr>
                <w:sz w:val="16"/>
              </w:rPr>
            </w:pPr>
            <w:r w:rsidRPr="00181EF3">
              <w:rPr>
                <w:sz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9C89628" w14:textId="77777777" w:rsidR="005D05F9" w:rsidRPr="00181EF3" w:rsidRDefault="005D05F9" w:rsidP="005D05F9">
            <w:pPr>
              <w:pStyle w:val="TableText"/>
              <w:jc w:val="center"/>
              <w:rPr>
                <w:sz w:val="16"/>
              </w:rPr>
            </w:pPr>
            <w:r w:rsidRPr="00181EF3">
              <w:rPr>
                <w:sz w:val="16"/>
              </w:rPr>
              <w:t>LC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6F352058" w14:textId="77777777" w:rsidR="005D05F9" w:rsidRPr="00181EF3" w:rsidRDefault="005D05F9" w:rsidP="005D05F9">
            <w:pPr>
              <w:pStyle w:val="TableText"/>
              <w:jc w:val="center"/>
              <w:rPr>
                <w:sz w:val="16"/>
              </w:rPr>
            </w:pPr>
            <w:r w:rsidRPr="00181EF3">
              <w:rPr>
                <w:sz w:val="16"/>
              </w:rPr>
              <w:t>IHD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426C96D" w14:textId="77777777" w:rsidR="005D05F9" w:rsidRPr="00181EF3" w:rsidRDefault="005D05F9" w:rsidP="005D05F9">
            <w:pPr>
              <w:pStyle w:val="TableText"/>
              <w:jc w:val="center"/>
              <w:rPr>
                <w:sz w:val="16"/>
              </w:rPr>
            </w:pPr>
            <w:r w:rsidRPr="00181EF3">
              <w:rPr>
                <w:sz w:val="16"/>
              </w:rPr>
              <w:t>IHD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F0A455F" w14:textId="77777777" w:rsidR="005D05F9" w:rsidRPr="00181EF3" w:rsidRDefault="005D05F9" w:rsidP="005D05F9">
            <w:pPr>
              <w:pStyle w:val="TableText"/>
              <w:jc w:val="center"/>
              <w:rPr>
                <w:sz w:val="16"/>
              </w:rPr>
            </w:pPr>
            <w:r w:rsidRPr="00181EF3">
              <w:rPr>
                <w:sz w:val="16"/>
              </w:rPr>
              <w:t>IHD</w:t>
            </w:r>
          </w:p>
        </w:tc>
      </w:tr>
      <w:tr w:rsidR="005D05F9" w:rsidRPr="00181EF3" w14:paraId="27113078" w14:textId="77777777" w:rsidTr="005D05F9">
        <w:tc>
          <w:tcPr>
            <w:tcW w:w="567" w:type="dxa"/>
            <w:vMerge/>
          </w:tcPr>
          <w:p w14:paraId="0747E41B" w14:textId="77777777" w:rsidR="005D05F9" w:rsidRPr="00181EF3" w:rsidRDefault="005D05F9" w:rsidP="005D05F9">
            <w:pPr>
              <w:pStyle w:val="TableText"/>
              <w:rPr>
                <w:sz w:val="16"/>
                <w:szCs w:val="16"/>
              </w:rPr>
            </w:pPr>
          </w:p>
        </w:tc>
        <w:tc>
          <w:tcPr>
            <w:tcW w:w="430" w:type="dxa"/>
            <w:tcBorders>
              <w:top w:val="single" w:sz="4" w:space="0" w:color="A6A6A6" w:themeColor="background1" w:themeShade="A6"/>
              <w:bottom w:val="single" w:sz="4" w:space="0" w:color="A6A6A6" w:themeColor="background1" w:themeShade="A6"/>
            </w:tcBorders>
            <w:shd w:val="clear" w:color="auto" w:fill="auto"/>
          </w:tcPr>
          <w:p w14:paraId="6C068F9C" w14:textId="77777777" w:rsidR="005D05F9" w:rsidRPr="00181EF3" w:rsidRDefault="005D05F9" w:rsidP="005D05F9">
            <w:pPr>
              <w:pStyle w:val="TableText"/>
              <w:jc w:val="center"/>
              <w:rPr>
                <w:sz w:val="16"/>
                <w:szCs w:val="16"/>
              </w:rPr>
            </w:pPr>
            <w:r w:rsidRPr="00181EF3">
              <w:rPr>
                <w:sz w:val="16"/>
                <w:szCs w:val="16"/>
              </w:rPr>
              <w:t>3</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52C04F87" w14:textId="77777777" w:rsidR="005D05F9" w:rsidRPr="00181EF3" w:rsidRDefault="005D05F9" w:rsidP="005D05F9">
            <w:pPr>
              <w:pStyle w:val="TableText"/>
              <w:jc w:val="center"/>
              <w:rPr>
                <w:sz w:val="16"/>
              </w:rPr>
            </w:pPr>
            <w:r w:rsidRPr="00181EF3">
              <w:rPr>
                <w:sz w:val="16"/>
              </w:rPr>
              <w:t>DI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6B7D1A0" w14:textId="77777777" w:rsidR="005D05F9" w:rsidRPr="00181EF3" w:rsidRDefault="005D05F9" w:rsidP="005D05F9">
            <w:pPr>
              <w:pStyle w:val="TableText"/>
              <w:jc w:val="center"/>
              <w:rPr>
                <w:sz w:val="16"/>
              </w:rPr>
            </w:pPr>
            <w:r w:rsidRPr="00181EF3">
              <w:rPr>
                <w:sz w:val="16"/>
              </w:rPr>
              <w:t>DI</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44F1A9F6" w14:textId="77777777" w:rsidR="005D05F9" w:rsidRPr="00181EF3" w:rsidRDefault="005D05F9" w:rsidP="005D05F9">
            <w:pPr>
              <w:pStyle w:val="TableText"/>
              <w:jc w:val="center"/>
              <w:rPr>
                <w:sz w:val="16"/>
              </w:rPr>
            </w:pPr>
            <w:r w:rsidRPr="00181EF3">
              <w:rPr>
                <w:sz w:val="16"/>
              </w:rPr>
              <w:t>DI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6121D1C" w14:textId="77777777" w:rsidR="005D05F9" w:rsidRPr="00181EF3" w:rsidRDefault="005D05F9" w:rsidP="005D05F9">
            <w:pPr>
              <w:pStyle w:val="TableText"/>
              <w:jc w:val="center"/>
              <w:rPr>
                <w:sz w:val="16"/>
              </w:rPr>
            </w:pPr>
            <w:r w:rsidRPr="00181EF3">
              <w:rPr>
                <w:sz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FF36D5F" w14:textId="77777777" w:rsidR="005D05F9" w:rsidRPr="00181EF3" w:rsidRDefault="005D05F9" w:rsidP="005D05F9">
            <w:pPr>
              <w:pStyle w:val="TableText"/>
              <w:jc w:val="center"/>
              <w:rPr>
                <w:sz w:val="16"/>
              </w:rPr>
            </w:pPr>
            <w:r w:rsidRPr="00181EF3">
              <w:rPr>
                <w:sz w:val="16"/>
              </w:rPr>
              <w:t>CD</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38B7CA2D" w14:textId="77777777" w:rsidR="005D05F9" w:rsidRPr="00181EF3" w:rsidRDefault="005D05F9" w:rsidP="005D05F9">
            <w:pPr>
              <w:pStyle w:val="TableText"/>
              <w:jc w:val="center"/>
              <w:rPr>
                <w:sz w:val="16"/>
              </w:rPr>
            </w:pPr>
            <w:r w:rsidRPr="00181EF3">
              <w:rPr>
                <w:sz w:val="16"/>
              </w:rPr>
              <w:t>DI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DD3F324" w14:textId="77777777" w:rsidR="005D05F9" w:rsidRPr="00181EF3" w:rsidRDefault="005D05F9" w:rsidP="005D05F9">
            <w:pPr>
              <w:pStyle w:val="TableText"/>
              <w:jc w:val="center"/>
              <w:rPr>
                <w:sz w:val="16"/>
              </w:rPr>
            </w:pPr>
            <w:r w:rsidRPr="00181EF3">
              <w:rPr>
                <w:sz w:val="16"/>
              </w:rPr>
              <w:t>DI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723A144" w14:textId="77777777" w:rsidR="005D05F9" w:rsidRPr="00181EF3" w:rsidRDefault="005D05F9" w:rsidP="005D05F9">
            <w:pPr>
              <w:pStyle w:val="TableText"/>
              <w:jc w:val="center"/>
              <w:rPr>
                <w:sz w:val="16"/>
              </w:rPr>
            </w:pPr>
            <w:r w:rsidRPr="00181EF3">
              <w:rPr>
                <w:sz w:val="16"/>
              </w:rPr>
              <w:t>DI</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3CEE8AD7" w14:textId="77777777" w:rsidR="005D05F9" w:rsidRPr="00181EF3" w:rsidRDefault="005D05F9" w:rsidP="005D05F9">
            <w:pPr>
              <w:pStyle w:val="TableText"/>
              <w:jc w:val="center"/>
              <w:rPr>
                <w:sz w:val="16"/>
              </w:rPr>
            </w:pPr>
            <w:r w:rsidRPr="00181EF3">
              <w:rPr>
                <w:sz w:val="16"/>
              </w:rPr>
              <w:t>CPD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6512B7B" w14:textId="77777777" w:rsidR="005D05F9" w:rsidRPr="00181EF3" w:rsidRDefault="005D05F9" w:rsidP="005D05F9">
            <w:pPr>
              <w:pStyle w:val="TableText"/>
              <w:jc w:val="center"/>
              <w:rPr>
                <w:sz w:val="16"/>
              </w:rPr>
            </w:pPr>
            <w:r w:rsidRPr="00181EF3">
              <w:rPr>
                <w:sz w:val="16"/>
              </w:rPr>
              <w:t>CPD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2FDCB34" w14:textId="77777777" w:rsidR="005D05F9" w:rsidRPr="00181EF3" w:rsidRDefault="005D05F9" w:rsidP="005D05F9">
            <w:pPr>
              <w:pStyle w:val="TableText"/>
              <w:jc w:val="center"/>
              <w:rPr>
                <w:sz w:val="16"/>
              </w:rPr>
            </w:pPr>
            <w:r w:rsidRPr="00181EF3">
              <w:rPr>
                <w:sz w:val="16"/>
              </w:rPr>
              <w:t>CPD</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2D69423D" w14:textId="77777777" w:rsidR="005D05F9" w:rsidRPr="00181EF3" w:rsidRDefault="005D05F9" w:rsidP="005D05F9">
            <w:pPr>
              <w:pStyle w:val="TableText"/>
              <w:jc w:val="center"/>
              <w:rPr>
                <w:sz w:val="16"/>
              </w:rPr>
            </w:pPr>
            <w:r w:rsidRPr="00181EF3">
              <w:rPr>
                <w:sz w:val="16"/>
              </w:rPr>
              <w:t>CPD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A1EE86A" w14:textId="77777777" w:rsidR="005D05F9" w:rsidRPr="00181EF3" w:rsidRDefault="005D05F9" w:rsidP="005D05F9">
            <w:pPr>
              <w:pStyle w:val="TableText"/>
              <w:jc w:val="center"/>
              <w:rPr>
                <w:sz w:val="16"/>
              </w:rPr>
            </w:pPr>
            <w:r w:rsidRPr="00181EF3">
              <w:rPr>
                <w:sz w:val="16"/>
              </w:rPr>
              <w:t>CPD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EC70492" w14:textId="77777777" w:rsidR="005D05F9" w:rsidRPr="00181EF3" w:rsidRDefault="005D05F9" w:rsidP="005D05F9">
            <w:pPr>
              <w:pStyle w:val="TableText"/>
              <w:jc w:val="center"/>
              <w:rPr>
                <w:sz w:val="16"/>
              </w:rPr>
            </w:pPr>
            <w:r w:rsidRPr="00181EF3">
              <w:rPr>
                <w:sz w:val="16"/>
              </w:rPr>
              <w:t>CPD</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44073B9E" w14:textId="77777777" w:rsidR="005D05F9" w:rsidRPr="00181EF3" w:rsidRDefault="005D05F9" w:rsidP="005D05F9">
            <w:pPr>
              <w:pStyle w:val="TableText"/>
              <w:jc w:val="center"/>
              <w:rPr>
                <w:sz w:val="16"/>
              </w:rPr>
            </w:pPr>
            <w:r w:rsidRPr="00181EF3">
              <w:rPr>
                <w:sz w:val="16"/>
              </w:rPr>
              <w:t>CPD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486E96C" w14:textId="77777777" w:rsidR="005D05F9" w:rsidRPr="00181EF3" w:rsidRDefault="005D05F9" w:rsidP="005D05F9">
            <w:pPr>
              <w:pStyle w:val="TableText"/>
              <w:jc w:val="center"/>
              <w:rPr>
                <w:sz w:val="16"/>
              </w:rPr>
            </w:pPr>
            <w:r w:rsidRPr="00181EF3">
              <w:rPr>
                <w:sz w:val="16"/>
              </w:rPr>
              <w:t>CPD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6B5C9F3" w14:textId="77777777" w:rsidR="005D05F9" w:rsidRPr="00181EF3" w:rsidRDefault="005D05F9" w:rsidP="005D05F9">
            <w:pPr>
              <w:pStyle w:val="TableText"/>
              <w:jc w:val="center"/>
              <w:rPr>
                <w:sz w:val="16"/>
              </w:rPr>
            </w:pPr>
            <w:r w:rsidRPr="00181EF3">
              <w:rPr>
                <w:sz w:val="16"/>
              </w:rPr>
              <w:t>CPD</w:t>
            </w:r>
          </w:p>
        </w:tc>
      </w:tr>
      <w:tr w:rsidR="005D05F9" w:rsidRPr="00181EF3" w14:paraId="5C4B3C96" w14:textId="77777777" w:rsidTr="005D05F9">
        <w:tc>
          <w:tcPr>
            <w:tcW w:w="567" w:type="dxa"/>
            <w:vMerge/>
          </w:tcPr>
          <w:p w14:paraId="597D201E" w14:textId="77777777" w:rsidR="005D05F9" w:rsidRPr="00181EF3" w:rsidRDefault="005D05F9" w:rsidP="005D05F9">
            <w:pPr>
              <w:pStyle w:val="TableText"/>
              <w:rPr>
                <w:sz w:val="16"/>
                <w:szCs w:val="16"/>
              </w:rPr>
            </w:pPr>
          </w:p>
        </w:tc>
        <w:tc>
          <w:tcPr>
            <w:tcW w:w="430" w:type="dxa"/>
            <w:tcBorders>
              <w:top w:val="single" w:sz="4" w:space="0" w:color="A6A6A6" w:themeColor="background1" w:themeShade="A6"/>
              <w:bottom w:val="single" w:sz="4" w:space="0" w:color="A6A6A6" w:themeColor="background1" w:themeShade="A6"/>
            </w:tcBorders>
            <w:shd w:val="clear" w:color="auto" w:fill="auto"/>
          </w:tcPr>
          <w:p w14:paraId="30460567" w14:textId="77777777" w:rsidR="005D05F9" w:rsidRPr="00181EF3" w:rsidRDefault="005D05F9" w:rsidP="005D05F9">
            <w:pPr>
              <w:pStyle w:val="TableText"/>
              <w:jc w:val="center"/>
              <w:rPr>
                <w:sz w:val="16"/>
                <w:szCs w:val="16"/>
              </w:rPr>
            </w:pPr>
            <w:r w:rsidRPr="00181EF3">
              <w:rPr>
                <w:sz w:val="16"/>
                <w:szCs w:val="16"/>
              </w:rPr>
              <w:t>4</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094A067B" w14:textId="77777777" w:rsidR="005D05F9" w:rsidRPr="00181EF3" w:rsidRDefault="005D05F9" w:rsidP="005D05F9">
            <w:pPr>
              <w:pStyle w:val="TableText"/>
              <w:jc w:val="center"/>
              <w:rPr>
                <w:sz w:val="16"/>
              </w:rPr>
            </w:pPr>
            <w:r w:rsidRPr="00181EF3">
              <w:rPr>
                <w:sz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7E749CA" w14:textId="77777777" w:rsidR="005D05F9" w:rsidRPr="00181EF3" w:rsidRDefault="005D05F9" w:rsidP="005D05F9">
            <w:pPr>
              <w:pStyle w:val="TableText"/>
              <w:jc w:val="center"/>
              <w:rPr>
                <w:sz w:val="16"/>
              </w:rPr>
            </w:pPr>
            <w:r w:rsidRPr="00181EF3">
              <w:rPr>
                <w:sz w:val="16"/>
              </w:rPr>
              <w:t>CD</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7F06B18E" w14:textId="77777777" w:rsidR="005D05F9" w:rsidRPr="00181EF3" w:rsidRDefault="005D05F9" w:rsidP="005D05F9">
            <w:pPr>
              <w:pStyle w:val="TableText"/>
              <w:jc w:val="center"/>
              <w:rPr>
                <w:sz w:val="16"/>
              </w:rPr>
            </w:pPr>
            <w:r w:rsidRPr="00181EF3">
              <w:rPr>
                <w:sz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ED6996F" w14:textId="77777777" w:rsidR="005D05F9" w:rsidRPr="00181EF3" w:rsidRDefault="005D05F9" w:rsidP="005D05F9">
            <w:pPr>
              <w:pStyle w:val="TableText"/>
              <w:jc w:val="center"/>
              <w:rPr>
                <w:sz w:val="16"/>
              </w:rPr>
            </w:pPr>
            <w:r w:rsidRPr="00181EF3">
              <w:rPr>
                <w:sz w:val="16"/>
              </w:rPr>
              <w:t>DI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9C9131C" w14:textId="77777777" w:rsidR="005D05F9" w:rsidRPr="00181EF3" w:rsidRDefault="005D05F9" w:rsidP="005D05F9">
            <w:pPr>
              <w:pStyle w:val="TableText"/>
              <w:jc w:val="center"/>
              <w:rPr>
                <w:sz w:val="16"/>
              </w:rPr>
            </w:pPr>
            <w:r w:rsidRPr="00181EF3">
              <w:rPr>
                <w:sz w:val="16"/>
              </w:rPr>
              <w:t>DI</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41EF0691" w14:textId="77777777" w:rsidR="005D05F9" w:rsidRPr="00181EF3" w:rsidRDefault="005D05F9" w:rsidP="005D05F9">
            <w:pPr>
              <w:pStyle w:val="TableText"/>
              <w:jc w:val="center"/>
              <w:rPr>
                <w:sz w:val="16"/>
              </w:rPr>
            </w:pPr>
            <w:r w:rsidRPr="00181EF3">
              <w:rPr>
                <w:sz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9DBCA03" w14:textId="77777777" w:rsidR="005D05F9" w:rsidRPr="00181EF3" w:rsidRDefault="005D05F9" w:rsidP="005D05F9">
            <w:pPr>
              <w:pStyle w:val="TableText"/>
              <w:jc w:val="center"/>
              <w:rPr>
                <w:sz w:val="16"/>
              </w:rPr>
            </w:pPr>
            <w:r w:rsidRPr="00181EF3">
              <w:rPr>
                <w:sz w:val="16"/>
              </w:rPr>
              <w:t>CPD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FE186B1" w14:textId="77777777" w:rsidR="005D05F9" w:rsidRPr="00181EF3" w:rsidRDefault="005D05F9" w:rsidP="005D05F9">
            <w:pPr>
              <w:pStyle w:val="TableText"/>
              <w:jc w:val="center"/>
              <w:rPr>
                <w:sz w:val="16"/>
              </w:rPr>
            </w:pPr>
            <w:r w:rsidRPr="00181EF3">
              <w:rPr>
                <w:sz w:val="16"/>
              </w:rPr>
              <w:t>CPD</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19F91795" w14:textId="77777777" w:rsidR="005D05F9" w:rsidRPr="00181EF3" w:rsidRDefault="005D05F9" w:rsidP="005D05F9">
            <w:pPr>
              <w:pStyle w:val="TableText"/>
              <w:jc w:val="center"/>
              <w:rPr>
                <w:sz w:val="16"/>
              </w:rPr>
            </w:pPr>
            <w:r w:rsidRPr="00181EF3">
              <w:rPr>
                <w:sz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40A7C75" w14:textId="77777777" w:rsidR="005D05F9" w:rsidRPr="00181EF3" w:rsidRDefault="005D05F9" w:rsidP="005D05F9">
            <w:pPr>
              <w:pStyle w:val="TableText"/>
              <w:jc w:val="center"/>
              <w:rPr>
                <w:sz w:val="16"/>
              </w:rPr>
            </w:pPr>
            <w:r w:rsidRPr="00181EF3">
              <w:rPr>
                <w:sz w:val="16"/>
              </w:rPr>
              <w:t>DI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155595D" w14:textId="77777777" w:rsidR="005D05F9" w:rsidRPr="00181EF3" w:rsidRDefault="005D05F9" w:rsidP="005D05F9">
            <w:pPr>
              <w:pStyle w:val="TableText"/>
              <w:jc w:val="center"/>
              <w:rPr>
                <w:sz w:val="16"/>
              </w:rPr>
            </w:pPr>
            <w:r w:rsidRPr="00181EF3">
              <w:rPr>
                <w:sz w:val="16"/>
              </w:rPr>
              <w:t>BC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62521BDA" w14:textId="77777777" w:rsidR="005D05F9" w:rsidRPr="00181EF3" w:rsidRDefault="005D05F9" w:rsidP="005D05F9">
            <w:pPr>
              <w:pStyle w:val="TableText"/>
              <w:jc w:val="center"/>
              <w:rPr>
                <w:sz w:val="16"/>
              </w:rPr>
            </w:pPr>
            <w:r w:rsidRPr="00181EF3">
              <w:rPr>
                <w:sz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3035696" w14:textId="77777777" w:rsidR="005D05F9" w:rsidRPr="00181EF3" w:rsidRDefault="005D05F9" w:rsidP="005D05F9">
            <w:pPr>
              <w:pStyle w:val="TableText"/>
              <w:jc w:val="center"/>
              <w:rPr>
                <w:sz w:val="16"/>
              </w:rPr>
            </w:pPr>
            <w:r w:rsidRPr="00181EF3">
              <w:rPr>
                <w:sz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21D6A8C" w14:textId="77777777" w:rsidR="005D05F9" w:rsidRPr="00181EF3" w:rsidRDefault="005D05F9" w:rsidP="005D05F9">
            <w:pPr>
              <w:pStyle w:val="TableText"/>
              <w:jc w:val="center"/>
              <w:rPr>
                <w:sz w:val="16"/>
              </w:rPr>
            </w:pPr>
            <w:r w:rsidRPr="00181EF3">
              <w:rPr>
                <w:sz w:val="16"/>
              </w:rPr>
              <w:t>CD</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2D8D3D3A" w14:textId="77777777" w:rsidR="005D05F9" w:rsidRPr="00181EF3" w:rsidRDefault="005D05F9" w:rsidP="005D05F9">
            <w:pPr>
              <w:pStyle w:val="TableText"/>
              <w:jc w:val="center"/>
              <w:rPr>
                <w:sz w:val="16"/>
              </w:rPr>
            </w:pPr>
            <w:r w:rsidRPr="00181EF3">
              <w:rPr>
                <w:sz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E72A5AD" w14:textId="77777777" w:rsidR="005D05F9" w:rsidRPr="00181EF3" w:rsidRDefault="005D05F9" w:rsidP="005D05F9">
            <w:pPr>
              <w:pStyle w:val="TableText"/>
              <w:jc w:val="center"/>
              <w:rPr>
                <w:sz w:val="16"/>
              </w:rPr>
            </w:pPr>
            <w:r w:rsidRPr="00181EF3">
              <w:rPr>
                <w:sz w:val="16"/>
              </w:rPr>
              <w:t>BC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F4A9BE4" w14:textId="77777777" w:rsidR="005D05F9" w:rsidRPr="00181EF3" w:rsidRDefault="005D05F9" w:rsidP="005D05F9">
            <w:pPr>
              <w:pStyle w:val="TableText"/>
              <w:jc w:val="center"/>
              <w:rPr>
                <w:sz w:val="16"/>
              </w:rPr>
            </w:pPr>
            <w:r w:rsidRPr="00181EF3">
              <w:rPr>
                <w:sz w:val="16"/>
              </w:rPr>
              <w:t>BC</w:t>
            </w:r>
          </w:p>
        </w:tc>
      </w:tr>
      <w:tr w:rsidR="005D05F9" w:rsidRPr="00181EF3" w14:paraId="76198D69" w14:textId="77777777" w:rsidTr="005D05F9">
        <w:tc>
          <w:tcPr>
            <w:tcW w:w="567" w:type="dxa"/>
            <w:vMerge/>
            <w:tcBorders>
              <w:bottom w:val="single" w:sz="4" w:space="0" w:color="A6A6A6" w:themeColor="background1" w:themeShade="A6"/>
            </w:tcBorders>
          </w:tcPr>
          <w:p w14:paraId="4D6040A0" w14:textId="77777777" w:rsidR="005D05F9" w:rsidRPr="00181EF3" w:rsidRDefault="005D05F9" w:rsidP="005D05F9">
            <w:pPr>
              <w:pStyle w:val="TableText"/>
              <w:rPr>
                <w:sz w:val="16"/>
                <w:szCs w:val="16"/>
              </w:rPr>
            </w:pPr>
          </w:p>
        </w:tc>
        <w:tc>
          <w:tcPr>
            <w:tcW w:w="430" w:type="dxa"/>
            <w:tcBorders>
              <w:top w:val="single" w:sz="4" w:space="0" w:color="A6A6A6" w:themeColor="background1" w:themeShade="A6"/>
              <w:bottom w:val="single" w:sz="4" w:space="0" w:color="A6A6A6" w:themeColor="background1" w:themeShade="A6"/>
            </w:tcBorders>
            <w:shd w:val="clear" w:color="auto" w:fill="auto"/>
          </w:tcPr>
          <w:p w14:paraId="009C16D1" w14:textId="77777777" w:rsidR="005D05F9" w:rsidRPr="00181EF3" w:rsidRDefault="005D05F9" w:rsidP="005D05F9">
            <w:pPr>
              <w:pStyle w:val="TableText"/>
              <w:jc w:val="center"/>
              <w:rPr>
                <w:sz w:val="16"/>
                <w:szCs w:val="16"/>
              </w:rPr>
            </w:pPr>
            <w:r w:rsidRPr="00181EF3">
              <w:rPr>
                <w:sz w:val="16"/>
                <w:szCs w:val="16"/>
              </w:rPr>
              <w:t>5</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7F23F77C" w14:textId="77777777" w:rsidR="005D05F9" w:rsidRPr="00181EF3" w:rsidRDefault="005D05F9" w:rsidP="005D05F9">
            <w:pPr>
              <w:pStyle w:val="TableText"/>
              <w:jc w:val="center"/>
              <w:rPr>
                <w:sz w:val="16"/>
              </w:rPr>
            </w:pPr>
            <w:r w:rsidRPr="00181EF3">
              <w:rPr>
                <w:sz w:val="16"/>
              </w:rPr>
              <w:t>BC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1DA4CA8" w14:textId="77777777" w:rsidR="005D05F9" w:rsidRPr="00181EF3" w:rsidRDefault="005D05F9" w:rsidP="005D05F9">
            <w:pPr>
              <w:pStyle w:val="TableText"/>
              <w:jc w:val="center"/>
              <w:rPr>
                <w:sz w:val="16"/>
              </w:rPr>
            </w:pPr>
            <w:r w:rsidRPr="00181EF3">
              <w:rPr>
                <w:sz w:val="16"/>
              </w:rPr>
              <w:t>BC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4EBB8ABE" w14:textId="77777777" w:rsidR="005D05F9" w:rsidRPr="00181EF3" w:rsidRDefault="005D05F9" w:rsidP="005D05F9">
            <w:pPr>
              <w:pStyle w:val="TableText"/>
              <w:jc w:val="center"/>
              <w:rPr>
                <w:sz w:val="16"/>
              </w:rPr>
            </w:pPr>
            <w:r w:rsidRPr="00181EF3">
              <w:rPr>
                <w:sz w:val="16"/>
              </w:rPr>
              <w:t>BC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BC68054" w14:textId="77777777" w:rsidR="005D05F9" w:rsidRPr="00181EF3" w:rsidRDefault="005D05F9" w:rsidP="005D05F9">
            <w:pPr>
              <w:pStyle w:val="TableText"/>
              <w:jc w:val="center"/>
              <w:rPr>
                <w:sz w:val="16"/>
              </w:rPr>
            </w:pPr>
            <w:r w:rsidRPr="00181EF3">
              <w:rPr>
                <w:sz w:val="16"/>
              </w:rPr>
              <w:t>BC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935E02B" w14:textId="77777777" w:rsidR="005D05F9" w:rsidRPr="00181EF3" w:rsidRDefault="005D05F9" w:rsidP="005D05F9">
            <w:pPr>
              <w:pStyle w:val="TableText"/>
              <w:jc w:val="center"/>
              <w:rPr>
                <w:sz w:val="16"/>
              </w:rPr>
            </w:pPr>
            <w:r w:rsidRPr="00181EF3">
              <w:rPr>
                <w:sz w:val="16"/>
              </w:rPr>
              <w:t>CPD</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02E5C0AB" w14:textId="77777777" w:rsidR="005D05F9" w:rsidRPr="00181EF3" w:rsidRDefault="005D05F9" w:rsidP="005D05F9">
            <w:pPr>
              <w:pStyle w:val="TableText"/>
              <w:jc w:val="center"/>
              <w:rPr>
                <w:sz w:val="16"/>
              </w:rPr>
            </w:pPr>
            <w:r w:rsidRPr="00181EF3">
              <w:rPr>
                <w:sz w:val="16"/>
              </w:rPr>
              <w:t>CPD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31D1AF1" w14:textId="77777777" w:rsidR="005D05F9" w:rsidRPr="00181EF3" w:rsidRDefault="005D05F9" w:rsidP="005D05F9">
            <w:pPr>
              <w:pStyle w:val="TableText"/>
              <w:jc w:val="center"/>
              <w:rPr>
                <w:sz w:val="16"/>
              </w:rPr>
            </w:pPr>
            <w:r w:rsidRPr="00181EF3">
              <w:rPr>
                <w:sz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E9F5995" w14:textId="77777777" w:rsidR="005D05F9" w:rsidRPr="00181EF3" w:rsidRDefault="005D05F9" w:rsidP="005D05F9">
            <w:pPr>
              <w:pStyle w:val="TableText"/>
              <w:jc w:val="center"/>
              <w:rPr>
                <w:sz w:val="16"/>
              </w:rPr>
            </w:pPr>
            <w:r w:rsidRPr="00181EF3">
              <w:rPr>
                <w:sz w:val="16"/>
              </w:rPr>
              <w:t>CD</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523C854A" w14:textId="77777777" w:rsidR="005D05F9" w:rsidRPr="00181EF3" w:rsidRDefault="005D05F9" w:rsidP="005D05F9">
            <w:pPr>
              <w:pStyle w:val="TableText"/>
              <w:jc w:val="center"/>
              <w:rPr>
                <w:sz w:val="16"/>
              </w:rPr>
            </w:pPr>
            <w:r w:rsidRPr="00181EF3">
              <w:rPr>
                <w:sz w:val="16"/>
              </w:rPr>
              <w:t>DI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6D251C1" w14:textId="77777777" w:rsidR="005D05F9" w:rsidRPr="00181EF3" w:rsidRDefault="005D05F9" w:rsidP="005D05F9">
            <w:pPr>
              <w:pStyle w:val="TableText"/>
              <w:jc w:val="center"/>
              <w:rPr>
                <w:sz w:val="16"/>
              </w:rPr>
            </w:pPr>
            <w:r w:rsidRPr="00181EF3">
              <w:rPr>
                <w:sz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D974C33" w14:textId="77777777" w:rsidR="005D05F9" w:rsidRPr="00181EF3" w:rsidRDefault="005D05F9" w:rsidP="005D05F9">
            <w:pPr>
              <w:pStyle w:val="TableText"/>
              <w:jc w:val="center"/>
              <w:rPr>
                <w:sz w:val="16"/>
              </w:rPr>
            </w:pPr>
            <w:r w:rsidRPr="00181EF3">
              <w:rPr>
                <w:sz w:val="16"/>
              </w:rPr>
              <w:t>DI</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305340BB" w14:textId="77777777" w:rsidR="005D05F9" w:rsidRPr="00181EF3" w:rsidRDefault="005D05F9" w:rsidP="005D05F9">
            <w:pPr>
              <w:pStyle w:val="TableText"/>
              <w:jc w:val="center"/>
              <w:rPr>
                <w:sz w:val="16"/>
              </w:rPr>
            </w:pPr>
            <w:r w:rsidRPr="00181EF3">
              <w:rPr>
                <w:sz w:val="16"/>
              </w:rPr>
              <w:t>DI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4E717AF" w14:textId="77777777" w:rsidR="005D05F9" w:rsidRPr="00181EF3" w:rsidRDefault="005D05F9" w:rsidP="005D05F9">
            <w:pPr>
              <w:pStyle w:val="TableText"/>
              <w:jc w:val="center"/>
              <w:rPr>
                <w:sz w:val="16"/>
              </w:rPr>
            </w:pPr>
            <w:r w:rsidRPr="00181EF3">
              <w:rPr>
                <w:sz w:val="16"/>
              </w:rPr>
              <w:t>BC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0844E92" w14:textId="77777777" w:rsidR="005D05F9" w:rsidRPr="00181EF3" w:rsidRDefault="005D05F9" w:rsidP="005D05F9">
            <w:pPr>
              <w:pStyle w:val="TableText"/>
              <w:jc w:val="center"/>
              <w:rPr>
                <w:sz w:val="16"/>
              </w:rPr>
            </w:pPr>
            <w:r w:rsidRPr="00181EF3">
              <w:rPr>
                <w:sz w:val="16"/>
              </w:rPr>
              <w:t>BC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5EC70124" w14:textId="77777777" w:rsidR="005D05F9" w:rsidRPr="00181EF3" w:rsidRDefault="005D05F9" w:rsidP="005D05F9">
            <w:pPr>
              <w:pStyle w:val="TableText"/>
              <w:jc w:val="center"/>
              <w:rPr>
                <w:sz w:val="16"/>
              </w:rPr>
            </w:pPr>
            <w:r w:rsidRPr="00181EF3">
              <w:rPr>
                <w:sz w:val="16"/>
              </w:rPr>
              <w:t>DI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383B492" w14:textId="77777777" w:rsidR="005D05F9" w:rsidRPr="00181EF3" w:rsidRDefault="005D05F9" w:rsidP="005D05F9">
            <w:pPr>
              <w:pStyle w:val="TableText"/>
              <w:jc w:val="center"/>
              <w:rPr>
                <w:sz w:val="16"/>
              </w:rPr>
            </w:pPr>
            <w:r w:rsidRPr="00181EF3">
              <w:rPr>
                <w:sz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EB30D7F" w14:textId="77777777" w:rsidR="005D05F9" w:rsidRPr="00181EF3" w:rsidRDefault="005D05F9" w:rsidP="005D05F9">
            <w:pPr>
              <w:pStyle w:val="TableText"/>
              <w:jc w:val="center"/>
              <w:rPr>
                <w:sz w:val="16"/>
              </w:rPr>
            </w:pPr>
            <w:r w:rsidRPr="00181EF3">
              <w:rPr>
                <w:sz w:val="16"/>
              </w:rPr>
              <w:t>CD</w:t>
            </w:r>
          </w:p>
        </w:tc>
      </w:tr>
      <w:tr w:rsidR="005D05F9" w:rsidRPr="00181EF3" w14:paraId="0E981463" w14:textId="77777777" w:rsidTr="005D05F9">
        <w:tc>
          <w:tcPr>
            <w:tcW w:w="567" w:type="dxa"/>
            <w:vMerge w:val="restart"/>
            <w:tcBorders>
              <w:top w:val="single" w:sz="4" w:space="0" w:color="A6A6A6" w:themeColor="background1" w:themeShade="A6"/>
            </w:tcBorders>
          </w:tcPr>
          <w:p w14:paraId="4D52F1E6" w14:textId="0AAC2212" w:rsidR="005D05F9" w:rsidRPr="00181EF3" w:rsidRDefault="00EC03A3" w:rsidP="005D05F9">
            <w:pPr>
              <w:pStyle w:val="TableText"/>
              <w:rPr>
                <w:sz w:val="16"/>
                <w:szCs w:val="16"/>
              </w:rPr>
            </w:pPr>
            <w:r>
              <w:rPr>
                <w:sz w:val="16"/>
                <w:szCs w:val="16"/>
              </w:rPr>
              <w:t>Non</w:t>
            </w:r>
            <w:r>
              <w:rPr>
                <w:sz w:val="16"/>
                <w:szCs w:val="16"/>
              </w:rPr>
              <w:noBreakHyphen/>
              <w:t>M</w:t>
            </w:r>
            <w:r w:rsidR="005D05F9" w:rsidRPr="00181EF3">
              <w:rPr>
                <w:sz w:val="16"/>
                <w:szCs w:val="16"/>
              </w:rPr>
              <w:t>āori</w:t>
            </w:r>
          </w:p>
        </w:tc>
        <w:tc>
          <w:tcPr>
            <w:tcW w:w="430" w:type="dxa"/>
            <w:tcBorders>
              <w:top w:val="single" w:sz="4" w:space="0" w:color="A6A6A6" w:themeColor="background1" w:themeShade="A6"/>
              <w:bottom w:val="single" w:sz="4" w:space="0" w:color="A6A6A6" w:themeColor="background1" w:themeShade="A6"/>
            </w:tcBorders>
            <w:shd w:val="clear" w:color="auto" w:fill="auto"/>
          </w:tcPr>
          <w:p w14:paraId="0216EF08" w14:textId="77777777" w:rsidR="005D05F9" w:rsidRPr="00181EF3" w:rsidRDefault="005D05F9" w:rsidP="005D05F9">
            <w:pPr>
              <w:pStyle w:val="TableText"/>
              <w:jc w:val="center"/>
              <w:rPr>
                <w:sz w:val="16"/>
                <w:szCs w:val="16"/>
              </w:rPr>
            </w:pPr>
            <w:r w:rsidRPr="00181EF3">
              <w:rPr>
                <w:sz w:val="16"/>
                <w:szCs w:val="16"/>
              </w:rPr>
              <w:t>1</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44DCBDA7" w14:textId="77777777" w:rsidR="005D05F9" w:rsidRPr="00181EF3" w:rsidRDefault="005D05F9" w:rsidP="005D05F9">
            <w:pPr>
              <w:pStyle w:val="TableText"/>
              <w:jc w:val="center"/>
              <w:rPr>
                <w:sz w:val="16"/>
              </w:rPr>
            </w:pPr>
            <w:r w:rsidRPr="00181EF3">
              <w:rPr>
                <w:sz w:val="16"/>
              </w:rPr>
              <w:t>IHD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3648EE7" w14:textId="77777777" w:rsidR="005D05F9" w:rsidRPr="00181EF3" w:rsidRDefault="005D05F9" w:rsidP="005D05F9">
            <w:pPr>
              <w:pStyle w:val="TableText"/>
              <w:jc w:val="center"/>
              <w:rPr>
                <w:sz w:val="16"/>
              </w:rPr>
            </w:pPr>
            <w:r w:rsidRPr="00181EF3">
              <w:rPr>
                <w:sz w:val="16"/>
              </w:rPr>
              <w:t>IHD</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23CB1F98" w14:textId="77777777" w:rsidR="005D05F9" w:rsidRPr="00181EF3" w:rsidRDefault="005D05F9" w:rsidP="005D05F9">
            <w:pPr>
              <w:pStyle w:val="TableText"/>
              <w:jc w:val="center"/>
              <w:rPr>
                <w:sz w:val="16"/>
              </w:rPr>
            </w:pPr>
            <w:r w:rsidRPr="00181EF3">
              <w:rPr>
                <w:sz w:val="16"/>
              </w:rPr>
              <w:t>IHD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287BE5E" w14:textId="77777777" w:rsidR="005D05F9" w:rsidRPr="00181EF3" w:rsidRDefault="005D05F9" w:rsidP="005D05F9">
            <w:pPr>
              <w:pStyle w:val="TableText"/>
              <w:jc w:val="center"/>
              <w:rPr>
                <w:sz w:val="16"/>
              </w:rPr>
            </w:pPr>
            <w:r w:rsidRPr="00181EF3">
              <w:rPr>
                <w:sz w:val="16"/>
              </w:rPr>
              <w:t>IHD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C9F062B" w14:textId="77777777" w:rsidR="005D05F9" w:rsidRPr="00181EF3" w:rsidRDefault="005D05F9" w:rsidP="005D05F9">
            <w:pPr>
              <w:pStyle w:val="TableText"/>
              <w:jc w:val="center"/>
              <w:rPr>
                <w:sz w:val="16"/>
              </w:rPr>
            </w:pPr>
            <w:r w:rsidRPr="00181EF3">
              <w:rPr>
                <w:sz w:val="16"/>
              </w:rPr>
              <w:t>IHD</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2BBCA0A6" w14:textId="77777777" w:rsidR="005D05F9" w:rsidRPr="00181EF3" w:rsidRDefault="005D05F9" w:rsidP="005D05F9">
            <w:pPr>
              <w:pStyle w:val="TableText"/>
              <w:jc w:val="center"/>
              <w:rPr>
                <w:sz w:val="16"/>
              </w:rPr>
            </w:pPr>
            <w:r w:rsidRPr="00181EF3">
              <w:rPr>
                <w:sz w:val="16"/>
              </w:rPr>
              <w:t>IHD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E6BD20C" w14:textId="77777777" w:rsidR="005D05F9" w:rsidRPr="00181EF3" w:rsidRDefault="005D05F9" w:rsidP="005D05F9">
            <w:pPr>
              <w:pStyle w:val="TableText"/>
              <w:jc w:val="center"/>
              <w:rPr>
                <w:sz w:val="16"/>
              </w:rPr>
            </w:pPr>
            <w:r w:rsidRPr="00181EF3">
              <w:rPr>
                <w:sz w:val="16"/>
              </w:rPr>
              <w:t>IHD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9661D16" w14:textId="77777777" w:rsidR="005D05F9" w:rsidRPr="00181EF3" w:rsidRDefault="005D05F9" w:rsidP="005D05F9">
            <w:pPr>
              <w:pStyle w:val="TableText"/>
              <w:jc w:val="center"/>
              <w:rPr>
                <w:sz w:val="16"/>
              </w:rPr>
            </w:pPr>
            <w:r w:rsidRPr="00181EF3">
              <w:rPr>
                <w:sz w:val="16"/>
              </w:rPr>
              <w:t>IHD</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2D7678E2" w14:textId="77777777" w:rsidR="005D05F9" w:rsidRPr="00181EF3" w:rsidRDefault="005D05F9" w:rsidP="005D05F9">
            <w:pPr>
              <w:pStyle w:val="TableText"/>
              <w:jc w:val="center"/>
              <w:rPr>
                <w:sz w:val="16"/>
              </w:rPr>
            </w:pPr>
            <w:r w:rsidRPr="00181EF3">
              <w:rPr>
                <w:sz w:val="16"/>
              </w:rPr>
              <w:t>IHD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508502B" w14:textId="77777777" w:rsidR="005D05F9" w:rsidRPr="00181EF3" w:rsidRDefault="005D05F9" w:rsidP="005D05F9">
            <w:pPr>
              <w:pStyle w:val="TableText"/>
              <w:jc w:val="center"/>
              <w:rPr>
                <w:sz w:val="16"/>
              </w:rPr>
            </w:pPr>
            <w:r w:rsidRPr="00181EF3">
              <w:rPr>
                <w:sz w:val="16"/>
              </w:rPr>
              <w:t>IHD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AF841D6" w14:textId="77777777" w:rsidR="005D05F9" w:rsidRPr="00181EF3" w:rsidRDefault="005D05F9" w:rsidP="005D05F9">
            <w:pPr>
              <w:pStyle w:val="TableText"/>
              <w:jc w:val="center"/>
              <w:rPr>
                <w:sz w:val="16"/>
              </w:rPr>
            </w:pPr>
            <w:r w:rsidRPr="00181EF3">
              <w:rPr>
                <w:sz w:val="16"/>
              </w:rPr>
              <w:t>IHD</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41027BC5" w14:textId="77777777" w:rsidR="005D05F9" w:rsidRPr="00181EF3" w:rsidRDefault="005D05F9" w:rsidP="005D05F9">
            <w:pPr>
              <w:pStyle w:val="TableText"/>
              <w:jc w:val="center"/>
              <w:rPr>
                <w:sz w:val="16"/>
              </w:rPr>
            </w:pPr>
            <w:r w:rsidRPr="00181EF3">
              <w:rPr>
                <w:sz w:val="16"/>
              </w:rPr>
              <w:t>IHD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75303EB" w14:textId="77777777" w:rsidR="005D05F9" w:rsidRPr="00181EF3" w:rsidRDefault="005D05F9" w:rsidP="005D05F9">
            <w:pPr>
              <w:pStyle w:val="TableText"/>
              <w:jc w:val="center"/>
              <w:rPr>
                <w:sz w:val="16"/>
              </w:rPr>
            </w:pPr>
            <w:r w:rsidRPr="00181EF3">
              <w:rPr>
                <w:sz w:val="16"/>
              </w:rPr>
              <w:t>IHD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6CA0F8F" w14:textId="77777777" w:rsidR="005D05F9" w:rsidRPr="00181EF3" w:rsidRDefault="005D05F9" w:rsidP="005D05F9">
            <w:pPr>
              <w:pStyle w:val="TableText"/>
              <w:jc w:val="center"/>
              <w:rPr>
                <w:sz w:val="16"/>
              </w:rPr>
            </w:pPr>
            <w:r w:rsidRPr="00181EF3">
              <w:rPr>
                <w:sz w:val="16"/>
              </w:rPr>
              <w:t>IHD</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70C3BBD6" w14:textId="77777777" w:rsidR="005D05F9" w:rsidRPr="00181EF3" w:rsidRDefault="005D05F9" w:rsidP="005D05F9">
            <w:pPr>
              <w:pStyle w:val="TableText"/>
              <w:jc w:val="center"/>
              <w:rPr>
                <w:sz w:val="16"/>
              </w:rPr>
            </w:pPr>
            <w:r w:rsidRPr="00181EF3">
              <w:rPr>
                <w:sz w:val="16"/>
              </w:rPr>
              <w:t>IHD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009E73F" w14:textId="77777777" w:rsidR="005D05F9" w:rsidRPr="00181EF3" w:rsidRDefault="005D05F9" w:rsidP="005D05F9">
            <w:pPr>
              <w:pStyle w:val="TableText"/>
              <w:jc w:val="center"/>
              <w:rPr>
                <w:sz w:val="16"/>
              </w:rPr>
            </w:pPr>
            <w:r w:rsidRPr="00181EF3">
              <w:rPr>
                <w:sz w:val="16"/>
              </w:rPr>
              <w:t>IHD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6F921F2" w14:textId="77777777" w:rsidR="005D05F9" w:rsidRPr="00181EF3" w:rsidRDefault="005D05F9" w:rsidP="005D05F9">
            <w:pPr>
              <w:pStyle w:val="TableText"/>
              <w:jc w:val="center"/>
              <w:rPr>
                <w:sz w:val="16"/>
              </w:rPr>
            </w:pPr>
            <w:r w:rsidRPr="00181EF3">
              <w:rPr>
                <w:sz w:val="16"/>
              </w:rPr>
              <w:t>IHD</w:t>
            </w:r>
          </w:p>
        </w:tc>
      </w:tr>
      <w:tr w:rsidR="005D05F9" w:rsidRPr="00181EF3" w14:paraId="325D60BE" w14:textId="77777777" w:rsidTr="005D05F9">
        <w:tc>
          <w:tcPr>
            <w:tcW w:w="567" w:type="dxa"/>
            <w:vMerge/>
          </w:tcPr>
          <w:p w14:paraId="7B52DAC6" w14:textId="77777777" w:rsidR="005D05F9" w:rsidRPr="00181EF3" w:rsidRDefault="005D05F9" w:rsidP="005D05F9">
            <w:pPr>
              <w:pStyle w:val="TableText"/>
              <w:rPr>
                <w:sz w:val="16"/>
                <w:szCs w:val="16"/>
              </w:rPr>
            </w:pPr>
          </w:p>
        </w:tc>
        <w:tc>
          <w:tcPr>
            <w:tcW w:w="430" w:type="dxa"/>
            <w:tcBorders>
              <w:top w:val="single" w:sz="4" w:space="0" w:color="A6A6A6" w:themeColor="background1" w:themeShade="A6"/>
              <w:bottom w:val="single" w:sz="4" w:space="0" w:color="A6A6A6" w:themeColor="background1" w:themeShade="A6"/>
            </w:tcBorders>
            <w:shd w:val="clear" w:color="auto" w:fill="auto"/>
          </w:tcPr>
          <w:p w14:paraId="349FE2B4" w14:textId="77777777" w:rsidR="005D05F9" w:rsidRPr="00181EF3" w:rsidRDefault="005D05F9" w:rsidP="005D05F9">
            <w:pPr>
              <w:pStyle w:val="TableText"/>
              <w:jc w:val="center"/>
              <w:rPr>
                <w:sz w:val="16"/>
                <w:szCs w:val="16"/>
              </w:rPr>
            </w:pPr>
            <w:r w:rsidRPr="00181EF3">
              <w:rPr>
                <w:sz w:val="16"/>
                <w:szCs w:val="16"/>
              </w:rPr>
              <w:t>2</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74C8E822" w14:textId="77777777" w:rsidR="005D05F9" w:rsidRPr="00181EF3" w:rsidRDefault="005D05F9" w:rsidP="005D05F9">
            <w:pPr>
              <w:pStyle w:val="TableText"/>
              <w:jc w:val="center"/>
              <w:rPr>
                <w:sz w:val="16"/>
              </w:rPr>
            </w:pPr>
            <w:r w:rsidRPr="00181EF3">
              <w:rPr>
                <w:sz w:val="16"/>
              </w:rPr>
              <w:t>BC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A7E4AE6" w14:textId="77777777" w:rsidR="005D05F9" w:rsidRPr="00181EF3" w:rsidRDefault="005D05F9" w:rsidP="005D05F9">
            <w:pPr>
              <w:pStyle w:val="TableText"/>
              <w:jc w:val="center"/>
              <w:rPr>
                <w:sz w:val="16"/>
              </w:rPr>
            </w:pPr>
            <w:r w:rsidRPr="00181EF3">
              <w:rPr>
                <w:sz w:val="16"/>
              </w:rPr>
              <w:t>BC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3A0C3EC9" w14:textId="77777777" w:rsidR="005D05F9" w:rsidRPr="00181EF3" w:rsidRDefault="005D05F9" w:rsidP="005D05F9">
            <w:pPr>
              <w:pStyle w:val="TableText"/>
              <w:jc w:val="center"/>
              <w:rPr>
                <w:sz w:val="16"/>
              </w:rPr>
            </w:pPr>
            <w:r w:rsidRPr="00181EF3">
              <w:rPr>
                <w:sz w:val="16"/>
              </w:rPr>
              <w:t>BC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2D167B6" w14:textId="77777777" w:rsidR="005D05F9" w:rsidRPr="00181EF3" w:rsidRDefault="005D05F9" w:rsidP="005D05F9">
            <w:pPr>
              <w:pStyle w:val="TableText"/>
              <w:jc w:val="center"/>
              <w:rPr>
                <w:sz w:val="16"/>
              </w:rPr>
            </w:pPr>
            <w:r w:rsidRPr="00181EF3">
              <w:rPr>
                <w:sz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684578E" w14:textId="77777777" w:rsidR="005D05F9" w:rsidRPr="00181EF3" w:rsidRDefault="005D05F9" w:rsidP="005D05F9">
            <w:pPr>
              <w:pStyle w:val="TableText"/>
              <w:jc w:val="center"/>
              <w:rPr>
                <w:sz w:val="16"/>
              </w:rPr>
            </w:pPr>
            <w:r w:rsidRPr="00181EF3">
              <w:rPr>
                <w:sz w:val="16"/>
              </w:rPr>
              <w:t>CD</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0E1FC366" w14:textId="77777777" w:rsidR="005D05F9" w:rsidRPr="00181EF3" w:rsidRDefault="005D05F9" w:rsidP="005D05F9">
            <w:pPr>
              <w:pStyle w:val="TableText"/>
              <w:jc w:val="center"/>
              <w:rPr>
                <w:sz w:val="16"/>
              </w:rPr>
            </w:pPr>
            <w:r w:rsidRPr="00181EF3">
              <w:rPr>
                <w:sz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397DE3E" w14:textId="77777777" w:rsidR="005D05F9" w:rsidRPr="00181EF3" w:rsidRDefault="005D05F9" w:rsidP="005D05F9">
            <w:pPr>
              <w:pStyle w:val="TableText"/>
              <w:jc w:val="center"/>
              <w:rPr>
                <w:sz w:val="16"/>
              </w:rPr>
            </w:pPr>
            <w:r w:rsidRPr="00181EF3">
              <w:rPr>
                <w:sz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435E796" w14:textId="77777777" w:rsidR="005D05F9" w:rsidRPr="00181EF3" w:rsidRDefault="005D05F9" w:rsidP="005D05F9">
            <w:pPr>
              <w:pStyle w:val="TableText"/>
              <w:jc w:val="center"/>
              <w:rPr>
                <w:sz w:val="16"/>
              </w:rPr>
            </w:pPr>
            <w:r w:rsidRPr="00181EF3">
              <w:rPr>
                <w:sz w:val="16"/>
              </w:rPr>
              <w:t>BC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43023118" w14:textId="77777777" w:rsidR="005D05F9" w:rsidRPr="00181EF3" w:rsidRDefault="005D05F9" w:rsidP="005D05F9">
            <w:pPr>
              <w:pStyle w:val="TableText"/>
              <w:jc w:val="center"/>
              <w:rPr>
                <w:sz w:val="16"/>
              </w:rPr>
            </w:pPr>
            <w:r w:rsidRPr="00181EF3">
              <w:rPr>
                <w:sz w:val="16"/>
              </w:rPr>
              <w:t>BC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6224A1F" w14:textId="77777777" w:rsidR="005D05F9" w:rsidRPr="00181EF3" w:rsidRDefault="005D05F9" w:rsidP="005D05F9">
            <w:pPr>
              <w:pStyle w:val="TableText"/>
              <w:jc w:val="center"/>
              <w:rPr>
                <w:sz w:val="16"/>
              </w:rPr>
            </w:pPr>
            <w:r w:rsidRPr="00181EF3">
              <w:rPr>
                <w:sz w:val="16"/>
              </w:rPr>
              <w:t>BC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C827063" w14:textId="77777777" w:rsidR="005D05F9" w:rsidRPr="00181EF3" w:rsidRDefault="005D05F9" w:rsidP="005D05F9">
            <w:pPr>
              <w:pStyle w:val="TableText"/>
              <w:jc w:val="center"/>
              <w:rPr>
                <w:sz w:val="16"/>
              </w:rPr>
            </w:pPr>
            <w:r w:rsidRPr="00181EF3">
              <w:rPr>
                <w:sz w:val="16"/>
              </w:rPr>
              <w:t>BC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231E59BD" w14:textId="77777777" w:rsidR="005D05F9" w:rsidRPr="00181EF3" w:rsidRDefault="005D05F9" w:rsidP="005D05F9">
            <w:pPr>
              <w:pStyle w:val="TableText"/>
              <w:jc w:val="center"/>
              <w:rPr>
                <w:sz w:val="16"/>
              </w:rPr>
            </w:pPr>
            <w:r w:rsidRPr="00181EF3">
              <w:rPr>
                <w:sz w:val="16"/>
              </w:rPr>
              <w:t>BC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E655DFB" w14:textId="77777777" w:rsidR="005D05F9" w:rsidRPr="00181EF3" w:rsidRDefault="005D05F9" w:rsidP="005D05F9">
            <w:pPr>
              <w:pStyle w:val="TableText"/>
              <w:jc w:val="center"/>
              <w:rPr>
                <w:sz w:val="16"/>
              </w:rPr>
            </w:pPr>
            <w:r w:rsidRPr="00181EF3">
              <w:rPr>
                <w:sz w:val="16"/>
              </w:rPr>
              <w:t>BC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1D35A78" w14:textId="77777777" w:rsidR="005D05F9" w:rsidRPr="00181EF3" w:rsidRDefault="005D05F9" w:rsidP="005D05F9">
            <w:pPr>
              <w:pStyle w:val="TableText"/>
              <w:jc w:val="center"/>
              <w:rPr>
                <w:sz w:val="16"/>
              </w:rPr>
            </w:pPr>
            <w:r w:rsidRPr="00181EF3">
              <w:rPr>
                <w:sz w:val="16"/>
              </w:rPr>
              <w:t>BC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5442AA33" w14:textId="77777777" w:rsidR="005D05F9" w:rsidRPr="00181EF3" w:rsidRDefault="005D05F9" w:rsidP="005D05F9">
            <w:pPr>
              <w:pStyle w:val="TableText"/>
              <w:jc w:val="center"/>
              <w:rPr>
                <w:sz w:val="16"/>
              </w:rPr>
            </w:pPr>
            <w:r w:rsidRPr="00181EF3">
              <w:rPr>
                <w:sz w:val="16"/>
              </w:rPr>
              <w:t>BC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C884311" w14:textId="77777777" w:rsidR="005D05F9" w:rsidRPr="00181EF3" w:rsidRDefault="005D05F9" w:rsidP="005D05F9">
            <w:pPr>
              <w:pStyle w:val="TableText"/>
              <w:jc w:val="center"/>
              <w:rPr>
                <w:sz w:val="16"/>
              </w:rPr>
            </w:pPr>
            <w:r w:rsidRPr="00181EF3">
              <w:rPr>
                <w:sz w:val="16"/>
              </w:rPr>
              <w:t>BC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281A32A" w14:textId="77777777" w:rsidR="005D05F9" w:rsidRPr="00181EF3" w:rsidRDefault="005D05F9" w:rsidP="005D05F9">
            <w:pPr>
              <w:pStyle w:val="TableText"/>
              <w:jc w:val="center"/>
              <w:rPr>
                <w:sz w:val="16"/>
              </w:rPr>
            </w:pPr>
            <w:r w:rsidRPr="00181EF3">
              <w:rPr>
                <w:sz w:val="16"/>
              </w:rPr>
              <w:t>BC</w:t>
            </w:r>
          </w:p>
        </w:tc>
      </w:tr>
      <w:tr w:rsidR="005D05F9" w:rsidRPr="00181EF3" w14:paraId="366F642B" w14:textId="77777777" w:rsidTr="005D05F9">
        <w:tc>
          <w:tcPr>
            <w:tcW w:w="567" w:type="dxa"/>
            <w:vMerge/>
          </w:tcPr>
          <w:p w14:paraId="435534BC" w14:textId="77777777" w:rsidR="005D05F9" w:rsidRPr="00181EF3" w:rsidRDefault="005D05F9" w:rsidP="005D05F9">
            <w:pPr>
              <w:pStyle w:val="TableText"/>
              <w:rPr>
                <w:sz w:val="16"/>
                <w:szCs w:val="16"/>
              </w:rPr>
            </w:pPr>
          </w:p>
        </w:tc>
        <w:tc>
          <w:tcPr>
            <w:tcW w:w="430" w:type="dxa"/>
            <w:tcBorders>
              <w:top w:val="single" w:sz="4" w:space="0" w:color="A6A6A6" w:themeColor="background1" w:themeShade="A6"/>
              <w:bottom w:val="single" w:sz="4" w:space="0" w:color="A6A6A6" w:themeColor="background1" w:themeShade="A6"/>
            </w:tcBorders>
            <w:shd w:val="clear" w:color="auto" w:fill="auto"/>
          </w:tcPr>
          <w:p w14:paraId="36D4F6BA" w14:textId="77777777" w:rsidR="005D05F9" w:rsidRPr="00181EF3" w:rsidRDefault="005D05F9" w:rsidP="005D05F9">
            <w:pPr>
              <w:pStyle w:val="TableText"/>
              <w:jc w:val="center"/>
              <w:rPr>
                <w:sz w:val="16"/>
                <w:szCs w:val="16"/>
              </w:rPr>
            </w:pPr>
            <w:r w:rsidRPr="00181EF3">
              <w:rPr>
                <w:sz w:val="16"/>
                <w:szCs w:val="16"/>
              </w:rPr>
              <w:t>3</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2309FCA9" w14:textId="77777777" w:rsidR="005D05F9" w:rsidRPr="00181EF3" w:rsidRDefault="005D05F9" w:rsidP="005D05F9">
            <w:pPr>
              <w:pStyle w:val="TableText"/>
              <w:jc w:val="center"/>
              <w:rPr>
                <w:sz w:val="16"/>
              </w:rPr>
            </w:pPr>
            <w:r w:rsidRPr="00181EF3">
              <w:rPr>
                <w:sz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12EB6FC" w14:textId="77777777" w:rsidR="005D05F9" w:rsidRPr="00181EF3" w:rsidRDefault="005D05F9" w:rsidP="005D05F9">
            <w:pPr>
              <w:pStyle w:val="TableText"/>
              <w:jc w:val="center"/>
              <w:rPr>
                <w:sz w:val="16"/>
              </w:rPr>
            </w:pPr>
            <w:r w:rsidRPr="00181EF3">
              <w:rPr>
                <w:sz w:val="16"/>
              </w:rPr>
              <w:t>CD</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082EC85A" w14:textId="77777777" w:rsidR="005D05F9" w:rsidRPr="00181EF3" w:rsidRDefault="005D05F9" w:rsidP="005D05F9">
            <w:pPr>
              <w:pStyle w:val="TableText"/>
              <w:jc w:val="center"/>
              <w:rPr>
                <w:sz w:val="16"/>
              </w:rPr>
            </w:pPr>
            <w:r w:rsidRPr="00181EF3">
              <w:rPr>
                <w:sz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5C8E044" w14:textId="77777777" w:rsidR="005D05F9" w:rsidRPr="00181EF3" w:rsidRDefault="005D05F9" w:rsidP="005D05F9">
            <w:pPr>
              <w:pStyle w:val="TableText"/>
              <w:jc w:val="center"/>
              <w:rPr>
                <w:sz w:val="16"/>
              </w:rPr>
            </w:pPr>
            <w:r w:rsidRPr="00181EF3">
              <w:rPr>
                <w:sz w:val="16"/>
              </w:rPr>
              <w:t>BC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65053B1" w14:textId="77777777" w:rsidR="005D05F9" w:rsidRPr="00181EF3" w:rsidRDefault="005D05F9" w:rsidP="005D05F9">
            <w:pPr>
              <w:pStyle w:val="TableText"/>
              <w:jc w:val="center"/>
              <w:rPr>
                <w:sz w:val="16"/>
              </w:rPr>
            </w:pPr>
            <w:r w:rsidRPr="00181EF3">
              <w:rPr>
                <w:sz w:val="16"/>
              </w:rPr>
              <w:t>BC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52A76F9D" w14:textId="77777777" w:rsidR="005D05F9" w:rsidRPr="00181EF3" w:rsidRDefault="005D05F9" w:rsidP="005D05F9">
            <w:pPr>
              <w:pStyle w:val="TableText"/>
              <w:jc w:val="center"/>
              <w:rPr>
                <w:sz w:val="16"/>
              </w:rPr>
            </w:pPr>
            <w:r w:rsidRPr="00181EF3">
              <w:rPr>
                <w:sz w:val="16"/>
              </w:rPr>
              <w:t>BC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C71AA5B" w14:textId="77777777" w:rsidR="005D05F9" w:rsidRPr="00181EF3" w:rsidRDefault="005D05F9" w:rsidP="005D05F9">
            <w:pPr>
              <w:pStyle w:val="TableText"/>
              <w:jc w:val="center"/>
              <w:rPr>
                <w:sz w:val="16"/>
              </w:rPr>
            </w:pPr>
            <w:r w:rsidRPr="00181EF3">
              <w:rPr>
                <w:sz w:val="16"/>
              </w:rPr>
              <w:t>BC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FA15A79" w14:textId="77777777" w:rsidR="005D05F9" w:rsidRPr="00181EF3" w:rsidRDefault="005D05F9" w:rsidP="005D05F9">
            <w:pPr>
              <w:pStyle w:val="TableText"/>
              <w:jc w:val="center"/>
              <w:rPr>
                <w:sz w:val="16"/>
              </w:rPr>
            </w:pPr>
            <w:r w:rsidRPr="00181EF3">
              <w:rPr>
                <w:sz w:val="16"/>
              </w:rPr>
              <w:t>CD</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5C189FB5" w14:textId="77777777" w:rsidR="005D05F9" w:rsidRPr="00181EF3" w:rsidRDefault="005D05F9" w:rsidP="005D05F9">
            <w:pPr>
              <w:pStyle w:val="TableText"/>
              <w:jc w:val="center"/>
              <w:rPr>
                <w:sz w:val="16"/>
              </w:rPr>
            </w:pPr>
            <w:r w:rsidRPr="00181EF3">
              <w:rPr>
                <w:sz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7B3D518" w14:textId="77777777" w:rsidR="005D05F9" w:rsidRPr="00181EF3" w:rsidRDefault="005D05F9" w:rsidP="005D05F9">
            <w:pPr>
              <w:pStyle w:val="TableText"/>
              <w:jc w:val="center"/>
              <w:rPr>
                <w:sz w:val="16"/>
              </w:rPr>
            </w:pPr>
            <w:r w:rsidRPr="00181EF3">
              <w:rPr>
                <w:sz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902DA9B" w14:textId="77777777" w:rsidR="005D05F9" w:rsidRPr="00181EF3" w:rsidRDefault="005D05F9" w:rsidP="005D05F9">
            <w:pPr>
              <w:pStyle w:val="TableText"/>
              <w:jc w:val="center"/>
              <w:rPr>
                <w:sz w:val="16"/>
              </w:rPr>
            </w:pPr>
            <w:r w:rsidRPr="00181EF3">
              <w:rPr>
                <w:sz w:val="16"/>
              </w:rPr>
              <w:t>CD</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4D891A77" w14:textId="77777777" w:rsidR="005D05F9" w:rsidRPr="00181EF3" w:rsidRDefault="005D05F9" w:rsidP="005D05F9">
            <w:pPr>
              <w:pStyle w:val="TableText"/>
              <w:jc w:val="center"/>
              <w:rPr>
                <w:sz w:val="16"/>
              </w:rPr>
            </w:pPr>
            <w:r w:rsidRPr="00181EF3">
              <w:rPr>
                <w:sz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FC91CE0" w14:textId="77777777" w:rsidR="005D05F9" w:rsidRPr="00181EF3" w:rsidRDefault="005D05F9" w:rsidP="005D05F9">
            <w:pPr>
              <w:pStyle w:val="TableText"/>
              <w:jc w:val="center"/>
              <w:rPr>
                <w:sz w:val="16"/>
              </w:rPr>
            </w:pPr>
            <w:r w:rsidRPr="00181EF3">
              <w:rPr>
                <w:sz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1658875" w14:textId="77777777" w:rsidR="005D05F9" w:rsidRPr="00181EF3" w:rsidRDefault="005D05F9" w:rsidP="005D05F9">
            <w:pPr>
              <w:pStyle w:val="TableText"/>
              <w:jc w:val="center"/>
              <w:rPr>
                <w:sz w:val="16"/>
              </w:rPr>
            </w:pPr>
            <w:r w:rsidRPr="00181EF3">
              <w:rPr>
                <w:sz w:val="16"/>
              </w:rPr>
              <w:t>CD</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2F30A421" w14:textId="77777777" w:rsidR="005D05F9" w:rsidRPr="00181EF3" w:rsidRDefault="005D05F9" w:rsidP="005D05F9">
            <w:pPr>
              <w:pStyle w:val="TableText"/>
              <w:jc w:val="center"/>
              <w:rPr>
                <w:sz w:val="16"/>
              </w:rPr>
            </w:pPr>
            <w:r w:rsidRPr="00181EF3">
              <w:rPr>
                <w:sz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8156598" w14:textId="77777777" w:rsidR="005D05F9" w:rsidRPr="00181EF3" w:rsidRDefault="005D05F9" w:rsidP="005D05F9">
            <w:pPr>
              <w:pStyle w:val="TableText"/>
              <w:jc w:val="center"/>
              <w:rPr>
                <w:sz w:val="16"/>
              </w:rPr>
            </w:pPr>
            <w:r w:rsidRPr="00181EF3">
              <w:rPr>
                <w:sz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7E77B3B" w14:textId="77777777" w:rsidR="005D05F9" w:rsidRPr="00181EF3" w:rsidRDefault="005D05F9" w:rsidP="005D05F9">
            <w:pPr>
              <w:pStyle w:val="TableText"/>
              <w:jc w:val="center"/>
              <w:rPr>
                <w:sz w:val="16"/>
              </w:rPr>
            </w:pPr>
            <w:r w:rsidRPr="00181EF3">
              <w:rPr>
                <w:sz w:val="16"/>
              </w:rPr>
              <w:t>CD</w:t>
            </w:r>
          </w:p>
        </w:tc>
      </w:tr>
      <w:tr w:rsidR="005D05F9" w:rsidRPr="00181EF3" w14:paraId="4C3343BA" w14:textId="77777777" w:rsidTr="005D05F9">
        <w:tc>
          <w:tcPr>
            <w:tcW w:w="567" w:type="dxa"/>
            <w:vMerge/>
          </w:tcPr>
          <w:p w14:paraId="6A62A860" w14:textId="77777777" w:rsidR="005D05F9" w:rsidRPr="00181EF3" w:rsidRDefault="005D05F9" w:rsidP="005D05F9">
            <w:pPr>
              <w:pStyle w:val="TableText"/>
              <w:rPr>
                <w:sz w:val="16"/>
                <w:szCs w:val="16"/>
              </w:rPr>
            </w:pPr>
          </w:p>
        </w:tc>
        <w:tc>
          <w:tcPr>
            <w:tcW w:w="430" w:type="dxa"/>
            <w:tcBorders>
              <w:top w:val="single" w:sz="4" w:space="0" w:color="A6A6A6" w:themeColor="background1" w:themeShade="A6"/>
              <w:bottom w:val="single" w:sz="4" w:space="0" w:color="A6A6A6" w:themeColor="background1" w:themeShade="A6"/>
            </w:tcBorders>
            <w:shd w:val="clear" w:color="auto" w:fill="auto"/>
          </w:tcPr>
          <w:p w14:paraId="65E25426" w14:textId="77777777" w:rsidR="005D05F9" w:rsidRPr="00181EF3" w:rsidRDefault="005D05F9" w:rsidP="005D05F9">
            <w:pPr>
              <w:pStyle w:val="TableText"/>
              <w:jc w:val="center"/>
              <w:rPr>
                <w:sz w:val="16"/>
                <w:szCs w:val="16"/>
              </w:rPr>
            </w:pPr>
            <w:r w:rsidRPr="00181EF3">
              <w:rPr>
                <w:sz w:val="16"/>
                <w:szCs w:val="16"/>
              </w:rPr>
              <w:t>4</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36C31783" w14:textId="77777777" w:rsidR="005D05F9" w:rsidRPr="00181EF3" w:rsidRDefault="005D05F9" w:rsidP="005D05F9">
            <w:pPr>
              <w:pStyle w:val="TableText"/>
              <w:jc w:val="center"/>
              <w:rPr>
                <w:sz w:val="16"/>
              </w:rPr>
            </w:pPr>
            <w:r w:rsidRPr="00181EF3">
              <w:rPr>
                <w:sz w:val="16"/>
              </w:rPr>
              <w:t>CC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569D108" w14:textId="77777777" w:rsidR="005D05F9" w:rsidRPr="00181EF3" w:rsidRDefault="005D05F9" w:rsidP="005D05F9">
            <w:pPr>
              <w:pStyle w:val="TableText"/>
              <w:jc w:val="center"/>
              <w:rPr>
                <w:sz w:val="16"/>
              </w:rPr>
            </w:pPr>
            <w:r w:rsidRPr="00181EF3">
              <w:rPr>
                <w:sz w:val="16"/>
              </w:rPr>
              <w:t>CC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778514F1" w14:textId="77777777" w:rsidR="005D05F9" w:rsidRPr="00181EF3" w:rsidRDefault="005D05F9" w:rsidP="005D05F9">
            <w:pPr>
              <w:pStyle w:val="TableText"/>
              <w:jc w:val="center"/>
              <w:rPr>
                <w:sz w:val="16"/>
              </w:rPr>
            </w:pPr>
            <w:r w:rsidRPr="00181EF3">
              <w:rPr>
                <w:sz w:val="16"/>
              </w:rPr>
              <w:t>CC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7815743" w14:textId="77777777" w:rsidR="005D05F9" w:rsidRPr="00181EF3" w:rsidRDefault="005D05F9" w:rsidP="005D05F9">
            <w:pPr>
              <w:pStyle w:val="TableText"/>
              <w:jc w:val="center"/>
              <w:rPr>
                <w:sz w:val="16"/>
              </w:rPr>
            </w:pPr>
            <w:r w:rsidRPr="00181EF3">
              <w:rPr>
                <w:sz w:val="16"/>
              </w:rPr>
              <w:t>LRD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7FD8CF7" w14:textId="77777777" w:rsidR="005D05F9" w:rsidRPr="00181EF3" w:rsidRDefault="005D05F9" w:rsidP="005D05F9">
            <w:pPr>
              <w:pStyle w:val="TableText"/>
              <w:jc w:val="center"/>
              <w:rPr>
                <w:sz w:val="16"/>
              </w:rPr>
            </w:pPr>
            <w:r w:rsidRPr="00181EF3">
              <w:rPr>
                <w:sz w:val="16"/>
              </w:rPr>
              <w:t>CC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6515C196" w14:textId="77777777" w:rsidR="005D05F9" w:rsidRPr="00181EF3" w:rsidRDefault="005D05F9" w:rsidP="005D05F9">
            <w:pPr>
              <w:pStyle w:val="TableText"/>
              <w:jc w:val="center"/>
              <w:rPr>
                <w:sz w:val="16"/>
              </w:rPr>
            </w:pPr>
            <w:r w:rsidRPr="00181EF3">
              <w:rPr>
                <w:sz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EB079E0" w14:textId="77777777" w:rsidR="005D05F9" w:rsidRPr="00181EF3" w:rsidRDefault="005D05F9" w:rsidP="005D05F9">
            <w:pPr>
              <w:pStyle w:val="TableText"/>
              <w:jc w:val="center"/>
              <w:rPr>
                <w:sz w:val="16"/>
              </w:rPr>
            </w:pPr>
            <w:r w:rsidRPr="00181EF3">
              <w:rPr>
                <w:sz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3404CCF" w14:textId="77777777" w:rsidR="005D05F9" w:rsidRPr="00181EF3" w:rsidRDefault="005D05F9" w:rsidP="005D05F9">
            <w:pPr>
              <w:pStyle w:val="TableText"/>
              <w:jc w:val="center"/>
              <w:rPr>
                <w:sz w:val="16"/>
              </w:rPr>
            </w:pPr>
            <w:r w:rsidRPr="00181EF3">
              <w:rPr>
                <w:sz w:val="16"/>
              </w:rPr>
              <w:t>LC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74CF7125" w14:textId="77777777" w:rsidR="005D05F9" w:rsidRPr="00181EF3" w:rsidRDefault="005D05F9" w:rsidP="005D05F9">
            <w:pPr>
              <w:pStyle w:val="TableText"/>
              <w:jc w:val="center"/>
              <w:rPr>
                <w:sz w:val="16"/>
              </w:rPr>
            </w:pPr>
            <w:r w:rsidRPr="00181EF3">
              <w:rPr>
                <w:sz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5349160" w14:textId="77777777" w:rsidR="005D05F9" w:rsidRPr="00181EF3" w:rsidRDefault="005D05F9" w:rsidP="005D05F9">
            <w:pPr>
              <w:pStyle w:val="TableText"/>
              <w:jc w:val="center"/>
              <w:rPr>
                <w:sz w:val="16"/>
              </w:rPr>
            </w:pPr>
            <w:r w:rsidRPr="00181EF3">
              <w:rPr>
                <w:sz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CB9F04E" w14:textId="77777777" w:rsidR="005D05F9" w:rsidRPr="00181EF3" w:rsidRDefault="005D05F9" w:rsidP="005D05F9">
            <w:pPr>
              <w:pStyle w:val="TableText"/>
              <w:jc w:val="center"/>
              <w:rPr>
                <w:sz w:val="16"/>
              </w:rPr>
            </w:pPr>
            <w:r w:rsidRPr="00181EF3">
              <w:rPr>
                <w:sz w:val="16"/>
              </w:rPr>
              <w:t>LC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6444D7C5" w14:textId="77777777" w:rsidR="005D05F9" w:rsidRPr="00181EF3" w:rsidRDefault="005D05F9" w:rsidP="005D05F9">
            <w:pPr>
              <w:pStyle w:val="TableText"/>
              <w:jc w:val="center"/>
              <w:rPr>
                <w:sz w:val="16"/>
              </w:rPr>
            </w:pPr>
            <w:r w:rsidRPr="00181EF3">
              <w:rPr>
                <w:sz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0168EF0" w14:textId="77777777" w:rsidR="005D05F9" w:rsidRPr="00181EF3" w:rsidRDefault="005D05F9" w:rsidP="005D05F9">
            <w:pPr>
              <w:pStyle w:val="TableText"/>
              <w:jc w:val="center"/>
              <w:rPr>
                <w:sz w:val="16"/>
              </w:rPr>
            </w:pPr>
            <w:r w:rsidRPr="00181EF3">
              <w:rPr>
                <w:sz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C765605" w14:textId="77777777" w:rsidR="005D05F9" w:rsidRPr="00181EF3" w:rsidRDefault="005D05F9" w:rsidP="005D05F9">
            <w:pPr>
              <w:pStyle w:val="TableText"/>
              <w:jc w:val="center"/>
              <w:rPr>
                <w:sz w:val="16"/>
              </w:rPr>
            </w:pPr>
            <w:r w:rsidRPr="00181EF3">
              <w:rPr>
                <w:sz w:val="16"/>
              </w:rPr>
              <w:t>LC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22CEC693" w14:textId="77777777" w:rsidR="005D05F9" w:rsidRPr="00181EF3" w:rsidRDefault="005D05F9" w:rsidP="005D05F9">
            <w:pPr>
              <w:pStyle w:val="TableText"/>
              <w:jc w:val="center"/>
              <w:rPr>
                <w:sz w:val="16"/>
              </w:rPr>
            </w:pPr>
            <w:r w:rsidRPr="00181EF3">
              <w:rPr>
                <w:sz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1A4B730" w14:textId="77777777" w:rsidR="005D05F9" w:rsidRPr="00181EF3" w:rsidRDefault="005D05F9" w:rsidP="005D05F9">
            <w:pPr>
              <w:pStyle w:val="TableText"/>
              <w:jc w:val="center"/>
              <w:rPr>
                <w:sz w:val="16"/>
              </w:rPr>
            </w:pPr>
            <w:r w:rsidRPr="00181EF3">
              <w:rPr>
                <w:sz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71498B5" w14:textId="77777777" w:rsidR="005D05F9" w:rsidRPr="00181EF3" w:rsidRDefault="005D05F9" w:rsidP="005D05F9">
            <w:pPr>
              <w:pStyle w:val="TableText"/>
              <w:jc w:val="center"/>
              <w:rPr>
                <w:sz w:val="16"/>
              </w:rPr>
            </w:pPr>
            <w:r w:rsidRPr="00181EF3">
              <w:rPr>
                <w:sz w:val="16"/>
              </w:rPr>
              <w:t>LC</w:t>
            </w:r>
          </w:p>
        </w:tc>
      </w:tr>
      <w:tr w:rsidR="005D05F9" w:rsidRPr="00181EF3" w14:paraId="3CA4916E" w14:textId="77777777" w:rsidTr="005D05F9">
        <w:tc>
          <w:tcPr>
            <w:tcW w:w="567" w:type="dxa"/>
            <w:vMerge/>
            <w:tcBorders>
              <w:bottom w:val="single" w:sz="4" w:space="0" w:color="A6A6A6" w:themeColor="background1" w:themeShade="A6"/>
            </w:tcBorders>
          </w:tcPr>
          <w:p w14:paraId="65BA0697" w14:textId="77777777" w:rsidR="005D05F9" w:rsidRPr="00181EF3" w:rsidRDefault="005D05F9" w:rsidP="005D05F9">
            <w:pPr>
              <w:pStyle w:val="TableText"/>
              <w:rPr>
                <w:sz w:val="16"/>
                <w:szCs w:val="16"/>
              </w:rPr>
            </w:pPr>
          </w:p>
        </w:tc>
        <w:tc>
          <w:tcPr>
            <w:tcW w:w="430" w:type="dxa"/>
            <w:tcBorders>
              <w:top w:val="single" w:sz="4" w:space="0" w:color="A6A6A6" w:themeColor="background1" w:themeShade="A6"/>
              <w:bottom w:val="single" w:sz="4" w:space="0" w:color="A6A6A6" w:themeColor="background1" w:themeShade="A6"/>
            </w:tcBorders>
            <w:shd w:val="clear" w:color="auto" w:fill="auto"/>
          </w:tcPr>
          <w:p w14:paraId="2C9BCEC2" w14:textId="77777777" w:rsidR="005D05F9" w:rsidRPr="00181EF3" w:rsidRDefault="005D05F9" w:rsidP="005D05F9">
            <w:pPr>
              <w:pStyle w:val="TableText"/>
              <w:jc w:val="center"/>
              <w:rPr>
                <w:sz w:val="16"/>
                <w:szCs w:val="16"/>
              </w:rPr>
            </w:pPr>
            <w:r w:rsidRPr="00181EF3">
              <w:rPr>
                <w:sz w:val="16"/>
                <w:szCs w:val="16"/>
              </w:rPr>
              <w:t>5</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7057C4A3" w14:textId="77777777" w:rsidR="005D05F9" w:rsidRPr="00181EF3" w:rsidRDefault="005D05F9" w:rsidP="005D05F9">
            <w:pPr>
              <w:pStyle w:val="TableText"/>
              <w:jc w:val="center"/>
              <w:rPr>
                <w:sz w:val="16"/>
              </w:rPr>
            </w:pPr>
            <w:r w:rsidRPr="00181EF3">
              <w:rPr>
                <w:sz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21F8B16" w14:textId="77777777" w:rsidR="005D05F9" w:rsidRPr="00181EF3" w:rsidRDefault="005D05F9" w:rsidP="005D05F9">
            <w:pPr>
              <w:pStyle w:val="TableText"/>
              <w:jc w:val="center"/>
              <w:rPr>
                <w:sz w:val="16"/>
              </w:rPr>
            </w:pPr>
            <w:r w:rsidRPr="00181EF3">
              <w:rPr>
                <w:sz w:val="16"/>
              </w:rPr>
              <w:t>LRD</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3F27BE28" w14:textId="77777777" w:rsidR="005D05F9" w:rsidRPr="00181EF3" w:rsidRDefault="005D05F9" w:rsidP="005D05F9">
            <w:pPr>
              <w:pStyle w:val="TableText"/>
              <w:jc w:val="center"/>
              <w:rPr>
                <w:sz w:val="16"/>
              </w:rPr>
            </w:pPr>
            <w:r w:rsidRPr="00181EF3">
              <w:rPr>
                <w:sz w:val="16"/>
              </w:rPr>
              <w:t>LRD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2B6E569" w14:textId="77777777" w:rsidR="005D05F9" w:rsidRPr="00181EF3" w:rsidRDefault="005D05F9" w:rsidP="005D05F9">
            <w:pPr>
              <w:pStyle w:val="TableText"/>
              <w:jc w:val="center"/>
              <w:rPr>
                <w:sz w:val="16"/>
              </w:rPr>
            </w:pPr>
            <w:r w:rsidRPr="00181EF3">
              <w:rPr>
                <w:sz w:val="16"/>
              </w:rPr>
              <w:t>CC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D8BE806" w14:textId="77777777" w:rsidR="005D05F9" w:rsidRPr="00181EF3" w:rsidRDefault="005D05F9" w:rsidP="005D05F9">
            <w:pPr>
              <w:pStyle w:val="TableText"/>
              <w:jc w:val="center"/>
              <w:rPr>
                <w:sz w:val="16"/>
              </w:rPr>
            </w:pPr>
            <w:r w:rsidRPr="00181EF3">
              <w:rPr>
                <w:sz w:val="16"/>
              </w:rPr>
              <w:t>LRD</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2B512A30" w14:textId="77777777" w:rsidR="005D05F9" w:rsidRPr="00181EF3" w:rsidRDefault="005D05F9" w:rsidP="005D05F9">
            <w:pPr>
              <w:pStyle w:val="TableText"/>
              <w:jc w:val="center"/>
              <w:rPr>
                <w:sz w:val="16"/>
              </w:rPr>
            </w:pPr>
            <w:r w:rsidRPr="00181EF3">
              <w:rPr>
                <w:sz w:val="16"/>
              </w:rPr>
              <w:t>LRD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3CC3E97" w14:textId="77777777" w:rsidR="005D05F9" w:rsidRPr="00181EF3" w:rsidRDefault="005D05F9" w:rsidP="005D05F9">
            <w:pPr>
              <w:pStyle w:val="TableText"/>
              <w:jc w:val="center"/>
              <w:rPr>
                <w:sz w:val="16"/>
              </w:rPr>
            </w:pPr>
            <w:r w:rsidRPr="00181EF3">
              <w:rPr>
                <w:sz w:val="16"/>
              </w:rPr>
              <w:t>LRD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D8A07D0" w14:textId="77777777" w:rsidR="005D05F9" w:rsidRPr="00181EF3" w:rsidRDefault="005D05F9" w:rsidP="005D05F9">
            <w:pPr>
              <w:pStyle w:val="TableText"/>
              <w:jc w:val="center"/>
              <w:rPr>
                <w:sz w:val="16"/>
              </w:rPr>
            </w:pPr>
            <w:r w:rsidRPr="00181EF3">
              <w:rPr>
                <w:sz w:val="16"/>
              </w:rPr>
              <w:t>CC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235A920D" w14:textId="77777777" w:rsidR="005D05F9" w:rsidRPr="00181EF3" w:rsidRDefault="005D05F9" w:rsidP="005D05F9">
            <w:pPr>
              <w:pStyle w:val="TableText"/>
              <w:jc w:val="center"/>
              <w:rPr>
                <w:sz w:val="16"/>
              </w:rPr>
            </w:pPr>
            <w:r w:rsidRPr="00181EF3">
              <w:rPr>
                <w:sz w:val="16"/>
              </w:rPr>
              <w:t>CC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4A1CE3E" w14:textId="77777777" w:rsidR="005D05F9" w:rsidRPr="00181EF3" w:rsidRDefault="005D05F9" w:rsidP="005D05F9">
            <w:pPr>
              <w:pStyle w:val="TableText"/>
              <w:jc w:val="center"/>
              <w:rPr>
                <w:sz w:val="16"/>
              </w:rPr>
            </w:pPr>
            <w:r w:rsidRPr="00181EF3">
              <w:rPr>
                <w:sz w:val="16"/>
              </w:rPr>
              <w:t>CC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E721257" w14:textId="77777777" w:rsidR="005D05F9" w:rsidRPr="00181EF3" w:rsidRDefault="005D05F9" w:rsidP="005D05F9">
            <w:pPr>
              <w:pStyle w:val="TableText"/>
              <w:jc w:val="center"/>
              <w:rPr>
                <w:sz w:val="16"/>
              </w:rPr>
            </w:pPr>
            <w:r w:rsidRPr="00181EF3">
              <w:rPr>
                <w:sz w:val="16"/>
              </w:rPr>
              <w:t>CC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69366A12" w14:textId="77777777" w:rsidR="005D05F9" w:rsidRPr="00181EF3" w:rsidRDefault="005D05F9" w:rsidP="005D05F9">
            <w:pPr>
              <w:pStyle w:val="TableText"/>
              <w:jc w:val="center"/>
              <w:rPr>
                <w:sz w:val="16"/>
              </w:rPr>
            </w:pPr>
            <w:r w:rsidRPr="00181EF3">
              <w:rPr>
                <w:sz w:val="16"/>
              </w:rPr>
              <w:t>CC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79025E7" w14:textId="77777777" w:rsidR="005D05F9" w:rsidRPr="00181EF3" w:rsidRDefault="005D05F9" w:rsidP="005D05F9">
            <w:pPr>
              <w:pStyle w:val="TableText"/>
              <w:jc w:val="center"/>
              <w:rPr>
                <w:sz w:val="16"/>
              </w:rPr>
            </w:pPr>
            <w:r w:rsidRPr="00181EF3">
              <w:rPr>
                <w:sz w:val="16"/>
              </w:rPr>
              <w:t>LRD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00B084E" w14:textId="77777777" w:rsidR="005D05F9" w:rsidRPr="00181EF3" w:rsidRDefault="005D05F9" w:rsidP="005D05F9">
            <w:pPr>
              <w:pStyle w:val="TableText"/>
              <w:jc w:val="center"/>
              <w:rPr>
                <w:sz w:val="16"/>
              </w:rPr>
            </w:pPr>
            <w:r w:rsidRPr="00181EF3">
              <w:rPr>
                <w:sz w:val="16"/>
              </w:rPr>
              <w:t>CC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624A55B3" w14:textId="77777777" w:rsidR="005D05F9" w:rsidRPr="00181EF3" w:rsidRDefault="005D05F9" w:rsidP="005D05F9">
            <w:pPr>
              <w:pStyle w:val="TableText"/>
              <w:jc w:val="center"/>
              <w:rPr>
                <w:sz w:val="16"/>
              </w:rPr>
            </w:pPr>
            <w:r w:rsidRPr="00181EF3">
              <w:rPr>
                <w:sz w:val="16"/>
              </w:rPr>
              <w:t>CC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8C6AB2A" w14:textId="77777777" w:rsidR="005D05F9" w:rsidRPr="00181EF3" w:rsidRDefault="005D05F9" w:rsidP="005D05F9">
            <w:pPr>
              <w:pStyle w:val="TableText"/>
              <w:jc w:val="center"/>
              <w:rPr>
                <w:sz w:val="16"/>
              </w:rPr>
            </w:pPr>
            <w:r w:rsidRPr="00181EF3">
              <w:rPr>
                <w:sz w:val="16"/>
              </w:rPr>
              <w:t>CC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8A13CC1" w14:textId="77777777" w:rsidR="005D05F9" w:rsidRPr="00181EF3" w:rsidRDefault="005D05F9" w:rsidP="005D05F9">
            <w:pPr>
              <w:pStyle w:val="TableText"/>
              <w:jc w:val="center"/>
              <w:rPr>
                <w:sz w:val="16"/>
              </w:rPr>
            </w:pPr>
            <w:r w:rsidRPr="00181EF3">
              <w:rPr>
                <w:sz w:val="16"/>
              </w:rPr>
              <w:t>CC</w:t>
            </w:r>
          </w:p>
        </w:tc>
      </w:tr>
    </w:tbl>
    <w:p w14:paraId="106BF039" w14:textId="77777777" w:rsidR="00CD34CF" w:rsidRPr="009074BE" w:rsidRDefault="00CD34CF" w:rsidP="00CD34CF">
      <w:pPr>
        <w:pStyle w:val="Note"/>
      </w:pPr>
      <w:r>
        <w:t>N</w:t>
      </w:r>
      <w:r w:rsidRPr="009074BE">
        <w:t>otes:</w:t>
      </w:r>
    </w:p>
    <w:p w14:paraId="34D8272E" w14:textId="172A1ECA" w:rsidR="008A5642" w:rsidRDefault="00446D86" w:rsidP="00CD34CF">
      <w:pPr>
        <w:pStyle w:val="Note"/>
      </w:pPr>
      <w:r>
        <w:t>Figures are age-standardised to the 2001 Census total Māori population</w:t>
      </w:r>
      <w:r w:rsidR="00CD34CF" w:rsidRPr="00181EF3">
        <w:t>.</w:t>
      </w:r>
    </w:p>
    <w:p w14:paraId="3C7083F2" w14:textId="10F8D38B" w:rsidR="00CD34CF" w:rsidRPr="00181EF3" w:rsidRDefault="00CD34CF" w:rsidP="00CD34CF">
      <w:pPr>
        <w:pStyle w:val="Note"/>
      </w:pPr>
      <w:r>
        <w:t>Prioritised ethnicity has been used.</w:t>
      </w:r>
    </w:p>
    <w:p w14:paraId="4382BF51" w14:textId="00BD7ECE" w:rsidR="005D05F9" w:rsidRPr="00181EF3" w:rsidRDefault="005D05F9" w:rsidP="005D05F9">
      <w:pPr>
        <w:pStyle w:val="Source"/>
      </w:pPr>
      <w:r w:rsidRPr="00181EF3">
        <w:t>Source: Mortality Collection Data Set (MORT), Ministry of Health</w:t>
      </w:r>
      <w:r w:rsidR="0094130D">
        <w:t>,</w:t>
      </w:r>
      <w:r w:rsidRPr="00181EF3">
        <w:t xml:space="preserve"> 1996–201</w:t>
      </w:r>
      <w:r>
        <w:t>4</w:t>
      </w:r>
      <w:r w:rsidRPr="00181EF3">
        <w:t>.</w:t>
      </w:r>
    </w:p>
    <w:p w14:paraId="09F26F8E" w14:textId="77777777" w:rsidR="005D05F9" w:rsidRPr="00181EF3" w:rsidRDefault="005D05F9" w:rsidP="005D05F9"/>
    <w:p w14:paraId="34AE47FE" w14:textId="36D72ACC" w:rsidR="005D05F9" w:rsidRPr="00181EF3" w:rsidRDefault="005D05F9" w:rsidP="005D05F9">
      <w:r w:rsidRPr="00181EF3">
        <w:t xml:space="preserve">Table </w:t>
      </w:r>
      <w:r w:rsidR="00CD34CF">
        <w:t>21</w:t>
      </w:r>
      <w:r w:rsidRPr="00181EF3">
        <w:t xml:space="preserve"> shows the ranking of major causes of death by age-standardised mortality rate for Māori and </w:t>
      </w:r>
      <w:r w:rsidR="00EC03A3">
        <w:t>non</w:t>
      </w:r>
      <w:r w:rsidR="00EC03A3">
        <w:noBreakHyphen/>
        <w:t>M</w:t>
      </w:r>
      <w:r w:rsidRPr="00181EF3">
        <w:t>āori females between 1996–98 and 2012–14 as recorded in the Mortality Collection Dataset.</w:t>
      </w:r>
    </w:p>
    <w:p w14:paraId="1D0CB7F6" w14:textId="77777777" w:rsidR="005D05F9" w:rsidRPr="00181EF3" w:rsidRDefault="005D05F9" w:rsidP="005D05F9"/>
    <w:p w14:paraId="0BFA264C" w14:textId="77777777" w:rsidR="005D05F9" w:rsidRPr="00181EF3" w:rsidRDefault="005D05F9" w:rsidP="005D05F9">
      <w:r w:rsidRPr="00181EF3">
        <w:t>The leading cause of death, ranked by age-standardised mortality rates, for Māori females was ischaemic heart disease between 1996–98 and 2009–11. Lung cancer was the leading cause of death for Māori females between 2010–12 and 2012–14.</w:t>
      </w:r>
    </w:p>
    <w:p w14:paraId="169BE17E" w14:textId="77777777" w:rsidR="005D05F9" w:rsidRPr="00181EF3" w:rsidRDefault="005D05F9" w:rsidP="005D05F9"/>
    <w:p w14:paraId="752654DE" w14:textId="77777777" w:rsidR="005D05F9" w:rsidRPr="00181EF3" w:rsidRDefault="005D05F9" w:rsidP="005D05F9">
      <w:r w:rsidRPr="00181EF3">
        <w:t>The second leading cause of death for Māori females was lung cancer between</w:t>
      </w:r>
      <w:r w:rsidRPr="00181EF3">
        <w:br/>
        <w:t>1996–98 and 2009–11. Ischaemic heart disease was the second leading cause of death for Māori females between 2010–12 and 2012–14.</w:t>
      </w:r>
    </w:p>
    <w:p w14:paraId="5A92CE65" w14:textId="77777777" w:rsidR="005D05F9" w:rsidRPr="00181EF3" w:rsidRDefault="005D05F9" w:rsidP="005D05F9"/>
    <w:p w14:paraId="4D04DB5F" w14:textId="2C3544A8" w:rsidR="005D05F9" w:rsidRPr="00181EF3" w:rsidRDefault="005D05F9" w:rsidP="005D05F9">
      <w:r w:rsidRPr="00181EF3">
        <w:t xml:space="preserve">Ischaemic heart disease was the leading cause of death for </w:t>
      </w:r>
      <w:r w:rsidR="00EC03A3">
        <w:t>non</w:t>
      </w:r>
      <w:r w:rsidR="00EC03A3">
        <w:noBreakHyphen/>
        <w:t>M</w:t>
      </w:r>
      <w:r w:rsidRPr="00181EF3">
        <w:t>āori females between 1996–98 and 2012–14.</w:t>
      </w:r>
    </w:p>
    <w:p w14:paraId="4E60ADD1" w14:textId="77777777" w:rsidR="005D05F9" w:rsidRPr="00181EF3" w:rsidRDefault="005D05F9" w:rsidP="005D05F9"/>
    <w:p w14:paraId="6DF910C0" w14:textId="1B77612F" w:rsidR="005D05F9" w:rsidRDefault="005D05F9" w:rsidP="005D05F9">
      <w:r w:rsidRPr="00181EF3">
        <w:t xml:space="preserve">Breast cancer (BC) was the second leading cause of death for </w:t>
      </w:r>
      <w:r w:rsidR="00EC03A3">
        <w:t>non</w:t>
      </w:r>
      <w:r w:rsidR="00EC03A3">
        <w:noBreakHyphen/>
        <w:t>M</w:t>
      </w:r>
      <w:r w:rsidRPr="00181EF3">
        <w:t xml:space="preserve">āori females between 1996–98 and 1998-00 and again between 2003-05 and 2012–14. Cerebrovascular disease (stroke) was the second leading cause for </w:t>
      </w:r>
      <w:r w:rsidR="00EC03A3">
        <w:t>non</w:t>
      </w:r>
      <w:r w:rsidR="00EC03A3">
        <w:noBreakHyphen/>
        <w:t>M</w:t>
      </w:r>
      <w:r w:rsidRPr="00181EF3">
        <w:t>āori females between 1999–01 and 2002-04.</w:t>
      </w:r>
    </w:p>
    <w:p w14:paraId="07049030" w14:textId="77777777" w:rsidR="00CD34CF" w:rsidRPr="00181EF3" w:rsidRDefault="00CD34CF" w:rsidP="005D05F9"/>
    <w:p w14:paraId="551C2D6B" w14:textId="73C88BA6" w:rsidR="005D05F9" w:rsidRPr="00181EF3" w:rsidRDefault="005D05F9" w:rsidP="005D05F9">
      <w:pPr>
        <w:keepNext/>
      </w:pPr>
      <w:r w:rsidRPr="00181EF3">
        <w:lastRenderedPageBreak/>
        <w:t xml:space="preserve">Diabetes and chronic obstructive pulmonary disease (CPD) occurred frequently in the five major causes of death for Māori females, but neither featured in the five major causes of death for </w:t>
      </w:r>
      <w:r w:rsidR="00EC03A3">
        <w:t>non</w:t>
      </w:r>
      <w:r w:rsidR="00EC03A3">
        <w:noBreakHyphen/>
        <w:t>M</w:t>
      </w:r>
      <w:r w:rsidRPr="00181EF3">
        <w:t>āori females between 1996–98 and 2012–14.</w:t>
      </w:r>
    </w:p>
    <w:p w14:paraId="3507539D" w14:textId="77777777" w:rsidR="005D05F9" w:rsidRPr="00181EF3" w:rsidRDefault="005D05F9" w:rsidP="00E333AB">
      <w:pPr>
        <w:keepNext/>
      </w:pPr>
    </w:p>
    <w:p w14:paraId="751F7D88" w14:textId="4068304E" w:rsidR="005D05F9" w:rsidRPr="00181EF3" w:rsidRDefault="005D05F9" w:rsidP="005D05F9">
      <w:r w:rsidRPr="00181EF3">
        <w:t xml:space="preserve">Chronic lower respiratory disease (LRD) and colorectal cancer occurred frequently in the five major causes of death for </w:t>
      </w:r>
      <w:r w:rsidR="00EC03A3">
        <w:t>non</w:t>
      </w:r>
      <w:r w:rsidR="00EC03A3">
        <w:noBreakHyphen/>
        <w:t>M</w:t>
      </w:r>
      <w:r w:rsidRPr="00181EF3">
        <w:t>āori females but did not feature in the five major causes of death for Māori females between 1996–98 and 2012–14.</w:t>
      </w:r>
    </w:p>
    <w:p w14:paraId="541FBFE5" w14:textId="77777777" w:rsidR="005D05F9" w:rsidRPr="00181EF3" w:rsidRDefault="005D05F9" w:rsidP="005D05F9"/>
    <w:p w14:paraId="611186D6" w14:textId="64DFA035" w:rsidR="005D05F9" w:rsidRPr="00181EF3" w:rsidRDefault="005D05F9" w:rsidP="005D05F9">
      <w:r w:rsidRPr="00181EF3">
        <w:t xml:space="preserve">Every featured major cause of death, when ranked by age-standardised mortality rates, for Māori and </w:t>
      </w:r>
      <w:r w:rsidR="00EC03A3">
        <w:t>non</w:t>
      </w:r>
      <w:r w:rsidR="00EC03A3">
        <w:noBreakHyphen/>
        <w:t>M</w:t>
      </w:r>
      <w:r w:rsidRPr="00181EF3">
        <w:t>āori females were chronic diseases.</w:t>
      </w:r>
    </w:p>
    <w:p w14:paraId="786EA6FE" w14:textId="77777777" w:rsidR="005D05F9" w:rsidRPr="00181EF3" w:rsidRDefault="005D05F9" w:rsidP="005D05F9"/>
    <w:p w14:paraId="480943A7" w14:textId="65DED3B5" w:rsidR="005D05F9" w:rsidRPr="00181EF3" w:rsidRDefault="00CD34CF" w:rsidP="005D05F9">
      <w:pPr>
        <w:pStyle w:val="Table"/>
      </w:pPr>
      <w:bookmarkStart w:id="113" w:name="_Toc18594762"/>
      <w:r w:rsidRPr="00181EF3">
        <w:t xml:space="preserve">Table </w:t>
      </w:r>
      <w:r>
        <w:t>22</w:t>
      </w:r>
      <w:r w:rsidRPr="00181EF3">
        <w:t xml:space="preserve">: </w:t>
      </w:r>
      <w:r w:rsidRPr="00CD34CF">
        <w:t xml:space="preserve">Major causes of death, ranked by </w:t>
      </w:r>
      <w:r>
        <w:t>years of life lost (YLL)</w:t>
      </w:r>
      <w:r w:rsidRPr="00CD34CF">
        <w:t xml:space="preserve">, Māori and </w:t>
      </w:r>
      <w:r w:rsidR="00EC03A3">
        <w:t>non</w:t>
      </w:r>
      <w:r w:rsidR="00EC03A3">
        <w:noBreakHyphen/>
        <w:t>M</w:t>
      </w:r>
      <w:r w:rsidRPr="00CD34CF">
        <w:t>āori</w:t>
      </w:r>
      <w:r w:rsidR="00B7110B">
        <w:t xml:space="preserve"> females</w:t>
      </w:r>
      <w:r w:rsidRPr="00CD34CF">
        <w:t>, 1996–2014</w:t>
      </w:r>
      <w:bookmarkEnd w:id="113"/>
    </w:p>
    <w:tbl>
      <w:tblPr>
        <w:tblW w:w="8080" w:type="dxa"/>
        <w:tblInd w:w="57" w:type="dxa"/>
        <w:tblLayout w:type="fixed"/>
        <w:tblCellMar>
          <w:left w:w="57" w:type="dxa"/>
          <w:right w:w="57" w:type="dxa"/>
        </w:tblCellMar>
        <w:tblLook w:val="04A0" w:firstRow="1" w:lastRow="0" w:firstColumn="1" w:lastColumn="0" w:noHBand="0" w:noVBand="1"/>
      </w:tblPr>
      <w:tblGrid>
        <w:gridCol w:w="567"/>
        <w:gridCol w:w="430"/>
        <w:gridCol w:w="416"/>
        <w:gridCol w:w="417"/>
        <w:gridCol w:w="416"/>
        <w:gridCol w:w="417"/>
        <w:gridCol w:w="417"/>
        <w:gridCol w:w="416"/>
        <w:gridCol w:w="417"/>
        <w:gridCol w:w="417"/>
        <w:gridCol w:w="416"/>
        <w:gridCol w:w="417"/>
        <w:gridCol w:w="417"/>
        <w:gridCol w:w="416"/>
        <w:gridCol w:w="417"/>
        <w:gridCol w:w="417"/>
        <w:gridCol w:w="416"/>
        <w:gridCol w:w="417"/>
        <w:gridCol w:w="417"/>
      </w:tblGrid>
      <w:tr w:rsidR="005D05F9" w:rsidRPr="00181EF3" w14:paraId="6F9CA879" w14:textId="77777777" w:rsidTr="005D05F9">
        <w:trPr>
          <w:cantSplit/>
        </w:trPr>
        <w:tc>
          <w:tcPr>
            <w:tcW w:w="567" w:type="dxa"/>
            <w:vMerge w:val="restart"/>
            <w:shd w:val="clear" w:color="auto" w:fill="D9D9D9" w:themeFill="background1" w:themeFillShade="D9"/>
          </w:tcPr>
          <w:p w14:paraId="26752E5E" w14:textId="77777777" w:rsidR="005D05F9" w:rsidRPr="00181EF3" w:rsidRDefault="005D05F9" w:rsidP="005D05F9">
            <w:pPr>
              <w:pStyle w:val="TableText"/>
              <w:rPr>
                <w:sz w:val="16"/>
                <w:szCs w:val="16"/>
              </w:rPr>
            </w:pPr>
          </w:p>
        </w:tc>
        <w:tc>
          <w:tcPr>
            <w:tcW w:w="430" w:type="dxa"/>
            <w:vMerge w:val="restart"/>
            <w:shd w:val="clear" w:color="auto" w:fill="D9D9D9" w:themeFill="background1" w:themeFillShade="D9"/>
            <w:textDirection w:val="btLr"/>
            <w:vAlign w:val="bottom"/>
          </w:tcPr>
          <w:p w14:paraId="788097AC" w14:textId="77777777" w:rsidR="005D05F9" w:rsidRPr="00181EF3" w:rsidRDefault="005D05F9" w:rsidP="005D05F9">
            <w:pPr>
              <w:pStyle w:val="TableText"/>
              <w:ind w:left="57"/>
              <w:rPr>
                <w:b/>
                <w:sz w:val="16"/>
                <w:szCs w:val="16"/>
              </w:rPr>
            </w:pPr>
            <w:r w:rsidRPr="00181EF3">
              <w:rPr>
                <w:b/>
                <w:spacing w:val="-2"/>
                <w:sz w:val="16"/>
                <w:szCs w:val="16"/>
              </w:rPr>
              <w:t>Ranking</w:t>
            </w:r>
          </w:p>
        </w:tc>
        <w:tc>
          <w:tcPr>
            <w:tcW w:w="7083" w:type="dxa"/>
            <w:gridSpan w:val="17"/>
            <w:shd w:val="clear" w:color="auto" w:fill="D9D9D9" w:themeFill="background1" w:themeFillShade="D9"/>
          </w:tcPr>
          <w:p w14:paraId="7847A548" w14:textId="77777777" w:rsidR="005D05F9" w:rsidRPr="00181EF3" w:rsidRDefault="005D05F9" w:rsidP="005D05F9">
            <w:pPr>
              <w:pStyle w:val="TableText"/>
              <w:spacing w:after="0"/>
              <w:jc w:val="center"/>
              <w:rPr>
                <w:b/>
                <w:sz w:val="16"/>
                <w:szCs w:val="16"/>
              </w:rPr>
            </w:pPr>
            <w:r w:rsidRPr="00181EF3">
              <w:rPr>
                <w:b/>
                <w:sz w:val="16"/>
                <w:szCs w:val="16"/>
              </w:rPr>
              <w:t>Year</w:t>
            </w:r>
          </w:p>
        </w:tc>
      </w:tr>
      <w:tr w:rsidR="005D05F9" w:rsidRPr="00181EF3" w14:paraId="2A1AFB99" w14:textId="77777777" w:rsidTr="005D05F9">
        <w:trPr>
          <w:cantSplit/>
          <w:trHeight w:val="765"/>
        </w:trPr>
        <w:tc>
          <w:tcPr>
            <w:tcW w:w="567" w:type="dxa"/>
            <w:vMerge/>
            <w:shd w:val="clear" w:color="auto" w:fill="D9D9D9" w:themeFill="background1" w:themeFillShade="D9"/>
          </w:tcPr>
          <w:p w14:paraId="67F82AC2" w14:textId="77777777" w:rsidR="005D05F9" w:rsidRPr="00181EF3" w:rsidRDefault="005D05F9" w:rsidP="005D05F9">
            <w:pPr>
              <w:pStyle w:val="TableText"/>
              <w:ind w:left="57"/>
              <w:rPr>
                <w:sz w:val="16"/>
                <w:szCs w:val="16"/>
              </w:rPr>
            </w:pPr>
          </w:p>
        </w:tc>
        <w:tc>
          <w:tcPr>
            <w:tcW w:w="430" w:type="dxa"/>
            <w:vMerge/>
            <w:shd w:val="clear" w:color="auto" w:fill="D9D9D9" w:themeFill="background1" w:themeFillShade="D9"/>
            <w:textDirection w:val="btLr"/>
            <w:vAlign w:val="bottom"/>
          </w:tcPr>
          <w:p w14:paraId="368D379C" w14:textId="77777777" w:rsidR="005D05F9" w:rsidRPr="00181EF3" w:rsidRDefault="005D05F9" w:rsidP="005D05F9">
            <w:pPr>
              <w:pStyle w:val="TableText"/>
              <w:ind w:left="57"/>
              <w:rPr>
                <w:spacing w:val="-2"/>
                <w:sz w:val="16"/>
                <w:szCs w:val="16"/>
              </w:rPr>
            </w:pPr>
          </w:p>
        </w:tc>
        <w:tc>
          <w:tcPr>
            <w:tcW w:w="416" w:type="dxa"/>
            <w:shd w:val="clear" w:color="auto" w:fill="D9D9D9" w:themeFill="background1" w:themeFillShade="D9"/>
            <w:textDirection w:val="btLr"/>
            <w:vAlign w:val="bottom"/>
          </w:tcPr>
          <w:p w14:paraId="629B1B0F" w14:textId="77777777" w:rsidR="005D05F9" w:rsidRPr="00181EF3" w:rsidRDefault="005D05F9" w:rsidP="005D05F9">
            <w:pPr>
              <w:pStyle w:val="TableText"/>
              <w:ind w:left="57"/>
              <w:rPr>
                <w:b/>
                <w:sz w:val="16"/>
                <w:szCs w:val="16"/>
              </w:rPr>
            </w:pPr>
            <w:r w:rsidRPr="00181EF3">
              <w:rPr>
                <w:b/>
                <w:sz w:val="16"/>
                <w:szCs w:val="16"/>
              </w:rPr>
              <w:t>1996–98</w:t>
            </w:r>
          </w:p>
        </w:tc>
        <w:tc>
          <w:tcPr>
            <w:tcW w:w="417" w:type="dxa"/>
            <w:shd w:val="clear" w:color="auto" w:fill="D9D9D9" w:themeFill="background1" w:themeFillShade="D9"/>
            <w:textDirection w:val="btLr"/>
            <w:vAlign w:val="bottom"/>
          </w:tcPr>
          <w:p w14:paraId="736A01E9" w14:textId="77777777" w:rsidR="005D05F9" w:rsidRPr="00181EF3" w:rsidRDefault="005D05F9" w:rsidP="005D05F9">
            <w:pPr>
              <w:pStyle w:val="TableText"/>
              <w:ind w:left="57"/>
              <w:rPr>
                <w:b/>
                <w:sz w:val="16"/>
                <w:szCs w:val="16"/>
              </w:rPr>
            </w:pPr>
            <w:r w:rsidRPr="00181EF3">
              <w:rPr>
                <w:b/>
                <w:sz w:val="16"/>
                <w:szCs w:val="16"/>
              </w:rPr>
              <w:t>1997–99</w:t>
            </w:r>
          </w:p>
        </w:tc>
        <w:tc>
          <w:tcPr>
            <w:tcW w:w="416" w:type="dxa"/>
            <w:shd w:val="clear" w:color="auto" w:fill="D9D9D9" w:themeFill="background1" w:themeFillShade="D9"/>
            <w:textDirection w:val="btLr"/>
            <w:vAlign w:val="bottom"/>
          </w:tcPr>
          <w:p w14:paraId="44D84453" w14:textId="77777777" w:rsidR="005D05F9" w:rsidRPr="00181EF3" w:rsidRDefault="005D05F9" w:rsidP="005D05F9">
            <w:pPr>
              <w:pStyle w:val="TableText"/>
              <w:ind w:left="57"/>
              <w:rPr>
                <w:b/>
                <w:sz w:val="16"/>
                <w:szCs w:val="16"/>
              </w:rPr>
            </w:pPr>
            <w:r w:rsidRPr="00181EF3">
              <w:rPr>
                <w:b/>
                <w:sz w:val="16"/>
                <w:szCs w:val="16"/>
              </w:rPr>
              <w:t>1998-00</w:t>
            </w:r>
          </w:p>
        </w:tc>
        <w:tc>
          <w:tcPr>
            <w:tcW w:w="417" w:type="dxa"/>
            <w:shd w:val="clear" w:color="auto" w:fill="D9D9D9" w:themeFill="background1" w:themeFillShade="D9"/>
            <w:textDirection w:val="btLr"/>
            <w:vAlign w:val="bottom"/>
          </w:tcPr>
          <w:p w14:paraId="37C20795" w14:textId="77777777" w:rsidR="005D05F9" w:rsidRPr="00181EF3" w:rsidRDefault="005D05F9" w:rsidP="005D05F9">
            <w:pPr>
              <w:pStyle w:val="TableText"/>
              <w:ind w:left="57"/>
              <w:rPr>
                <w:b/>
                <w:sz w:val="16"/>
                <w:szCs w:val="16"/>
              </w:rPr>
            </w:pPr>
            <w:r w:rsidRPr="00181EF3">
              <w:rPr>
                <w:b/>
                <w:sz w:val="16"/>
                <w:szCs w:val="16"/>
              </w:rPr>
              <w:t>1999–01</w:t>
            </w:r>
          </w:p>
        </w:tc>
        <w:tc>
          <w:tcPr>
            <w:tcW w:w="417" w:type="dxa"/>
            <w:shd w:val="clear" w:color="auto" w:fill="D9D9D9" w:themeFill="background1" w:themeFillShade="D9"/>
            <w:textDirection w:val="btLr"/>
            <w:vAlign w:val="bottom"/>
          </w:tcPr>
          <w:p w14:paraId="29A9BA65" w14:textId="77777777" w:rsidR="005D05F9" w:rsidRPr="00181EF3" w:rsidRDefault="005D05F9" w:rsidP="005D05F9">
            <w:pPr>
              <w:pStyle w:val="TableText"/>
              <w:ind w:left="57"/>
              <w:rPr>
                <w:b/>
                <w:sz w:val="16"/>
                <w:szCs w:val="16"/>
              </w:rPr>
            </w:pPr>
            <w:r w:rsidRPr="00181EF3">
              <w:rPr>
                <w:b/>
                <w:sz w:val="16"/>
                <w:szCs w:val="16"/>
              </w:rPr>
              <w:t>2000-02</w:t>
            </w:r>
          </w:p>
        </w:tc>
        <w:tc>
          <w:tcPr>
            <w:tcW w:w="416" w:type="dxa"/>
            <w:shd w:val="clear" w:color="auto" w:fill="D9D9D9" w:themeFill="background1" w:themeFillShade="D9"/>
            <w:textDirection w:val="btLr"/>
            <w:vAlign w:val="bottom"/>
          </w:tcPr>
          <w:p w14:paraId="6F60714E" w14:textId="77777777" w:rsidR="005D05F9" w:rsidRPr="00181EF3" w:rsidRDefault="005D05F9" w:rsidP="005D05F9">
            <w:pPr>
              <w:pStyle w:val="TableText"/>
              <w:ind w:left="57"/>
              <w:rPr>
                <w:b/>
                <w:sz w:val="16"/>
                <w:szCs w:val="16"/>
              </w:rPr>
            </w:pPr>
            <w:r w:rsidRPr="00181EF3">
              <w:rPr>
                <w:b/>
                <w:sz w:val="16"/>
                <w:szCs w:val="16"/>
              </w:rPr>
              <w:t>2001–03</w:t>
            </w:r>
          </w:p>
        </w:tc>
        <w:tc>
          <w:tcPr>
            <w:tcW w:w="417" w:type="dxa"/>
            <w:shd w:val="clear" w:color="auto" w:fill="D9D9D9" w:themeFill="background1" w:themeFillShade="D9"/>
            <w:textDirection w:val="btLr"/>
            <w:vAlign w:val="bottom"/>
          </w:tcPr>
          <w:p w14:paraId="61E7BB83" w14:textId="77777777" w:rsidR="005D05F9" w:rsidRPr="00181EF3" w:rsidRDefault="005D05F9" w:rsidP="005D05F9">
            <w:pPr>
              <w:pStyle w:val="TableText"/>
              <w:ind w:left="57"/>
              <w:rPr>
                <w:b/>
                <w:sz w:val="16"/>
                <w:szCs w:val="16"/>
              </w:rPr>
            </w:pPr>
            <w:r w:rsidRPr="00181EF3">
              <w:rPr>
                <w:b/>
                <w:sz w:val="16"/>
                <w:szCs w:val="16"/>
              </w:rPr>
              <w:t>2002-04</w:t>
            </w:r>
          </w:p>
        </w:tc>
        <w:tc>
          <w:tcPr>
            <w:tcW w:w="417" w:type="dxa"/>
            <w:shd w:val="clear" w:color="auto" w:fill="D9D9D9" w:themeFill="background1" w:themeFillShade="D9"/>
            <w:textDirection w:val="btLr"/>
            <w:vAlign w:val="bottom"/>
          </w:tcPr>
          <w:p w14:paraId="12118C4D" w14:textId="77777777" w:rsidR="005D05F9" w:rsidRPr="00181EF3" w:rsidRDefault="005D05F9" w:rsidP="005D05F9">
            <w:pPr>
              <w:pStyle w:val="TableText"/>
              <w:ind w:left="57"/>
              <w:rPr>
                <w:b/>
                <w:sz w:val="16"/>
                <w:szCs w:val="16"/>
              </w:rPr>
            </w:pPr>
            <w:r w:rsidRPr="00181EF3">
              <w:rPr>
                <w:b/>
                <w:sz w:val="16"/>
                <w:szCs w:val="16"/>
              </w:rPr>
              <w:t>2003-05</w:t>
            </w:r>
          </w:p>
        </w:tc>
        <w:tc>
          <w:tcPr>
            <w:tcW w:w="416" w:type="dxa"/>
            <w:shd w:val="clear" w:color="auto" w:fill="D9D9D9" w:themeFill="background1" w:themeFillShade="D9"/>
            <w:textDirection w:val="btLr"/>
            <w:vAlign w:val="bottom"/>
          </w:tcPr>
          <w:p w14:paraId="4640152D" w14:textId="77777777" w:rsidR="005D05F9" w:rsidRPr="00181EF3" w:rsidRDefault="005D05F9" w:rsidP="005D05F9">
            <w:pPr>
              <w:pStyle w:val="TableText"/>
              <w:ind w:left="57"/>
              <w:rPr>
                <w:b/>
                <w:sz w:val="16"/>
                <w:szCs w:val="16"/>
              </w:rPr>
            </w:pPr>
            <w:r w:rsidRPr="00181EF3">
              <w:rPr>
                <w:b/>
                <w:sz w:val="16"/>
                <w:szCs w:val="16"/>
              </w:rPr>
              <w:t>2004-06</w:t>
            </w:r>
          </w:p>
        </w:tc>
        <w:tc>
          <w:tcPr>
            <w:tcW w:w="417" w:type="dxa"/>
            <w:shd w:val="clear" w:color="auto" w:fill="D9D9D9" w:themeFill="background1" w:themeFillShade="D9"/>
            <w:textDirection w:val="btLr"/>
            <w:vAlign w:val="bottom"/>
          </w:tcPr>
          <w:p w14:paraId="237949D3" w14:textId="77777777" w:rsidR="005D05F9" w:rsidRPr="00181EF3" w:rsidRDefault="005D05F9" w:rsidP="005D05F9">
            <w:pPr>
              <w:pStyle w:val="TableText"/>
              <w:ind w:left="57"/>
              <w:rPr>
                <w:b/>
                <w:sz w:val="16"/>
                <w:szCs w:val="16"/>
              </w:rPr>
            </w:pPr>
            <w:r w:rsidRPr="00181EF3">
              <w:rPr>
                <w:b/>
                <w:sz w:val="16"/>
                <w:szCs w:val="16"/>
              </w:rPr>
              <w:t>2005–07</w:t>
            </w:r>
          </w:p>
        </w:tc>
        <w:tc>
          <w:tcPr>
            <w:tcW w:w="417" w:type="dxa"/>
            <w:shd w:val="clear" w:color="auto" w:fill="D9D9D9" w:themeFill="background1" w:themeFillShade="D9"/>
            <w:textDirection w:val="btLr"/>
            <w:vAlign w:val="bottom"/>
          </w:tcPr>
          <w:p w14:paraId="7F11DB65" w14:textId="77777777" w:rsidR="005D05F9" w:rsidRPr="00181EF3" w:rsidRDefault="005D05F9" w:rsidP="005D05F9">
            <w:pPr>
              <w:pStyle w:val="TableText"/>
              <w:ind w:left="57"/>
              <w:rPr>
                <w:b/>
                <w:sz w:val="16"/>
                <w:szCs w:val="16"/>
              </w:rPr>
            </w:pPr>
            <w:r w:rsidRPr="00181EF3">
              <w:rPr>
                <w:b/>
                <w:sz w:val="16"/>
                <w:szCs w:val="16"/>
              </w:rPr>
              <w:t>2006–08</w:t>
            </w:r>
          </w:p>
        </w:tc>
        <w:tc>
          <w:tcPr>
            <w:tcW w:w="416" w:type="dxa"/>
            <w:shd w:val="clear" w:color="auto" w:fill="D9D9D9" w:themeFill="background1" w:themeFillShade="D9"/>
            <w:textDirection w:val="btLr"/>
            <w:vAlign w:val="bottom"/>
          </w:tcPr>
          <w:p w14:paraId="6B1AB749" w14:textId="77777777" w:rsidR="005D05F9" w:rsidRPr="00181EF3" w:rsidRDefault="005D05F9" w:rsidP="005D05F9">
            <w:pPr>
              <w:pStyle w:val="TableText"/>
              <w:ind w:left="57"/>
              <w:rPr>
                <w:b/>
                <w:sz w:val="16"/>
                <w:szCs w:val="16"/>
              </w:rPr>
            </w:pPr>
            <w:r w:rsidRPr="00181EF3">
              <w:rPr>
                <w:b/>
                <w:sz w:val="16"/>
                <w:szCs w:val="16"/>
              </w:rPr>
              <w:t>2007–09</w:t>
            </w:r>
          </w:p>
        </w:tc>
        <w:tc>
          <w:tcPr>
            <w:tcW w:w="417" w:type="dxa"/>
            <w:shd w:val="clear" w:color="auto" w:fill="D9D9D9" w:themeFill="background1" w:themeFillShade="D9"/>
            <w:textDirection w:val="btLr"/>
            <w:vAlign w:val="bottom"/>
          </w:tcPr>
          <w:p w14:paraId="7AF666A0" w14:textId="77777777" w:rsidR="005D05F9" w:rsidRPr="00181EF3" w:rsidRDefault="005D05F9" w:rsidP="005D05F9">
            <w:pPr>
              <w:pStyle w:val="TableText"/>
              <w:ind w:left="57"/>
              <w:rPr>
                <w:b/>
                <w:sz w:val="16"/>
                <w:szCs w:val="16"/>
              </w:rPr>
            </w:pPr>
            <w:r w:rsidRPr="00181EF3">
              <w:rPr>
                <w:b/>
                <w:sz w:val="16"/>
                <w:szCs w:val="16"/>
              </w:rPr>
              <w:t>2008–10</w:t>
            </w:r>
          </w:p>
        </w:tc>
        <w:tc>
          <w:tcPr>
            <w:tcW w:w="417" w:type="dxa"/>
            <w:shd w:val="clear" w:color="auto" w:fill="D9D9D9" w:themeFill="background1" w:themeFillShade="D9"/>
            <w:textDirection w:val="btLr"/>
            <w:vAlign w:val="bottom"/>
          </w:tcPr>
          <w:p w14:paraId="59CBF2BF" w14:textId="77777777" w:rsidR="005D05F9" w:rsidRPr="00181EF3" w:rsidRDefault="005D05F9" w:rsidP="005D05F9">
            <w:pPr>
              <w:pStyle w:val="TableText"/>
              <w:ind w:left="57"/>
              <w:rPr>
                <w:b/>
                <w:sz w:val="16"/>
                <w:szCs w:val="16"/>
              </w:rPr>
            </w:pPr>
            <w:r w:rsidRPr="00181EF3">
              <w:rPr>
                <w:b/>
                <w:sz w:val="16"/>
                <w:szCs w:val="16"/>
              </w:rPr>
              <w:t>2009–11</w:t>
            </w:r>
          </w:p>
        </w:tc>
        <w:tc>
          <w:tcPr>
            <w:tcW w:w="416" w:type="dxa"/>
            <w:shd w:val="clear" w:color="auto" w:fill="D9D9D9" w:themeFill="background1" w:themeFillShade="D9"/>
            <w:textDirection w:val="btLr"/>
            <w:vAlign w:val="bottom"/>
          </w:tcPr>
          <w:p w14:paraId="002C7583" w14:textId="77777777" w:rsidR="005D05F9" w:rsidRPr="00181EF3" w:rsidRDefault="005D05F9" w:rsidP="005D05F9">
            <w:pPr>
              <w:pStyle w:val="TableText"/>
              <w:ind w:left="57"/>
              <w:rPr>
                <w:b/>
                <w:sz w:val="16"/>
                <w:szCs w:val="16"/>
              </w:rPr>
            </w:pPr>
            <w:r w:rsidRPr="00181EF3">
              <w:rPr>
                <w:b/>
                <w:sz w:val="16"/>
                <w:szCs w:val="16"/>
              </w:rPr>
              <w:t>2010–12</w:t>
            </w:r>
          </w:p>
        </w:tc>
        <w:tc>
          <w:tcPr>
            <w:tcW w:w="417" w:type="dxa"/>
            <w:shd w:val="clear" w:color="auto" w:fill="D9D9D9" w:themeFill="background1" w:themeFillShade="D9"/>
            <w:textDirection w:val="btLr"/>
            <w:vAlign w:val="bottom"/>
          </w:tcPr>
          <w:p w14:paraId="44A4DA30" w14:textId="77777777" w:rsidR="005D05F9" w:rsidRPr="00181EF3" w:rsidRDefault="005D05F9" w:rsidP="005D05F9">
            <w:pPr>
              <w:pStyle w:val="TableText"/>
              <w:ind w:left="57"/>
              <w:rPr>
                <w:b/>
                <w:sz w:val="16"/>
                <w:szCs w:val="16"/>
              </w:rPr>
            </w:pPr>
            <w:r w:rsidRPr="00181EF3">
              <w:rPr>
                <w:b/>
                <w:sz w:val="16"/>
                <w:szCs w:val="16"/>
              </w:rPr>
              <w:t>2011–13</w:t>
            </w:r>
          </w:p>
        </w:tc>
        <w:tc>
          <w:tcPr>
            <w:tcW w:w="417" w:type="dxa"/>
            <w:shd w:val="clear" w:color="auto" w:fill="D9D9D9" w:themeFill="background1" w:themeFillShade="D9"/>
            <w:textDirection w:val="btLr"/>
            <w:vAlign w:val="bottom"/>
          </w:tcPr>
          <w:p w14:paraId="035334BD" w14:textId="77777777" w:rsidR="005D05F9" w:rsidRPr="00181EF3" w:rsidRDefault="005D05F9" w:rsidP="005D05F9">
            <w:pPr>
              <w:pStyle w:val="TableText"/>
              <w:ind w:left="57"/>
              <w:rPr>
                <w:b/>
                <w:sz w:val="16"/>
                <w:szCs w:val="16"/>
              </w:rPr>
            </w:pPr>
            <w:r w:rsidRPr="00181EF3">
              <w:rPr>
                <w:b/>
                <w:sz w:val="16"/>
                <w:szCs w:val="16"/>
              </w:rPr>
              <w:t>2012–14</w:t>
            </w:r>
          </w:p>
        </w:tc>
      </w:tr>
      <w:tr w:rsidR="005D05F9" w:rsidRPr="00181EF3" w14:paraId="28864310" w14:textId="77777777" w:rsidTr="005D05F9">
        <w:tc>
          <w:tcPr>
            <w:tcW w:w="567" w:type="dxa"/>
            <w:vMerge w:val="restart"/>
          </w:tcPr>
          <w:p w14:paraId="6832D441" w14:textId="77777777" w:rsidR="005D05F9" w:rsidRPr="00181EF3" w:rsidRDefault="005D05F9" w:rsidP="005D05F9">
            <w:pPr>
              <w:pStyle w:val="TableText"/>
              <w:rPr>
                <w:sz w:val="16"/>
                <w:szCs w:val="16"/>
              </w:rPr>
            </w:pPr>
            <w:r w:rsidRPr="00181EF3">
              <w:rPr>
                <w:sz w:val="16"/>
                <w:szCs w:val="16"/>
              </w:rPr>
              <w:t>Māori</w:t>
            </w:r>
          </w:p>
        </w:tc>
        <w:tc>
          <w:tcPr>
            <w:tcW w:w="430" w:type="dxa"/>
            <w:tcBorders>
              <w:bottom w:val="single" w:sz="4" w:space="0" w:color="A6A6A6" w:themeColor="background1" w:themeShade="A6"/>
            </w:tcBorders>
            <w:shd w:val="clear" w:color="auto" w:fill="auto"/>
          </w:tcPr>
          <w:p w14:paraId="0105B0E3" w14:textId="77777777" w:rsidR="005D05F9" w:rsidRPr="00181EF3" w:rsidRDefault="005D05F9" w:rsidP="005D05F9">
            <w:pPr>
              <w:pStyle w:val="TableText"/>
              <w:jc w:val="center"/>
              <w:rPr>
                <w:sz w:val="16"/>
                <w:szCs w:val="16"/>
              </w:rPr>
            </w:pPr>
            <w:r w:rsidRPr="00181EF3">
              <w:rPr>
                <w:sz w:val="16"/>
                <w:szCs w:val="16"/>
              </w:rPr>
              <w:t>1</w:t>
            </w:r>
          </w:p>
        </w:tc>
        <w:tc>
          <w:tcPr>
            <w:tcW w:w="416" w:type="dxa"/>
            <w:tcBorders>
              <w:bottom w:val="single" w:sz="4" w:space="0" w:color="A6A6A6" w:themeColor="background1" w:themeShade="A6"/>
            </w:tcBorders>
            <w:shd w:val="clear" w:color="auto" w:fill="auto"/>
          </w:tcPr>
          <w:p w14:paraId="525F9DD3" w14:textId="77777777" w:rsidR="005D05F9" w:rsidRPr="00181EF3" w:rsidRDefault="005D05F9" w:rsidP="005D05F9">
            <w:pPr>
              <w:pStyle w:val="TableText"/>
              <w:jc w:val="center"/>
              <w:rPr>
                <w:sz w:val="16"/>
              </w:rPr>
            </w:pPr>
            <w:r w:rsidRPr="00181EF3">
              <w:rPr>
                <w:sz w:val="16"/>
              </w:rPr>
              <w:t>IHD</w:t>
            </w:r>
          </w:p>
        </w:tc>
        <w:tc>
          <w:tcPr>
            <w:tcW w:w="417" w:type="dxa"/>
            <w:tcBorders>
              <w:bottom w:val="single" w:sz="4" w:space="0" w:color="A6A6A6" w:themeColor="background1" w:themeShade="A6"/>
            </w:tcBorders>
            <w:shd w:val="clear" w:color="auto" w:fill="auto"/>
          </w:tcPr>
          <w:p w14:paraId="39368BAF" w14:textId="77777777" w:rsidR="005D05F9" w:rsidRPr="00181EF3" w:rsidRDefault="005D05F9" w:rsidP="005D05F9">
            <w:pPr>
              <w:pStyle w:val="TableText"/>
              <w:jc w:val="center"/>
              <w:rPr>
                <w:sz w:val="16"/>
              </w:rPr>
            </w:pPr>
            <w:r w:rsidRPr="00181EF3">
              <w:rPr>
                <w:sz w:val="16"/>
              </w:rPr>
              <w:t>IHD</w:t>
            </w:r>
          </w:p>
        </w:tc>
        <w:tc>
          <w:tcPr>
            <w:tcW w:w="416" w:type="dxa"/>
            <w:tcBorders>
              <w:bottom w:val="single" w:sz="4" w:space="0" w:color="A6A6A6" w:themeColor="background1" w:themeShade="A6"/>
            </w:tcBorders>
            <w:shd w:val="clear" w:color="auto" w:fill="auto"/>
          </w:tcPr>
          <w:p w14:paraId="7C998A51" w14:textId="77777777" w:rsidR="005D05F9" w:rsidRPr="00181EF3" w:rsidRDefault="005D05F9" w:rsidP="005D05F9">
            <w:pPr>
              <w:pStyle w:val="TableText"/>
              <w:jc w:val="center"/>
              <w:rPr>
                <w:sz w:val="16"/>
              </w:rPr>
            </w:pPr>
            <w:r w:rsidRPr="00181EF3">
              <w:rPr>
                <w:sz w:val="16"/>
              </w:rPr>
              <w:t>IHD</w:t>
            </w:r>
          </w:p>
        </w:tc>
        <w:tc>
          <w:tcPr>
            <w:tcW w:w="417" w:type="dxa"/>
            <w:tcBorders>
              <w:bottom w:val="single" w:sz="4" w:space="0" w:color="A6A6A6" w:themeColor="background1" w:themeShade="A6"/>
            </w:tcBorders>
            <w:shd w:val="clear" w:color="auto" w:fill="auto"/>
          </w:tcPr>
          <w:p w14:paraId="295C4C26" w14:textId="77777777" w:rsidR="005D05F9" w:rsidRPr="00181EF3" w:rsidRDefault="005D05F9" w:rsidP="005D05F9">
            <w:pPr>
              <w:pStyle w:val="TableText"/>
              <w:jc w:val="center"/>
              <w:rPr>
                <w:sz w:val="16"/>
              </w:rPr>
            </w:pPr>
            <w:r w:rsidRPr="00181EF3">
              <w:rPr>
                <w:sz w:val="16"/>
              </w:rPr>
              <w:t>IHD</w:t>
            </w:r>
          </w:p>
        </w:tc>
        <w:tc>
          <w:tcPr>
            <w:tcW w:w="417" w:type="dxa"/>
            <w:tcBorders>
              <w:bottom w:val="single" w:sz="4" w:space="0" w:color="A6A6A6" w:themeColor="background1" w:themeShade="A6"/>
            </w:tcBorders>
            <w:shd w:val="clear" w:color="auto" w:fill="auto"/>
          </w:tcPr>
          <w:p w14:paraId="54E2180F" w14:textId="77777777" w:rsidR="005D05F9" w:rsidRPr="00181EF3" w:rsidRDefault="005D05F9" w:rsidP="005D05F9">
            <w:pPr>
              <w:pStyle w:val="TableText"/>
              <w:jc w:val="center"/>
              <w:rPr>
                <w:sz w:val="16"/>
              </w:rPr>
            </w:pPr>
            <w:r w:rsidRPr="00181EF3">
              <w:rPr>
                <w:sz w:val="16"/>
              </w:rPr>
              <w:t>IHD</w:t>
            </w:r>
          </w:p>
        </w:tc>
        <w:tc>
          <w:tcPr>
            <w:tcW w:w="416" w:type="dxa"/>
            <w:tcBorders>
              <w:bottom w:val="single" w:sz="4" w:space="0" w:color="A6A6A6" w:themeColor="background1" w:themeShade="A6"/>
            </w:tcBorders>
            <w:shd w:val="clear" w:color="auto" w:fill="auto"/>
          </w:tcPr>
          <w:p w14:paraId="00C1D184" w14:textId="77777777" w:rsidR="005D05F9" w:rsidRPr="00181EF3" w:rsidRDefault="005D05F9" w:rsidP="005D05F9">
            <w:pPr>
              <w:pStyle w:val="TableText"/>
              <w:jc w:val="center"/>
              <w:rPr>
                <w:sz w:val="16"/>
              </w:rPr>
            </w:pPr>
            <w:r w:rsidRPr="00181EF3">
              <w:rPr>
                <w:sz w:val="16"/>
              </w:rPr>
              <w:t>IHD</w:t>
            </w:r>
          </w:p>
        </w:tc>
        <w:tc>
          <w:tcPr>
            <w:tcW w:w="417" w:type="dxa"/>
            <w:tcBorders>
              <w:bottom w:val="single" w:sz="4" w:space="0" w:color="A6A6A6" w:themeColor="background1" w:themeShade="A6"/>
            </w:tcBorders>
            <w:shd w:val="clear" w:color="auto" w:fill="auto"/>
          </w:tcPr>
          <w:p w14:paraId="268F752B" w14:textId="77777777" w:rsidR="005D05F9" w:rsidRPr="00181EF3" w:rsidRDefault="005D05F9" w:rsidP="005D05F9">
            <w:pPr>
              <w:pStyle w:val="TableText"/>
              <w:jc w:val="center"/>
              <w:rPr>
                <w:sz w:val="16"/>
              </w:rPr>
            </w:pPr>
            <w:r w:rsidRPr="00181EF3">
              <w:rPr>
                <w:sz w:val="16"/>
              </w:rPr>
              <w:t>IHD</w:t>
            </w:r>
          </w:p>
        </w:tc>
        <w:tc>
          <w:tcPr>
            <w:tcW w:w="417" w:type="dxa"/>
            <w:tcBorders>
              <w:bottom w:val="single" w:sz="4" w:space="0" w:color="A6A6A6" w:themeColor="background1" w:themeShade="A6"/>
            </w:tcBorders>
            <w:shd w:val="clear" w:color="auto" w:fill="auto"/>
          </w:tcPr>
          <w:p w14:paraId="688EBFA5" w14:textId="77777777" w:rsidR="005D05F9" w:rsidRPr="00181EF3" w:rsidRDefault="005D05F9" w:rsidP="005D05F9">
            <w:pPr>
              <w:pStyle w:val="TableText"/>
              <w:jc w:val="center"/>
              <w:rPr>
                <w:sz w:val="16"/>
              </w:rPr>
            </w:pPr>
            <w:r w:rsidRPr="00181EF3">
              <w:rPr>
                <w:sz w:val="16"/>
              </w:rPr>
              <w:t>IHD</w:t>
            </w:r>
          </w:p>
        </w:tc>
        <w:tc>
          <w:tcPr>
            <w:tcW w:w="416" w:type="dxa"/>
            <w:tcBorders>
              <w:bottom w:val="single" w:sz="4" w:space="0" w:color="A6A6A6" w:themeColor="background1" w:themeShade="A6"/>
            </w:tcBorders>
            <w:shd w:val="clear" w:color="auto" w:fill="auto"/>
          </w:tcPr>
          <w:p w14:paraId="475B1E28" w14:textId="77777777" w:rsidR="005D05F9" w:rsidRPr="00181EF3" w:rsidRDefault="005D05F9" w:rsidP="005D05F9">
            <w:pPr>
              <w:pStyle w:val="TableText"/>
              <w:jc w:val="center"/>
              <w:rPr>
                <w:sz w:val="16"/>
              </w:rPr>
            </w:pPr>
            <w:r w:rsidRPr="00181EF3">
              <w:rPr>
                <w:sz w:val="16"/>
              </w:rPr>
              <w:t>IHD</w:t>
            </w:r>
          </w:p>
        </w:tc>
        <w:tc>
          <w:tcPr>
            <w:tcW w:w="417" w:type="dxa"/>
            <w:tcBorders>
              <w:bottom w:val="single" w:sz="4" w:space="0" w:color="A6A6A6" w:themeColor="background1" w:themeShade="A6"/>
            </w:tcBorders>
            <w:shd w:val="clear" w:color="auto" w:fill="auto"/>
          </w:tcPr>
          <w:p w14:paraId="0DA0B469" w14:textId="77777777" w:rsidR="005D05F9" w:rsidRPr="00181EF3" w:rsidRDefault="005D05F9" w:rsidP="005D05F9">
            <w:pPr>
              <w:pStyle w:val="TableText"/>
              <w:jc w:val="center"/>
              <w:rPr>
                <w:sz w:val="16"/>
              </w:rPr>
            </w:pPr>
            <w:r w:rsidRPr="00181EF3">
              <w:rPr>
                <w:sz w:val="16"/>
              </w:rPr>
              <w:t>IHD</w:t>
            </w:r>
          </w:p>
        </w:tc>
        <w:tc>
          <w:tcPr>
            <w:tcW w:w="417" w:type="dxa"/>
            <w:tcBorders>
              <w:bottom w:val="single" w:sz="4" w:space="0" w:color="A6A6A6" w:themeColor="background1" w:themeShade="A6"/>
            </w:tcBorders>
            <w:shd w:val="clear" w:color="auto" w:fill="auto"/>
          </w:tcPr>
          <w:p w14:paraId="6935C562" w14:textId="77777777" w:rsidR="005D05F9" w:rsidRPr="00181EF3" w:rsidRDefault="005D05F9" w:rsidP="005D05F9">
            <w:pPr>
              <w:pStyle w:val="TableText"/>
              <w:jc w:val="center"/>
              <w:rPr>
                <w:sz w:val="16"/>
              </w:rPr>
            </w:pPr>
            <w:r w:rsidRPr="00181EF3">
              <w:rPr>
                <w:sz w:val="16"/>
              </w:rPr>
              <w:t>IHD</w:t>
            </w:r>
          </w:p>
        </w:tc>
        <w:tc>
          <w:tcPr>
            <w:tcW w:w="416" w:type="dxa"/>
            <w:tcBorders>
              <w:bottom w:val="single" w:sz="4" w:space="0" w:color="A6A6A6" w:themeColor="background1" w:themeShade="A6"/>
            </w:tcBorders>
            <w:shd w:val="clear" w:color="auto" w:fill="auto"/>
          </w:tcPr>
          <w:p w14:paraId="4EE22501" w14:textId="77777777" w:rsidR="005D05F9" w:rsidRPr="00181EF3" w:rsidRDefault="005D05F9" w:rsidP="005D05F9">
            <w:pPr>
              <w:pStyle w:val="TableText"/>
              <w:jc w:val="center"/>
              <w:rPr>
                <w:sz w:val="16"/>
              </w:rPr>
            </w:pPr>
            <w:r w:rsidRPr="00181EF3">
              <w:rPr>
                <w:sz w:val="16"/>
              </w:rPr>
              <w:t>LC</w:t>
            </w:r>
          </w:p>
        </w:tc>
        <w:tc>
          <w:tcPr>
            <w:tcW w:w="417" w:type="dxa"/>
            <w:tcBorders>
              <w:bottom w:val="single" w:sz="4" w:space="0" w:color="A6A6A6" w:themeColor="background1" w:themeShade="A6"/>
            </w:tcBorders>
            <w:shd w:val="clear" w:color="auto" w:fill="auto"/>
          </w:tcPr>
          <w:p w14:paraId="54B2807D" w14:textId="77777777" w:rsidR="005D05F9" w:rsidRPr="00181EF3" w:rsidRDefault="005D05F9" w:rsidP="005D05F9">
            <w:pPr>
              <w:pStyle w:val="TableText"/>
              <w:jc w:val="center"/>
              <w:rPr>
                <w:sz w:val="16"/>
              </w:rPr>
            </w:pPr>
            <w:r w:rsidRPr="00181EF3">
              <w:rPr>
                <w:sz w:val="16"/>
              </w:rPr>
              <w:t>LC</w:t>
            </w:r>
          </w:p>
        </w:tc>
        <w:tc>
          <w:tcPr>
            <w:tcW w:w="417" w:type="dxa"/>
            <w:tcBorders>
              <w:bottom w:val="single" w:sz="4" w:space="0" w:color="A6A6A6" w:themeColor="background1" w:themeShade="A6"/>
            </w:tcBorders>
            <w:shd w:val="clear" w:color="auto" w:fill="auto"/>
          </w:tcPr>
          <w:p w14:paraId="5EF80F2E" w14:textId="77777777" w:rsidR="005D05F9" w:rsidRPr="00181EF3" w:rsidRDefault="005D05F9" w:rsidP="005D05F9">
            <w:pPr>
              <w:pStyle w:val="TableText"/>
              <w:jc w:val="center"/>
              <w:rPr>
                <w:sz w:val="16"/>
              </w:rPr>
            </w:pPr>
            <w:r w:rsidRPr="00181EF3">
              <w:rPr>
                <w:sz w:val="16"/>
              </w:rPr>
              <w:t>LC</w:t>
            </w:r>
          </w:p>
        </w:tc>
        <w:tc>
          <w:tcPr>
            <w:tcW w:w="416" w:type="dxa"/>
            <w:tcBorders>
              <w:bottom w:val="single" w:sz="4" w:space="0" w:color="A6A6A6" w:themeColor="background1" w:themeShade="A6"/>
            </w:tcBorders>
            <w:shd w:val="clear" w:color="auto" w:fill="auto"/>
          </w:tcPr>
          <w:p w14:paraId="6D6B3465" w14:textId="77777777" w:rsidR="005D05F9" w:rsidRPr="00181EF3" w:rsidRDefault="005D05F9" w:rsidP="005D05F9">
            <w:pPr>
              <w:pStyle w:val="TableText"/>
              <w:jc w:val="center"/>
              <w:rPr>
                <w:sz w:val="16"/>
              </w:rPr>
            </w:pPr>
            <w:r w:rsidRPr="00181EF3">
              <w:rPr>
                <w:sz w:val="16"/>
              </w:rPr>
              <w:t>LC</w:t>
            </w:r>
          </w:p>
        </w:tc>
        <w:tc>
          <w:tcPr>
            <w:tcW w:w="417" w:type="dxa"/>
            <w:tcBorders>
              <w:bottom w:val="single" w:sz="4" w:space="0" w:color="A6A6A6" w:themeColor="background1" w:themeShade="A6"/>
            </w:tcBorders>
            <w:shd w:val="clear" w:color="auto" w:fill="auto"/>
          </w:tcPr>
          <w:p w14:paraId="44C5FAFB" w14:textId="77777777" w:rsidR="005D05F9" w:rsidRPr="00181EF3" w:rsidRDefault="005D05F9" w:rsidP="005D05F9">
            <w:pPr>
              <w:pStyle w:val="TableText"/>
              <w:jc w:val="center"/>
              <w:rPr>
                <w:sz w:val="16"/>
              </w:rPr>
            </w:pPr>
            <w:r w:rsidRPr="00181EF3">
              <w:rPr>
                <w:sz w:val="16"/>
              </w:rPr>
              <w:t>LC</w:t>
            </w:r>
          </w:p>
        </w:tc>
        <w:tc>
          <w:tcPr>
            <w:tcW w:w="417" w:type="dxa"/>
            <w:tcBorders>
              <w:bottom w:val="single" w:sz="4" w:space="0" w:color="A6A6A6" w:themeColor="background1" w:themeShade="A6"/>
            </w:tcBorders>
            <w:shd w:val="clear" w:color="auto" w:fill="auto"/>
          </w:tcPr>
          <w:p w14:paraId="7A3A456C" w14:textId="77777777" w:rsidR="005D05F9" w:rsidRPr="00181EF3" w:rsidRDefault="005D05F9" w:rsidP="005D05F9">
            <w:pPr>
              <w:pStyle w:val="TableText"/>
              <w:jc w:val="center"/>
              <w:rPr>
                <w:sz w:val="16"/>
              </w:rPr>
            </w:pPr>
            <w:r w:rsidRPr="00181EF3">
              <w:rPr>
                <w:sz w:val="16"/>
              </w:rPr>
              <w:t>LC</w:t>
            </w:r>
          </w:p>
        </w:tc>
      </w:tr>
      <w:tr w:rsidR="005D05F9" w:rsidRPr="00181EF3" w14:paraId="5BA19342" w14:textId="77777777" w:rsidTr="005D05F9">
        <w:tc>
          <w:tcPr>
            <w:tcW w:w="567" w:type="dxa"/>
            <w:vMerge/>
          </w:tcPr>
          <w:p w14:paraId="41C775FC" w14:textId="77777777" w:rsidR="005D05F9" w:rsidRPr="00181EF3" w:rsidRDefault="005D05F9" w:rsidP="005D05F9">
            <w:pPr>
              <w:pStyle w:val="TableText"/>
              <w:rPr>
                <w:sz w:val="16"/>
                <w:szCs w:val="16"/>
              </w:rPr>
            </w:pPr>
          </w:p>
        </w:tc>
        <w:tc>
          <w:tcPr>
            <w:tcW w:w="430" w:type="dxa"/>
            <w:tcBorders>
              <w:top w:val="single" w:sz="4" w:space="0" w:color="A6A6A6" w:themeColor="background1" w:themeShade="A6"/>
              <w:bottom w:val="single" w:sz="4" w:space="0" w:color="A6A6A6" w:themeColor="background1" w:themeShade="A6"/>
            </w:tcBorders>
            <w:shd w:val="clear" w:color="auto" w:fill="auto"/>
          </w:tcPr>
          <w:p w14:paraId="1C060EBA" w14:textId="77777777" w:rsidR="005D05F9" w:rsidRPr="00181EF3" w:rsidRDefault="005D05F9" w:rsidP="005D05F9">
            <w:pPr>
              <w:pStyle w:val="TableText"/>
              <w:jc w:val="center"/>
              <w:rPr>
                <w:sz w:val="16"/>
                <w:szCs w:val="16"/>
              </w:rPr>
            </w:pPr>
            <w:r w:rsidRPr="00181EF3">
              <w:rPr>
                <w:sz w:val="16"/>
                <w:szCs w:val="16"/>
              </w:rPr>
              <w:t>2</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2F6FC8AB" w14:textId="77777777" w:rsidR="005D05F9" w:rsidRPr="00181EF3" w:rsidRDefault="005D05F9" w:rsidP="005D05F9">
            <w:pPr>
              <w:pStyle w:val="TableText"/>
              <w:jc w:val="center"/>
              <w:rPr>
                <w:sz w:val="16"/>
              </w:rPr>
            </w:pPr>
            <w:r w:rsidRPr="00181EF3">
              <w:rPr>
                <w:sz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E720C74" w14:textId="77777777" w:rsidR="005D05F9" w:rsidRPr="00181EF3" w:rsidRDefault="005D05F9" w:rsidP="005D05F9">
            <w:pPr>
              <w:pStyle w:val="TableText"/>
              <w:jc w:val="center"/>
              <w:rPr>
                <w:sz w:val="16"/>
              </w:rPr>
            </w:pPr>
            <w:r w:rsidRPr="00181EF3">
              <w:rPr>
                <w:sz w:val="16"/>
              </w:rPr>
              <w:t>LC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2854B128" w14:textId="77777777" w:rsidR="005D05F9" w:rsidRPr="00181EF3" w:rsidRDefault="005D05F9" w:rsidP="005D05F9">
            <w:pPr>
              <w:pStyle w:val="TableText"/>
              <w:jc w:val="center"/>
              <w:rPr>
                <w:sz w:val="16"/>
              </w:rPr>
            </w:pPr>
            <w:r w:rsidRPr="00181EF3">
              <w:rPr>
                <w:sz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41D1E7A" w14:textId="77777777" w:rsidR="005D05F9" w:rsidRPr="00181EF3" w:rsidRDefault="005D05F9" w:rsidP="005D05F9">
            <w:pPr>
              <w:pStyle w:val="TableText"/>
              <w:jc w:val="center"/>
              <w:rPr>
                <w:sz w:val="16"/>
              </w:rPr>
            </w:pPr>
            <w:r w:rsidRPr="00181EF3">
              <w:rPr>
                <w:sz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C270B14" w14:textId="77777777" w:rsidR="005D05F9" w:rsidRPr="00181EF3" w:rsidRDefault="005D05F9" w:rsidP="005D05F9">
            <w:pPr>
              <w:pStyle w:val="TableText"/>
              <w:jc w:val="center"/>
              <w:rPr>
                <w:sz w:val="16"/>
              </w:rPr>
            </w:pPr>
            <w:r w:rsidRPr="00181EF3">
              <w:rPr>
                <w:sz w:val="16"/>
              </w:rPr>
              <w:t>LC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00E0F987" w14:textId="77777777" w:rsidR="005D05F9" w:rsidRPr="00181EF3" w:rsidRDefault="005D05F9" w:rsidP="005D05F9">
            <w:pPr>
              <w:pStyle w:val="TableText"/>
              <w:jc w:val="center"/>
              <w:rPr>
                <w:sz w:val="16"/>
              </w:rPr>
            </w:pPr>
            <w:r w:rsidRPr="00181EF3">
              <w:rPr>
                <w:sz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1D15BE0" w14:textId="77777777" w:rsidR="005D05F9" w:rsidRPr="00181EF3" w:rsidRDefault="005D05F9" w:rsidP="005D05F9">
            <w:pPr>
              <w:pStyle w:val="TableText"/>
              <w:jc w:val="center"/>
              <w:rPr>
                <w:sz w:val="16"/>
              </w:rPr>
            </w:pPr>
            <w:r w:rsidRPr="00181EF3">
              <w:rPr>
                <w:sz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7BE842E" w14:textId="77777777" w:rsidR="005D05F9" w:rsidRPr="00181EF3" w:rsidRDefault="005D05F9" w:rsidP="005D05F9">
            <w:pPr>
              <w:pStyle w:val="TableText"/>
              <w:jc w:val="center"/>
              <w:rPr>
                <w:sz w:val="16"/>
              </w:rPr>
            </w:pPr>
            <w:r w:rsidRPr="00181EF3">
              <w:rPr>
                <w:sz w:val="16"/>
              </w:rPr>
              <w:t>LC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12E1BBEB" w14:textId="77777777" w:rsidR="005D05F9" w:rsidRPr="00181EF3" w:rsidRDefault="005D05F9" w:rsidP="005D05F9">
            <w:pPr>
              <w:pStyle w:val="TableText"/>
              <w:jc w:val="center"/>
              <w:rPr>
                <w:sz w:val="16"/>
              </w:rPr>
            </w:pPr>
            <w:r w:rsidRPr="00181EF3">
              <w:rPr>
                <w:sz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8F2ECBA" w14:textId="77777777" w:rsidR="005D05F9" w:rsidRPr="00181EF3" w:rsidRDefault="005D05F9" w:rsidP="005D05F9">
            <w:pPr>
              <w:pStyle w:val="TableText"/>
              <w:jc w:val="center"/>
              <w:rPr>
                <w:sz w:val="16"/>
              </w:rPr>
            </w:pPr>
            <w:r w:rsidRPr="00181EF3">
              <w:rPr>
                <w:sz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A708AEB" w14:textId="77777777" w:rsidR="005D05F9" w:rsidRPr="00181EF3" w:rsidRDefault="005D05F9" w:rsidP="005D05F9">
            <w:pPr>
              <w:pStyle w:val="TableText"/>
              <w:jc w:val="center"/>
              <w:rPr>
                <w:sz w:val="16"/>
              </w:rPr>
            </w:pPr>
            <w:r w:rsidRPr="00181EF3">
              <w:rPr>
                <w:sz w:val="16"/>
              </w:rPr>
              <w:t>LC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6A8E09D9" w14:textId="77777777" w:rsidR="005D05F9" w:rsidRPr="00181EF3" w:rsidRDefault="005D05F9" w:rsidP="005D05F9">
            <w:pPr>
              <w:pStyle w:val="TableText"/>
              <w:jc w:val="center"/>
              <w:rPr>
                <w:sz w:val="16"/>
              </w:rPr>
            </w:pPr>
            <w:r w:rsidRPr="00181EF3">
              <w:rPr>
                <w:sz w:val="16"/>
              </w:rPr>
              <w:t>IHD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61CB7AD" w14:textId="77777777" w:rsidR="005D05F9" w:rsidRPr="00181EF3" w:rsidRDefault="005D05F9" w:rsidP="005D05F9">
            <w:pPr>
              <w:pStyle w:val="TableText"/>
              <w:jc w:val="center"/>
              <w:rPr>
                <w:sz w:val="16"/>
              </w:rPr>
            </w:pPr>
            <w:r w:rsidRPr="00181EF3">
              <w:rPr>
                <w:sz w:val="16"/>
              </w:rPr>
              <w:t>IHD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6BF4CA0" w14:textId="77777777" w:rsidR="005D05F9" w:rsidRPr="00181EF3" w:rsidRDefault="005D05F9" w:rsidP="005D05F9">
            <w:pPr>
              <w:pStyle w:val="TableText"/>
              <w:jc w:val="center"/>
              <w:rPr>
                <w:sz w:val="16"/>
              </w:rPr>
            </w:pPr>
            <w:r w:rsidRPr="00181EF3">
              <w:rPr>
                <w:sz w:val="16"/>
              </w:rPr>
              <w:t>IHD</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23EB7BBB" w14:textId="77777777" w:rsidR="005D05F9" w:rsidRPr="00181EF3" w:rsidRDefault="005D05F9" w:rsidP="005D05F9">
            <w:pPr>
              <w:pStyle w:val="TableText"/>
              <w:jc w:val="center"/>
              <w:rPr>
                <w:sz w:val="16"/>
              </w:rPr>
            </w:pPr>
            <w:r w:rsidRPr="00181EF3">
              <w:rPr>
                <w:sz w:val="16"/>
              </w:rPr>
              <w:t>IHD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BF6741A" w14:textId="77777777" w:rsidR="005D05F9" w:rsidRPr="00181EF3" w:rsidRDefault="005D05F9" w:rsidP="005D05F9">
            <w:pPr>
              <w:pStyle w:val="TableText"/>
              <w:jc w:val="center"/>
              <w:rPr>
                <w:sz w:val="16"/>
              </w:rPr>
            </w:pPr>
            <w:r w:rsidRPr="00181EF3">
              <w:rPr>
                <w:sz w:val="16"/>
              </w:rPr>
              <w:t>IHD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8D0C1A4" w14:textId="77777777" w:rsidR="005D05F9" w:rsidRPr="00181EF3" w:rsidRDefault="005D05F9" w:rsidP="005D05F9">
            <w:pPr>
              <w:pStyle w:val="TableText"/>
              <w:jc w:val="center"/>
              <w:rPr>
                <w:sz w:val="16"/>
              </w:rPr>
            </w:pPr>
            <w:r w:rsidRPr="00181EF3">
              <w:rPr>
                <w:sz w:val="16"/>
              </w:rPr>
              <w:t>IHD</w:t>
            </w:r>
          </w:p>
        </w:tc>
      </w:tr>
      <w:tr w:rsidR="005D05F9" w:rsidRPr="00181EF3" w14:paraId="18333195" w14:textId="77777777" w:rsidTr="005D05F9">
        <w:tc>
          <w:tcPr>
            <w:tcW w:w="567" w:type="dxa"/>
            <w:vMerge/>
          </w:tcPr>
          <w:p w14:paraId="609B2D48" w14:textId="77777777" w:rsidR="005D05F9" w:rsidRPr="00181EF3" w:rsidRDefault="005D05F9" w:rsidP="005D05F9">
            <w:pPr>
              <w:pStyle w:val="TableText"/>
              <w:rPr>
                <w:sz w:val="16"/>
                <w:szCs w:val="16"/>
              </w:rPr>
            </w:pPr>
          </w:p>
        </w:tc>
        <w:tc>
          <w:tcPr>
            <w:tcW w:w="430" w:type="dxa"/>
            <w:tcBorders>
              <w:top w:val="single" w:sz="4" w:space="0" w:color="A6A6A6" w:themeColor="background1" w:themeShade="A6"/>
              <w:bottom w:val="single" w:sz="4" w:space="0" w:color="A6A6A6" w:themeColor="background1" w:themeShade="A6"/>
            </w:tcBorders>
            <w:shd w:val="clear" w:color="auto" w:fill="auto"/>
          </w:tcPr>
          <w:p w14:paraId="3C2508FC" w14:textId="77777777" w:rsidR="005D05F9" w:rsidRPr="00181EF3" w:rsidRDefault="005D05F9" w:rsidP="005D05F9">
            <w:pPr>
              <w:pStyle w:val="TableText"/>
              <w:jc w:val="center"/>
              <w:rPr>
                <w:sz w:val="16"/>
                <w:szCs w:val="16"/>
              </w:rPr>
            </w:pPr>
            <w:r w:rsidRPr="00181EF3">
              <w:rPr>
                <w:sz w:val="16"/>
                <w:szCs w:val="16"/>
              </w:rPr>
              <w:t>3</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73D67F9D" w14:textId="77777777" w:rsidR="005D05F9" w:rsidRPr="00181EF3" w:rsidRDefault="005D05F9" w:rsidP="005D05F9">
            <w:pPr>
              <w:pStyle w:val="TableText"/>
              <w:jc w:val="center"/>
              <w:rPr>
                <w:sz w:val="16"/>
              </w:rPr>
            </w:pPr>
            <w:r w:rsidRPr="00181EF3">
              <w:rPr>
                <w:sz w:val="16"/>
              </w:rPr>
              <w:t>BC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6EAA299" w14:textId="77777777" w:rsidR="005D05F9" w:rsidRPr="00181EF3" w:rsidRDefault="005D05F9" w:rsidP="005D05F9">
            <w:pPr>
              <w:pStyle w:val="TableText"/>
              <w:jc w:val="center"/>
              <w:rPr>
                <w:sz w:val="16"/>
              </w:rPr>
            </w:pPr>
            <w:r w:rsidRPr="00181EF3">
              <w:rPr>
                <w:sz w:val="16"/>
              </w:rPr>
              <w:t>BC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726C8518" w14:textId="77777777" w:rsidR="005D05F9" w:rsidRPr="00181EF3" w:rsidRDefault="005D05F9" w:rsidP="005D05F9">
            <w:pPr>
              <w:pStyle w:val="TableText"/>
              <w:jc w:val="center"/>
              <w:rPr>
                <w:sz w:val="16"/>
              </w:rPr>
            </w:pPr>
            <w:r w:rsidRPr="00181EF3">
              <w:rPr>
                <w:sz w:val="16"/>
              </w:rPr>
              <w:t>BC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83AEECB" w14:textId="77777777" w:rsidR="005D05F9" w:rsidRPr="00181EF3" w:rsidRDefault="005D05F9" w:rsidP="005D05F9">
            <w:pPr>
              <w:pStyle w:val="TableText"/>
              <w:jc w:val="center"/>
              <w:rPr>
                <w:sz w:val="16"/>
              </w:rPr>
            </w:pPr>
            <w:r w:rsidRPr="00181EF3">
              <w:rPr>
                <w:sz w:val="16"/>
              </w:rPr>
              <w:t>BC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7E7AC01" w14:textId="77777777" w:rsidR="005D05F9" w:rsidRPr="00181EF3" w:rsidRDefault="005D05F9" w:rsidP="005D05F9">
            <w:pPr>
              <w:pStyle w:val="TableText"/>
              <w:jc w:val="center"/>
              <w:rPr>
                <w:sz w:val="16"/>
              </w:rPr>
            </w:pPr>
            <w:r w:rsidRPr="00181EF3">
              <w:rPr>
                <w:sz w:val="16"/>
              </w:rPr>
              <w:t>BC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2DBE5611" w14:textId="77777777" w:rsidR="005D05F9" w:rsidRPr="00181EF3" w:rsidRDefault="005D05F9" w:rsidP="005D05F9">
            <w:pPr>
              <w:pStyle w:val="TableText"/>
              <w:jc w:val="center"/>
              <w:rPr>
                <w:sz w:val="16"/>
              </w:rPr>
            </w:pPr>
            <w:r w:rsidRPr="00181EF3">
              <w:rPr>
                <w:sz w:val="16"/>
              </w:rPr>
              <w:t>BC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9F88A63" w14:textId="77777777" w:rsidR="005D05F9" w:rsidRPr="00181EF3" w:rsidRDefault="005D05F9" w:rsidP="005D05F9">
            <w:pPr>
              <w:pStyle w:val="TableText"/>
              <w:jc w:val="center"/>
              <w:rPr>
                <w:sz w:val="16"/>
              </w:rPr>
            </w:pPr>
            <w:r w:rsidRPr="00181EF3">
              <w:rPr>
                <w:sz w:val="16"/>
              </w:rPr>
              <w:t>BC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EE1EB5B" w14:textId="77777777" w:rsidR="005D05F9" w:rsidRPr="00181EF3" w:rsidRDefault="005D05F9" w:rsidP="005D05F9">
            <w:pPr>
              <w:pStyle w:val="TableText"/>
              <w:jc w:val="center"/>
              <w:rPr>
                <w:sz w:val="16"/>
              </w:rPr>
            </w:pPr>
            <w:r w:rsidRPr="00181EF3">
              <w:rPr>
                <w:sz w:val="16"/>
              </w:rPr>
              <w:t>BC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4C0ED168" w14:textId="77777777" w:rsidR="005D05F9" w:rsidRPr="00181EF3" w:rsidRDefault="005D05F9" w:rsidP="005D05F9">
            <w:pPr>
              <w:pStyle w:val="TableText"/>
              <w:jc w:val="center"/>
              <w:rPr>
                <w:sz w:val="16"/>
              </w:rPr>
            </w:pPr>
            <w:r w:rsidRPr="00181EF3">
              <w:rPr>
                <w:sz w:val="16"/>
              </w:rPr>
              <w:t>BC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F846A54" w14:textId="77777777" w:rsidR="005D05F9" w:rsidRPr="00181EF3" w:rsidRDefault="005D05F9" w:rsidP="005D05F9">
            <w:pPr>
              <w:pStyle w:val="TableText"/>
              <w:jc w:val="center"/>
              <w:rPr>
                <w:sz w:val="16"/>
              </w:rPr>
            </w:pPr>
            <w:r w:rsidRPr="00181EF3">
              <w:rPr>
                <w:sz w:val="16"/>
              </w:rPr>
              <w:t>BC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5F019C4" w14:textId="77777777" w:rsidR="005D05F9" w:rsidRPr="00181EF3" w:rsidRDefault="005D05F9" w:rsidP="005D05F9">
            <w:pPr>
              <w:pStyle w:val="TableText"/>
              <w:jc w:val="center"/>
              <w:rPr>
                <w:sz w:val="16"/>
              </w:rPr>
            </w:pPr>
            <w:r w:rsidRPr="00181EF3">
              <w:rPr>
                <w:sz w:val="16"/>
              </w:rPr>
              <w:t>BC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27195AC8" w14:textId="77777777" w:rsidR="005D05F9" w:rsidRPr="00181EF3" w:rsidRDefault="005D05F9" w:rsidP="005D05F9">
            <w:pPr>
              <w:pStyle w:val="TableText"/>
              <w:jc w:val="center"/>
              <w:rPr>
                <w:sz w:val="16"/>
              </w:rPr>
            </w:pPr>
            <w:r w:rsidRPr="00181EF3">
              <w:rPr>
                <w:sz w:val="16"/>
              </w:rPr>
              <w:t>BC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2BC77B0" w14:textId="77777777" w:rsidR="005D05F9" w:rsidRPr="00181EF3" w:rsidRDefault="005D05F9" w:rsidP="005D05F9">
            <w:pPr>
              <w:pStyle w:val="TableText"/>
              <w:jc w:val="center"/>
              <w:rPr>
                <w:sz w:val="16"/>
              </w:rPr>
            </w:pPr>
            <w:r w:rsidRPr="00181EF3">
              <w:rPr>
                <w:sz w:val="16"/>
              </w:rPr>
              <w:t>BC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34843EC" w14:textId="77777777" w:rsidR="005D05F9" w:rsidRPr="00181EF3" w:rsidRDefault="005D05F9" w:rsidP="005D05F9">
            <w:pPr>
              <w:pStyle w:val="TableText"/>
              <w:jc w:val="center"/>
              <w:rPr>
                <w:sz w:val="16"/>
              </w:rPr>
            </w:pPr>
            <w:r w:rsidRPr="00181EF3">
              <w:rPr>
                <w:sz w:val="16"/>
              </w:rPr>
              <w:t>BC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66629C49" w14:textId="77777777" w:rsidR="005D05F9" w:rsidRPr="00181EF3" w:rsidRDefault="005D05F9" w:rsidP="005D05F9">
            <w:pPr>
              <w:pStyle w:val="TableText"/>
              <w:jc w:val="center"/>
              <w:rPr>
                <w:sz w:val="16"/>
              </w:rPr>
            </w:pPr>
            <w:r w:rsidRPr="00181EF3">
              <w:rPr>
                <w:sz w:val="16"/>
              </w:rPr>
              <w:t>BC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0127768" w14:textId="77777777" w:rsidR="005D05F9" w:rsidRPr="00181EF3" w:rsidRDefault="005D05F9" w:rsidP="005D05F9">
            <w:pPr>
              <w:pStyle w:val="TableText"/>
              <w:jc w:val="center"/>
              <w:rPr>
                <w:sz w:val="16"/>
              </w:rPr>
            </w:pPr>
            <w:r w:rsidRPr="00181EF3">
              <w:rPr>
                <w:sz w:val="16"/>
              </w:rPr>
              <w:t>BC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F7BB749" w14:textId="77777777" w:rsidR="005D05F9" w:rsidRPr="00181EF3" w:rsidRDefault="005D05F9" w:rsidP="005D05F9">
            <w:pPr>
              <w:pStyle w:val="TableText"/>
              <w:jc w:val="center"/>
              <w:rPr>
                <w:sz w:val="16"/>
              </w:rPr>
            </w:pPr>
            <w:r w:rsidRPr="00181EF3">
              <w:rPr>
                <w:sz w:val="16"/>
              </w:rPr>
              <w:t>BC</w:t>
            </w:r>
          </w:p>
        </w:tc>
      </w:tr>
      <w:tr w:rsidR="005D05F9" w:rsidRPr="00181EF3" w14:paraId="6CA1C813" w14:textId="77777777" w:rsidTr="005D05F9">
        <w:tc>
          <w:tcPr>
            <w:tcW w:w="567" w:type="dxa"/>
            <w:vMerge/>
          </w:tcPr>
          <w:p w14:paraId="7F01CE3B" w14:textId="77777777" w:rsidR="005D05F9" w:rsidRPr="00181EF3" w:rsidRDefault="005D05F9" w:rsidP="005D05F9">
            <w:pPr>
              <w:pStyle w:val="TableText"/>
              <w:rPr>
                <w:sz w:val="16"/>
                <w:szCs w:val="16"/>
              </w:rPr>
            </w:pPr>
          </w:p>
        </w:tc>
        <w:tc>
          <w:tcPr>
            <w:tcW w:w="430" w:type="dxa"/>
            <w:tcBorders>
              <w:top w:val="single" w:sz="4" w:space="0" w:color="A6A6A6" w:themeColor="background1" w:themeShade="A6"/>
              <w:bottom w:val="single" w:sz="4" w:space="0" w:color="A6A6A6" w:themeColor="background1" w:themeShade="A6"/>
            </w:tcBorders>
            <w:shd w:val="clear" w:color="auto" w:fill="auto"/>
          </w:tcPr>
          <w:p w14:paraId="0351BAFA" w14:textId="77777777" w:rsidR="005D05F9" w:rsidRPr="00181EF3" w:rsidRDefault="005D05F9" w:rsidP="005D05F9">
            <w:pPr>
              <w:pStyle w:val="TableText"/>
              <w:jc w:val="center"/>
              <w:rPr>
                <w:sz w:val="16"/>
                <w:szCs w:val="16"/>
              </w:rPr>
            </w:pPr>
            <w:r w:rsidRPr="00181EF3">
              <w:rPr>
                <w:sz w:val="16"/>
                <w:szCs w:val="16"/>
              </w:rPr>
              <w:t>4</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717EC0F0" w14:textId="77777777" w:rsidR="005D05F9" w:rsidRPr="00181EF3" w:rsidRDefault="005D05F9" w:rsidP="005D05F9">
            <w:pPr>
              <w:pStyle w:val="TableText"/>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6BCB944" w14:textId="77777777" w:rsidR="005D05F9" w:rsidRPr="00181EF3" w:rsidRDefault="005D05F9" w:rsidP="005D05F9">
            <w:pPr>
              <w:pStyle w:val="TableText"/>
              <w:jc w:val="center"/>
              <w:rPr>
                <w:sz w:val="16"/>
              </w:rPr>
            </w:pPr>
            <w:r w:rsidRPr="00181EF3">
              <w:rPr>
                <w:sz w:val="16"/>
              </w:rPr>
              <w:t>MV</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311C3CD9" w14:textId="77777777" w:rsidR="005D05F9" w:rsidRPr="00181EF3" w:rsidRDefault="005D05F9" w:rsidP="005D05F9">
            <w:pPr>
              <w:pStyle w:val="TableText"/>
              <w:jc w:val="center"/>
              <w:rPr>
                <w:sz w:val="16"/>
              </w:rPr>
            </w:pPr>
            <w:r w:rsidRPr="00181EF3">
              <w:rPr>
                <w:sz w:val="16"/>
              </w:rPr>
              <w:t>DI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3570DD3" w14:textId="77777777" w:rsidR="005D05F9" w:rsidRPr="00181EF3" w:rsidRDefault="005D05F9" w:rsidP="005D05F9">
            <w:pPr>
              <w:pStyle w:val="TableText"/>
              <w:jc w:val="center"/>
              <w:rPr>
                <w:sz w:val="16"/>
              </w:rPr>
            </w:pPr>
            <w:r w:rsidRPr="00181EF3">
              <w:rPr>
                <w:sz w:val="16"/>
              </w:rPr>
              <w:t>DI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DBA2BF2" w14:textId="77777777" w:rsidR="005D05F9" w:rsidRPr="00181EF3" w:rsidRDefault="005D05F9" w:rsidP="005D05F9">
            <w:pPr>
              <w:pStyle w:val="TableText"/>
              <w:jc w:val="center"/>
              <w:rPr>
                <w:sz w:val="16"/>
              </w:rPr>
            </w:pPr>
            <w:r w:rsidRPr="00181EF3">
              <w:rPr>
                <w:sz w:val="16"/>
              </w:rPr>
              <w:t>CD</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4A34CA04" w14:textId="77777777" w:rsidR="005D05F9" w:rsidRPr="00181EF3" w:rsidRDefault="005D05F9" w:rsidP="005D05F9">
            <w:pPr>
              <w:pStyle w:val="TableText"/>
              <w:jc w:val="center"/>
              <w:rPr>
                <w:sz w:val="16"/>
              </w:rPr>
            </w:pPr>
            <w:r w:rsidRPr="00181EF3">
              <w:rPr>
                <w:sz w:val="16"/>
              </w:rPr>
              <w:t>DI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636D2E4" w14:textId="77777777" w:rsidR="005D05F9" w:rsidRPr="00181EF3" w:rsidRDefault="005D05F9" w:rsidP="005D05F9">
            <w:pPr>
              <w:pStyle w:val="TableText"/>
              <w:jc w:val="center"/>
              <w:rPr>
                <w:sz w:val="16"/>
              </w:rPr>
            </w:pPr>
            <w:r w:rsidRPr="00181EF3">
              <w:rPr>
                <w:sz w:val="16"/>
              </w:rPr>
              <w:t>DI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045740E" w14:textId="77777777" w:rsidR="005D05F9" w:rsidRPr="00181EF3" w:rsidRDefault="005D05F9" w:rsidP="005D05F9">
            <w:pPr>
              <w:pStyle w:val="TableText"/>
              <w:jc w:val="center"/>
              <w:rPr>
                <w:sz w:val="16"/>
              </w:rPr>
            </w:pPr>
            <w:r w:rsidRPr="00181EF3">
              <w:rPr>
                <w:sz w:val="16"/>
              </w:rPr>
              <w:t>DI</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63822742" w14:textId="77777777" w:rsidR="005D05F9" w:rsidRPr="00181EF3" w:rsidRDefault="005D05F9" w:rsidP="005D05F9">
            <w:pPr>
              <w:pStyle w:val="TableText"/>
              <w:jc w:val="center"/>
              <w:rPr>
                <w:sz w:val="16"/>
              </w:rPr>
            </w:pPr>
            <w:r w:rsidRPr="00181EF3">
              <w:rPr>
                <w:sz w:val="16"/>
              </w:rPr>
              <w:t>DI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328F794" w14:textId="77777777" w:rsidR="005D05F9" w:rsidRPr="00181EF3" w:rsidRDefault="005D05F9" w:rsidP="005D05F9">
            <w:pPr>
              <w:pStyle w:val="TableText"/>
              <w:jc w:val="center"/>
              <w:rPr>
                <w:sz w:val="16"/>
              </w:rPr>
            </w:pPr>
            <w:r w:rsidRPr="00181EF3">
              <w:rPr>
                <w:sz w:val="16"/>
              </w:rPr>
              <w:t>DI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5AEB21F" w14:textId="77777777" w:rsidR="005D05F9" w:rsidRPr="00181EF3" w:rsidRDefault="005D05F9" w:rsidP="005D05F9">
            <w:pPr>
              <w:pStyle w:val="TableText"/>
              <w:jc w:val="center"/>
              <w:rPr>
                <w:sz w:val="16"/>
              </w:rPr>
            </w:pPr>
            <w:r w:rsidRPr="00181EF3">
              <w:rPr>
                <w:sz w:val="16"/>
              </w:rPr>
              <w:t>CPD</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39F4226F" w14:textId="77777777" w:rsidR="005D05F9" w:rsidRPr="00181EF3" w:rsidRDefault="005D05F9" w:rsidP="005D05F9">
            <w:pPr>
              <w:pStyle w:val="TableText"/>
              <w:jc w:val="center"/>
              <w:rPr>
                <w:sz w:val="16"/>
              </w:rPr>
            </w:pPr>
            <w:r w:rsidRPr="00181EF3">
              <w:rPr>
                <w:sz w:val="16"/>
              </w:rPr>
              <w:t>CPD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5D9C7A0" w14:textId="77777777" w:rsidR="005D05F9" w:rsidRPr="00181EF3" w:rsidRDefault="005D05F9" w:rsidP="005D05F9">
            <w:pPr>
              <w:pStyle w:val="TableText"/>
              <w:jc w:val="center"/>
              <w:rPr>
                <w:sz w:val="16"/>
              </w:rPr>
            </w:pPr>
            <w:r w:rsidRPr="00181EF3">
              <w:rPr>
                <w:sz w:val="16"/>
              </w:rPr>
              <w:t>CPD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ECC3404" w14:textId="77777777" w:rsidR="005D05F9" w:rsidRPr="00181EF3" w:rsidRDefault="005D05F9" w:rsidP="005D05F9">
            <w:pPr>
              <w:pStyle w:val="TableText"/>
              <w:jc w:val="center"/>
              <w:rPr>
                <w:sz w:val="16"/>
              </w:rPr>
            </w:pPr>
            <w:r w:rsidRPr="00181EF3">
              <w:rPr>
                <w:sz w:val="16"/>
              </w:rPr>
              <w:t>CD</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2AF47710" w14:textId="77777777" w:rsidR="005D05F9" w:rsidRPr="00181EF3" w:rsidRDefault="005D05F9" w:rsidP="005D05F9">
            <w:pPr>
              <w:pStyle w:val="TableText"/>
              <w:jc w:val="center"/>
              <w:rPr>
                <w:sz w:val="16"/>
              </w:rPr>
            </w:pPr>
            <w:r w:rsidRPr="00181EF3">
              <w:rPr>
                <w:sz w:val="16"/>
              </w:rPr>
              <w:t>CPD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F887328" w14:textId="77777777" w:rsidR="005D05F9" w:rsidRPr="00181EF3" w:rsidRDefault="005D05F9" w:rsidP="005D05F9">
            <w:pPr>
              <w:pStyle w:val="TableText"/>
              <w:jc w:val="center"/>
              <w:rPr>
                <w:sz w:val="16"/>
              </w:rPr>
            </w:pPr>
            <w:r w:rsidRPr="00181EF3">
              <w:rPr>
                <w:sz w:val="16"/>
              </w:rPr>
              <w:t>CPD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0B6B746" w14:textId="77777777" w:rsidR="005D05F9" w:rsidRPr="00181EF3" w:rsidRDefault="005D05F9" w:rsidP="005D05F9">
            <w:pPr>
              <w:pStyle w:val="TableText"/>
              <w:jc w:val="center"/>
              <w:rPr>
                <w:sz w:val="16"/>
              </w:rPr>
            </w:pPr>
            <w:r w:rsidRPr="00181EF3">
              <w:rPr>
                <w:sz w:val="16"/>
              </w:rPr>
              <w:t>CPD</w:t>
            </w:r>
          </w:p>
        </w:tc>
      </w:tr>
      <w:tr w:rsidR="005D05F9" w:rsidRPr="00181EF3" w14:paraId="7858613E" w14:textId="77777777" w:rsidTr="005D05F9">
        <w:tc>
          <w:tcPr>
            <w:tcW w:w="567" w:type="dxa"/>
            <w:vMerge/>
            <w:tcBorders>
              <w:bottom w:val="single" w:sz="4" w:space="0" w:color="A6A6A6" w:themeColor="background1" w:themeShade="A6"/>
            </w:tcBorders>
          </w:tcPr>
          <w:p w14:paraId="15858454" w14:textId="77777777" w:rsidR="005D05F9" w:rsidRPr="00181EF3" w:rsidRDefault="005D05F9" w:rsidP="005D05F9">
            <w:pPr>
              <w:pStyle w:val="TableText"/>
              <w:rPr>
                <w:sz w:val="16"/>
                <w:szCs w:val="16"/>
              </w:rPr>
            </w:pPr>
          </w:p>
        </w:tc>
        <w:tc>
          <w:tcPr>
            <w:tcW w:w="430" w:type="dxa"/>
            <w:tcBorders>
              <w:top w:val="single" w:sz="4" w:space="0" w:color="A6A6A6" w:themeColor="background1" w:themeShade="A6"/>
              <w:bottom w:val="single" w:sz="4" w:space="0" w:color="A6A6A6" w:themeColor="background1" w:themeShade="A6"/>
            </w:tcBorders>
            <w:shd w:val="clear" w:color="auto" w:fill="auto"/>
          </w:tcPr>
          <w:p w14:paraId="3E325512" w14:textId="77777777" w:rsidR="005D05F9" w:rsidRPr="00181EF3" w:rsidRDefault="005D05F9" w:rsidP="005D05F9">
            <w:pPr>
              <w:pStyle w:val="TableText"/>
              <w:jc w:val="center"/>
              <w:rPr>
                <w:sz w:val="16"/>
                <w:szCs w:val="16"/>
              </w:rPr>
            </w:pPr>
            <w:r w:rsidRPr="00181EF3">
              <w:rPr>
                <w:sz w:val="16"/>
                <w:szCs w:val="16"/>
              </w:rPr>
              <w:t>5</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2BF6631D" w14:textId="77777777" w:rsidR="005D05F9" w:rsidRPr="00181EF3" w:rsidRDefault="005D05F9" w:rsidP="005D05F9">
            <w:pPr>
              <w:pStyle w:val="TableText"/>
              <w:jc w:val="center"/>
              <w:rPr>
                <w:sz w:val="16"/>
              </w:rPr>
            </w:pPr>
            <w:r w:rsidRPr="00181EF3">
              <w:rPr>
                <w:sz w:val="16"/>
              </w:rPr>
              <w:t>DI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64525A1" w14:textId="77777777" w:rsidR="005D05F9" w:rsidRPr="00181EF3" w:rsidRDefault="005D05F9" w:rsidP="005D05F9">
            <w:pPr>
              <w:pStyle w:val="TableText"/>
              <w:jc w:val="center"/>
              <w:rPr>
                <w:sz w:val="16"/>
              </w:rPr>
            </w:pPr>
            <w:r w:rsidRPr="00181EF3">
              <w:rPr>
                <w:sz w:val="16"/>
              </w:rPr>
              <w:t>DI</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45C16003" w14:textId="77777777" w:rsidR="005D05F9" w:rsidRPr="00181EF3" w:rsidRDefault="005D05F9" w:rsidP="005D05F9">
            <w:pPr>
              <w:pStyle w:val="TableText"/>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68D3AB8" w14:textId="77777777" w:rsidR="005D05F9" w:rsidRPr="00181EF3" w:rsidRDefault="005D05F9" w:rsidP="005D05F9">
            <w:pPr>
              <w:pStyle w:val="TableText"/>
              <w:jc w:val="center"/>
              <w:rPr>
                <w:sz w:val="16"/>
              </w:rPr>
            </w:pPr>
            <w:r w:rsidRPr="00181EF3">
              <w:rPr>
                <w:sz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3126057" w14:textId="77777777" w:rsidR="005D05F9" w:rsidRPr="00181EF3" w:rsidRDefault="005D05F9" w:rsidP="005D05F9">
            <w:pPr>
              <w:pStyle w:val="TableText"/>
              <w:jc w:val="center"/>
              <w:rPr>
                <w:sz w:val="16"/>
              </w:rPr>
            </w:pPr>
            <w:r w:rsidRPr="00181EF3">
              <w:rPr>
                <w:sz w:val="16"/>
              </w:rPr>
              <w:t>DI</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4306A5A0" w14:textId="77777777" w:rsidR="005D05F9" w:rsidRPr="00181EF3" w:rsidRDefault="005D05F9" w:rsidP="005D05F9">
            <w:pPr>
              <w:pStyle w:val="TableText"/>
              <w:jc w:val="center"/>
              <w:rPr>
                <w:sz w:val="16"/>
              </w:rPr>
            </w:pPr>
            <w:r w:rsidRPr="00181EF3">
              <w:rPr>
                <w:sz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10CB18E" w14:textId="77777777" w:rsidR="005D05F9" w:rsidRPr="00181EF3" w:rsidRDefault="005D05F9" w:rsidP="005D05F9">
            <w:pPr>
              <w:pStyle w:val="TableText"/>
              <w:jc w:val="center"/>
              <w:rPr>
                <w:sz w:val="16"/>
              </w:rPr>
            </w:pPr>
            <w:r w:rsidRPr="00181EF3">
              <w:rPr>
                <w:sz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F048AE7" w14:textId="77777777" w:rsidR="005D05F9" w:rsidRPr="00181EF3" w:rsidRDefault="005D05F9" w:rsidP="005D05F9">
            <w:pPr>
              <w:pStyle w:val="TableText"/>
              <w:jc w:val="center"/>
              <w:rPr>
                <w:sz w:val="16"/>
              </w:rPr>
            </w:pPr>
            <w:r w:rsidRPr="00181EF3">
              <w:rPr>
                <w:sz w:val="16"/>
              </w:rPr>
              <w:t>CPD</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3C516C33" w14:textId="77777777" w:rsidR="005D05F9" w:rsidRPr="00181EF3" w:rsidRDefault="005D05F9" w:rsidP="005D05F9">
            <w:pPr>
              <w:pStyle w:val="TableText"/>
              <w:jc w:val="center"/>
              <w:rPr>
                <w:sz w:val="16"/>
              </w:rPr>
            </w:pPr>
            <w:r w:rsidRPr="00181EF3">
              <w:rPr>
                <w:sz w:val="16"/>
              </w:rPr>
              <w:t>CPD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AB0C7C8" w14:textId="77777777" w:rsidR="005D05F9" w:rsidRPr="00181EF3" w:rsidRDefault="005D05F9" w:rsidP="005D05F9">
            <w:pPr>
              <w:pStyle w:val="TableText"/>
              <w:jc w:val="center"/>
              <w:rPr>
                <w:sz w:val="16"/>
              </w:rPr>
            </w:pPr>
            <w:r w:rsidRPr="00181EF3">
              <w:rPr>
                <w:sz w:val="16"/>
              </w:rPr>
              <w:t>CPD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AED02AD" w14:textId="77777777" w:rsidR="005D05F9" w:rsidRPr="00181EF3" w:rsidRDefault="005D05F9" w:rsidP="005D05F9">
            <w:pPr>
              <w:pStyle w:val="TableText"/>
              <w:jc w:val="center"/>
              <w:rPr>
                <w:sz w:val="16"/>
              </w:rPr>
            </w:pPr>
            <w:r w:rsidRPr="00181EF3">
              <w:rPr>
                <w:sz w:val="16"/>
              </w:rPr>
              <w:t>DI</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418C511C" w14:textId="77777777" w:rsidR="005D05F9" w:rsidRPr="00181EF3" w:rsidRDefault="005D05F9" w:rsidP="005D05F9">
            <w:pPr>
              <w:pStyle w:val="TableText"/>
              <w:jc w:val="center"/>
              <w:rPr>
                <w:sz w:val="16"/>
              </w:rPr>
            </w:pPr>
            <w:r w:rsidRPr="00181EF3">
              <w:rPr>
                <w:sz w:val="16"/>
              </w:rPr>
              <w:t>DI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F1063BB" w14:textId="77777777" w:rsidR="005D05F9" w:rsidRPr="00181EF3" w:rsidRDefault="005D05F9" w:rsidP="005D05F9">
            <w:pPr>
              <w:pStyle w:val="TableText"/>
              <w:jc w:val="center"/>
              <w:rPr>
                <w:sz w:val="16"/>
              </w:rPr>
            </w:pPr>
            <w:r w:rsidRPr="00181EF3">
              <w:rPr>
                <w:sz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2CEDE7D" w14:textId="77777777" w:rsidR="005D05F9" w:rsidRPr="00181EF3" w:rsidRDefault="005D05F9" w:rsidP="005D05F9">
            <w:pPr>
              <w:pStyle w:val="TableText"/>
              <w:jc w:val="center"/>
              <w:rPr>
                <w:sz w:val="16"/>
              </w:rPr>
            </w:pPr>
            <w:r w:rsidRPr="00181EF3">
              <w:rPr>
                <w:sz w:val="16"/>
              </w:rPr>
              <w:t>CPD</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053A4E49" w14:textId="77777777" w:rsidR="005D05F9" w:rsidRPr="00181EF3" w:rsidRDefault="005D05F9" w:rsidP="005D05F9">
            <w:pPr>
              <w:pStyle w:val="TableText"/>
              <w:jc w:val="center"/>
              <w:rPr>
                <w:sz w:val="16"/>
              </w:rPr>
            </w:pPr>
            <w:r w:rsidRPr="00181EF3">
              <w:rPr>
                <w:sz w:val="16"/>
              </w:rPr>
              <w:t>DI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8D9F726" w14:textId="77777777" w:rsidR="005D05F9" w:rsidRPr="00181EF3" w:rsidRDefault="005D05F9" w:rsidP="005D05F9">
            <w:pPr>
              <w:pStyle w:val="TableText"/>
              <w:jc w:val="center"/>
              <w:rPr>
                <w:sz w:val="16"/>
              </w:rPr>
            </w:pPr>
            <w:r w:rsidRPr="00181EF3">
              <w:rPr>
                <w:sz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CEB4239" w14:textId="77777777" w:rsidR="005D05F9" w:rsidRPr="00181EF3" w:rsidRDefault="005D05F9" w:rsidP="005D05F9">
            <w:pPr>
              <w:pStyle w:val="TableText"/>
              <w:jc w:val="center"/>
              <w:rPr>
                <w:sz w:val="16"/>
              </w:rPr>
            </w:pPr>
            <w:r w:rsidRPr="00181EF3">
              <w:rPr>
                <w:sz w:val="16"/>
              </w:rPr>
              <w:t>CD</w:t>
            </w:r>
          </w:p>
        </w:tc>
      </w:tr>
      <w:tr w:rsidR="005D05F9" w:rsidRPr="00181EF3" w14:paraId="5233F489" w14:textId="77777777" w:rsidTr="005D05F9">
        <w:tc>
          <w:tcPr>
            <w:tcW w:w="567" w:type="dxa"/>
            <w:vMerge w:val="restart"/>
            <w:tcBorders>
              <w:top w:val="single" w:sz="4" w:space="0" w:color="A6A6A6" w:themeColor="background1" w:themeShade="A6"/>
            </w:tcBorders>
          </w:tcPr>
          <w:p w14:paraId="71976DDF" w14:textId="0C1E75BC" w:rsidR="005D05F9" w:rsidRPr="00181EF3" w:rsidRDefault="00EC03A3" w:rsidP="005D05F9">
            <w:pPr>
              <w:pStyle w:val="TableText"/>
              <w:rPr>
                <w:sz w:val="16"/>
                <w:szCs w:val="16"/>
              </w:rPr>
            </w:pPr>
            <w:r>
              <w:rPr>
                <w:sz w:val="16"/>
                <w:szCs w:val="16"/>
              </w:rPr>
              <w:t>Non</w:t>
            </w:r>
            <w:r>
              <w:rPr>
                <w:sz w:val="16"/>
                <w:szCs w:val="16"/>
              </w:rPr>
              <w:noBreakHyphen/>
              <w:t>M</w:t>
            </w:r>
            <w:r w:rsidR="005D05F9" w:rsidRPr="00181EF3">
              <w:rPr>
                <w:sz w:val="16"/>
                <w:szCs w:val="16"/>
              </w:rPr>
              <w:t>āori</w:t>
            </w:r>
          </w:p>
        </w:tc>
        <w:tc>
          <w:tcPr>
            <w:tcW w:w="430" w:type="dxa"/>
            <w:tcBorders>
              <w:top w:val="single" w:sz="4" w:space="0" w:color="A6A6A6" w:themeColor="background1" w:themeShade="A6"/>
              <w:bottom w:val="single" w:sz="4" w:space="0" w:color="A6A6A6" w:themeColor="background1" w:themeShade="A6"/>
            </w:tcBorders>
            <w:shd w:val="clear" w:color="auto" w:fill="auto"/>
          </w:tcPr>
          <w:p w14:paraId="595F0902" w14:textId="77777777" w:rsidR="005D05F9" w:rsidRPr="00181EF3" w:rsidRDefault="005D05F9" w:rsidP="005D05F9">
            <w:pPr>
              <w:pStyle w:val="TableText"/>
              <w:jc w:val="center"/>
              <w:rPr>
                <w:sz w:val="16"/>
                <w:szCs w:val="16"/>
              </w:rPr>
            </w:pPr>
            <w:r w:rsidRPr="00181EF3">
              <w:rPr>
                <w:sz w:val="16"/>
                <w:szCs w:val="16"/>
              </w:rPr>
              <w:t>1</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2DE97B74" w14:textId="77777777" w:rsidR="005D05F9" w:rsidRPr="00181EF3" w:rsidRDefault="005D05F9" w:rsidP="005D05F9">
            <w:pPr>
              <w:pStyle w:val="TableText"/>
              <w:jc w:val="center"/>
              <w:rPr>
                <w:sz w:val="16"/>
              </w:rPr>
            </w:pPr>
            <w:r w:rsidRPr="00181EF3">
              <w:rPr>
                <w:sz w:val="16"/>
              </w:rPr>
              <w:t>IHD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131CFEE" w14:textId="77777777" w:rsidR="005D05F9" w:rsidRPr="00181EF3" w:rsidRDefault="005D05F9" w:rsidP="005D05F9">
            <w:pPr>
              <w:pStyle w:val="TableText"/>
              <w:jc w:val="center"/>
              <w:rPr>
                <w:sz w:val="16"/>
              </w:rPr>
            </w:pPr>
            <w:r w:rsidRPr="00181EF3">
              <w:rPr>
                <w:sz w:val="16"/>
              </w:rPr>
              <w:t>IHD</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1F02BF8B" w14:textId="77777777" w:rsidR="005D05F9" w:rsidRPr="00181EF3" w:rsidRDefault="005D05F9" w:rsidP="005D05F9">
            <w:pPr>
              <w:pStyle w:val="TableText"/>
              <w:jc w:val="center"/>
              <w:rPr>
                <w:sz w:val="16"/>
              </w:rPr>
            </w:pPr>
            <w:r w:rsidRPr="00181EF3">
              <w:rPr>
                <w:sz w:val="16"/>
              </w:rPr>
              <w:t>IHD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77B087E" w14:textId="77777777" w:rsidR="005D05F9" w:rsidRPr="00181EF3" w:rsidRDefault="005D05F9" w:rsidP="005D05F9">
            <w:pPr>
              <w:pStyle w:val="TableText"/>
              <w:jc w:val="center"/>
              <w:rPr>
                <w:sz w:val="16"/>
              </w:rPr>
            </w:pPr>
            <w:r w:rsidRPr="00181EF3">
              <w:rPr>
                <w:sz w:val="16"/>
              </w:rPr>
              <w:t>IHD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601B12C" w14:textId="77777777" w:rsidR="005D05F9" w:rsidRPr="00181EF3" w:rsidRDefault="005D05F9" w:rsidP="005D05F9">
            <w:pPr>
              <w:pStyle w:val="TableText"/>
              <w:jc w:val="center"/>
              <w:rPr>
                <w:sz w:val="16"/>
              </w:rPr>
            </w:pPr>
            <w:r w:rsidRPr="00181EF3">
              <w:rPr>
                <w:sz w:val="16"/>
              </w:rPr>
              <w:t>IHD</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19F6D84D" w14:textId="77777777" w:rsidR="005D05F9" w:rsidRPr="00181EF3" w:rsidRDefault="005D05F9" w:rsidP="005D05F9">
            <w:pPr>
              <w:pStyle w:val="TableText"/>
              <w:jc w:val="center"/>
              <w:rPr>
                <w:sz w:val="16"/>
              </w:rPr>
            </w:pPr>
            <w:r w:rsidRPr="00181EF3">
              <w:rPr>
                <w:sz w:val="16"/>
              </w:rPr>
              <w:t>IHD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DD4CA5B" w14:textId="77777777" w:rsidR="005D05F9" w:rsidRPr="00181EF3" w:rsidRDefault="005D05F9" w:rsidP="005D05F9">
            <w:pPr>
              <w:pStyle w:val="TableText"/>
              <w:jc w:val="center"/>
              <w:rPr>
                <w:sz w:val="16"/>
              </w:rPr>
            </w:pPr>
            <w:r w:rsidRPr="00181EF3">
              <w:rPr>
                <w:sz w:val="16"/>
              </w:rPr>
              <w:t>IHD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763CA5E" w14:textId="77777777" w:rsidR="005D05F9" w:rsidRPr="00181EF3" w:rsidRDefault="005D05F9" w:rsidP="005D05F9">
            <w:pPr>
              <w:pStyle w:val="TableText"/>
              <w:jc w:val="center"/>
              <w:rPr>
                <w:sz w:val="16"/>
              </w:rPr>
            </w:pPr>
            <w:r w:rsidRPr="00181EF3">
              <w:rPr>
                <w:sz w:val="16"/>
              </w:rPr>
              <w:t>IHD</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2A5752AA" w14:textId="77777777" w:rsidR="005D05F9" w:rsidRPr="00181EF3" w:rsidRDefault="005D05F9" w:rsidP="005D05F9">
            <w:pPr>
              <w:pStyle w:val="TableText"/>
              <w:jc w:val="center"/>
              <w:rPr>
                <w:sz w:val="16"/>
              </w:rPr>
            </w:pPr>
            <w:r w:rsidRPr="00181EF3">
              <w:rPr>
                <w:sz w:val="16"/>
              </w:rPr>
              <w:t>IHD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30B076A" w14:textId="77777777" w:rsidR="005D05F9" w:rsidRPr="00181EF3" w:rsidRDefault="005D05F9" w:rsidP="005D05F9">
            <w:pPr>
              <w:pStyle w:val="TableText"/>
              <w:jc w:val="center"/>
              <w:rPr>
                <w:sz w:val="16"/>
              </w:rPr>
            </w:pPr>
            <w:r w:rsidRPr="00181EF3">
              <w:rPr>
                <w:sz w:val="16"/>
              </w:rPr>
              <w:t>IHD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9286E8A" w14:textId="77777777" w:rsidR="005D05F9" w:rsidRPr="00181EF3" w:rsidRDefault="005D05F9" w:rsidP="005D05F9">
            <w:pPr>
              <w:pStyle w:val="TableText"/>
              <w:jc w:val="center"/>
              <w:rPr>
                <w:sz w:val="16"/>
              </w:rPr>
            </w:pPr>
            <w:r w:rsidRPr="00181EF3">
              <w:rPr>
                <w:sz w:val="16"/>
              </w:rPr>
              <w:t>IHD</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6F254F84" w14:textId="77777777" w:rsidR="005D05F9" w:rsidRPr="00181EF3" w:rsidRDefault="005D05F9" w:rsidP="005D05F9">
            <w:pPr>
              <w:pStyle w:val="TableText"/>
              <w:jc w:val="center"/>
              <w:rPr>
                <w:sz w:val="16"/>
              </w:rPr>
            </w:pPr>
            <w:r w:rsidRPr="00181EF3">
              <w:rPr>
                <w:sz w:val="16"/>
              </w:rPr>
              <w:t>IHD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5685B51" w14:textId="77777777" w:rsidR="005D05F9" w:rsidRPr="00181EF3" w:rsidRDefault="005D05F9" w:rsidP="005D05F9">
            <w:pPr>
              <w:pStyle w:val="TableText"/>
              <w:jc w:val="center"/>
              <w:rPr>
                <w:sz w:val="16"/>
              </w:rPr>
            </w:pPr>
            <w:r w:rsidRPr="00181EF3">
              <w:rPr>
                <w:sz w:val="16"/>
              </w:rPr>
              <w:t>IHD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F83D652" w14:textId="77777777" w:rsidR="005D05F9" w:rsidRPr="00181EF3" w:rsidRDefault="005D05F9" w:rsidP="005D05F9">
            <w:pPr>
              <w:pStyle w:val="TableText"/>
              <w:jc w:val="center"/>
              <w:rPr>
                <w:sz w:val="16"/>
              </w:rPr>
            </w:pPr>
            <w:r w:rsidRPr="00181EF3">
              <w:rPr>
                <w:sz w:val="16"/>
              </w:rPr>
              <w:t>IHD</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4FC1BB7D" w14:textId="77777777" w:rsidR="005D05F9" w:rsidRPr="00181EF3" w:rsidRDefault="005D05F9" w:rsidP="005D05F9">
            <w:pPr>
              <w:pStyle w:val="TableText"/>
              <w:jc w:val="center"/>
              <w:rPr>
                <w:sz w:val="16"/>
              </w:rPr>
            </w:pPr>
            <w:r w:rsidRPr="00181EF3">
              <w:rPr>
                <w:sz w:val="16"/>
              </w:rPr>
              <w:t>IHD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64290FC" w14:textId="77777777" w:rsidR="005D05F9" w:rsidRPr="00181EF3" w:rsidRDefault="005D05F9" w:rsidP="005D05F9">
            <w:pPr>
              <w:pStyle w:val="TableText"/>
              <w:jc w:val="center"/>
              <w:rPr>
                <w:sz w:val="16"/>
              </w:rPr>
            </w:pPr>
            <w:r w:rsidRPr="00181EF3">
              <w:rPr>
                <w:sz w:val="16"/>
              </w:rPr>
              <w:t>IHD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2C106F0" w14:textId="77777777" w:rsidR="005D05F9" w:rsidRPr="00181EF3" w:rsidRDefault="005D05F9" w:rsidP="005D05F9">
            <w:pPr>
              <w:pStyle w:val="TableText"/>
              <w:jc w:val="center"/>
              <w:rPr>
                <w:sz w:val="16"/>
              </w:rPr>
            </w:pPr>
            <w:r w:rsidRPr="00181EF3">
              <w:rPr>
                <w:sz w:val="16"/>
              </w:rPr>
              <w:t>IHD</w:t>
            </w:r>
          </w:p>
        </w:tc>
      </w:tr>
      <w:tr w:rsidR="005D05F9" w:rsidRPr="00181EF3" w14:paraId="738B7EBD" w14:textId="77777777" w:rsidTr="005D05F9">
        <w:tc>
          <w:tcPr>
            <w:tcW w:w="567" w:type="dxa"/>
            <w:vMerge/>
          </w:tcPr>
          <w:p w14:paraId="2E391352" w14:textId="77777777" w:rsidR="005D05F9" w:rsidRPr="00181EF3" w:rsidRDefault="005D05F9" w:rsidP="005D05F9">
            <w:pPr>
              <w:pStyle w:val="TableText"/>
              <w:rPr>
                <w:sz w:val="16"/>
                <w:szCs w:val="16"/>
              </w:rPr>
            </w:pPr>
          </w:p>
        </w:tc>
        <w:tc>
          <w:tcPr>
            <w:tcW w:w="430" w:type="dxa"/>
            <w:tcBorders>
              <w:top w:val="single" w:sz="4" w:space="0" w:color="A6A6A6" w:themeColor="background1" w:themeShade="A6"/>
              <w:bottom w:val="single" w:sz="4" w:space="0" w:color="A6A6A6" w:themeColor="background1" w:themeShade="A6"/>
            </w:tcBorders>
            <w:shd w:val="clear" w:color="auto" w:fill="auto"/>
          </w:tcPr>
          <w:p w14:paraId="5EA70BAD" w14:textId="77777777" w:rsidR="005D05F9" w:rsidRPr="00181EF3" w:rsidRDefault="005D05F9" w:rsidP="005D05F9">
            <w:pPr>
              <w:pStyle w:val="TableText"/>
              <w:jc w:val="center"/>
              <w:rPr>
                <w:sz w:val="16"/>
                <w:szCs w:val="16"/>
              </w:rPr>
            </w:pPr>
            <w:r w:rsidRPr="00181EF3">
              <w:rPr>
                <w:sz w:val="16"/>
                <w:szCs w:val="16"/>
              </w:rPr>
              <w:t>2</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4977D259" w14:textId="77777777" w:rsidR="005D05F9" w:rsidRPr="00181EF3" w:rsidRDefault="005D05F9" w:rsidP="005D05F9">
            <w:pPr>
              <w:pStyle w:val="TableText"/>
              <w:jc w:val="center"/>
              <w:rPr>
                <w:sz w:val="16"/>
              </w:rPr>
            </w:pPr>
            <w:r w:rsidRPr="00181EF3">
              <w:rPr>
                <w:sz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4CD8CC2" w14:textId="77777777" w:rsidR="005D05F9" w:rsidRPr="00181EF3" w:rsidRDefault="005D05F9" w:rsidP="005D05F9">
            <w:pPr>
              <w:pStyle w:val="TableText"/>
              <w:jc w:val="center"/>
              <w:rPr>
                <w:sz w:val="16"/>
              </w:rPr>
            </w:pPr>
            <w:r w:rsidRPr="00181EF3">
              <w:rPr>
                <w:sz w:val="16"/>
              </w:rPr>
              <w:t>CD</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2C9D9B96" w14:textId="77777777" w:rsidR="005D05F9" w:rsidRPr="00181EF3" w:rsidRDefault="005D05F9" w:rsidP="005D05F9">
            <w:pPr>
              <w:pStyle w:val="TableText"/>
              <w:jc w:val="center"/>
              <w:rPr>
                <w:sz w:val="16"/>
              </w:rPr>
            </w:pPr>
            <w:r w:rsidRPr="00181EF3">
              <w:rPr>
                <w:sz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5668A4E" w14:textId="77777777" w:rsidR="005D05F9" w:rsidRPr="00181EF3" w:rsidRDefault="005D05F9" w:rsidP="005D05F9">
            <w:pPr>
              <w:pStyle w:val="TableText"/>
              <w:jc w:val="center"/>
              <w:rPr>
                <w:sz w:val="16"/>
              </w:rPr>
            </w:pPr>
            <w:r w:rsidRPr="00181EF3">
              <w:rPr>
                <w:sz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9D4B0BF" w14:textId="77777777" w:rsidR="005D05F9" w:rsidRPr="00181EF3" w:rsidRDefault="005D05F9" w:rsidP="005D05F9">
            <w:pPr>
              <w:pStyle w:val="TableText"/>
              <w:jc w:val="center"/>
              <w:rPr>
                <w:sz w:val="16"/>
              </w:rPr>
            </w:pPr>
            <w:r w:rsidRPr="00181EF3">
              <w:rPr>
                <w:sz w:val="16"/>
              </w:rPr>
              <w:t>CD</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2F8D6422" w14:textId="77777777" w:rsidR="005D05F9" w:rsidRPr="00181EF3" w:rsidRDefault="005D05F9" w:rsidP="005D05F9">
            <w:pPr>
              <w:pStyle w:val="TableText"/>
              <w:jc w:val="center"/>
              <w:rPr>
                <w:sz w:val="16"/>
              </w:rPr>
            </w:pPr>
            <w:r w:rsidRPr="00181EF3">
              <w:rPr>
                <w:sz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E473089" w14:textId="77777777" w:rsidR="005D05F9" w:rsidRPr="00181EF3" w:rsidRDefault="005D05F9" w:rsidP="005D05F9">
            <w:pPr>
              <w:pStyle w:val="TableText"/>
              <w:jc w:val="center"/>
              <w:rPr>
                <w:sz w:val="16"/>
              </w:rPr>
            </w:pPr>
            <w:r w:rsidRPr="00181EF3">
              <w:rPr>
                <w:sz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C1DDCD8" w14:textId="77777777" w:rsidR="005D05F9" w:rsidRPr="00181EF3" w:rsidRDefault="005D05F9" w:rsidP="005D05F9">
            <w:pPr>
              <w:pStyle w:val="TableText"/>
              <w:jc w:val="center"/>
              <w:rPr>
                <w:sz w:val="16"/>
              </w:rPr>
            </w:pPr>
            <w:r w:rsidRPr="00181EF3">
              <w:rPr>
                <w:sz w:val="16"/>
              </w:rPr>
              <w:t>CD</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50AE4BF2" w14:textId="77777777" w:rsidR="005D05F9" w:rsidRPr="00181EF3" w:rsidRDefault="005D05F9" w:rsidP="005D05F9">
            <w:pPr>
              <w:pStyle w:val="TableText"/>
              <w:jc w:val="center"/>
              <w:rPr>
                <w:sz w:val="16"/>
              </w:rPr>
            </w:pPr>
            <w:r w:rsidRPr="00181EF3">
              <w:rPr>
                <w:sz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9A457F5" w14:textId="77777777" w:rsidR="005D05F9" w:rsidRPr="00181EF3" w:rsidRDefault="005D05F9" w:rsidP="005D05F9">
            <w:pPr>
              <w:pStyle w:val="TableText"/>
              <w:jc w:val="center"/>
              <w:rPr>
                <w:sz w:val="16"/>
              </w:rPr>
            </w:pPr>
            <w:r w:rsidRPr="00181EF3">
              <w:rPr>
                <w:sz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0CF3210" w14:textId="77777777" w:rsidR="005D05F9" w:rsidRPr="00181EF3" w:rsidRDefault="005D05F9" w:rsidP="005D05F9">
            <w:pPr>
              <w:pStyle w:val="TableText"/>
              <w:jc w:val="center"/>
              <w:rPr>
                <w:sz w:val="16"/>
              </w:rPr>
            </w:pPr>
            <w:r w:rsidRPr="00181EF3">
              <w:rPr>
                <w:sz w:val="16"/>
              </w:rPr>
              <w:t>CD</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67C06468" w14:textId="77777777" w:rsidR="005D05F9" w:rsidRPr="00181EF3" w:rsidRDefault="005D05F9" w:rsidP="005D05F9">
            <w:pPr>
              <w:pStyle w:val="TableText"/>
              <w:jc w:val="center"/>
              <w:rPr>
                <w:sz w:val="16"/>
              </w:rPr>
            </w:pPr>
            <w:r w:rsidRPr="00181EF3">
              <w:rPr>
                <w:sz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AD8C664" w14:textId="77777777" w:rsidR="005D05F9" w:rsidRPr="00181EF3" w:rsidRDefault="005D05F9" w:rsidP="005D05F9">
            <w:pPr>
              <w:pStyle w:val="TableText"/>
              <w:jc w:val="center"/>
              <w:rPr>
                <w:sz w:val="16"/>
              </w:rPr>
            </w:pPr>
            <w:r w:rsidRPr="00181EF3">
              <w:rPr>
                <w:sz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93FD7A6" w14:textId="77777777" w:rsidR="005D05F9" w:rsidRPr="00181EF3" w:rsidRDefault="005D05F9" w:rsidP="005D05F9">
            <w:pPr>
              <w:pStyle w:val="TableText"/>
              <w:jc w:val="center"/>
              <w:rPr>
                <w:sz w:val="16"/>
              </w:rPr>
            </w:pPr>
            <w:r w:rsidRPr="00181EF3">
              <w:rPr>
                <w:sz w:val="16"/>
              </w:rPr>
              <w:t>CD</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3140D5AB" w14:textId="77777777" w:rsidR="005D05F9" w:rsidRPr="00181EF3" w:rsidRDefault="005D05F9" w:rsidP="005D05F9">
            <w:pPr>
              <w:pStyle w:val="TableText"/>
              <w:jc w:val="center"/>
              <w:rPr>
                <w:sz w:val="16"/>
              </w:rPr>
            </w:pPr>
            <w:r w:rsidRPr="00181EF3">
              <w:rPr>
                <w:sz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F51DD36" w14:textId="77777777" w:rsidR="005D05F9" w:rsidRPr="00181EF3" w:rsidRDefault="005D05F9" w:rsidP="005D05F9">
            <w:pPr>
              <w:pStyle w:val="TableText"/>
              <w:jc w:val="center"/>
              <w:rPr>
                <w:sz w:val="16"/>
              </w:rPr>
            </w:pPr>
            <w:r w:rsidRPr="00181EF3">
              <w:rPr>
                <w:sz w:val="16"/>
              </w:rPr>
              <w:t>CD</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2A01D29" w14:textId="77777777" w:rsidR="005D05F9" w:rsidRPr="00181EF3" w:rsidRDefault="005D05F9" w:rsidP="005D05F9">
            <w:pPr>
              <w:pStyle w:val="TableText"/>
              <w:jc w:val="center"/>
              <w:rPr>
                <w:sz w:val="16"/>
              </w:rPr>
            </w:pPr>
            <w:r w:rsidRPr="00181EF3">
              <w:rPr>
                <w:sz w:val="16"/>
              </w:rPr>
              <w:t>CD</w:t>
            </w:r>
          </w:p>
        </w:tc>
      </w:tr>
      <w:tr w:rsidR="005D05F9" w:rsidRPr="00181EF3" w14:paraId="49D58DDC" w14:textId="77777777" w:rsidTr="005D05F9">
        <w:tc>
          <w:tcPr>
            <w:tcW w:w="567" w:type="dxa"/>
            <w:vMerge/>
          </w:tcPr>
          <w:p w14:paraId="498A187D" w14:textId="77777777" w:rsidR="005D05F9" w:rsidRPr="00181EF3" w:rsidRDefault="005D05F9" w:rsidP="005D05F9">
            <w:pPr>
              <w:pStyle w:val="TableText"/>
              <w:rPr>
                <w:sz w:val="16"/>
                <w:szCs w:val="16"/>
              </w:rPr>
            </w:pPr>
          </w:p>
        </w:tc>
        <w:tc>
          <w:tcPr>
            <w:tcW w:w="430" w:type="dxa"/>
            <w:tcBorders>
              <w:top w:val="single" w:sz="4" w:space="0" w:color="A6A6A6" w:themeColor="background1" w:themeShade="A6"/>
              <w:bottom w:val="single" w:sz="4" w:space="0" w:color="A6A6A6" w:themeColor="background1" w:themeShade="A6"/>
            </w:tcBorders>
            <w:shd w:val="clear" w:color="auto" w:fill="auto"/>
          </w:tcPr>
          <w:p w14:paraId="51DA48C1" w14:textId="77777777" w:rsidR="005D05F9" w:rsidRPr="00181EF3" w:rsidRDefault="005D05F9" w:rsidP="005D05F9">
            <w:pPr>
              <w:pStyle w:val="TableText"/>
              <w:jc w:val="center"/>
              <w:rPr>
                <w:sz w:val="16"/>
                <w:szCs w:val="16"/>
              </w:rPr>
            </w:pPr>
            <w:r w:rsidRPr="00181EF3">
              <w:rPr>
                <w:sz w:val="16"/>
                <w:szCs w:val="16"/>
              </w:rPr>
              <w:t>3</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3E25E9AF" w14:textId="77777777" w:rsidR="005D05F9" w:rsidRPr="00181EF3" w:rsidRDefault="005D05F9" w:rsidP="005D05F9">
            <w:pPr>
              <w:pStyle w:val="TableText"/>
              <w:jc w:val="center"/>
              <w:rPr>
                <w:sz w:val="16"/>
              </w:rPr>
            </w:pPr>
            <w:r w:rsidRPr="00181EF3">
              <w:rPr>
                <w:sz w:val="16"/>
              </w:rPr>
              <w:t>BC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F82A2AF" w14:textId="77777777" w:rsidR="005D05F9" w:rsidRPr="00181EF3" w:rsidRDefault="005D05F9" w:rsidP="005D05F9">
            <w:pPr>
              <w:pStyle w:val="TableText"/>
              <w:jc w:val="center"/>
              <w:rPr>
                <w:sz w:val="16"/>
              </w:rPr>
            </w:pPr>
            <w:r w:rsidRPr="00181EF3">
              <w:rPr>
                <w:sz w:val="16"/>
              </w:rPr>
              <w:t>BC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61A7F1AF" w14:textId="77777777" w:rsidR="005D05F9" w:rsidRPr="00181EF3" w:rsidRDefault="005D05F9" w:rsidP="005D05F9">
            <w:pPr>
              <w:pStyle w:val="TableText"/>
              <w:jc w:val="center"/>
              <w:rPr>
                <w:sz w:val="16"/>
              </w:rPr>
            </w:pPr>
            <w:r w:rsidRPr="00181EF3">
              <w:rPr>
                <w:sz w:val="16"/>
              </w:rPr>
              <w:t>BC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2EFA5D0" w14:textId="77777777" w:rsidR="005D05F9" w:rsidRPr="00181EF3" w:rsidRDefault="005D05F9" w:rsidP="005D05F9">
            <w:pPr>
              <w:pStyle w:val="TableText"/>
              <w:jc w:val="center"/>
              <w:rPr>
                <w:sz w:val="16"/>
              </w:rPr>
            </w:pPr>
            <w:r w:rsidRPr="00181EF3">
              <w:rPr>
                <w:sz w:val="16"/>
              </w:rPr>
              <w:t>BC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EB8CADE" w14:textId="77777777" w:rsidR="005D05F9" w:rsidRPr="00181EF3" w:rsidRDefault="005D05F9" w:rsidP="005D05F9">
            <w:pPr>
              <w:pStyle w:val="TableText"/>
              <w:jc w:val="center"/>
              <w:rPr>
                <w:sz w:val="16"/>
              </w:rPr>
            </w:pPr>
            <w:r w:rsidRPr="00181EF3">
              <w:rPr>
                <w:sz w:val="16"/>
              </w:rPr>
              <w:t>BC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524B8A3B" w14:textId="77777777" w:rsidR="005D05F9" w:rsidRPr="00181EF3" w:rsidRDefault="005D05F9" w:rsidP="005D05F9">
            <w:pPr>
              <w:pStyle w:val="TableText"/>
              <w:jc w:val="center"/>
              <w:rPr>
                <w:sz w:val="16"/>
              </w:rPr>
            </w:pPr>
            <w:r w:rsidRPr="00181EF3">
              <w:rPr>
                <w:sz w:val="16"/>
              </w:rPr>
              <w:t>BC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702D346" w14:textId="77777777" w:rsidR="005D05F9" w:rsidRPr="00181EF3" w:rsidRDefault="005D05F9" w:rsidP="005D05F9">
            <w:pPr>
              <w:pStyle w:val="TableText"/>
              <w:jc w:val="center"/>
              <w:rPr>
                <w:sz w:val="16"/>
              </w:rPr>
            </w:pPr>
            <w:r w:rsidRPr="00181EF3">
              <w:rPr>
                <w:sz w:val="16"/>
              </w:rPr>
              <w:t>BC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26FF61B" w14:textId="77777777" w:rsidR="005D05F9" w:rsidRPr="00181EF3" w:rsidRDefault="005D05F9" w:rsidP="005D05F9">
            <w:pPr>
              <w:pStyle w:val="TableText"/>
              <w:jc w:val="center"/>
              <w:rPr>
                <w:sz w:val="16"/>
              </w:rPr>
            </w:pPr>
            <w:r w:rsidRPr="00181EF3">
              <w:rPr>
                <w:sz w:val="16"/>
              </w:rPr>
              <w:t>BC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1C411CD6" w14:textId="77777777" w:rsidR="005D05F9" w:rsidRPr="00181EF3" w:rsidRDefault="005D05F9" w:rsidP="005D05F9">
            <w:pPr>
              <w:pStyle w:val="TableText"/>
              <w:jc w:val="center"/>
              <w:rPr>
                <w:sz w:val="16"/>
              </w:rPr>
            </w:pPr>
            <w:r w:rsidRPr="00181EF3">
              <w:rPr>
                <w:sz w:val="16"/>
              </w:rPr>
              <w:t>BC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8FC0BF9" w14:textId="77777777" w:rsidR="005D05F9" w:rsidRPr="00181EF3" w:rsidRDefault="005D05F9" w:rsidP="005D05F9">
            <w:pPr>
              <w:pStyle w:val="TableText"/>
              <w:jc w:val="center"/>
              <w:rPr>
                <w:sz w:val="16"/>
              </w:rPr>
            </w:pPr>
            <w:r w:rsidRPr="00181EF3">
              <w:rPr>
                <w:sz w:val="16"/>
              </w:rPr>
              <w:t>BC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8640BD9" w14:textId="77777777" w:rsidR="005D05F9" w:rsidRPr="00181EF3" w:rsidRDefault="005D05F9" w:rsidP="005D05F9">
            <w:pPr>
              <w:pStyle w:val="TableText"/>
              <w:jc w:val="center"/>
              <w:rPr>
                <w:sz w:val="16"/>
              </w:rPr>
            </w:pPr>
            <w:r w:rsidRPr="00181EF3">
              <w:rPr>
                <w:sz w:val="16"/>
              </w:rPr>
              <w:t>BC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41276D1B" w14:textId="77777777" w:rsidR="005D05F9" w:rsidRPr="00181EF3" w:rsidRDefault="005D05F9" w:rsidP="005D05F9">
            <w:pPr>
              <w:pStyle w:val="TableText"/>
              <w:jc w:val="center"/>
              <w:rPr>
                <w:sz w:val="16"/>
              </w:rPr>
            </w:pPr>
            <w:r w:rsidRPr="00181EF3">
              <w:rPr>
                <w:sz w:val="16"/>
              </w:rPr>
              <w:t>BC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0918684" w14:textId="77777777" w:rsidR="005D05F9" w:rsidRPr="00181EF3" w:rsidRDefault="005D05F9" w:rsidP="005D05F9">
            <w:pPr>
              <w:pStyle w:val="TableText"/>
              <w:jc w:val="center"/>
              <w:rPr>
                <w:sz w:val="16"/>
              </w:rPr>
            </w:pPr>
            <w:r w:rsidRPr="00181EF3">
              <w:rPr>
                <w:sz w:val="16"/>
              </w:rPr>
              <w:t>BC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9E24A67" w14:textId="77777777" w:rsidR="005D05F9" w:rsidRPr="00181EF3" w:rsidRDefault="005D05F9" w:rsidP="005D05F9">
            <w:pPr>
              <w:pStyle w:val="TableText"/>
              <w:jc w:val="center"/>
              <w:rPr>
                <w:sz w:val="16"/>
              </w:rPr>
            </w:pPr>
            <w:r w:rsidRPr="00181EF3">
              <w:rPr>
                <w:sz w:val="16"/>
              </w:rPr>
              <w:t>BC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494CF9BB" w14:textId="77777777" w:rsidR="005D05F9" w:rsidRPr="00181EF3" w:rsidRDefault="005D05F9" w:rsidP="005D05F9">
            <w:pPr>
              <w:pStyle w:val="TableText"/>
              <w:jc w:val="center"/>
              <w:rPr>
                <w:sz w:val="16"/>
              </w:rPr>
            </w:pPr>
            <w:r w:rsidRPr="00181EF3">
              <w:rPr>
                <w:sz w:val="16"/>
              </w:rPr>
              <w:t>BC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9154A22" w14:textId="77777777" w:rsidR="005D05F9" w:rsidRPr="00181EF3" w:rsidRDefault="005D05F9" w:rsidP="005D05F9">
            <w:pPr>
              <w:pStyle w:val="TableText"/>
              <w:jc w:val="center"/>
              <w:rPr>
                <w:sz w:val="16"/>
              </w:rPr>
            </w:pPr>
            <w:r w:rsidRPr="00181EF3">
              <w:rPr>
                <w:sz w:val="16"/>
              </w:rPr>
              <w:t>BC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0C9D3F8" w14:textId="77777777" w:rsidR="005D05F9" w:rsidRPr="00181EF3" w:rsidRDefault="005D05F9" w:rsidP="005D05F9">
            <w:pPr>
              <w:pStyle w:val="TableText"/>
              <w:jc w:val="center"/>
              <w:rPr>
                <w:sz w:val="16"/>
              </w:rPr>
            </w:pPr>
            <w:r w:rsidRPr="00181EF3">
              <w:rPr>
                <w:sz w:val="16"/>
              </w:rPr>
              <w:t>BC</w:t>
            </w:r>
          </w:p>
        </w:tc>
      </w:tr>
      <w:tr w:rsidR="005D05F9" w:rsidRPr="00181EF3" w14:paraId="3681F499" w14:textId="77777777" w:rsidTr="005D05F9">
        <w:tc>
          <w:tcPr>
            <w:tcW w:w="567" w:type="dxa"/>
            <w:vMerge/>
          </w:tcPr>
          <w:p w14:paraId="20B016AD" w14:textId="77777777" w:rsidR="005D05F9" w:rsidRPr="00181EF3" w:rsidRDefault="005D05F9" w:rsidP="005D05F9">
            <w:pPr>
              <w:pStyle w:val="TableText"/>
              <w:rPr>
                <w:sz w:val="16"/>
                <w:szCs w:val="16"/>
              </w:rPr>
            </w:pPr>
          </w:p>
        </w:tc>
        <w:tc>
          <w:tcPr>
            <w:tcW w:w="430" w:type="dxa"/>
            <w:tcBorders>
              <w:top w:val="single" w:sz="4" w:space="0" w:color="A6A6A6" w:themeColor="background1" w:themeShade="A6"/>
              <w:bottom w:val="single" w:sz="4" w:space="0" w:color="A6A6A6" w:themeColor="background1" w:themeShade="A6"/>
            </w:tcBorders>
            <w:shd w:val="clear" w:color="auto" w:fill="auto"/>
          </w:tcPr>
          <w:p w14:paraId="1E62B7F4" w14:textId="77777777" w:rsidR="005D05F9" w:rsidRPr="00181EF3" w:rsidRDefault="005D05F9" w:rsidP="005D05F9">
            <w:pPr>
              <w:pStyle w:val="TableText"/>
              <w:jc w:val="center"/>
              <w:rPr>
                <w:sz w:val="16"/>
                <w:szCs w:val="16"/>
              </w:rPr>
            </w:pPr>
            <w:r w:rsidRPr="00181EF3">
              <w:rPr>
                <w:sz w:val="16"/>
                <w:szCs w:val="16"/>
              </w:rPr>
              <w:t>4</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4C37BB98" w14:textId="77777777" w:rsidR="005D05F9" w:rsidRPr="00181EF3" w:rsidRDefault="005D05F9" w:rsidP="005D05F9">
            <w:pPr>
              <w:pStyle w:val="TableText"/>
              <w:jc w:val="center"/>
              <w:rPr>
                <w:sz w:val="16"/>
              </w:rPr>
            </w:pPr>
            <w:r w:rsidRPr="00181EF3">
              <w:rPr>
                <w:sz w:val="16"/>
              </w:rPr>
              <w:t>CC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12499A7" w14:textId="77777777" w:rsidR="005D05F9" w:rsidRPr="00181EF3" w:rsidRDefault="005D05F9" w:rsidP="005D05F9">
            <w:pPr>
              <w:pStyle w:val="TableText"/>
              <w:jc w:val="center"/>
              <w:rPr>
                <w:sz w:val="16"/>
              </w:rPr>
            </w:pPr>
            <w:r w:rsidRPr="00181EF3">
              <w:rPr>
                <w:sz w:val="16"/>
              </w:rPr>
              <w:t>CC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44275091" w14:textId="77777777" w:rsidR="005D05F9" w:rsidRPr="00181EF3" w:rsidRDefault="005D05F9" w:rsidP="005D05F9">
            <w:pPr>
              <w:pStyle w:val="TableText"/>
              <w:jc w:val="center"/>
              <w:rPr>
                <w:sz w:val="16"/>
              </w:rPr>
            </w:pPr>
            <w:r w:rsidRPr="00181EF3">
              <w:rPr>
                <w:sz w:val="16"/>
              </w:rPr>
              <w:t>CC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34AADA8" w14:textId="77777777" w:rsidR="005D05F9" w:rsidRPr="00181EF3" w:rsidRDefault="005D05F9" w:rsidP="005D05F9">
            <w:pPr>
              <w:pStyle w:val="TableText"/>
              <w:jc w:val="center"/>
              <w:rPr>
                <w:sz w:val="16"/>
              </w:rPr>
            </w:pPr>
            <w:r w:rsidRPr="00181EF3">
              <w:rPr>
                <w:sz w:val="16"/>
              </w:rPr>
              <w:t>CC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2F4DDD9" w14:textId="77777777" w:rsidR="005D05F9" w:rsidRPr="00181EF3" w:rsidRDefault="005D05F9" w:rsidP="005D05F9">
            <w:pPr>
              <w:pStyle w:val="TableText"/>
              <w:jc w:val="center"/>
              <w:rPr>
                <w:sz w:val="16"/>
              </w:rPr>
            </w:pPr>
            <w:r w:rsidRPr="00181EF3">
              <w:rPr>
                <w:sz w:val="16"/>
              </w:rPr>
              <w:t>CC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16EFA32E" w14:textId="77777777" w:rsidR="005D05F9" w:rsidRPr="00181EF3" w:rsidRDefault="005D05F9" w:rsidP="005D05F9">
            <w:pPr>
              <w:pStyle w:val="TableText"/>
              <w:jc w:val="center"/>
              <w:rPr>
                <w:sz w:val="16"/>
              </w:rPr>
            </w:pPr>
            <w:r w:rsidRPr="00181EF3">
              <w:rPr>
                <w:sz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253CAEB" w14:textId="77777777" w:rsidR="005D05F9" w:rsidRPr="00181EF3" w:rsidRDefault="005D05F9" w:rsidP="005D05F9">
            <w:pPr>
              <w:pStyle w:val="TableText"/>
              <w:jc w:val="center"/>
              <w:rPr>
                <w:sz w:val="16"/>
              </w:rPr>
            </w:pPr>
            <w:r w:rsidRPr="00181EF3">
              <w:rPr>
                <w:sz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39C5D7B" w14:textId="77777777" w:rsidR="005D05F9" w:rsidRPr="00181EF3" w:rsidRDefault="005D05F9" w:rsidP="005D05F9">
            <w:pPr>
              <w:pStyle w:val="TableText"/>
              <w:jc w:val="center"/>
              <w:rPr>
                <w:sz w:val="16"/>
              </w:rPr>
            </w:pPr>
            <w:r w:rsidRPr="00181EF3">
              <w:rPr>
                <w:sz w:val="16"/>
              </w:rPr>
              <w:t>CC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00BB15CD" w14:textId="77777777" w:rsidR="005D05F9" w:rsidRPr="00181EF3" w:rsidRDefault="005D05F9" w:rsidP="005D05F9">
            <w:pPr>
              <w:pStyle w:val="TableText"/>
              <w:jc w:val="center"/>
              <w:rPr>
                <w:sz w:val="16"/>
              </w:rPr>
            </w:pPr>
            <w:r w:rsidRPr="00181EF3">
              <w:rPr>
                <w:sz w:val="16"/>
              </w:rPr>
              <w:t>CC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44002FC" w14:textId="77777777" w:rsidR="005D05F9" w:rsidRPr="00181EF3" w:rsidRDefault="005D05F9" w:rsidP="005D05F9">
            <w:pPr>
              <w:pStyle w:val="TableText"/>
              <w:jc w:val="center"/>
              <w:rPr>
                <w:sz w:val="16"/>
              </w:rPr>
            </w:pPr>
            <w:r w:rsidRPr="00181EF3">
              <w:rPr>
                <w:sz w:val="16"/>
              </w:rPr>
              <w:t>CC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6BF4927" w14:textId="77777777" w:rsidR="005D05F9" w:rsidRPr="00181EF3" w:rsidRDefault="005D05F9" w:rsidP="005D05F9">
            <w:pPr>
              <w:pStyle w:val="TableText"/>
              <w:jc w:val="center"/>
              <w:rPr>
                <w:sz w:val="16"/>
              </w:rPr>
            </w:pPr>
            <w:r w:rsidRPr="00181EF3">
              <w:rPr>
                <w:sz w:val="16"/>
              </w:rPr>
              <w:t>LC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336626B6" w14:textId="77777777" w:rsidR="005D05F9" w:rsidRPr="00181EF3" w:rsidRDefault="005D05F9" w:rsidP="005D05F9">
            <w:pPr>
              <w:pStyle w:val="TableText"/>
              <w:jc w:val="center"/>
              <w:rPr>
                <w:sz w:val="16"/>
              </w:rPr>
            </w:pPr>
            <w:r w:rsidRPr="00181EF3">
              <w:rPr>
                <w:sz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0E7E57D" w14:textId="77777777" w:rsidR="005D05F9" w:rsidRPr="00181EF3" w:rsidRDefault="005D05F9" w:rsidP="005D05F9">
            <w:pPr>
              <w:pStyle w:val="TableText"/>
              <w:jc w:val="center"/>
              <w:rPr>
                <w:sz w:val="16"/>
              </w:rPr>
            </w:pPr>
            <w:r w:rsidRPr="00181EF3">
              <w:rPr>
                <w:sz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B5BD04B" w14:textId="77777777" w:rsidR="005D05F9" w:rsidRPr="00181EF3" w:rsidRDefault="005D05F9" w:rsidP="005D05F9">
            <w:pPr>
              <w:pStyle w:val="TableText"/>
              <w:jc w:val="center"/>
              <w:rPr>
                <w:sz w:val="16"/>
              </w:rPr>
            </w:pPr>
            <w:r w:rsidRPr="00181EF3">
              <w:rPr>
                <w:sz w:val="16"/>
              </w:rPr>
              <w:t>LC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5C5285AA" w14:textId="77777777" w:rsidR="005D05F9" w:rsidRPr="00181EF3" w:rsidRDefault="005D05F9" w:rsidP="005D05F9">
            <w:pPr>
              <w:pStyle w:val="TableText"/>
              <w:jc w:val="center"/>
              <w:rPr>
                <w:sz w:val="16"/>
              </w:rPr>
            </w:pPr>
            <w:r w:rsidRPr="00181EF3">
              <w:rPr>
                <w:sz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4DEC257" w14:textId="77777777" w:rsidR="005D05F9" w:rsidRPr="00181EF3" w:rsidRDefault="005D05F9" w:rsidP="005D05F9">
            <w:pPr>
              <w:pStyle w:val="TableText"/>
              <w:jc w:val="center"/>
              <w:rPr>
                <w:sz w:val="16"/>
              </w:rPr>
            </w:pPr>
            <w:r w:rsidRPr="00181EF3">
              <w:rPr>
                <w:sz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0D27FE9" w14:textId="77777777" w:rsidR="005D05F9" w:rsidRPr="00181EF3" w:rsidRDefault="005D05F9" w:rsidP="005D05F9">
            <w:pPr>
              <w:pStyle w:val="TableText"/>
              <w:jc w:val="center"/>
              <w:rPr>
                <w:sz w:val="16"/>
              </w:rPr>
            </w:pPr>
            <w:r w:rsidRPr="00181EF3">
              <w:rPr>
                <w:sz w:val="16"/>
              </w:rPr>
              <w:t>LC</w:t>
            </w:r>
          </w:p>
        </w:tc>
      </w:tr>
      <w:tr w:rsidR="005D05F9" w:rsidRPr="00181EF3" w14:paraId="55C273B9" w14:textId="77777777" w:rsidTr="005D05F9">
        <w:tc>
          <w:tcPr>
            <w:tcW w:w="567" w:type="dxa"/>
            <w:vMerge/>
            <w:tcBorders>
              <w:bottom w:val="single" w:sz="4" w:space="0" w:color="A6A6A6" w:themeColor="background1" w:themeShade="A6"/>
            </w:tcBorders>
          </w:tcPr>
          <w:p w14:paraId="32915B16" w14:textId="77777777" w:rsidR="005D05F9" w:rsidRPr="00181EF3" w:rsidRDefault="005D05F9" w:rsidP="005D05F9">
            <w:pPr>
              <w:pStyle w:val="TableText"/>
              <w:rPr>
                <w:sz w:val="16"/>
                <w:szCs w:val="16"/>
              </w:rPr>
            </w:pPr>
          </w:p>
        </w:tc>
        <w:tc>
          <w:tcPr>
            <w:tcW w:w="430" w:type="dxa"/>
            <w:tcBorders>
              <w:top w:val="single" w:sz="4" w:space="0" w:color="A6A6A6" w:themeColor="background1" w:themeShade="A6"/>
              <w:bottom w:val="single" w:sz="4" w:space="0" w:color="A6A6A6" w:themeColor="background1" w:themeShade="A6"/>
            </w:tcBorders>
            <w:shd w:val="clear" w:color="auto" w:fill="auto"/>
          </w:tcPr>
          <w:p w14:paraId="0D603C1A" w14:textId="77777777" w:rsidR="005D05F9" w:rsidRPr="00181EF3" w:rsidRDefault="005D05F9" w:rsidP="005D05F9">
            <w:pPr>
              <w:pStyle w:val="TableText"/>
              <w:jc w:val="center"/>
              <w:rPr>
                <w:sz w:val="16"/>
                <w:szCs w:val="16"/>
              </w:rPr>
            </w:pPr>
            <w:r w:rsidRPr="00181EF3">
              <w:rPr>
                <w:sz w:val="16"/>
                <w:szCs w:val="16"/>
              </w:rPr>
              <w:t>5</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3FEE7482" w14:textId="77777777" w:rsidR="005D05F9" w:rsidRPr="00181EF3" w:rsidRDefault="005D05F9" w:rsidP="005D05F9">
            <w:pPr>
              <w:pStyle w:val="TableText"/>
              <w:jc w:val="center"/>
              <w:rPr>
                <w:sz w:val="16"/>
              </w:rPr>
            </w:pPr>
            <w:r w:rsidRPr="00181EF3">
              <w:rPr>
                <w:sz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9F86882" w14:textId="77777777" w:rsidR="005D05F9" w:rsidRPr="00181EF3" w:rsidRDefault="005D05F9" w:rsidP="005D05F9">
            <w:pPr>
              <w:pStyle w:val="TableText"/>
              <w:jc w:val="center"/>
              <w:rPr>
                <w:sz w:val="16"/>
              </w:rPr>
            </w:pPr>
            <w:r w:rsidRPr="00181EF3">
              <w:rPr>
                <w:sz w:val="16"/>
              </w:rPr>
              <w:t>LC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09CE0F6F" w14:textId="77777777" w:rsidR="005D05F9" w:rsidRPr="00181EF3" w:rsidRDefault="005D05F9" w:rsidP="005D05F9">
            <w:pPr>
              <w:pStyle w:val="TableText"/>
              <w:jc w:val="center"/>
              <w:rPr>
                <w:sz w:val="16"/>
              </w:rPr>
            </w:pPr>
            <w:r w:rsidRPr="00181EF3">
              <w:rPr>
                <w:sz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132BE63" w14:textId="77777777" w:rsidR="005D05F9" w:rsidRPr="00181EF3" w:rsidRDefault="005D05F9" w:rsidP="005D05F9">
            <w:pPr>
              <w:pStyle w:val="TableText"/>
              <w:jc w:val="center"/>
              <w:rPr>
                <w:sz w:val="16"/>
              </w:rPr>
            </w:pPr>
            <w:r w:rsidRPr="00181EF3">
              <w:rPr>
                <w:sz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2BEA41F" w14:textId="77777777" w:rsidR="005D05F9" w:rsidRPr="00181EF3" w:rsidRDefault="005D05F9" w:rsidP="005D05F9">
            <w:pPr>
              <w:pStyle w:val="TableText"/>
              <w:jc w:val="center"/>
              <w:rPr>
                <w:sz w:val="16"/>
              </w:rPr>
            </w:pPr>
            <w:r w:rsidRPr="00181EF3">
              <w:rPr>
                <w:sz w:val="16"/>
              </w:rPr>
              <w:t>LC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76AB1007" w14:textId="77777777" w:rsidR="005D05F9" w:rsidRPr="00181EF3" w:rsidRDefault="005D05F9" w:rsidP="005D05F9">
            <w:pPr>
              <w:pStyle w:val="TableText"/>
              <w:jc w:val="center"/>
              <w:rPr>
                <w:sz w:val="16"/>
              </w:rPr>
            </w:pPr>
            <w:r w:rsidRPr="00181EF3">
              <w:rPr>
                <w:sz w:val="16"/>
              </w:rPr>
              <w:t>CC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B92C36C" w14:textId="77777777" w:rsidR="005D05F9" w:rsidRPr="00181EF3" w:rsidRDefault="005D05F9" w:rsidP="005D05F9">
            <w:pPr>
              <w:pStyle w:val="TableText"/>
              <w:jc w:val="center"/>
              <w:rPr>
                <w:sz w:val="16"/>
              </w:rPr>
            </w:pPr>
            <w:r w:rsidRPr="00181EF3">
              <w:rPr>
                <w:sz w:val="16"/>
              </w:rPr>
              <w:t>CC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85FC8D8" w14:textId="77777777" w:rsidR="005D05F9" w:rsidRPr="00181EF3" w:rsidRDefault="005D05F9" w:rsidP="005D05F9">
            <w:pPr>
              <w:pStyle w:val="TableText"/>
              <w:jc w:val="center"/>
              <w:rPr>
                <w:sz w:val="16"/>
              </w:rPr>
            </w:pPr>
            <w:r w:rsidRPr="00181EF3">
              <w:rPr>
                <w:sz w:val="16"/>
              </w:rPr>
              <w:t>LC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3DA8F2AA" w14:textId="77777777" w:rsidR="005D05F9" w:rsidRPr="00181EF3" w:rsidRDefault="005D05F9" w:rsidP="005D05F9">
            <w:pPr>
              <w:pStyle w:val="TableText"/>
              <w:jc w:val="center"/>
              <w:rPr>
                <w:sz w:val="16"/>
              </w:rPr>
            </w:pPr>
            <w:r w:rsidRPr="00181EF3">
              <w:rPr>
                <w:sz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57248B0" w14:textId="77777777" w:rsidR="005D05F9" w:rsidRPr="00181EF3" w:rsidRDefault="005D05F9" w:rsidP="005D05F9">
            <w:pPr>
              <w:pStyle w:val="TableText"/>
              <w:jc w:val="center"/>
              <w:rPr>
                <w:sz w:val="16"/>
              </w:rPr>
            </w:pPr>
            <w:r w:rsidRPr="00181EF3">
              <w:rPr>
                <w:sz w:val="16"/>
              </w:rPr>
              <w:t>LC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C5B551D" w14:textId="77777777" w:rsidR="005D05F9" w:rsidRPr="00181EF3" w:rsidRDefault="005D05F9" w:rsidP="005D05F9">
            <w:pPr>
              <w:pStyle w:val="TableText"/>
              <w:jc w:val="center"/>
              <w:rPr>
                <w:sz w:val="16"/>
              </w:rPr>
            </w:pPr>
            <w:r w:rsidRPr="00181EF3">
              <w:rPr>
                <w:sz w:val="16"/>
              </w:rPr>
              <w:t>CC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36DD16D2" w14:textId="77777777" w:rsidR="005D05F9" w:rsidRPr="00181EF3" w:rsidRDefault="005D05F9" w:rsidP="005D05F9">
            <w:pPr>
              <w:pStyle w:val="TableText"/>
              <w:jc w:val="center"/>
              <w:rPr>
                <w:sz w:val="16"/>
              </w:rPr>
            </w:pPr>
            <w:r w:rsidRPr="00181EF3">
              <w:rPr>
                <w:sz w:val="16"/>
              </w:rPr>
              <w:t>CC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AC15599" w14:textId="77777777" w:rsidR="005D05F9" w:rsidRPr="00181EF3" w:rsidRDefault="005D05F9" w:rsidP="005D05F9">
            <w:pPr>
              <w:pStyle w:val="TableText"/>
              <w:jc w:val="center"/>
              <w:rPr>
                <w:sz w:val="16"/>
              </w:rPr>
            </w:pPr>
            <w:r w:rsidRPr="00181EF3">
              <w:rPr>
                <w:sz w:val="16"/>
              </w:rPr>
              <w:t>CC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5FDAA38" w14:textId="77777777" w:rsidR="005D05F9" w:rsidRPr="00181EF3" w:rsidRDefault="005D05F9" w:rsidP="005D05F9">
            <w:pPr>
              <w:pStyle w:val="TableText"/>
              <w:jc w:val="center"/>
              <w:rPr>
                <w:sz w:val="16"/>
              </w:rPr>
            </w:pPr>
            <w:r w:rsidRPr="00181EF3">
              <w:rPr>
                <w:sz w:val="16"/>
              </w:rPr>
              <w:t>CC</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2F7805CE" w14:textId="77777777" w:rsidR="005D05F9" w:rsidRPr="00181EF3" w:rsidRDefault="005D05F9" w:rsidP="005D05F9">
            <w:pPr>
              <w:pStyle w:val="TableText"/>
              <w:jc w:val="center"/>
              <w:rPr>
                <w:sz w:val="16"/>
              </w:rPr>
            </w:pPr>
            <w:r w:rsidRPr="00181EF3">
              <w:rPr>
                <w:sz w:val="16"/>
              </w:rPr>
              <w:t>CC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A83730C" w14:textId="77777777" w:rsidR="005D05F9" w:rsidRPr="00181EF3" w:rsidRDefault="005D05F9" w:rsidP="005D05F9">
            <w:pPr>
              <w:pStyle w:val="TableText"/>
              <w:jc w:val="center"/>
              <w:rPr>
                <w:sz w:val="16"/>
              </w:rPr>
            </w:pPr>
            <w:r w:rsidRPr="00181EF3">
              <w:rPr>
                <w:sz w:val="16"/>
              </w:rPr>
              <w:t>CC</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FE16A94" w14:textId="77777777" w:rsidR="005D05F9" w:rsidRPr="00181EF3" w:rsidRDefault="005D05F9" w:rsidP="005D05F9">
            <w:pPr>
              <w:pStyle w:val="TableText"/>
              <w:jc w:val="center"/>
              <w:rPr>
                <w:sz w:val="16"/>
              </w:rPr>
            </w:pPr>
            <w:r w:rsidRPr="00181EF3">
              <w:rPr>
                <w:sz w:val="16"/>
              </w:rPr>
              <w:t>CC</w:t>
            </w:r>
          </w:p>
        </w:tc>
      </w:tr>
    </w:tbl>
    <w:p w14:paraId="1FDE76BF" w14:textId="77777777" w:rsidR="005D05F9" w:rsidRPr="00181EF3" w:rsidRDefault="00CD34CF" w:rsidP="005D05F9">
      <w:pPr>
        <w:pStyle w:val="Note"/>
      </w:pPr>
      <w:r>
        <w:t>N</w:t>
      </w:r>
      <w:r w:rsidRPr="009074BE">
        <w:t>ote:</w:t>
      </w:r>
      <w:r>
        <w:t xml:space="preserve"> Prioritised ethnicity has been used.</w:t>
      </w:r>
    </w:p>
    <w:p w14:paraId="347E3E80" w14:textId="00B644C2" w:rsidR="005D05F9" w:rsidRPr="00181EF3" w:rsidRDefault="005D05F9" w:rsidP="005D05F9">
      <w:pPr>
        <w:pStyle w:val="Source"/>
      </w:pPr>
      <w:r w:rsidRPr="00181EF3">
        <w:t>Source: Mortality Collection Data Set (MORT), Ministry of Health</w:t>
      </w:r>
      <w:r w:rsidR="0094130D">
        <w:t>,</w:t>
      </w:r>
      <w:r w:rsidRPr="00181EF3">
        <w:t xml:space="preserve"> 1996–201</w:t>
      </w:r>
      <w:r>
        <w:t>4</w:t>
      </w:r>
      <w:r w:rsidRPr="00181EF3">
        <w:t>.</w:t>
      </w:r>
    </w:p>
    <w:p w14:paraId="6A30886B" w14:textId="77777777" w:rsidR="005D05F9" w:rsidRPr="00181EF3" w:rsidRDefault="005D05F9" w:rsidP="005D05F9"/>
    <w:p w14:paraId="62EE5B7E" w14:textId="26E7455B" w:rsidR="005D05F9" w:rsidRPr="00181EF3" w:rsidRDefault="005D05F9" w:rsidP="005D05F9">
      <w:r w:rsidRPr="00181EF3">
        <w:t xml:space="preserve">Table </w:t>
      </w:r>
      <w:r w:rsidR="00CD34CF">
        <w:t>22</w:t>
      </w:r>
      <w:r w:rsidRPr="00181EF3">
        <w:t xml:space="preserve"> shows the ranking of major causes of premature death, based on years of life lost, for Māori and </w:t>
      </w:r>
      <w:r w:rsidR="00EC03A3">
        <w:t>non</w:t>
      </w:r>
      <w:r w:rsidR="00EC03A3">
        <w:noBreakHyphen/>
        <w:t>M</w:t>
      </w:r>
      <w:r w:rsidRPr="00181EF3">
        <w:t>āori females between 1996–98 and 2012–14.</w:t>
      </w:r>
    </w:p>
    <w:p w14:paraId="6D38DCD1" w14:textId="77777777" w:rsidR="005D05F9" w:rsidRPr="00181EF3" w:rsidRDefault="005D05F9" w:rsidP="005D05F9"/>
    <w:p w14:paraId="397C3B48" w14:textId="77777777" w:rsidR="005D05F9" w:rsidRPr="00181EF3" w:rsidRDefault="005D05F9" w:rsidP="005D05F9">
      <w:r w:rsidRPr="00181EF3">
        <w:t>The leading cause of premature death, based on years of life lost, for Māori females was ischaemic heart disease between 1996–98 and 2006–08 and lung cancer from 2007–09 to 2012–14.</w:t>
      </w:r>
    </w:p>
    <w:p w14:paraId="6DFB0EA6" w14:textId="77777777" w:rsidR="005D05F9" w:rsidRPr="00181EF3" w:rsidRDefault="005D05F9" w:rsidP="005D05F9"/>
    <w:p w14:paraId="536DD9CF" w14:textId="77777777" w:rsidR="005D05F9" w:rsidRPr="00181EF3" w:rsidRDefault="005D05F9" w:rsidP="005D05F9">
      <w:r w:rsidRPr="00181EF3">
        <w:t>The second leading cause of premature death, based on years of life lost, for Māori females was lung cancer between 1996–98 and 2006–08 and ischaemic heart disease from 2007–09 to 2012–14.</w:t>
      </w:r>
    </w:p>
    <w:p w14:paraId="3849BC6E" w14:textId="77777777" w:rsidR="005D05F9" w:rsidRPr="00181EF3" w:rsidRDefault="005D05F9" w:rsidP="005D05F9"/>
    <w:p w14:paraId="7FCEA6D1" w14:textId="25F90B06" w:rsidR="005D05F9" w:rsidRPr="00181EF3" w:rsidRDefault="005D05F9" w:rsidP="005D05F9">
      <w:r w:rsidRPr="00181EF3">
        <w:t xml:space="preserve">The leading cause of premature death, based on years of life lost, for </w:t>
      </w:r>
      <w:r w:rsidR="00EC03A3">
        <w:t>non</w:t>
      </w:r>
      <w:r w:rsidR="00EC03A3">
        <w:noBreakHyphen/>
        <w:t>M</w:t>
      </w:r>
      <w:r w:rsidRPr="00181EF3">
        <w:t>āori females was ischaemic heart disease between 1996–98 and 2012–14.</w:t>
      </w:r>
    </w:p>
    <w:p w14:paraId="35E29E7B" w14:textId="77777777" w:rsidR="005D05F9" w:rsidRPr="00181EF3" w:rsidRDefault="005D05F9" w:rsidP="005D05F9"/>
    <w:p w14:paraId="51E6A694" w14:textId="13134AA1" w:rsidR="005D05F9" w:rsidRPr="00181EF3" w:rsidRDefault="005D05F9" w:rsidP="006A1360">
      <w:pPr>
        <w:keepNext/>
      </w:pPr>
      <w:r w:rsidRPr="00181EF3">
        <w:lastRenderedPageBreak/>
        <w:t xml:space="preserve">The second leading cause of premature death, based on years of life lost, for </w:t>
      </w:r>
      <w:r w:rsidR="00EC03A3">
        <w:t>non</w:t>
      </w:r>
      <w:r w:rsidR="00EC03A3">
        <w:noBreakHyphen/>
        <w:t>M</w:t>
      </w:r>
      <w:r w:rsidRPr="00181EF3">
        <w:t>āori females was cerebrovascular disease (stroke) between 1996–98 and</w:t>
      </w:r>
      <w:r w:rsidR="006A1360">
        <w:br/>
      </w:r>
      <w:r w:rsidRPr="00181EF3">
        <w:t>2012–14.</w:t>
      </w:r>
    </w:p>
    <w:p w14:paraId="18916A10" w14:textId="77777777" w:rsidR="005D05F9" w:rsidRPr="00181EF3" w:rsidRDefault="005D05F9" w:rsidP="006A1360">
      <w:pPr>
        <w:keepNext/>
      </w:pPr>
    </w:p>
    <w:p w14:paraId="1D9EA9AD" w14:textId="056A754D" w:rsidR="005D05F9" w:rsidRPr="00181EF3" w:rsidRDefault="005D05F9" w:rsidP="005D05F9">
      <w:r w:rsidRPr="00181EF3">
        <w:t xml:space="preserve">Diabetes and chronic obstructive pulmonary disease frequently occurred in the five leading causes of premature death for Māori females between 1996–98 and 2012–14 but did not occur in the leading causes of premature death for </w:t>
      </w:r>
      <w:r w:rsidR="00EC03A3">
        <w:t>non</w:t>
      </w:r>
      <w:r w:rsidR="00EC03A3">
        <w:noBreakHyphen/>
        <w:t>M</w:t>
      </w:r>
      <w:r w:rsidRPr="00181EF3">
        <w:t>āori.</w:t>
      </w:r>
    </w:p>
    <w:p w14:paraId="6AE01EB9" w14:textId="77777777" w:rsidR="005D05F9" w:rsidRPr="00181EF3" w:rsidRDefault="005D05F9" w:rsidP="005D05F9"/>
    <w:p w14:paraId="330786FC" w14:textId="2F27DC81" w:rsidR="00CD34CF" w:rsidRDefault="005D05F9" w:rsidP="005D05F9">
      <w:r w:rsidRPr="00181EF3">
        <w:t xml:space="preserve">Colorectal cancer occurred frequently in the five leading causes of premature death for </w:t>
      </w:r>
      <w:r w:rsidR="00EC03A3">
        <w:t>non</w:t>
      </w:r>
      <w:r w:rsidR="00EC03A3">
        <w:noBreakHyphen/>
        <w:t>M</w:t>
      </w:r>
      <w:r w:rsidRPr="00181EF3">
        <w:t>āori females between 1996–98 and 2012–14 but did not occur in the leading causes of premature death for Māori.</w:t>
      </w:r>
    </w:p>
    <w:p w14:paraId="42D23B0D" w14:textId="4500EA39" w:rsidR="00CD34CF" w:rsidRDefault="00CD34CF"/>
    <w:p w14:paraId="163042D5" w14:textId="77777777" w:rsidR="00910411" w:rsidRPr="00181EF3" w:rsidRDefault="00910411" w:rsidP="00E333AB">
      <w:pPr>
        <w:pStyle w:val="Heading2"/>
        <w:pageBreakBefore/>
        <w:spacing w:before="0"/>
        <w:rPr>
          <w:noProof/>
          <w:lang w:eastAsia="en-NZ"/>
        </w:rPr>
      </w:pPr>
      <w:bookmarkStart w:id="114" w:name="_Toc14718617"/>
      <w:bookmarkStart w:id="115" w:name="_Toc19102329"/>
      <w:r>
        <w:rPr>
          <w:noProof/>
          <w:lang w:eastAsia="en-NZ"/>
        </w:rPr>
        <w:lastRenderedPageBreak/>
        <w:t>C</w:t>
      </w:r>
      <w:r w:rsidRPr="00181EF3">
        <w:rPr>
          <w:noProof/>
          <w:lang w:eastAsia="en-NZ"/>
        </w:rPr>
        <w:t>ardiovascular disease</w:t>
      </w:r>
      <w:bookmarkEnd w:id="114"/>
      <w:bookmarkEnd w:id="115"/>
    </w:p>
    <w:p w14:paraId="5480A870" w14:textId="3A966E05" w:rsidR="00910411" w:rsidRDefault="00910411" w:rsidP="00910411">
      <w:r w:rsidRPr="00181EF3">
        <w:rPr>
          <w:noProof/>
          <w:lang w:eastAsia="en-NZ"/>
        </w:rPr>
        <w:t xml:space="preserve">Cardiovascular disease is the leading cause of death both globally, and within New Zealand for both the Māori and </w:t>
      </w:r>
      <w:r w:rsidR="00EC03A3">
        <w:rPr>
          <w:noProof/>
          <w:lang w:eastAsia="en-NZ"/>
        </w:rPr>
        <w:t>non</w:t>
      </w:r>
      <w:r w:rsidR="00EC03A3">
        <w:rPr>
          <w:noProof/>
          <w:lang w:eastAsia="en-NZ"/>
        </w:rPr>
        <w:noBreakHyphen/>
        <w:t>M</w:t>
      </w:r>
      <w:r w:rsidRPr="00181EF3">
        <w:rPr>
          <w:noProof/>
          <w:lang w:eastAsia="en-NZ"/>
        </w:rPr>
        <w:t>āori populations</w:t>
      </w:r>
      <w:r w:rsidR="001F1060">
        <w:rPr>
          <w:noProof/>
          <w:lang w:eastAsia="en-NZ"/>
        </w:rPr>
        <w:t>, contributing to many hospitalisations</w:t>
      </w:r>
      <w:r w:rsidRPr="00181EF3">
        <w:rPr>
          <w:noProof/>
          <w:lang w:eastAsia="en-NZ"/>
        </w:rPr>
        <w:t>.</w:t>
      </w:r>
      <w:r w:rsidRPr="00E333AB">
        <w:rPr>
          <w:rStyle w:val="FootnoteReference"/>
          <w:rFonts w:eastAsia="MS Gothic"/>
        </w:rPr>
        <w:footnoteReference w:id="3"/>
      </w:r>
      <w:r w:rsidRPr="00181EF3">
        <w:rPr>
          <w:noProof/>
          <w:lang w:eastAsia="en-NZ"/>
        </w:rPr>
        <w:t xml:space="preserve"> This </w:t>
      </w:r>
      <w:r w:rsidR="001F1060">
        <w:rPr>
          <w:noProof/>
          <w:lang w:eastAsia="en-NZ"/>
        </w:rPr>
        <w:t>section</w:t>
      </w:r>
      <w:r w:rsidRPr="00181EF3">
        <w:rPr>
          <w:noProof/>
          <w:lang w:eastAsia="en-NZ"/>
        </w:rPr>
        <w:t xml:space="preserve"> </w:t>
      </w:r>
      <w:r w:rsidR="000D102F">
        <w:rPr>
          <w:noProof/>
          <w:lang w:eastAsia="en-NZ"/>
        </w:rPr>
        <w:t>present</w:t>
      </w:r>
      <w:r w:rsidRPr="00181EF3">
        <w:rPr>
          <w:noProof/>
          <w:lang w:eastAsia="en-NZ"/>
        </w:rPr>
        <w:t xml:space="preserve">s the trends related to cardiovascular disease mortality </w:t>
      </w:r>
      <w:r w:rsidR="001F1060">
        <w:rPr>
          <w:noProof/>
          <w:lang w:eastAsia="en-NZ"/>
        </w:rPr>
        <w:t xml:space="preserve">and hospitalisation rates over time </w:t>
      </w:r>
      <w:r w:rsidRPr="00181EF3">
        <w:t xml:space="preserve">for Māori and </w:t>
      </w:r>
      <w:r w:rsidR="00EC03A3">
        <w:t>non</w:t>
      </w:r>
      <w:r w:rsidR="00EC03A3">
        <w:noBreakHyphen/>
        <w:t>M</w:t>
      </w:r>
      <w:r w:rsidRPr="00181EF3">
        <w:t>āori adults aged 35+</w:t>
      </w:r>
      <w:r w:rsidR="00E333AB">
        <w:t> </w:t>
      </w:r>
      <w:r w:rsidRPr="00181EF3">
        <w:t>years.</w:t>
      </w:r>
    </w:p>
    <w:p w14:paraId="66CAC054" w14:textId="77777777" w:rsidR="001F1060" w:rsidRDefault="001F1060" w:rsidP="00910411"/>
    <w:p w14:paraId="0B414916" w14:textId="77777777" w:rsidR="001F1060" w:rsidRPr="00181EF3" w:rsidRDefault="001F1060" w:rsidP="001F1060">
      <w:pPr>
        <w:rPr>
          <w:noProof/>
          <w:lang w:eastAsia="en-NZ"/>
        </w:rPr>
      </w:pPr>
      <w:r w:rsidRPr="00181EF3">
        <w:rPr>
          <w:noProof/>
          <w:lang w:eastAsia="en-NZ"/>
        </w:rPr>
        <w:t>Hospitalisation and proceedure rates are an important indicator of both access to health care and the burden of a disease on a population. The rates help to describe the use of health care resources, and inform on areas of improvement, particularly on preventable disease such as some cardioascular diseases.</w:t>
      </w:r>
    </w:p>
    <w:p w14:paraId="629D7A0D" w14:textId="77777777" w:rsidR="001F1060" w:rsidRPr="00181EF3" w:rsidRDefault="001F1060" w:rsidP="001F1060">
      <w:pPr>
        <w:rPr>
          <w:noProof/>
          <w:lang w:eastAsia="en-NZ"/>
        </w:rPr>
      </w:pPr>
    </w:p>
    <w:p w14:paraId="4E60333E" w14:textId="77777777" w:rsidR="001F1060" w:rsidRDefault="001F1060" w:rsidP="001F1060">
      <w:pPr>
        <w:rPr>
          <w:noProof/>
          <w:spacing w:val="-2"/>
          <w:lang w:eastAsia="en-NZ"/>
        </w:rPr>
      </w:pPr>
      <w:r w:rsidRPr="00181EF3">
        <w:rPr>
          <w:noProof/>
          <w:spacing w:val="-2"/>
          <w:lang w:eastAsia="en-NZ"/>
        </w:rPr>
        <w:t>In 1996, hospitalisation data began collecting multiple responses for ethnicity data, hence this is the start date of our analysis to ensure a valid time series analysis.</w:t>
      </w:r>
    </w:p>
    <w:p w14:paraId="2D635899" w14:textId="77777777" w:rsidR="00E333AB" w:rsidRPr="00181EF3" w:rsidRDefault="00E333AB" w:rsidP="001F1060"/>
    <w:p w14:paraId="5B9AA84A" w14:textId="77777777" w:rsidR="00910411" w:rsidRPr="00181EF3" w:rsidRDefault="00910411" w:rsidP="001F1060">
      <w:pPr>
        <w:pStyle w:val="Heading3"/>
      </w:pPr>
      <w:bookmarkStart w:id="116" w:name="_Toc19102330"/>
      <w:r w:rsidRPr="00181EF3">
        <w:t>What is the data telling us?</w:t>
      </w:r>
      <w:bookmarkEnd w:id="116"/>
    </w:p>
    <w:p w14:paraId="573705C2" w14:textId="77777777" w:rsidR="001F1060" w:rsidRDefault="001F1060" w:rsidP="001F1060">
      <w:pPr>
        <w:pStyle w:val="Shadedboxheading"/>
      </w:pPr>
      <w:r>
        <w:t>Mortality</w:t>
      </w:r>
    </w:p>
    <w:p w14:paraId="74E4CC60" w14:textId="77777777" w:rsidR="00910411" w:rsidRPr="00181EF3" w:rsidRDefault="00910411" w:rsidP="00910411">
      <w:pPr>
        <w:pStyle w:val="Shadedboxtext"/>
      </w:pPr>
      <w:r w:rsidRPr="00181EF3">
        <w:t>Overall the data shows that between 1996–98 and 2012–14, for adults aged 35+ years:</w:t>
      </w:r>
    </w:p>
    <w:p w14:paraId="0881641B" w14:textId="13C6013A" w:rsidR="00910411" w:rsidRPr="00181EF3" w:rsidRDefault="00910411" w:rsidP="00910411">
      <w:pPr>
        <w:pStyle w:val="Shadedboxbullet"/>
      </w:pPr>
      <w:r w:rsidRPr="00181EF3">
        <w:t xml:space="preserve">Mortality rates for both Māori and </w:t>
      </w:r>
      <w:r w:rsidR="00EC03A3">
        <w:t>non</w:t>
      </w:r>
      <w:r w:rsidR="00EC03A3">
        <w:noBreakHyphen/>
        <w:t>M</w:t>
      </w:r>
      <w:r w:rsidRPr="00181EF3">
        <w:t>āori in all cardiovascular disease indicators have been decreasing over time, often by more than 50 percent.</w:t>
      </w:r>
    </w:p>
    <w:p w14:paraId="66EA2291" w14:textId="1240B18D" w:rsidR="00910411" w:rsidRPr="00181EF3" w:rsidRDefault="00910411" w:rsidP="00910411">
      <w:pPr>
        <w:pStyle w:val="Shadedboxbullet"/>
      </w:pPr>
      <w:r w:rsidRPr="00181EF3">
        <w:t xml:space="preserve">Mortality rates in all cardiovascular disease indicators were higher for Māori compared </w:t>
      </w:r>
      <w:r w:rsidR="00FF1892">
        <w:t>with</w:t>
      </w:r>
      <w:r w:rsidR="00FF1892" w:rsidRPr="00181EF3">
        <w:t xml:space="preserve"> </w:t>
      </w:r>
      <w:r w:rsidR="00EC03A3">
        <w:t>non</w:t>
      </w:r>
      <w:r w:rsidR="00EC03A3">
        <w:noBreakHyphen/>
        <w:t>M</w:t>
      </w:r>
      <w:r w:rsidRPr="00181EF3">
        <w:t>āori, often more than twice as high.</w:t>
      </w:r>
    </w:p>
    <w:p w14:paraId="3F3D0ECF" w14:textId="548ABF6A" w:rsidR="00910411" w:rsidRPr="00181EF3" w:rsidRDefault="00910411" w:rsidP="00910411">
      <w:pPr>
        <w:pStyle w:val="Shadedboxbullet"/>
      </w:pPr>
      <w:r w:rsidRPr="00181EF3">
        <w:t xml:space="preserve">The difference between Māori and </w:t>
      </w:r>
      <w:r w:rsidR="00EC03A3">
        <w:t>non</w:t>
      </w:r>
      <w:r w:rsidR="00EC03A3">
        <w:noBreakHyphen/>
        <w:t>M</w:t>
      </w:r>
      <w:r w:rsidRPr="00181EF3">
        <w:t xml:space="preserve">āori age-standardised heart failure mortality rates reduced by over 50 percent between 1996–98 and 2012–14. However, rates for Māori remain more than four times as high as those for </w:t>
      </w:r>
      <w:r w:rsidR="00EC03A3">
        <w:t>non</w:t>
      </w:r>
      <w:r w:rsidR="00EC03A3">
        <w:noBreakHyphen/>
        <w:t>M</w:t>
      </w:r>
      <w:r w:rsidRPr="00181EF3">
        <w:t>āori.</w:t>
      </w:r>
    </w:p>
    <w:p w14:paraId="246DF7E3" w14:textId="0A4B60A9" w:rsidR="00910411" w:rsidRPr="00181EF3" w:rsidRDefault="00910411" w:rsidP="00910411">
      <w:pPr>
        <w:pStyle w:val="Shadedboxbullet"/>
      </w:pPr>
      <w:r w:rsidRPr="00181EF3">
        <w:t xml:space="preserve">Between 1996–98 and 2012–14, heart failure and ischaemic heart disease mortality rates reduced by over 50 percent for both Māori and </w:t>
      </w:r>
      <w:r w:rsidR="00EC03A3">
        <w:t>non</w:t>
      </w:r>
      <w:r w:rsidR="00EC03A3">
        <w:noBreakHyphen/>
        <w:t>M</w:t>
      </w:r>
      <w:r w:rsidRPr="00181EF3">
        <w:t>āori.</w:t>
      </w:r>
    </w:p>
    <w:p w14:paraId="29CB8D64" w14:textId="06773EFE" w:rsidR="00910411" w:rsidRDefault="00910411" w:rsidP="00910411">
      <w:pPr>
        <w:pStyle w:val="Shadedboxbullet"/>
      </w:pPr>
      <w:r w:rsidRPr="00181EF3">
        <w:t>Between 1996–98 and 2012–14, total cardiovascular mortality rates reduced by 50 percent for Māori males and females, while rates reduced by 52</w:t>
      </w:r>
      <w:r w:rsidR="00E333AB">
        <w:t> </w:t>
      </w:r>
      <w:r w:rsidRPr="00181EF3">
        <w:t xml:space="preserve">percent for </w:t>
      </w:r>
      <w:r w:rsidR="00EC03A3">
        <w:t>non</w:t>
      </w:r>
      <w:r w:rsidR="00EC03A3">
        <w:noBreakHyphen/>
        <w:t>M</w:t>
      </w:r>
      <w:r w:rsidRPr="00181EF3">
        <w:t xml:space="preserve">āori males and by 47 percent for </w:t>
      </w:r>
      <w:r w:rsidR="00EC03A3">
        <w:t>non</w:t>
      </w:r>
      <w:r w:rsidR="00EC03A3">
        <w:noBreakHyphen/>
        <w:t>M</w:t>
      </w:r>
      <w:r w:rsidRPr="00181EF3">
        <w:t>āori females.</w:t>
      </w:r>
    </w:p>
    <w:p w14:paraId="0A6B3EC1" w14:textId="67D27899" w:rsidR="008A5642" w:rsidRDefault="0009232C" w:rsidP="00E333AB">
      <w:pPr>
        <w:pStyle w:val="Shadedboxbullet"/>
        <w:keepNext/>
        <w:numPr>
          <w:ilvl w:val="0"/>
          <w:numId w:val="0"/>
        </w:numPr>
        <w:spacing w:before="240"/>
        <w:ind w:left="284"/>
      </w:pPr>
      <w:r w:rsidRPr="00181EF3">
        <w:t xml:space="preserve">Overall the data shows that between 1996–98 and 2012–14, for </w:t>
      </w:r>
      <w:r w:rsidR="00836EA8">
        <w:t>adults aged 15+</w:t>
      </w:r>
      <w:r w:rsidR="00E333AB">
        <w:t> </w:t>
      </w:r>
      <w:r w:rsidR="00836EA8">
        <w:t>years</w:t>
      </w:r>
      <w:r>
        <w:t>:</w:t>
      </w:r>
    </w:p>
    <w:p w14:paraId="2DD059E3" w14:textId="2D6088BD" w:rsidR="00836EA8" w:rsidRDefault="0009232C" w:rsidP="0009232C">
      <w:pPr>
        <w:pStyle w:val="Shadedboxbullet"/>
      </w:pPr>
      <w:r>
        <w:t>T</w:t>
      </w:r>
      <w:r w:rsidR="00836EA8" w:rsidRPr="00181EF3">
        <w:t xml:space="preserve">he largest differences between Māori and </w:t>
      </w:r>
      <w:r w:rsidR="00EC03A3">
        <w:t>non</w:t>
      </w:r>
      <w:r w:rsidR="00EC03A3">
        <w:noBreakHyphen/>
        <w:t>M</w:t>
      </w:r>
      <w:r w:rsidR="00836EA8" w:rsidRPr="00181EF3">
        <w:t xml:space="preserve">āori rates were for chronic rheumatic heart disease, where rates for both Māori males and females were more than four times as high as those for </w:t>
      </w:r>
      <w:r w:rsidR="00EC03A3">
        <w:t>non</w:t>
      </w:r>
      <w:r w:rsidR="00EC03A3">
        <w:noBreakHyphen/>
        <w:t>M</w:t>
      </w:r>
      <w:r w:rsidR="00836EA8" w:rsidRPr="00181EF3">
        <w:t>āori males and females.</w:t>
      </w:r>
    </w:p>
    <w:p w14:paraId="2D15212C" w14:textId="77777777" w:rsidR="001F1060" w:rsidRDefault="001F1060" w:rsidP="001F1060">
      <w:pPr>
        <w:pStyle w:val="Shadedboxheading"/>
      </w:pPr>
      <w:r>
        <w:lastRenderedPageBreak/>
        <w:t>Hospitalisation</w:t>
      </w:r>
    </w:p>
    <w:p w14:paraId="1EA6684F" w14:textId="77777777" w:rsidR="001F1060" w:rsidRPr="00181EF3" w:rsidRDefault="001F1060" w:rsidP="001F1060">
      <w:pPr>
        <w:pStyle w:val="Shadedboxtext"/>
      </w:pPr>
      <w:r w:rsidRPr="00181EF3">
        <w:t>Overall the data shows that between 1996–98 and 2014–16, for adults aged 35+ years:</w:t>
      </w:r>
    </w:p>
    <w:p w14:paraId="70FC5193" w14:textId="27630B78" w:rsidR="001F1060" w:rsidRPr="00181EF3" w:rsidRDefault="001F1060" w:rsidP="001F1060">
      <w:pPr>
        <w:pStyle w:val="Shadedboxbullet"/>
      </w:pPr>
      <w:r w:rsidRPr="00181EF3">
        <w:t xml:space="preserve">Māori males had higher rates of hospitalisation due to total cardiovascular disease compared </w:t>
      </w:r>
      <w:r w:rsidR="00FF1892">
        <w:t>with</w:t>
      </w:r>
      <w:r w:rsidR="00FF1892" w:rsidRPr="00181EF3">
        <w:t xml:space="preserve"> </w:t>
      </w:r>
      <w:r w:rsidR="00EC03A3">
        <w:t>non</w:t>
      </w:r>
      <w:r w:rsidR="00EC03A3">
        <w:noBreakHyphen/>
        <w:t>M</w:t>
      </w:r>
      <w:r w:rsidRPr="00181EF3">
        <w:t xml:space="preserve">āori males, as did Māori females compared </w:t>
      </w:r>
      <w:r w:rsidR="00FF1892">
        <w:t>with</w:t>
      </w:r>
      <w:r w:rsidR="00FF1892" w:rsidRPr="00181EF3">
        <w:t xml:space="preserve"> </w:t>
      </w:r>
      <w:r w:rsidR="00EC03A3">
        <w:t>non</w:t>
      </w:r>
      <w:r w:rsidR="00EC03A3">
        <w:noBreakHyphen/>
        <w:t>M</w:t>
      </w:r>
      <w:r w:rsidRPr="00181EF3">
        <w:t>āori females.</w:t>
      </w:r>
    </w:p>
    <w:p w14:paraId="1AD25B0F" w14:textId="449E93E0" w:rsidR="001F1060" w:rsidRPr="00181EF3" w:rsidRDefault="001F1060" w:rsidP="001F1060">
      <w:pPr>
        <w:pStyle w:val="Shadedboxbullet"/>
      </w:pPr>
      <w:r w:rsidRPr="00181EF3">
        <w:t xml:space="preserve">Both Māori males and females, compared </w:t>
      </w:r>
      <w:r w:rsidR="00FF1892">
        <w:t>with</w:t>
      </w:r>
      <w:r w:rsidR="00FF1892" w:rsidRPr="00181EF3">
        <w:t xml:space="preserve"> </w:t>
      </w:r>
      <w:r w:rsidR="00EC03A3">
        <w:t>non</w:t>
      </w:r>
      <w:r w:rsidR="00EC03A3">
        <w:noBreakHyphen/>
        <w:t>M</w:t>
      </w:r>
      <w:r w:rsidRPr="00181EF3">
        <w:t>āori males and females, had higher rates of hospitalisation due to cerebrovascular disease (stroke), heart failure, chronic rheumatic heart disease, and ischaemic heart disease.</w:t>
      </w:r>
    </w:p>
    <w:p w14:paraId="12FBFC3C" w14:textId="7D470BE2" w:rsidR="001F1060" w:rsidRPr="00181EF3" w:rsidRDefault="001F1060" w:rsidP="001F1060">
      <w:pPr>
        <w:pStyle w:val="Shadedboxbullet"/>
      </w:pPr>
      <w:r w:rsidRPr="00181EF3">
        <w:t xml:space="preserve">Māori females also had higher rates of hospitalisation due all revascularisation heart disease procedures and coronary angioplasty procedures than </w:t>
      </w:r>
      <w:r w:rsidR="00EC03A3">
        <w:t>non</w:t>
      </w:r>
      <w:r w:rsidR="00EC03A3">
        <w:noBreakHyphen/>
        <w:t>M</w:t>
      </w:r>
      <w:r w:rsidRPr="00181EF3">
        <w:t>āori females.</w:t>
      </w:r>
    </w:p>
    <w:p w14:paraId="68083C99" w14:textId="7E0D1C1C" w:rsidR="001F1060" w:rsidRPr="00181EF3" w:rsidRDefault="001F1060" w:rsidP="00E333AB">
      <w:pPr>
        <w:pStyle w:val="Shadedboxbullet"/>
        <w:ind w:left="641" w:hanging="357"/>
      </w:pPr>
      <w:r w:rsidRPr="00181EF3">
        <w:t xml:space="preserve">Perhaps the largest differences between Māori and </w:t>
      </w:r>
      <w:r w:rsidR="00EC03A3">
        <w:t>non</w:t>
      </w:r>
      <w:r w:rsidR="00EC03A3">
        <w:noBreakHyphen/>
        <w:t>M</w:t>
      </w:r>
      <w:r w:rsidRPr="00181EF3">
        <w:t xml:space="preserve">āori rates were for heart failure hospitalisations, where rates for both Māori males and females were more than four times as high as those for </w:t>
      </w:r>
      <w:r w:rsidR="00EC03A3">
        <w:t>non</w:t>
      </w:r>
      <w:r w:rsidR="00EC03A3">
        <w:noBreakHyphen/>
        <w:t>M</w:t>
      </w:r>
      <w:r w:rsidRPr="00181EF3">
        <w:t>āori males and females.</w:t>
      </w:r>
    </w:p>
    <w:p w14:paraId="1F099945" w14:textId="097526C3" w:rsidR="001F1060" w:rsidRDefault="001F1060" w:rsidP="001F1060">
      <w:pPr>
        <w:pStyle w:val="Shadedboxbullet"/>
      </w:pPr>
      <w:r w:rsidRPr="00181EF3">
        <w:t xml:space="preserve">Cerebrovascular disease (stroke) rates of hospitalisation rates for Māori females were twice as high as those for </w:t>
      </w:r>
      <w:r w:rsidR="00EC03A3">
        <w:t>non</w:t>
      </w:r>
      <w:r w:rsidR="00EC03A3">
        <w:noBreakHyphen/>
        <w:t>M</w:t>
      </w:r>
      <w:r w:rsidRPr="00181EF3">
        <w:t>āori females.</w:t>
      </w:r>
    </w:p>
    <w:p w14:paraId="4E499DD1" w14:textId="77777777" w:rsidR="00836EA8" w:rsidRPr="00181EF3" w:rsidRDefault="00836EA8" w:rsidP="00E333AB">
      <w:pPr>
        <w:pStyle w:val="Shadedboxbullet"/>
        <w:numPr>
          <w:ilvl w:val="0"/>
          <w:numId w:val="0"/>
        </w:numPr>
        <w:spacing w:before="240"/>
        <w:ind w:left="284"/>
      </w:pPr>
      <w:r w:rsidRPr="00181EF3">
        <w:t xml:space="preserve">Overall the data shows that between 1996–98 and 2014–16, for adults aged </w:t>
      </w:r>
      <w:r>
        <w:t>1</w:t>
      </w:r>
      <w:r w:rsidRPr="00181EF3">
        <w:t>5+ years:</w:t>
      </w:r>
    </w:p>
    <w:p w14:paraId="79384C24" w14:textId="50B77E8E" w:rsidR="001F1060" w:rsidRPr="00181EF3" w:rsidRDefault="001F1060" w:rsidP="001F1060">
      <w:pPr>
        <w:pStyle w:val="Shadedboxbullet"/>
      </w:pPr>
      <w:r w:rsidRPr="00181EF3">
        <w:t xml:space="preserve">Māori females had higher rates of chronic rheumatic heart disease than both Māori males and </w:t>
      </w:r>
      <w:r w:rsidR="00EC03A3">
        <w:t>non</w:t>
      </w:r>
      <w:r w:rsidR="00EC03A3">
        <w:noBreakHyphen/>
        <w:t>M</w:t>
      </w:r>
      <w:r w:rsidRPr="00181EF3">
        <w:t xml:space="preserve">āori males and females, with Māori female rates four to five times as high as those of </w:t>
      </w:r>
      <w:r w:rsidR="00EC03A3">
        <w:t>non</w:t>
      </w:r>
      <w:r w:rsidR="00EC03A3">
        <w:noBreakHyphen/>
        <w:t>M</w:t>
      </w:r>
      <w:r w:rsidRPr="00181EF3">
        <w:t xml:space="preserve">āori females. Māori male rates were three to four times as high as those of </w:t>
      </w:r>
      <w:r w:rsidR="00EC03A3">
        <w:t>non</w:t>
      </w:r>
      <w:r w:rsidR="00EC03A3">
        <w:noBreakHyphen/>
        <w:t>M</w:t>
      </w:r>
      <w:r w:rsidRPr="00181EF3">
        <w:t>āori males.</w:t>
      </w:r>
    </w:p>
    <w:p w14:paraId="7FCDEC86" w14:textId="77777777" w:rsidR="00910411" w:rsidRPr="00181EF3" w:rsidRDefault="00910411" w:rsidP="00910411"/>
    <w:p w14:paraId="5012E282" w14:textId="77777777" w:rsidR="00910411" w:rsidRPr="00181EF3" w:rsidRDefault="00910411" w:rsidP="004F4663">
      <w:pPr>
        <w:pStyle w:val="Heading3"/>
        <w:pageBreakBefore/>
        <w:spacing w:before="0"/>
      </w:pPr>
      <w:bookmarkStart w:id="117" w:name="_Toc19102331"/>
      <w:r w:rsidRPr="00181EF3">
        <w:lastRenderedPageBreak/>
        <w:t>Total cardiovascular disease</w:t>
      </w:r>
      <w:bookmarkEnd w:id="117"/>
    </w:p>
    <w:p w14:paraId="7F886D7D" w14:textId="77777777" w:rsidR="00910411" w:rsidRDefault="00910411" w:rsidP="004F4663">
      <w:r w:rsidRPr="00181EF3">
        <w:t>Total cardiovascular disease is also referred to as diseases of the circulatory system (ICD 10 chapter IX, I00–I99) which includes but is not limited to: acute rheumatic fever, chronic rheumatic heart disease, ischaemic heart disease, heart failure, and cerebrovascular disease (stroke).</w:t>
      </w:r>
    </w:p>
    <w:p w14:paraId="04782EDB" w14:textId="77777777" w:rsidR="00E333AB" w:rsidRDefault="00E333AB" w:rsidP="004F4663"/>
    <w:p w14:paraId="2FDD5391" w14:textId="617872A8" w:rsidR="00910411" w:rsidRPr="00181EF3" w:rsidRDefault="00910411" w:rsidP="00910411">
      <w:pPr>
        <w:pStyle w:val="Figure"/>
      </w:pPr>
      <w:bookmarkStart w:id="118" w:name="_Toc19101870"/>
      <w:r w:rsidRPr="00181EF3">
        <w:t>Figure 1</w:t>
      </w:r>
      <w:r w:rsidR="001F1060">
        <w:t>9</w:t>
      </w:r>
      <w:r w:rsidRPr="00181EF3">
        <w:t>: Total cardiovascular disease mortality</w:t>
      </w:r>
      <w:r w:rsidR="00507AA7">
        <w:t xml:space="preserve"> rates</w:t>
      </w:r>
      <w:r w:rsidRPr="00181EF3">
        <w:t xml:space="preserve">, </w:t>
      </w:r>
      <w:r w:rsidR="00507AA7">
        <w:t>3</w:t>
      </w:r>
      <w:r w:rsidR="001F1060">
        <w:t xml:space="preserve">5+ years, </w:t>
      </w:r>
      <w:r w:rsidR="001F1060" w:rsidRPr="00181EF3">
        <w:t xml:space="preserve">by </w:t>
      </w:r>
      <w:r w:rsidR="001F1060">
        <w:t>gender</w:t>
      </w:r>
      <w:r w:rsidR="001F1060" w:rsidRPr="00181EF3">
        <w:t xml:space="preserve">, </w:t>
      </w:r>
      <w:r w:rsidR="001F1060">
        <w:t xml:space="preserve">Māori and </w:t>
      </w:r>
      <w:r w:rsidR="00EC03A3">
        <w:t>non</w:t>
      </w:r>
      <w:r w:rsidR="00EC03A3">
        <w:noBreakHyphen/>
        <w:t>M</w:t>
      </w:r>
      <w:r w:rsidR="001F1060">
        <w:t>āori</w:t>
      </w:r>
      <w:r w:rsidR="001F1060" w:rsidRPr="00181EF3">
        <w:t>,</w:t>
      </w:r>
      <w:r w:rsidR="00507AA7">
        <w:t xml:space="preserve"> </w:t>
      </w:r>
      <w:r w:rsidRPr="00181EF3">
        <w:t>1996–98 to 2012–14</w:t>
      </w:r>
      <w:bookmarkEnd w:id="118"/>
    </w:p>
    <w:p w14:paraId="58DB9E97" w14:textId="77777777" w:rsidR="00910411" w:rsidRPr="00181EF3" w:rsidRDefault="00910411" w:rsidP="00910411">
      <w:r w:rsidRPr="00181EF3">
        <w:rPr>
          <w:noProof/>
          <w:lang w:eastAsia="en-NZ"/>
        </w:rPr>
        <w:drawing>
          <wp:inline distT="0" distB="0" distL="0" distR="0" wp14:anchorId="2C44B451" wp14:editId="1787D1E2">
            <wp:extent cx="5130165" cy="2640171"/>
            <wp:effectExtent l="0" t="0" r="0" b="8255"/>
            <wp:docPr id="295" name="Picture 295" descr="The graphs show that heart disease mortality has decreased over time for all groups. Men have higher rates of heart disease death than women, and Māori have higher rates than non-Māori." title="Figure 19: Total cardiovascular disease mortality, age-standardised rates, Māori and non-Māori males and females, aged 35+ years, 1996–98 to 20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130165" cy="2640171"/>
                    </a:xfrm>
                    <a:prstGeom prst="rect">
                      <a:avLst/>
                    </a:prstGeom>
                  </pic:spPr>
                </pic:pic>
              </a:graphicData>
            </a:graphic>
          </wp:inline>
        </w:drawing>
      </w:r>
    </w:p>
    <w:p w14:paraId="7C5FFA8B" w14:textId="77777777" w:rsidR="00507AA7" w:rsidRDefault="00507AA7" w:rsidP="00507AA7">
      <w:pPr>
        <w:pStyle w:val="Note"/>
      </w:pPr>
      <w:r w:rsidRPr="00181EF3">
        <w:t>Note</w:t>
      </w:r>
      <w:r>
        <w:t>s</w:t>
      </w:r>
      <w:r w:rsidRPr="00181EF3">
        <w:t>:</w:t>
      </w:r>
    </w:p>
    <w:p w14:paraId="4201589C" w14:textId="18BCCEF2" w:rsidR="008A5642" w:rsidRDefault="00446D86" w:rsidP="00507AA7">
      <w:pPr>
        <w:pStyle w:val="Note"/>
      </w:pPr>
      <w:r>
        <w:t>Figures are age-standardised to the 2001 Census total Māori population</w:t>
      </w:r>
      <w:r w:rsidR="00507AA7" w:rsidRPr="00181EF3">
        <w:t>.</w:t>
      </w:r>
    </w:p>
    <w:p w14:paraId="01B216FD" w14:textId="4F531960" w:rsidR="00507AA7" w:rsidRPr="00886EED" w:rsidRDefault="00507AA7" w:rsidP="00886EED">
      <w:pPr>
        <w:pStyle w:val="Note"/>
      </w:pPr>
      <w:r w:rsidRPr="00886EED">
        <w:t>Prioritised ethnicity has been used.</w:t>
      </w:r>
    </w:p>
    <w:p w14:paraId="4E08DE7F" w14:textId="77777777" w:rsidR="008A5642" w:rsidRDefault="00507AA7" w:rsidP="00886EED">
      <w:pPr>
        <w:pStyle w:val="Note"/>
        <w:ind w:left="0" w:firstLine="0"/>
      </w:pPr>
      <w:r w:rsidRPr="00886EED">
        <w:t>If the confidence intervals of two rates do not overlap, the difference in rates is said to be statistically significant.</w:t>
      </w:r>
    </w:p>
    <w:p w14:paraId="3A4B0637" w14:textId="48B11F41" w:rsidR="00910411" w:rsidRPr="00181EF3" w:rsidRDefault="00910411" w:rsidP="00910411">
      <w:pPr>
        <w:pStyle w:val="Source"/>
        <w:rPr>
          <w:rFonts w:eastAsia="Calibri"/>
        </w:rPr>
      </w:pPr>
      <w:r w:rsidRPr="00181EF3">
        <w:rPr>
          <w:rFonts w:eastAsia="Calibri"/>
        </w:rPr>
        <w:t>Source: Mortality Collection Data Set (MORT), Ministry of Health</w:t>
      </w:r>
      <w:r w:rsidR="00507AA7">
        <w:rPr>
          <w:rFonts w:eastAsia="Calibri"/>
        </w:rPr>
        <w:t xml:space="preserve">, </w:t>
      </w:r>
      <w:r w:rsidR="00507AA7" w:rsidRPr="00181EF3">
        <w:t>1996–98 to 2012–14</w:t>
      </w:r>
      <w:r w:rsidRPr="00181EF3">
        <w:rPr>
          <w:rFonts w:eastAsia="Calibri"/>
        </w:rPr>
        <w:t>.</w:t>
      </w:r>
    </w:p>
    <w:p w14:paraId="6B3A43B8" w14:textId="77777777" w:rsidR="00910411" w:rsidRDefault="00910411" w:rsidP="00910411">
      <w:pPr>
        <w:rPr>
          <w:rFonts w:eastAsia="Calibri"/>
          <w:noProof/>
          <w:lang w:eastAsia="en-NZ"/>
        </w:rPr>
      </w:pPr>
    </w:p>
    <w:p w14:paraId="3544DE95" w14:textId="2066F81F" w:rsidR="00A14D8B" w:rsidRDefault="00A14D8B" w:rsidP="00A14D8B">
      <w:r w:rsidRPr="00181EF3">
        <w:t>Figure 1</w:t>
      </w:r>
      <w:r>
        <w:t>9</w:t>
      </w:r>
      <w:r w:rsidRPr="00181EF3">
        <w:t xml:space="preserve"> shows that Māori males and females aged 35+ years have higher age</w:t>
      </w:r>
      <w:r w:rsidRPr="00181EF3">
        <w:noBreakHyphen/>
        <w:t xml:space="preserve">standardised total cardiovascular disease mortality rates compared </w:t>
      </w:r>
      <w:r w:rsidR="00FF1892">
        <w:t>with</w:t>
      </w:r>
      <w:r w:rsidR="00FF1892" w:rsidRPr="00181EF3">
        <w:t xml:space="preserve"> </w:t>
      </w:r>
      <w:r w:rsidR="00EC03A3">
        <w:t>non</w:t>
      </w:r>
      <w:r w:rsidR="00EC03A3">
        <w:noBreakHyphen/>
        <w:t>M</w:t>
      </w:r>
      <w:r w:rsidRPr="00181EF3">
        <w:t>āori males and females.</w:t>
      </w:r>
    </w:p>
    <w:p w14:paraId="6570EEB2" w14:textId="77777777" w:rsidR="00E333AB" w:rsidRDefault="00E333AB" w:rsidP="00A14D8B"/>
    <w:p w14:paraId="2E1BD3F8" w14:textId="77777777" w:rsidR="007A1A39" w:rsidRPr="00181EF3" w:rsidRDefault="007A1A39" w:rsidP="007A1A39">
      <w:pPr>
        <w:pStyle w:val="Heading4"/>
      </w:pPr>
      <w:r w:rsidRPr="00181EF3">
        <w:t>Total cardiovascular disease mortality rates have decreased</w:t>
      </w:r>
    </w:p>
    <w:p w14:paraId="7C9FA2C3" w14:textId="06AF7833" w:rsidR="00A14D8B" w:rsidRPr="00181EF3" w:rsidRDefault="00A14D8B" w:rsidP="00A14D8B">
      <w:r w:rsidRPr="00181EF3">
        <w:t xml:space="preserve">Between 1996–98 and 2012–14 age-standardised total cardiovascular disease mortality rates decreased for Māori and </w:t>
      </w:r>
      <w:r w:rsidR="00EC03A3">
        <w:t>non</w:t>
      </w:r>
      <w:r w:rsidR="00EC03A3">
        <w:noBreakHyphen/>
        <w:t>M</w:t>
      </w:r>
      <w:r w:rsidRPr="00181EF3">
        <w:t>āori males and females.</w:t>
      </w:r>
    </w:p>
    <w:p w14:paraId="13341298" w14:textId="77777777" w:rsidR="00A14D8B" w:rsidRPr="00181EF3" w:rsidRDefault="00A14D8B" w:rsidP="00A14D8B"/>
    <w:p w14:paraId="27760C0D" w14:textId="61B9D927" w:rsidR="008A5642" w:rsidRDefault="00A14D8B" w:rsidP="00A14D8B">
      <w:r w:rsidRPr="00181EF3">
        <w:t xml:space="preserve">Age-standardised rates for Māori males decreased by 50 percent (from 728 to 365 deaths per 100,000), while rates for </w:t>
      </w:r>
      <w:r w:rsidR="00EC03A3">
        <w:t>non</w:t>
      </w:r>
      <w:r w:rsidR="00EC03A3">
        <w:noBreakHyphen/>
        <w:t>M</w:t>
      </w:r>
      <w:r w:rsidRPr="00181EF3">
        <w:t xml:space="preserve">āori males decreased by 52 percent (from 323 to 156 deaths per 100,000). For females, the decrease was higher for Māori females than for </w:t>
      </w:r>
      <w:r w:rsidR="00EC03A3">
        <w:t>non</w:t>
      </w:r>
      <w:r w:rsidR="00EC03A3">
        <w:noBreakHyphen/>
        <w:t>M</w:t>
      </w:r>
      <w:r w:rsidRPr="00181EF3">
        <w:t xml:space="preserve">āori females. Between 1996–98 and 2012–14, the rate for Māori females decreased 50 percent (from 442 to 221 deaths per 100,000), whereas the decrease for </w:t>
      </w:r>
      <w:r w:rsidR="00EC03A3">
        <w:t>non</w:t>
      </w:r>
      <w:r w:rsidR="00EC03A3">
        <w:noBreakHyphen/>
        <w:t>M</w:t>
      </w:r>
      <w:r w:rsidRPr="00181EF3">
        <w:t>āori women was 47 percent (from 167 to 88 deaths per 100,000).</w:t>
      </w:r>
    </w:p>
    <w:p w14:paraId="3258040A" w14:textId="454C9ED4" w:rsidR="00A14D8B" w:rsidRDefault="00A14D8B" w:rsidP="00910411">
      <w:pPr>
        <w:rPr>
          <w:rFonts w:eastAsia="Calibri"/>
          <w:noProof/>
          <w:lang w:eastAsia="en-NZ"/>
        </w:rPr>
      </w:pPr>
    </w:p>
    <w:p w14:paraId="759FBB7C" w14:textId="0F080208" w:rsidR="009F731C" w:rsidRPr="00181EF3" w:rsidRDefault="009F731C" w:rsidP="009F731C">
      <w:pPr>
        <w:pStyle w:val="Heading4"/>
      </w:pPr>
      <w:r w:rsidRPr="00181EF3">
        <w:lastRenderedPageBreak/>
        <w:t xml:space="preserve">The difference between Māori and </w:t>
      </w:r>
      <w:r w:rsidR="00EC03A3">
        <w:t>non</w:t>
      </w:r>
      <w:r w:rsidR="00EC03A3">
        <w:noBreakHyphen/>
        <w:t>M</w:t>
      </w:r>
      <w:r w:rsidRPr="00181EF3">
        <w:t xml:space="preserve">āori </w:t>
      </w:r>
      <w:r>
        <w:t xml:space="preserve">total cardiovascular disease mortality </w:t>
      </w:r>
      <w:r w:rsidRPr="00181EF3">
        <w:t xml:space="preserve">rates has </w:t>
      </w:r>
      <w:r>
        <w:t>d</w:t>
      </w:r>
      <w:r w:rsidRPr="00181EF3">
        <w:t>ecreased</w:t>
      </w:r>
    </w:p>
    <w:p w14:paraId="33E0C154" w14:textId="0EFB4F87" w:rsidR="008A5642" w:rsidRDefault="009F731C" w:rsidP="009F731C">
      <w:r w:rsidRPr="00181EF3">
        <w:t xml:space="preserve">Between 1996–98 and 2012–14, the difference between Māori and </w:t>
      </w:r>
      <w:r w:rsidR="00EC03A3">
        <w:t>non</w:t>
      </w:r>
      <w:r w:rsidR="00EC03A3">
        <w:noBreakHyphen/>
        <w:t>M</w:t>
      </w:r>
      <w:r w:rsidRPr="00181EF3">
        <w:t>āori male total cardiovascular disease mortality rates decreased by 48 percent, reducing from 404 per 100,000 (the difference in 1996–98) to 210 per 100,000 (the difference in</w:t>
      </w:r>
      <w:r w:rsidRPr="00181EF3">
        <w:br/>
        <w:t xml:space="preserve">2012–14). Similarly, for females the difference between Māori and </w:t>
      </w:r>
      <w:r w:rsidR="00EC03A3">
        <w:t>non</w:t>
      </w:r>
      <w:r w:rsidR="00EC03A3">
        <w:noBreakHyphen/>
        <w:t>M</w:t>
      </w:r>
      <w:r w:rsidRPr="00181EF3">
        <w:t>āori mortality rates decreased by 52 percent (from 275 per 100,000 in 1996–98 to 133 per 100,000 in 2012–14).</w:t>
      </w:r>
    </w:p>
    <w:p w14:paraId="7342F044" w14:textId="76B90AD0" w:rsidR="009F731C" w:rsidRDefault="009F731C" w:rsidP="009F731C"/>
    <w:p w14:paraId="6A08560A" w14:textId="6BABF7C0" w:rsidR="009F731C" w:rsidRPr="00181EF3" w:rsidRDefault="009F731C" w:rsidP="009F731C">
      <w:r w:rsidRPr="00181EF3">
        <w:t xml:space="preserve">The difference between Māori and </w:t>
      </w:r>
      <w:r w:rsidR="00EC03A3">
        <w:t>non</w:t>
      </w:r>
      <w:r w:rsidR="00EC03A3">
        <w:noBreakHyphen/>
        <w:t>M</w:t>
      </w:r>
      <w:r w:rsidRPr="00181EF3">
        <w:t>āori age-standardised total cardiovascular disease mortality rates halved between 1996–98 and 2012–14</w:t>
      </w:r>
      <w:r>
        <w:t>, h</w:t>
      </w:r>
      <w:r w:rsidRPr="00181EF3">
        <w:t xml:space="preserve">owever, rates for Māori remain more than twice as high as those for </w:t>
      </w:r>
      <w:r w:rsidR="00EC03A3">
        <w:t>non</w:t>
      </w:r>
      <w:r w:rsidR="00EC03A3">
        <w:noBreakHyphen/>
        <w:t>M</w:t>
      </w:r>
      <w:r w:rsidRPr="00181EF3">
        <w:t>āori</w:t>
      </w:r>
      <w:r w:rsidRPr="00181EF3">
        <w:rPr>
          <w:rFonts w:eastAsia="Calibri"/>
        </w:rPr>
        <w:t>.</w:t>
      </w:r>
    </w:p>
    <w:p w14:paraId="5CD9A8DB" w14:textId="77777777" w:rsidR="009F731C" w:rsidRPr="00181EF3" w:rsidRDefault="009F731C" w:rsidP="009F731C"/>
    <w:p w14:paraId="252FB0A1" w14:textId="705B97AB" w:rsidR="009F731C" w:rsidRPr="00181EF3" w:rsidRDefault="009F731C" w:rsidP="009F731C">
      <w:pPr>
        <w:pStyle w:val="Figure"/>
      </w:pPr>
      <w:bookmarkStart w:id="119" w:name="_Toc19101871"/>
      <w:r w:rsidRPr="00181EF3">
        <w:t xml:space="preserve">Figure </w:t>
      </w:r>
      <w:r>
        <w:t>20</w:t>
      </w:r>
      <w:r w:rsidRPr="00181EF3">
        <w:t>: Total cardiovascular disease hospitalisation</w:t>
      </w:r>
      <w:r>
        <w:t xml:space="preserve"> rates</w:t>
      </w:r>
      <w:r w:rsidRPr="00181EF3">
        <w:t xml:space="preserve">, </w:t>
      </w:r>
      <w:r>
        <w:t xml:space="preserve">35+ years, </w:t>
      </w:r>
      <w:r w:rsidRPr="00181EF3">
        <w:t xml:space="preserve">by </w:t>
      </w:r>
      <w:r>
        <w:t>gender</w:t>
      </w:r>
      <w:r w:rsidRPr="00181EF3">
        <w:t xml:space="preserve">, </w:t>
      </w:r>
      <w:r>
        <w:t xml:space="preserve">Māori and </w:t>
      </w:r>
      <w:r w:rsidR="00EC03A3">
        <w:t>non</w:t>
      </w:r>
      <w:r w:rsidR="00EC03A3">
        <w:noBreakHyphen/>
        <w:t>M</w:t>
      </w:r>
      <w:r>
        <w:t>āori</w:t>
      </w:r>
      <w:r w:rsidRPr="00181EF3">
        <w:t>, 1996–98 to 2014–16</w:t>
      </w:r>
      <w:bookmarkEnd w:id="119"/>
    </w:p>
    <w:p w14:paraId="3197C683" w14:textId="77777777" w:rsidR="009F731C" w:rsidRPr="00181EF3" w:rsidRDefault="009F731C" w:rsidP="009F731C">
      <w:r w:rsidRPr="00181EF3">
        <w:rPr>
          <w:noProof/>
          <w:lang w:eastAsia="en-NZ"/>
        </w:rPr>
        <w:drawing>
          <wp:inline distT="0" distB="0" distL="0" distR="0" wp14:anchorId="6D57F8DA" wp14:editId="47E7F94B">
            <wp:extent cx="5130165" cy="2616603"/>
            <wp:effectExtent l="0" t="0" r="0" b="0"/>
            <wp:docPr id="300" name="Picture 300" descr="The graphs show that heart disease hospitalizations have mostly decreased over time, with Māori having higher rates than non-Māori of both genders." title="Figure 20: Total cardiovascular disease hospitalisation, age-standardised rates, Māori and non-Māori males and females, aged 35+ years, 1996–98 to 20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130165" cy="2616603"/>
                    </a:xfrm>
                    <a:prstGeom prst="rect">
                      <a:avLst/>
                    </a:prstGeom>
                  </pic:spPr>
                </pic:pic>
              </a:graphicData>
            </a:graphic>
          </wp:inline>
        </w:drawing>
      </w:r>
    </w:p>
    <w:p w14:paraId="26A76802" w14:textId="77777777" w:rsidR="009F731C" w:rsidRDefault="009F731C" w:rsidP="009F731C">
      <w:pPr>
        <w:pStyle w:val="Note"/>
      </w:pPr>
      <w:r w:rsidRPr="00181EF3">
        <w:t>Note</w:t>
      </w:r>
      <w:r>
        <w:t>s</w:t>
      </w:r>
      <w:r w:rsidRPr="00181EF3">
        <w:t>:</w:t>
      </w:r>
    </w:p>
    <w:p w14:paraId="60D605C9" w14:textId="46C5DA41" w:rsidR="008A5642" w:rsidRDefault="00446D86" w:rsidP="009F731C">
      <w:pPr>
        <w:pStyle w:val="Note"/>
      </w:pPr>
      <w:r>
        <w:t>Figures are age-standardised to the 2001 Census total Māori population</w:t>
      </w:r>
      <w:r w:rsidR="009F731C" w:rsidRPr="00181EF3">
        <w:t>.</w:t>
      </w:r>
    </w:p>
    <w:p w14:paraId="67F4AE51" w14:textId="50657F6B" w:rsidR="009F731C" w:rsidRPr="00181EF3" w:rsidRDefault="009F731C" w:rsidP="009F731C">
      <w:pPr>
        <w:pStyle w:val="Note"/>
      </w:pPr>
      <w:r>
        <w:t>Prioritised ethnicity has been used.</w:t>
      </w:r>
    </w:p>
    <w:p w14:paraId="1F26D0AA" w14:textId="77777777" w:rsidR="008A5642" w:rsidRDefault="009F731C" w:rsidP="00886EED">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4142673C" w14:textId="0DA8C8AA" w:rsidR="009F731C" w:rsidRPr="00181EF3" w:rsidRDefault="009F731C" w:rsidP="009F731C">
      <w:pPr>
        <w:pStyle w:val="Source"/>
        <w:rPr>
          <w:rFonts w:eastAsia="Calibri"/>
        </w:rPr>
      </w:pPr>
      <w:r w:rsidRPr="00181EF3">
        <w:rPr>
          <w:rFonts w:eastAsia="Calibri"/>
        </w:rPr>
        <w:t>Source: National Minimum Data Set (NMDS), Ministry of Health</w:t>
      </w:r>
      <w:r>
        <w:rPr>
          <w:rFonts w:eastAsia="Calibri"/>
        </w:rPr>
        <w:t>,</w:t>
      </w:r>
      <w:r w:rsidRPr="00507AA7">
        <w:t xml:space="preserve"> </w:t>
      </w:r>
      <w:r w:rsidRPr="00181EF3">
        <w:t>1996–98 to 201</w:t>
      </w:r>
      <w:r>
        <w:t>4</w:t>
      </w:r>
      <w:r w:rsidRPr="00181EF3">
        <w:t>–1</w:t>
      </w:r>
      <w:r>
        <w:t>6</w:t>
      </w:r>
      <w:r w:rsidRPr="00181EF3">
        <w:rPr>
          <w:rFonts w:eastAsia="Calibri"/>
        </w:rPr>
        <w:t>.</w:t>
      </w:r>
    </w:p>
    <w:p w14:paraId="2B7F3467" w14:textId="77777777" w:rsidR="00A14D8B" w:rsidRDefault="00A14D8B" w:rsidP="00A14D8B"/>
    <w:p w14:paraId="4A0A1175" w14:textId="2FFBB6B8" w:rsidR="00A14D8B" w:rsidRDefault="00A14D8B" w:rsidP="00A14D8B">
      <w:r w:rsidRPr="00181EF3">
        <w:t xml:space="preserve">Figure </w:t>
      </w:r>
      <w:r>
        <w:t>20</w:t>
      </w:r>
      <w:r w:rsidRPr="00181EF3">
        <w:t xml:space="preserve"> shows that Māori males and females aged 35+ years have higher age</w:t>
      </w:r>
      <w:r w:rsidRPr="00181EF3">
        <w:noBreakHyphen/>
        <w:t xml:space="preserve">standardised rates of hospitalisations due to all cardiovascular diseases compared </w:t>
      </w:r>
      <w:r w:rsidR="00FF1892">
        <w:t>with</w:t>
      </w:r>
      <w:r w:rsidR="00FF1892" w:rsidRPr="00181EF3">
        <w:t xml:space="preserve"> </w:t>
      </w:r>
      <w:r w:rsidR="00EC03A3">
        <w:t>non</w:t>
      </w:r>
      <w:r w:rsidR="00EC03A3">
        <w:noBreakHyphen/>
        <w:t>M</w:t>
      </w:r>
      <w:r w:rsidRPr="00181EF3">
        <w:t>āori males and females.</w:t>
      </w:r>
    </w:p>
    <w:p w14:paraId="4F6F79AE" w14:textId="77777777" w:rsidR="00E333AB" w:rsidRPr="00181EF3" w:rsidRDefault="00E333AB" w:rsidP="00A14D8B"/>
    <w:p w14:paraId="7F4C9EA0" w14:textId="77777777" w:rsidR="007A1A39" w:rsidRPr="00181EF3" w:rsidRDefault="007A1A39" w:rsidP="007A1A39">
      <w:pPr>
        <w:pStyle w:val="Heading4"/>
      </w:pPr>
      <w:r>
        <w:t>H</w:t>
      </w:r>
      <w:r w:rsidRPr="00181EF3">
        <w:t>ospitalisation</w:t>
      </w:r>
      <w:r>
        <w:t xml:space="preserve"> rate</w:t>
      </w:r>
      <w:r w:rsidRPr="00181EF3">
        <w:t>s due to total cardiovascular diseases have decreased</w:t>
      </w:r>
    </w:p>
    <w:p w14:paraId="73BC09A6" w14:textId="77777777" w:rsidR="008A5642" w:rsidRDefault="00A14D8B" w:rsidP="00E333AB">
      <w:pPr>
        <w:keepNext/>
      </w:pPr>
      <w:r w:rsidRPr="00181EF3">
        <w:t>Overall, between 1996–98 and 2014–16</w:t>
      </w:r>
      <w:r w:rsidR="002D3C0C">
        <w:t>,</w:t>
      </w:r>
      <w:r w:rsidRPr="00181EF3">
        <w:t xml:space="preserve"> age-standardised rates of hospitalisations due to total cardiovascular diseases decreased for males and females.</w:t>
      </w:r>
      <w:r>
        <w:t xml:space="preserve"> H</w:t>
      </w:r>
      <w:r w:rsidRPr="00181EF3">
        <w:t xml:space="preserve">ospitalisation rates </w:t>
      </w:r>
      <w:r w:rsidRPr="00181EF3">
        <w:lastRenderedPageBreak/>
        <w:t>due to total cardiovascular disease increased from 1996–98 to 1999–01 then decreased to 2014–16.</w:t>
      </w:r>
    </w:p>
    <w:p w14:paraId="4FE61836" w14:textId="77777777" w:rsidR="00E333AB" w:rsidRDefault="00E333AB" w:rsidP="00E333AB"/>
    <w:p w14:paraId="598972D0" w14:textId="62DC8141" w:rsidR="00A14D8B" w:rsidRDefault="00A14D8B" w:rsidP="00E333AB">
      <w:r w:rsidRPr="00181EF3">
        <w:t xml:space="preserve">Between 1996–98 and 2014–16, age-standardised rates for </w:t>
      </w:r>
      <w:r w:rsidR="00EC03A3">
        <w:t>non</w:t>
      </w:r>
      <w:r w:rsidR="00EC03A3">
        <w:noBreakHyphen/>
        <w:t>M</w:t>
      </w:r>
      <w:r w:rsidRPr="00181EF3">
        <w:t xml:space="preserve">āori males decreased by 22 percent (from 2,659 to 2,082 hospitalisations per 100,000), more than for Māori males which decreased by 2 percent (from 3,341 to 3,285 hospitalisations per 100,000). For females, the rate of hospitalisations per 100,000 for Māori females decreased by 20 percent (from 2,831 to 2,272 hospitalisations per 100,000), whereas the decrease for </w:t>
      </w:r>
      <w:r w:rsidR="00EC03A3">
        <w:t>non</w:t>
      </w:r>
      <w:r w:rsidR="00EC03A3">
        <w:noBreakHyphen/>
        <w:t>M</w:t>
      </w:r>
      <w:r w:rsidRPr="00181EF3">
        <w:t>āori women was 24 percent (from 1,525 to 1,161 hospitalisations per 100,000).</w:t>
      </w:r>
    </w:p>
    <w:p w14:paraId="493BA6C2" w14:textId="77777777" w:rsidR="00E333AB" w:rsidRPr="00181EF3" w:rsidRDefault="00E333AB" w:rsidP="00E333AB"/>
    <w:p w14:paraId="0906716E" w14:textId="7B25FDBE" w:rsidR="00507AA7" w:rsidRPr="00181EF3" w:rsidRDefault="00507AA7" w:rsidP="00507AA7">
      <w:pPr>
        <w:pStyle w:val="Heading4"/>
      </w:pPr>
      <w:r w:rsidRPr="00181EF3">
        <w:t xml:space="preserve">The difference between Māori and </w:t>
      </w:r>
      <w:r w:rsidR="00EC03A3">
        <w:t>non</w:t>
      </w:r>
      <w:r w:rsidR="00EC03A3">
        <w:noBreakHyphen/>
        <w:t>M</w:t>
      </w:r>
      <w:r w:rsidRPr="00181EF3">
        <w:t xml:space="preserve">āori </w:t>
      </w:r>
      <w:r>
        <w:t xml:space="preserve">total cardiovascular disease hospitalisation </w:t>
      </w:r>
      <w:r w:rsidRPr="00181EF3">
        <w:t>rates increased for males, and decreased for females</w:t>
      </w:r>
    </w:p>
    <w:p w14:paraId="00003741" w14:textId="15D7219A" w:rsidR="008A5642" w:rsidRDefault="009F731C" w:rsidP="00507AA7">
      <w:pPr>
        <w:rPr>
          <w:rFonts w:eastAsia="Calibri"/>
        </w:rPr>
      </w:pPr>
      <w:r w:rsidRPr="00181EF3">
        <w:t xml:space="preserve">Between 1996–98 and 2014–16, the difference between Māori and </w:t>
      </w:r>
      <w:r w:rsidR="00EC03A3">
        <w:t>non</w:t>
      </w:r>
      <w:r w:rsidR="00EC03A3">
        <w:noBreakHyphen/>
        <w:t>M</w:t>
      </w:r>
      <w:r w:rsidRPr="00181EF3">
        <w:t xml:space="preserve">āori age-standardised rates of hospitalisations due to all cardiovascular diseases rates increased for males and decreased for females. Rates for Māori males increased to be 1.5 times as high as those of </w:t>
      </w:r>
      <w:r w:rsidR="00EC03A3">
        <w:t>non</w:t>
      </w:r>
      <w:r w:rsidR="00EC03A3">
        <w:noBreakHyphen/>
        <w:t>M</w:t>
      </w:r>
      <w:r w:rsidRPr="00181EF3">
        <w:t xml:space="preserve">āori males. For females, Māori female rates remain twice as high as </w:t>
      </w:r>
      <w:r w:rsidR="00EC03A3">
        <w:t>non</w:t>
      </w:r>
      <w:r w:rsidR="00EC03A3">
        <w:noBreakHyphen/>
        <w:t>M</w:t>
      </w:r>
      <w:r w:rsidRPr="00181EF3">
        <w:t>āori female rates</w:t>
      </w:r>
      <w:r w:rsidRPr="00181EF3">
        <w:rPr>
          <w:rFonts w:eastAsia="Calibri"/>
        </w:rPr>
        <w:t>.</w:t>
      </w:r>
    </w:p>
    <w:p w14:paraId="6E673ACA" w14:textId="0FCB2968" w:rsidR="009F731C" w:rsidRDefault="009F731C" w:rsidP="00507AA7"/>
    <w:p w14:paraId="765F3B92" w14:textId="2ECF907F" w:rsidR="008A5642" w:rsidRDefault="00507AA7" w:rsidP="00507AA7">
      <w:r w:rsidRPr="00181EF3">
        <w:t xml:space="preserve">Between 1996–98 and 2014–16, the difference between Māori and </w:t>
      </w:r>
      <w:r w:rsidR="00EC03A3">
        <w:t>non</w:t>
      </w:r>
      <w:r w:rsidR="00EC03A3">
        <w:noBreakHyphen/>
        <w:t>M</w:t>
      </w:r>
      <w:r w:rsidRPr="00181EF3">
        <w:t xml:space="preserve">āori male total cardiovascular disease hospitalisation rates increased by 77 percent, increasing from 682 hospitalisations per 100,000 (the difference in 1996–98) to 1,203 hospitalisations per 100,000 (the difference in 2014–16). For females, the difference between Māori and </w:t>
      </w:r>
      <w:r w:rsidR="00EC03A3">
        <w:t>non</w:t>
      </w:r>
      <w:r w:rsidR="00EC03A3">
        <w:noBreakHyphen/>
        <w:t>M</w:t>
      </w:r>
      <w:r w:rsidRPr="00181EF3">
        <w:t>āori hospitalisation rates decreased by 15 percent (from 1,306 per 100,000 in 1996–98 to 1,111 per 100,000 in 2014–16).</w:t>
      </w:r>
    </w:p>
    <w:p w14:paraId="10BE69D4" w14:textId="23545C22" w:rsidR="009F731C" w:rsidRDefault="009F731C" w:rsidP="009F731C"/>
    <w:p w14:paraId="25F1475E" w14:textId="77777777" w:rsidR="00910411" w:rsidRDefault="00910411" w:rsidP="004F4663">
      <w:pPr>
        <w:pStyle w:val="Heading3"/>
        <w:pageBreakBefore/>
        <w:spacing w:before="0"/>
      </w:pPr>
      <w:bookmarkStart w:id="120" w:name="_Toc19102332"/>
      <w:r w:rsidRPr="00181EF3">
        <w:lastRenderedPageBreak/>
        <w:t>Cerebrovascular disease (stroke)</w:t>
      </w:r>
      <w:bookmarkEnd w:id="120"/>
    </w:p>
    <w:p w14:paraId="344BA70F" w14:textId="1AC38B8E" w:rsidR="009F731C" w:rsidRPr="00181EF3" w:rsidRDefault="009F731C" w:rsidP="009F731C">
      <w:pPr>
        <w:pStyle w:val="Figure"/>
      </w:pPr>
      <w:bookmarkStart w:id="121" w:name="_Toc19101872"/>
      <w:r w:rsidRPr="00181EF3">
        <w:t>Figure 2</w:t>
      </w:r>
      <w:r>
        <w:t>1</w:t>
      </w:r>
      <w:r w:rsidRPr="00181EF3">
        <w:t xml:space="preserve">: Cerebrovascular disease (stroke) mortality rates, </w:t>
      </w:r>
      <w:r>
        <w:t xml:space="preserve">35+ years, </w:t>
      </w:r>
      <w:r w:rsidRPr="00181EF3">
        <w:t xml:space="preserve">by </w:t>
      </w:r>
      <w:r>
        <w:t>gender</w:t>
      </w:r>
      <w:r w:rsidRPr="00181EF3">
        <w:t xml:space="preserve">, </w:t>
      </w:r>
      <w:r>
        <w:t xml:space="preserve">Māori and </w:t>
      </w:r>
      <w:r w:rsidR="00EC03A3">
        <w:t>non</w:t>
      </w:r>
      <w:r w:rsidR="00EC03A3">
        <w:noBreakHyphen/>
        <w:t>M</w:t>
      </w:r>
      <w:r>
        <w:t>āori</w:t>
      </w:r>
      <w:r w:rsidRPr="00181EF3">
        <w:t>, 1996–98 to 2012–14</w:t>
      </w:r>
      <w:bookmarkEnd w:id="121"/>
    </w:p>
    <w:p w14:paraId="5554AFFB" w14:textId="77777777" w:rsidR="009F731C" w:rsidRPr="00181EF3" w:rsidRDefault="009F731C" w:rsidP="004F4663">
      <w:r w:rsidRPr="00181EF3">
        <w:rPr>
          <w:noProof/>
          <w:lang w:eastAsia="en-NZ"/>
        </w:rPr>
        <w:drawing>
          <wp:inline distT="0" distB="0" distL="0" distR="0" wp14:anchorId="115C89FD" wp14:editId="75DCEE1D">
            <wp:extent cx="5130165" cy="2640171"/>
            <wp:effectExtent l="0" t="0" r="0" b="8255"/>
            <wp:docPr id="296" name="Picture 296" descr="The graphs show that stroke mortality has decreased over time for all groups. Māori women have the highest rates of stroke death, followed by Māori men, non-Māori women and non-Māori men." title="Figure 21: Cerebrovascular disease (stroke) mortality, age-standardised rates, Māori and non-Māori males and females, aged 35+ years, 1996–98 to 20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130165" cy="2640171"/>
                    </a:xfrm>
                    <a:prstGeom prst="rect">
                      <a:avLst/>
                    </a:prstGeom>
                  </pic:spPr>
                </pic:pic>
              </a:graphicData>
            </a:graphic>
          </wp:inline>
        </w:drawing>
      </w:r>
    </w:p>
    <w:p w14:paraId="2CF01F9A" w14:textId="77777777" w:rsidR="009F731C" w:rsidRDefault="009F731C" w:rsidP="009F731C">
      <w:pPr>
        <w:pStyle w:val="Note"/>
      </w:pPr>
      <w:r w:rsidRPr="00181EF3">
        <w:t>Note</w:t>
      </w:r>
      <w:r>
        <w:t>s</w:t>
      </w:r>
      <w:r w:rsidRPr="00181EF3">
        <w:t>:</w:t>
      </w:r>
    </w:p>
    <w:p w14:paraId="69CC7D10" w14:textId="14FEC4B7" w:rsidR="008A5642" w:rsidRDefault="00446D86" w:rsidP="009F731C">
      <w:pPr>
        <w:pStyle w:val="Note"/>
      </w:pPr>
      <w:r>
        <w:t>Figures are age-standardised to the 2001 Census total Māori population</w:t>
      </w:r>
      <w:r w:rsidR="009F731C" w:rsidRPr="00181EF3">
        <w:t>.</w:t>
      </w:r>
    </w:p>
    <w:p w14:paraId="7D63FA18" w14:textId="3E7D5902" w:rsidR="009F731C" w:rsidRPr="00181EF3" w:rsidRDefault="009F731C" w:rsidP="009F731C">
      <w:pPr>
        <w:pStyle w:val="Note"/>
      </w:pPr>
      <w:r>
        <w:t>Prioritised ethnicity has been used.</w:t>
      </w:r>
    </w:p>
    <w:p w14:paraId="024AE48A" w14:textId="77777777" w:rsidR="008A5642" w:rsidRDefault="009F731C" w:rsidP="00886EED">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2D0731DE" w14:textId="64E6B8C2" w:rsidR="009F731C" w:rsidRPr="00181EF3" w:rsidRDefault="009F731C" w:rsidP="009F731C">
      <w:pPr>
        <w:pStyle w:val="Source"/>
        <w:rPr>
          <w:rFonts w:eastAsia="Calibri"/>
        </w:rPr>
      </w:pPr>
      <w:r w:rsidRPr="00181EF3">
        <w:rPr>
          <w:rFonts w:eastAsia="Calibri"/>
        </w:rPr>
        <w:t>Source: Mortality Collection Data Set (MORT), Ministry of Health</w:t>
      </w:r>
      <w:r>
        <w:rPr>
          <w:rFonts w:eastAsia="Calibri"/>
        </w:rPr>
        <w:t xml:space="preserve">, </w:t>
      </w:r>
      <w:r w:rsidRPr="00181EF3">
        <w:t>1996–98 to 2012–14</w:t>
      </w:r>
      <w:r w:rsidRPr="00181EF3">
        <w:rPr>
          <w:rFonts w:eastAsia="Calibri"/>
        </w:rPr>
        <w:t>.</w:t>
      </w:r>
    </w:p>
    <w:p w14:paraId="0810E9B1" w14:textId="77777777" w:rsidR="009F731C" w:rsidRPr="00181EF3" w:rsidRDefault="009F731C" w:rsidP="00910411"/>
    <w:p w14:paraId="0BE1EF30" w14:textId="172F90BB" w:rsidR="00A14D8B" w:rsidRDefault="00A14D8B" w:rsidP="00A14D8B">
      <w:r w:rsidRPr="00181EF3">
        <w:t>Figure 2</w:t>
      </w:r>
      <w:r>
        <w:t>1</w:t>
      </w:r>
      <w:r w:rsidRPr="00181EF3">
        <w:t xml:space="preserve"> shows that Māori males and females aged 35+ years have higher age</w:t>
      </w:r>
      <w:r w:rsidRPr="00181EF3">
        <w:noBreakHyphen/>
        <w:t xml:space="preserve">standardised stroke mortality rates compared </w:t>
      </w:r>
      <w:r w:rsidR="00FF1892">
        <w:t>with</w:t>
      </w:r>
      <w:r w:rsidR="00FF1892" w:rsidRPr="00181EF3">
        <w:t xml:space="preserve"> </w:t>
      </w:r>
      <w:r w:rsidR="00EC03A3">
        <w:t>non</w:t>
      </w:r>
      <w:r w:rsidR="00EC03A3">
        <w:noBreakHyphen/>
        <w:t>M</w:t>
      </w:r>
      <w:r w:rsidRPr="00181EF3">
        <w:t>āori males and females.</w:t>
      </w:r>
    </w:p>
    <w:p w14:paraId="43339F1C" w14:textId="77777777" w:rsidR="00E333AB" w:rsidRPr="00181EF3" w:rsidRDefault="00E333AB" w:rsidP="00A14D8B"/>
    <w:p w14:paraId="75A1CDA4" w14:textId="77777777" w:rsidR="007A1A39" w:rsidRPr="00181EF3" w:rsidRDefault="007A1A39" w:rsidP="007A1A39">
      <w:pPr>
        <w:pStyle w:val="Heading4"/>
      </w:pPr>
      <w:r w:rsidRPr="00181EF3">
        <w:t>Stroke mortality rates have decreased</w:t>
      </w:r>
    </w:p>
    <w:p w14:paraId="1D2D5A76" w14:textId="460B928F" w:rsidR="008A5642" w:rsidRDefault="00E56CA2" w:rsidP="00E56CA2">
      <w:r w:rsidRPr="00181EF3">
        <w:t xml:space="preserve">Overall, between 1996–98 and 2012–14 age-standardised stroke mortality rates for Māori and </w:t>
      </w:r>
      <w:r w:rsidR="00EC03A3">
        <w:t>non</w:t>
      </w:r>
      <w:r w:rsidR="00EC03A3">
        <w:noBreakHyphen/>
        <w:t>M</w:t>
      </w:r>
      <w:r w:rsidRPr="00181EF3">
        <w:t>āori males and females decreased by around 45 percent.</w:t>
      </w:r>
    </w:p>
    <w:p w14:paraId="4BEFA9E4" w14:textId="0E2E317E" w:rsidR="00A14D8B" w:rsidRDefault="00A14D8B" w:rsidP="00E56CA2"/>
    <w:p w14:paraId="1ECE93BF" w14:textId="7643DDE5" w:rsidR="00E56CA2" w:rsidRDefault="00E56CA2" w:rsidP="00E56CA2">
      <w:r w:rsidRPr="00181EF3">
        <w:t xml:space="preserve">Between 1996–98 and 2012–14, the decrease in age-standardised rates for stroke was greater for Māori males than for </w:t>
      </w:r>
      <w:r w:rsidR="00EC03A3">
        <w:t>non</w:t>
      </w:r>
      <w:r w:rsidR="00EC03A3">
        <w:noBreakHyphen/>
        <w:t>M</w:t>
      </w:r>
      <w:r w:rsidRPr="00181EF3">
        <w:t xml:space="preserve">āori males. For Māori males, the decrease was 37 (from 83 to 46) deaths per 100,000, compared </w:t>
      </w:r>
      <w:r w:rsidR="00FF1892">
        <w:t>with</w:t>
      </w:r>
      <w:r w:rsidR="00FF1892" w:rsidRPr="00181EF3">
        <w:t xml:space="preserve"> </w:t>
      </w:r>
      <w:r w:rsidRPr="00181EF3">
        <w:t xml:space="preserve">23 (from 52 to 29) deaths per 100,000 for </w:t>
      </w:r>
      <w:r w:rsidR="00EC03A3">
        <w:t>non</w:t>
      </w:r>
      <w:r w:rsidR="00EC03A3">
        <w:noBreakHyphen/>
        <w:t>M</w:t>
      </w:r>
      <w:r w:rsidRPr="00181EF3">
        <w:t xml:space="preserve">āori males. For females, the decrease in rates was also higher for Māori females than </w:t>
      </w:r>
      <w:r w:rsidR="00EC03A3">
        <w:t>non</w:t>
      </w:r>
      <w:r w:rsidR="00EC03A3">
        <w:noBreakHyphen/>
        <w:t>M</w:t>
      </w:r>
      <w:r w:rsidRPr="00181EF3">
        <w:t xml:space="preserve">āori females. The decrease for Māori females was 36 (from 82 to 46) deaths per 100,000, whereas the decrease for </w:t>
      </w:r>
      <w:r w:rsidR="00EC03A3">
        <w:t>non</w:t>
      </w:r>
      <w:r w:rsidR="00EC03A3">
        <w:noBreakHyphen/>
        <w:t>M</w:t>
      </w:r>
      <w:r w:rsidRPr="00181EF3">
        <w:t>āori females was 20 (from 46 to 26) deaths per 100,000.</w:t>
      </w:r>
    </w:p>
    <w:p w14:paraId="2E6BDDC6" w14:textId="77777777" w:rsidR="00E333AB" w:rsidRPr="009F731C" w:rsidRDefault="00E333AB" w:rsidP="00E56CA2"/>
    <w:p w14:paraId="7606DB81" w14:textId="56658D3C" w:rsidR="00910411" w:rsidRDefault="00910411" w:rsidP="009F731C">
      <w:pPr>
        <w:pStyle w:val="Heading4"/>
      </w:pPr>
      <w:r w:rsidRPr="00181EF3">
        <w:lastRenderedPageBreak/>
        <w:t xml:space="preserve">The difference between Māori and </w:t>
      </w:r>
      <w:r w:rsidR="00EC03A3">
        <w:t>non</w:t>
      </w:r>
      <w:r w:rsidR="00EC03A3">
        <w:noBreakHyphen/>
        <w:t>M</w:t>
      </w:r>
      <w:r w:rsidRPr="00181EF3">
        <w:t xml:space="preserve">āori </w:t>
      </w:r>
      <w:r w:rsidR="009F731C">
        <w:t xml:space="preserve">stroke mortality </w:t>
      </w:r>
      <w:r w:rsidRPr="00181EF3">
        <w:t>rates has decreased</w:t>
      </w:r>
    </w:p>
    <w:p w14:paraId="001FCAE5" w14:textId="0B4EFDDD" w:rsidR="009F731C" w:rsidRDefault="009F731C" w:rsidP="00E333AB">
      <w:pPr>
        <w:keepLines/>
        <w:rPr>
          <w:rFonts w:eastAsia="Calibri"/>
        </w:rPr>
      </w:pPr>
      <w:r w:rsidRPr="00181EF3">
        <w:t xml:space="preserve">The difference between Māori and </w:t>
      </w:r>
      <w:r w:rsidR="00EC03A3">
        <w:t>non</w:t>
      </w:r>
      <w:r w:rsidR="00EC03A3">
        <w:noBreakHyphen/>
        <w:t>M</w:t>
      </w:r>
      <w:r w:rsidRPr="00181EF3">
        <w:t xml:space="preserve">āori age-standardised stroke mortality rates decreased by 44 percent between 1996–98 and 2012–14. However, rates for Māori males remain 1.5 times as high as those for </w:t>
      </w:r>
      <w:r w:rsidR="00EC03A3">
        <w:t>non</w:t>
      </w:r>
      <w:r w:rsidR="00EC03A3">
        <w:noBreakHyphen/>
        <w:t>M</w:t>
      </w:r>
      <w:r w:rsidRPr="00181EF3">
        <w:t xml:space="preserve">āori males, and rates for Māori females remain </w:t>
      </w:r>
      <w:r w:rsidRPr="00181EF3">
        <w:rPr>
          <w:rFonts w:eastAsia="Calibri"/>
        </w:rPr>
        <w:t xml:space="preserve">1.8 times as high as for Māori females as those for </w:t>
      </w:r>
      <w:r w:rsidR="00EC03A3">
        <w:rPr>
          <w:rFonts w:eastAsia="Calibri"/>
        </w:rPr>
        <w:t>non</w:t>
      </w:r>
      <w:r w:rsidR="00EC03A3">
        <w:rPr>
          <w:rFonts w:eastAsia="Calibri"/>
        </w:rPr>
        <w:noBreakHyphen/>
        <w:t>M</w:t>
      </w:r>
      <w:r w:rsidRPr="00181EF3">
        <w:rPr>
          <w:rFonts w:eastAsia="Calibri"/>
        </w:rPr>
        <w:t>āori females.</w:t>
      </w:r>
    </w:p>
    <w:p w14:paraId="5EB75D60" w14:textId="77777777" w:rsidR="009F731C" w:rsidRPr="009F731C" w:rsidRDefault="009F731C" w:rsidP="009F731C"/>
    <w:p w14:paraId="3B860FD5" w14:textId="73E55AEB" w:rsidR="00910411" w:rsidRPr="00181EF3" w:rsidRDefault="00910411" w:rsidP="00910411">
      <w:r w:rsidRPr="00181EF3">
        <w:t xml:space="preserve">Between 1996–98 and 2012–14, the difference between Māori and </w:t>
      </w:r>
      <w:r w:rsidR="00EC03A3">
        <w:t>non</w:t>
      </w:r>
      <w:r w:rsidR="00EC03A3">
        <w:noBreakHyphen/>
        <w:t>M</w:t>
      </w:r>
      <w:r w:rsidRPr="00181EF3">
        <w:t xml:space="preserve">āori male stroke mortality rates decreased by 44 percent, reducing from 31 per 100,000 (the difference in 1996–98) to 17 per 100,000 (the difference in 2012–14). For females, the difference between Māori and </w:t>
      </w:r>
      <w:r w:rsidR="00EC03A3">
        <w:t>non</w:t>
      </w:r>
      <w:r w:rsidR="00EC03A3">
        <w:noBreakHyphen/>
        <w:t>M</w:t>
      </w:r>
      <w:r w:rsidRPr="00181EF3">
        <w:t>āori mortality rates also decreased by 44 percent (from 36 per 100,000 in 1996–98 to 20 per 100,000 in 2012–14).</w:t>
      </w:r>
    </w:p>
    <w:p w14:paraId="211A2C15" w14:textId="77777777" w:rsidR="00910411" w:rsidRDefault="00910411" w:rsidP="00910411"/>
    <w:p w14:paraId="0419E2F8" w14:textId="19B01CAC" w:rsidR="009F731C" w:rsidRPr="00181EF3" w:rsidRDefault="009F731C" w:rsidP="009F731C">
      <w:pPr>
        <w:pStyle w:val="Figure"/>
      </w:pPr>
      <w:bookmarkStart w:id="122" w:name="_Toc19101873"/>
      <w:r w:rsidRPr="00181EF3">
        <w:t>Figure 2</w:t>
      </w:r>
      <w:r w:rsidR="00714EFD">
        <w:t>2</w:t>
      </w:r>
      <w:r w:rsidRPr="00181EF3">
        <w:t xml:space="preserve">: Cerebrovascular disease (stroke) hospitalisation rates, </w:t>
      </w:r>
      <w:r w:rsidR="00714EFD">
        <w:t xml:space="preserve">35+ years, </w:t>
      </w:r>
      <w:r w:rsidR="00714EFD" w:rsidRPr="00181EF3">
        <w:t xml:space="preserve">by </w:t>
      </w:r>
      <w:r w:rsidR="00714EFD">
        <w:t>gender</w:t>
      </w:r>
      <w:r w:rsidR="00714EFD" w:rsidRPr="00181EF3">
        <w:t xml:space="preserve">, </w:t>
      </w:r>
      <w:r w:rsidR="00714EFD">
        <w:t xml:space="preserve">Māori and </w:t>
      </w:r>
      <w:r w:rsidR="00EC03A3">
        <w:t>non</w:t>
      </w:r>
      <w:r w:rsidR="00EC03A3">
        <w:noBreakHyphen/>
        <w:t>M</w:t>
      </w:r>
      <w:r w:rsidR="00714EFD">
        <w:t>āori</w:t>
      </w:r>
      <w:r w:rsidRPr="00181EF3">
        <w:t>, 1996–98 to 2014–16</w:t>
      </w:r>
      <w:bookmarkEnd w:id="122"/>
    </w:p>
    <w:p w14:paraId="7025068D" w14:textId="77777777" w:rsidR="009F731C" w:rsidRPr="00181EF3" w:rsidRDefault="009F731C" w:rsidP="009F731C">
      <w:r w:rsidRPr="00181EF3">
        <w:rPr>
          <w:noProof/>
          <w:lang w:eastAsia="en-NZ"/>
        </w:rPr>
        <w:drawing>
          <wp:inline distT="0" distB="0" distL="0" distR="0" wp14:anchorId="27F87464" wp14:editId="6998DF9C">
            <wp:extent cx="5130165" cy="2616603"/>
            <wp:effectExtent l="0" t="0" r="0" b="0"/>
            <wp:docPr id="301" name="Picture 301" descr="The graph shows that stroke hospitalizations have decreased slightly for most groups and remained about the same for Māori men. Māori women have the highest rates of stroke hospitalization and non-Māori have the lowest rates." title="Figure 22: Cerebrovascular disease (stroke) hospitalisation, age-standardised rates, Māori and non-Māori males and females, aged 35+ years, 1996–98 to 20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130165" cy="2616603"/>
                    </a:xfrm>
                    <a:prstGeom prst="rect">
                      <a:avLst/>
                    </a:prstGeom>
                  </pic:spPr>
                </pic:pic>
              </a:graphicData>
            </a:graphic>
          </wp:inline>
        </w:drawing>
      </w:r>
    </w:p>
    <w:p w14:paraId="577953D8" w14:textId="77777777" w:rsidR="00714EFD" w:rsidRDefault="00714EFD" w:rsidP="00714EFD">
      <w:pPr>
        <w:pStyle w:val="Note"/>
      </w:pPr>
      <w:r w:rsidRPr="00181EF3">
        <w:t>Note</w:t>
      </w:r>
      <w:r>
        <w:t>s</w:t>
      </w:r>
      <w:r w:rsidRPr="00181EF3">
        <w:t>:</w:t>
      </w:r>
    </w:p>
    <w:p w14:paraId="049764CC" w14:textId="3B5CF836" w:rsidR="008A5642" w:rsidRDefault="00446D86" w:rsidP="00714EFD">
      <w:pPr>
        <w:pStyle w:val="Note"/>
      </w:pPr>
      <w:r>
        <w:t>Figures are age-standardised to the 2001 Census total Māori population</w:t>
      </w:r>
      <w:r w:rsidR="00714EFD" w:rsidRPr="00181EF3">
        <w:t>.</w:t>
      </w:r>
    </w:p>
    <w:p w14:paraId="614A89BF" w14:textId="6FF4275F" w:rsidR="00714EFD" w:rsidRPr="00181EF3" w:rsidRDefault="00714EFD" w:rsidP="00714EFD">
      <w:pPr>
        <w:pStyle w:val="Note"/>
      </w:pPr>
      <w:r>
        <w:t>Prioritised ethnicity has been used.</w:t>
      </w:r>
    </w:p>
    <w:p w14:paraId="6015F4D2" w14:textId="77777777" w:rsidR="008A5642" w:rsidRDefault="00714EFD" w:rsidP="00886EED">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431D44DD" w14:textId="3F028E32" w:rsidR="00714EFD" w:rsidRPr="00181EF3" w:rsidRDefault="00714EFD" w:rsidP="00714EFD">
      <w:pPr>
        <w:pStyle w:val="Source"/>
        <w:rPr>
          <w:rFonts w:eastAsia="Calibri"/>
        </w:rPr>
      </w:pPr>
      <w:r w:rsidRPr="00181EF3">
        <w:rPr>
          <w:rFonts w:eastAsia="Calibri"/>
        </w:rPr>
        <w:t>Source: National Minimum Data Set (NMDS), Ministry of Health</w:t>
      </w:r>
      <w:r>
        <w:rPr>
          <w:rFonts w:eastAsia="Calibri"/>
        </w:rPr>
        <w:t>,</w:t>
      </w:r>
      <w:r w:rsidRPr="00507AA7">
        <w:t xml:space="preserve"> </w:t>
      </w:r>
      <w:r w:rsidRPr="00181EF3">
        <w:t>1996–98 to 201</w:t>
      </w:r>
      <w:r>
        <w:t>4</w:t>
      </w:r>
      <w:r w:rsidRPr="00181EF3">
        <w:t>–1</w:t>
      </w:r>
      <w:r>
        <w:t>6</w:t>
      </w:r>
      <w:r w:rsidRPr="00181EF3">
        <w:rPr>
          <w:rFonts w:eastAsia="Calibri"/>
        </w:rPr>
        <w:t>.</w:t>
      </w:r>
    </w:p>
    <w:p w14:paraId="54E7A322" w14:textId="77777777" w:rsidR="009F731C" w:rsidRDefault="009F731C" w:rsidP="009F731C"/>
    <w:p w14:paraId="556A28D1" w14:textId="45131D82" w:rsidR="00A14D8B" w:rsidRDefault="00A14D8B" w:rsidP="00A14D8B">
      <w:r w:rsidRPr="00181EF3">
        <w:t>Figure 2</w:t>
      </w:r>
      <w:r>
        <w:t>2</w:t>
      </w:r>
      <w:r w:rsidRPr="00181EF3">
        <w:t xml:space="preserve"> shows that Māori males and females aged 35+ years have higher age</w:t>
      </w:r>
      <w:r w:rsidRPr="00181EF3">
        <w:noBreakHyphen/>
        <w:t xml:space="preserve">standardised rates of hospitalisations due to stroke compared </w:t>
      </w:r>
      <w:r w:rsidR="00FF1892">
        <w:t>with</w:t>
      </w:r>
      <w:r w:rsidR="00FF1892" w:rsidRPr="00181EF3">
        <w:t xml:space="preserve"> </w:t>
      </w:r>
      <w:r w:rsidRPr="00181EF3">
        <w:t xml:space="preserve">their </w:t>
      </w:r>
      <w:r w:rsidR="00EC03A3">
        <w:t>non</w:t>
      </w:r>
      <w:r w:rsidR="00EC03A3">
        <w:noBreakHyphen/>
        <w:t>M</w:t>
      </w:r>
      <w:r w:rsidRPr="00181EF3">
        <w:t>āori counterparts.</w:t>
      </w:r>
    </w:p>
    <w:p w14:paraId="30EC4B5A" w14:textId="77777777" w:rsidR="00E333AB" w:rsidRDefault="00E333AB" w:rsidP="00A14D8B"/>
    <w:p w14:paraId="64ACAF1E" w14:textId="77777777" w:rsidR="007A1A39" w:rsidRDefault="007A1A39" w:rsidP="007A1A39">
      <w:pPr>
        <w:pStyle w:val="Heading4"/>
      </w:pPr>
      <w:r>
        <w:lastRenderedPageBreak/>
        <w:t>H</w:t>
      </w:r>
      <w:r w:rsidRPr="00181EF3">
        <w:t>ospitalisation</w:t>
      </w:r>
      <w:r>
        <w:t xml:space="preserve"> rates</w:t>
      </w:r>
      <w:r w:rsidRPr="00181EF3">
        <w:t xml:space="preserve"> due to stroke have decreased</w:t>
      </w:r>
    </w:p>
    <w:p w14:paraId="4289CCB6" w14:textId="3F9A4F8B" w:rsidR="008A5642" w:rsidRDefault="00A14D8B" w:rsidP="004F4663">
      <w:pPr>
        <w:keepNext/>
      </w:pPr>
      <w:r w:rsidRPr="00181EF3">
        <w:t xml:space="preserve">Overall, between 1996–98 and 2014–16 age-standardised rates of hospitalisations due to stroke for Māori males did not change much, and rates for Māori females and </w:t>
      </w:r>
      <w:r w:rsidR="00EC03A3">
        <w:t>non</w:t>
      </w:r>
      <w:r w:rsidR="00EC03A3">
        <w:noBreakHyphen/>
        <w:t>M</w:t>
      </w:r>
      <w:r w:rsidRPr="00181EF3">
        <w:t>āori males and females decreased.</w:t>
      </w:r>
    </w:p>
    <w:p w14:paraId="2053C08C" w14:textId="455E0244" w:rsidR="00A14D8B" w:rsidRPr="00714EFD" w:rsidRDefault="00A14D8B" w:rsidP="004F4663">
      <w:pPr>
        <w:keepNext/>
      </w:pPr>
    </w:p>
    <w:p w14:paraId="480E71DB" w14:textId="19760F0F" w:rsidR="00A14D8B" w:rsidRPr="00181EF3" w:rsidRDefault="00A14D8B" w:rsidP="004F4663">
      <w:pPr>
        <w:keepLines/>
      </w:pPr>
      <w:r w:rsidRPr="00181EF3">
        <w:t xml:space="preserve">Between 1996–98 and 2014–16, age-standardised rates for Māori males increased by 1 percent (from 353 to 358 hospitalisations per 100,000) and rates for </w:t>
      </w:r>
      <w:r w:rsidR="00EC03A3">
        <w:t>non</w:t>
      </w:r>
      <w:r w:rsidR="00EC03A3">
        <w:noBreakHyphen/>
        <w:t>M</w:t>
      </w:r>
      <w:r w:rsidRPr="00181EF3">
        <w:t xml:space="preserve">āori males decreased by 21 percent (from 321 to 254 hospitalisations per 100,000). For females, the rate of hospitalisations per 100,000 for Māori females decreased by 14 percent (from 422 to 363 hospitalisations per 100,000), whereas the decrease for </w:t>
      </w:r>
      <w:r w:rsidR="00EC03A3">
        <w:t>non</w:t>
      </w:r>
      <w:r w:rsidR="00EC03A3">
        <w:noBreakHyphen/>
        <w:t>M</w:t>
      </w:r>
      <w:r w:rsidRPr="00181EF3">
        <w:t>āori women was 19 percent (from 226 to 184 hospitalisations per 100,000).</w:t>
      </w:r>
    </w:p>
    <w:p w14:paraId="6D32C4D5" w14:textId="77777777" w:rsidR="00A14D8B" w:rsidRPr="00181EF3" w:rsidRDefault="00A14D8B" w:rsidP="009F731C"/>
    <w:p w14:paraId="4FB61D42" w14:textId="7E71B0B9" w:rsidR="009F731C" w:rsidRDefault="009F731C" w:rsidP="00714EFD">
      <w:pPr>
        <w:pStyle w:val="Heading4"/>
      </w:pPr>
      <w:r w:rsidRPr="00181EF3">
        <w:t xml:space="preserve">The difference between Māori and </w:t>
      </w:r>
      <w:r w:rsidR="00EC03A3">
        <w:t>non</w:t>
      </w:r>
      <w:r w:rsidR="00EC03A3">
        <w:noBreakHyphen/>
        <w:t>M</w:t>
      </w:r>
      <w:r w:rsidRPr="00181EF3">
        <w:t xml:space="preserve">āori </w:t>
      </w:r>
      <w:r w:rsidR="00714EFD">
        <w:t xml:space="preserve">stroke hospitalisation </w:t>
      </w:r>
      <w:r w:rsidRPr="00181EF3">
        <w:t>rates increased for males, and decreased for females</w:t>
      </w:r>
    </w:p>
    <w:p w14:paraId="188D4CD0" w14:textId="5DD1A9C4" w:rsidR="00714EFD" w:rsidRPr="00181EF3" w:rsidRDefault="00714EFD" w:rsidP="00714EFD">
      <w:r w:rsidRPr="00181EF3">
        <w:t xml:space="preserve">Between 1996–98 and 2014–16, the difference between Māori and </w:t>
      </w:r>
      <w:r w:rsidR="00EC03A3">
        <w:t>non</w:t>
      </w:r>
      <w:r w:rsidR="00EC03A3">
        <w:noBreakHyphen/>
        <w:t>M</w:t>
      </w:r>
      <w:r w:rsidRPr="00181EF3">
        <w:t xml:space="preserve">āori age-standardised rates of hospitalisations due to stroke more than doubled for males and decreased for females. Rates for Māori males increased to be nearly 1.5 times as high as those of </w:t>
      </w:r>
      <w:r w:rsidR="00EC03A3">
        <w:t>non</w:t>
      </w:r>
      <w:r w:rsidR="00EC03A3">
        <w:noBreakHyphen/>
        <w:t>M</w:t>
      </w:r>
      <w:r w:rsidRPr="00181EF3">
        <w:t xml:space="preserve">āori males. For females, Māori rates remain twice as high as </w:t>
      </w:r>
      <w:r w:rsidR="00EC03A3">
        <w:t>non</w:t>
      </w:r>
      <w:r w:rsidR="00EC03A3">
        <w:noBreakHyphen/>
        <w:t>M</w:t>
      </w:r>
      <w:r w:rsidRPr="00181EF3">
        <w:t>āori rates</w:t>
      </w:r>
      <w:r w:rsidRPr="00181EF3">
        <w:rPr>
          <w:rFonts w:eastAsia="Calibri"/>
        </w:rPr>
        <w:t>.</w:t>
      </w:r>
    </w:p>
    <w:p w14:paraId="7FC8873F" w14:textId="77777777" w:rsidR="00714EFD" w:rsidRPr="00714EFD" w:rsidRDefault="00714EFD" w:rsidP="00714EFD"/>
    <w:p w14:paraId="4AF98B39" w14:textId="6E3CA02C" w:rsidR="009F731C" w:rsidRPr="00181EF3" w:rsidRDefault="009F731C" w:rsidP="009F731C">
      <w:r w:rsidRPr="00181EF3">
        <w:t xml:space="preserve">Between 1996–98 and 2014–16, the difference between Māori and </w:t>
      </w:r>
      <w:r w:rsidR="00EC03A3">
        <w:t>non</w:t>
      </w:r>
      <w:r w:rsidR="00EC03A3">
        <w:noBreakHyphen/>
        <w:t>M</w:t>
      </w:r>
      <w:r w:rsidRPr="00181EF3">
        <w:t xml:space="preserve">āori male stroke hospitalisation rates increased by 225 percent, increasing from 32 hospitalisations per 100,000 (the difference in 1996–98) to 104 hospitalisations per 100,000 (the difference in 2014–16). For females, the difference between Māori and </w:t>
      </w:r>
      <w:r w:rsidR="00EC03A3">
        <w:t>non</w:t>
      </w:r>
      <w:r w:rsidR="00EC03A3">
        <w:noBreakHyphen/>
        <w:t>M</w:t>
      </w:r>
      <w:r w:rsidRPr="00181EF3">
        <w:t>āori hospitalisation rates decreased by 9 percent (from 196 per 100,000 in</w:t>
      </w:r>
      <w:r w:rsidRPr="00181EF3">
        <w:br/>
        <w:t>1996–98 to 179 per 100,000 in 2014–16).</w:t>
      </w:r>
    </w:p>
    <w:p w14:paraId="625EF5FA" w14:textId="6B8CCA2E" w:rsidR="0000551D" w:rsidRDefault="0000551D" w:rsidP="004F4663"/>
    <w:p w14:paraId="18CA9318" w14:textId="77777777" w:rsidR="008A5642" w:rsidRDefault="00910411" w:rsidP="004F4663">
      <w:pPr>
        <w:pStyle w:val="Heading3"/>
        <w:pageBreakBefore/>
        <w:spacing w:before="0"/>
      </w:pPr>
      <w:bookmarkStart w:id="123" w:name="_Toc19102333"/>
      <w:r w:rsidRPr="00181EF3">
        <w:lastRenderedPageBreak/>
        <w:t>Heart failure</w:t>
      </w:r>
      <w:bookmarkEnd w:id="123"/>
    </w:p>
    <w:p w14:paraId="197152E7" w14:textId="083720A8" w:rsidR="001E6B75" w:rsidRPr="00181EF3" w:rsidRDefault="001E6B75" w:rsidP="001E6B75">
      <w:pPr>
        <w:pStyle w:val="Figure"/>
      </w:pPr>
      <w:bookmarkStart w:id="124" w:name="_Toc19101874"/>
      <w:r w:rsidRPr="00181EF3">
        <w:t xml:space="preserve">Figure </w:t>
      </w:r>
      <w:r>
        <w:t>2</w:t>
      </w:r>
      <w:r w:rsidRPr="00181EF3">
        <w:t xml:space="preserve">3: Heart failure mortality rates, </w:t>
      </w:r>
      <w:r>
        <w:t xml:space="preserve">35+ years, </w:t>
      </w:r>
      <w:r w:rsidRPr="00181EF3">
        <w:t xml:space="preserve">by </w:t>
      </w:r>
      <w:r>
        <w:t>gender</w:t>
      </w:r>
      <w:r w:rsidRPr="00181EF3">
        <w:t xml:space="preserve">, </w:t>
      </w:r>
      <w:r>
        <w:t xml:space="preserve">Māori and </w:t>
      </w:r>
      <w:r w:rsidR="00EC03A3">
        <w:t>non</w:t>
      </w:r>
      <w:r w:rsidR="00EC03A3">
        <w:noBreakHyphen/>
        <w:t>M</w:t>
      </w:r>
      <w:r>
        <w:t>āori</w:t>
      </w:r>
      <w:r w:rsidRPr="00181EF3">
        <w:t>, 1996–98 to 2012–14</w:t>
      </w:r>
      <w:bookmarkEnd w:id="124"/>
    </w:p>
    <w:p w14:paraId="2B861F4B" w14:textId="77777777" w:rsidR="001E6B75" w:rsidRPr="00181EF3" w:rsidRDefault="001E6B75" w:rsidP="004F4663">
      <w:pPr>
        <w:keepNext/>
      </w:pPr>
      <w:r w:rsidRPr="00181EF3">
        <w:rPr>
          <w:noProof/>
          <w:lang w:eastAsia="en-NZ"/>
        </w:rPr>
        <w:drawing>
          <wp:inline distT="0" distB="0" distL="0" distR="0" wp14:anchorId="6F2A1221" wp14:editId="6D25DBA7">
            <wp:extent cx="5130165" cy="2640171"/>
            <wp:effectExtent l="0" t="0" r="0" b="8255"/>
            <wp:docPr id="297" name="Picture 297" descr="Heart failure death rates have decreased for all groups over time. Māori have seen the greatest decrease and still have slightly higher rates than non-Māori for both genders." title="Figure 23: Heart failure mortality, age-standardised rates, Māori and non-Māori males and females, aged 35+ years, 1996–98 to 20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130165" cy="2640171"/>
                    </a:xfrm>
                    <a:prstGeom prst="rect">
                      <a:avLst/>
                    </a:prstGeom>
                  </pic:spPr>
                </pic:pic>
              </a:graphicData>
            </a:graphic>
          </wp:inline>
        </w:drawing>
      </w:r>
    </w:p>
    <w:p w14:paraId="536B3CA3" w14:textId="77777777" w:rsidR="001E6B75" w:rsidRDefault="001E6B75" w:rsidP="001E6B75">
      <w:pPr>
        <w:pStyle w:val="Note"/>
      </w:pPr>
      <w:r w:rsidRPr="00181EF3">
        <w:t>Note</w:t>
      </w:r>
      <w:r>
        <w:t>s</w:t>
      </w:r>
      <w:r w:rsidRPr="00181EF3">
        <w:t>:</w:t>
      </w:r>
    </w:p>
    <w:p w14:paraId="123D6467" w14:textId="55099A00" w:rsidR="008A5642" w:rsidRDefault="00446D86" w:rsidP="001E6B75">
      <w:pPr>
        <w:pStyle w:val="Note"/>
      </w:pPr>
      <w:r>
        <w:t>Figures are age-standardised to the 2001 Census total Māori population</w:t>
      </w:r>
      <w:r w:rsidR="001E6B75" w:rsidRPr="00181EF3">
        <w:t>.</w:t>
      </w:r>
    </w:p>
    <w:p w14:paraId="70F1F71D" w14:textId="2E79D06B" w:rsidR="001E6B75" w:rsidRPr="00181EF3" w:rsidRDefault="001E6B75" w:rsidP="001E6B75">
      <w:pPr>
        <w:pStyle w:val="Note"/>
      </w:pPr>
      <w:r>
        <w:t>Prioritised ethnicity has been used.</w:t>
      </w:r>
    </w:p>
    <w:p w14:paraId="6304FAA7" w14:textId="77777777" w:rsidR="008A5642" w:rsidRDefault="001E6B75" w:rsidP="00886EED">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1D0D14B9" w14:textId="58417A7D" w:rsidR="001E6B75" w:rsidRPr="00181EF3" w:rsidRDefault="001E6B75" w:rsidP="001E6B75">
      <w:pPr>
        <w:pStyle w:val="Source"/>
        <w:rPr>
          <w:rFonts w:eastAsia="Calibri"/>
        </w:rPr>
      </w:pPr>
      <w:r w:rsidRPr="00181EF3">
        <w:rPr>
          <w:rFonts w:eastAsia="Calibri"/>
        </w:rPr>
        <w:t>Source: Mortality Collection Data Set (MORT), Ministry of Health</w:t>
      </w:r>
      <w:r>
        <w:rPr>
          <w:rFonts w:eastAsia="Calibri"/>
        </w:rPr>
        <w:t xml:space="preserve">, </w:t>
      </w:r>
      <w:r w:rsidRPr="00181EF3">
        <w:t>1996–98 to 2012–14</w:t>
      </w:r>
      <w:r w:rsidRPr="00181EF3">
        <w:rPr>
          <w:rFonts w:eastAsia="Calibri"/>
        </w:rPr>
        <w:t>.</w:t>
      </w:r>
    </w:p>
    <w:p w14:paraId="19E0AD04" w14:textId="77777777" w:rsidR="001E6B75" w:rsidRPr="00181EF3" w:rsidRDefault="001E6B75" w:rsidP="00910411"/>
    <w:p w14:paraId="5B5A2195" w14:textId="1B5E802C" w:rsidR="00E56CA2" w:rsidRDefault="00E56CA2" w:rsidP="004F4663">
      <w:r w:rsidRPr="00181EF3">
        <w:t xml:space="preserve">Figure </w:t>
      </w:r>
      <w:r>
        <w:t>2</w:t>
      </w:r>
      <w:r w:rsidRPr="00181EF3">
        <w:t xml:space="preserve">3 shows that Māori males and females aged 35+ years have higher age-standardised heart failure mortality rates compared </w:t>
      </w:r>
      <w:r w:rsidR="00FF1892">
        <w:t>with</w:t>
      </w:r>
      <w:r w:rsidR="00FF1892" w:rsidRPr="00181EF3">
        <w:t xml:space="preserve"> </w:t>
      </w:r>
      <w:r w:rsidR="00EC03A3">
        <w:t>non</w:t>
      </w:r>
      <w:r w:rsidR="00EC03A3">
        <w:noBreakHyphen/>
        <w:t>M</w:t>
      </w:r>
      <w:r w:rsidRPr="00181EF3">
        <w:t>āori males and females.</w:t>
      </w:r>
    </w:p>
    <w:p w14:paraId="1D9F869B" w14:textId="77777777" w:rsidR="004F4663" w:rsidRPr="00181EF3" w:rsidRDefault="004F4663" w:rsidP="004F4663"/>
    <w:p w14:paraId="2BC734A3" w14:textId="77777777" w:rsidR="007A1A39" w:rsidRPr="00181EF3" w:rsidRDefault="007A1A39" w:rsidP="007A1A39">
      <w:pPr>
        <w:pStyle w:val="Heading4"/>
      </w:pPr>
      <w:r w:rsidRPr="00181EF3">
        <w:t>Heart failure mortality rates have decreased</w:t>
      </w:r>
    </w:p>
    <w:p w14:paraId="143B0D16" w14:textId="7E85744B" w:rsidR="00E56CA2" w:rsidRPr="00181EF3" w:rsidRDefault="00E56CA2" w:rsidP="00E56CA2">
      <w:r w:rsidRPr="00181EF3">
        <w:t xml:space="preserve">Between 1996–98 and 2012–14, age-standardised heart failure mortality rates decreased more for Māori males than for </w:t>
      </w:r>
      <w:r w:rsidR="00EC03A3">
        <w:t>non</w:t>
      </w:r>
      <w:r w:rsidR="00EC03A3">
        <w:noBreakHyphen/>
        <w:t>M</w:t>
      </w:r>
      <w:r w:rsidRPr="00181EF3">
        <w:t xml:space="preserve">āori males, likewise for Māori females than for </w:t>
      </w:r>
      <w:r w:rsidR="00EC03A3">
        <w:t>non</w:t>
      </w:r>
      <w:r w:rsidR="00EC03A3">
        <w:noBreakHyphen/>
        <w:t>M</w:t>
      </w:r>
      <w:r w:rsidRPr="00181EF3">
        <w:t>āori females.</w:t>
      </w:r>
    </w:p>
    <w:p w14:paraId="3871BD7D" w14:textId="77777777" w:rsidR="00E56CA2" w:rsidRPr="00181EF3" w:rsidRDefault="00E56CA2" w:rsidP="00E56CA2"/>
    <w:p w14:paraId="7E7F3C99" w14:textId="390E4151" w:rsidR="00E56CA2" w:rsidRDefault="00E56CA2" w:rsidP="00E56CA2">
      <w:r w:rsidRPr="00181EF3">
        <w:t xml:space="preserve">For Māori males, the rate of deaths per 100,000 due to heart failure decreased by 77 percent (from 22 to 5 deaths per 100,000), whereas the decrease for </w:t>
      </w:r>
      <w:r w:rsidR="00EC03A3">
        <w:t>non</w:t>
      </w:r>
      <w:r w:rsidR="00EC03A3">
        <w:noBreakHyphen/>
        <w:t>M</w:t>
      </w:r>
      <w:r w:rsidRPr="00181EF3">
        <w:t>āori males was by 66 percent (from 5 to 2 deaths per 100,000). For Māori females, the rate of deaths per 100,000 due to heart failure decreased by 74 percent (from 18 to 5</w:t>
      </w:r>
      <w:r w:rsidR="004F4663">
        <w:t> </w:t>
      </w:r>
      <w:r w:rsidRPr="00181EF3">
        <w:t xml:space="preserve">deaths per 100,000), whereas the decrease for </w:t>
      </w:r>
      <w:r w:rsidR="00EC03A3">
        <w:t>non</w:t>
      </w:r>
      <w:r w:rsidR="00EC03A3">
        <w:noBreakHyphen/>
        <w:t>M</w:t>
      </w:r>
      <w:r w:rsidRPr="00181EF3">
        <w:t>āori females was by 57 percent (from 5 to 2 deaths per 100,000).</w:t>
      </w:r>
    </w:p>
    <w:p w14:paraId="68D3404B" w14:textId="77777777" w:rsidR="004F4663" w:rsidRDefault="004F4663" w:rsidP="00E56CA2"/>
    <w:p w14:paraId="7244B1C4" w14:textId="799957DD" w:rsidR="00910411" w:rsidRDefault="00910411" w:rsidP="00E56CA2">
      <w:pPr>
        <w:pStyle w:val="Heading4"/>
      </w:pPr>
      <w:r w:rsidRPr="00181EF3">
        <w:lastRenderedPageBreak/>
        <w:t xml:space="preserve">The difference between Māori and </w:t>
      </w:r>
      <w:r w:rsidR="00EC03A3">
        <w:t>non</w:t>
      </w:r>
      <w:r w:rsidR="00EC03A3">
        <w:noBreakHyphen/>
        <w:t>M</w:t>
      </w:r>
      <w:r w:rsidRPr="00181EF3">
        <w:t xml:space="preserve">āori </w:t>
      </w:r>
      <w:r w:rsidR="00E56CA2">
        <w:t xml:space="preserve">heart failure mortality </w:t>
      </w:r>
      <w:r w:rsidRPr="00181EF3">
        <w:t>rates has decreased</w:t>
      </w:r>
    </w:p>
    <w:p w14:paraId="50649387" w14:textId="70B26193" w:rsidR="00E56CA2" w:rsidRPr="00181EF3" w:rsidRDefault="00E56CA2" w:rsidP="004F4663">
      <w:pPr>
        <w:keepNext/>
      </w:pPr>
      <w:r w:rsidRPr="00181EF3">
        <w:t xml:space="preserve">The difference between Māori and </w:t>
      </w:r>
      <w:r w:rsidR="00EC03A3">
        <w:t>non</w:t>
      </w:r>
      <w:r w:rsidR="00EC03A3">
        <w:noBreakHyphen/>
        <w:t>M</w:t>
      </w:r>
      <w:r w:rsidRPr="00181EF3">
        <w:t xml:space="preserve">āori age-standardised heart failure mortality rates decreased by around 80 percent between 1996–98 and 2012–14. However, rates for Māori remain more than twice as high as those for </w:t>
      </w:r>
      <w:r w:rsidR="00EC03A3">
        <w:t>non</w:t>
      </w:r>
      <w:r w:rsidR="00EC03A3">
        <w:noBreakHyphen/>
        <w:t>M</w:t>
      </w:r>
      <w:r w:rsidRPr="00181EF3">
        <w:t>āori</w:t>
      </w:r>
      <w:r w:rsidRPr="00181EF3">
        <w:rPr>
          <w:rFonts w:eastAsia="Calibri"/>
        </w:rPr>
        <w:t>.</w:t>
      </w:r>
    </w:p>
    <w:p w14:paraId="3D7C8E77" w14:textId="77777777" w:rsidR="00E56CA2" w:rsidRPr="00E56CA2" w:rsidRDefault="00E56CA2" w:rsidP="004F4663">
      <w:pPr>
        <w:keepNext/>
      </w:pPr>
    </w:p>
    <w:p w14:paraId="6E723EB3" w14:textId="3D1FE41F" w:rsidR="00910411" w:rsidRPr="00181EF3" w:rsidRDefault="00910411" w:rsidP="00910411">
      <w:r w:rsidRPr="00181EF3">
        <w:t xml:space="preserve">Between 1996–98 and 2012–14, the difference between Māori and </w:t>
      </w:r>
      <w:r w:rsidR="00EC03A3">
        <w:t>non</w:t>
      </w:r>
      <w:r w:rsidR="00EC03A3">
        <w:noBreakHyphen/>
        <w:t>M</w:t>
      </w:r>
      <w:r w:rsidRPr="00181EF3">
        <w:t xml:space="preserve">āori male age-standardised heart failure mortality rates decreased by 81 percent, reducing from 17 per 100,000 (the difference in 1996–98) to 3 per 100,000 (the difference in 2012–14). Similarly, for females the difference between Māori and </w:t>
      </w:r>
      <w:r w:rsidR="00EC03A3">
        <w:t>non</w:t>
      </w:r>
      <w:r w:rsidR="00EC03A3">
        <w:noBreakHyphen/>
        <w:t>M</w:t>
      </w:r>
      <w:r w:rsidRPr="00181EF3">
        <w:t>āori mortality rates decreased by 80 percent (from 13 per 100,000 in 1996–98 to 3 per 100,000 in 2012–14).</w:t>
      </w:r>
    </w:p>
    <w:p w14:paraId="2FDC4034" w14:textId="77777777" w:rsidR="00910411" w:rsidRPr="00181EF3" w:rsidRDefault="00910411" w:rsidP="00910411"/>
    <w:p w14:paraId="2F97E960" w14:textId="2D9E49E3" w:rsidR="00E56CA2" w:rsidRPr="00181EF3" w:rsidRDefault="00E56CA2" w:rsidP="00E56CA2">
      <w:pPr>
        <w:pStyle w:val="Figure"/>
      </w:pPr>
      <w:bookmarkStart w:id="125" w:name="_Toc19101875"/>
      <w:r w:rsidRPr="00181EF3">
        <w:t xml:space="preserve">Figure </w:t>
      </w:r>
      <w:r>
        <w:t>24</w:t>
      </w:r>
      <w:r w:rsidRPr="00181EF3">
        <w:t xml:space="preserve">: Heart failure hospitalisation rates, </w:t>
      </w:r>
      <w:r>
        <w:t xml:space="preserve">35+ years, by gender, </w:t>
      </w:r>
      <w:r w:rsidRPr="00181EF3">
        <w:t xml:space="preserve">Māori and </w:t>
      </w:r>
      <w:r w:rsidR="00EC03A3">
        <w:t>non</w:t>
      </w:r>
      <w:r w:rsidR="00EC03A3">
        <w:noBreakHyphen/>
        <w:t>M</w:t>
      </w:r>
      <w:r w:rsidRPr="00181EF3">
        <w:t>āori, 1996–98 to 2014–16</w:t>
      </w:r>
      <w:bookmarkEnd w:id="125"/>
    </w:p>
    <w:p w14:paraId="71E0E396" w14:textId="77777777" w:rsidR="00E56CA2" w:rsidRPr="00181EF3" w:rsidRDefault="00E56CA2" w:rsidP="00E56CA2">
      <w:r w:rsidRPr="00181EF3">
        <w:rPr>
          <w:noProof/>
          <w:lang w:eastAsia="en-NZ"/>
        </w:rPr>
        <w:drawing>
          <wp:inline distT="0" distB="0" distL="0" distR="0" wp14:anchorId="5F83E4C3" wp14:editId="54AE7E7F">
            <wp:extent cx="5130165" cy="2616603"/>
            <wp:effectExtent l="0" t="0" r="0" b="0"/>
            <wp:docPr id="302" name="Picture 302" descr="Hospitalization rates for heart failure have decreased. Māori men have the highest rates, followed by Māori women. Non-Māori men and women have much lower, comparable rates." title="Figure 24: Heart failure hospitalisation, age-standardised rates, Māori and non-Māori males and females, aged 35+ years, 1996–98 to 20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130165" cy="2616603"/>
                    </a:xfrm>
                    <a:prstGeom prst="rect">
                      <a:avLst/>
                    </a:prstGeom>
                  </pic:spPr>
                </pic:pic>
              </a:graphicData>
            </a:graphic>
          </wp:inline>
        </w:drawing>
      </w:r>
    </w:p>
    <w:p w14:paraId="5B87D7EB" w14:textId="77777777" w:rsidR="00E56CA2" w:rsidRDefault="00E56CA2" w:rsidP="00E56CA2">
      <w:pPr>
        <w:pStyle w:val="Note"/>
      </w:pPr>
      <w:r w:rsidRPr="00181EF3">
        <w:t>Note</w:t>
      </w:r>
      <w:r>
        <w:t>s</w:t>
      </w:r>
      <w:r w:rsidRPr="00181EF3">
        <w:t>:</w:t>
      </w:r>
    </w:p>
    <w:p w14:paraId="0D657FCF" w14:textId="1C491ABD" w:rsidR="008A5642" w:rsidRDefault="00446D86" w:rsidP="00E56CA2">
      <w:pPr>
        <w:pStyle w:val="Note"/>
      </w:pPr>
      <w:r>
        <w:t>Figures are age-standardised to the 2001 Census total Māori population</w:t>
      </w:r>
      <w:r w:rsidR="00E56CA2" w:rsidRPr="00181EF3">
        <w:t>.</w:t>
      </w:r>
    </w:p>
    <w:p w14:paraId="3034511E" w14:textId="5110D26D" w:rsidR="00E56CA2" w:rsidRPr="00181EF3" w:rsidRDefault="00E56CA2" w:rsidP="00E56CA2">
      <w:pPr>
        <w:pStyle w:val="Note"/>
      </w:pPr>
      <w:r>
        <w:t>Prioritised ethnicity has been used.</w:t>
      </w:r>
    </w:p>
    <w:p w14:paraId="2D19BE85" w14:textId="77777777" w:rsidR="008A5642" w:rsidRDefault="00E56CA2" w:rsidP="00886EED">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66FA2849" w14:textId="09E4E45F" w:rsidR="00E56CA2" w:rsidRPr="00181EF3" w:rsidRDefault="00E56CA2" w:rsidP="00E56CA2">
      <w:pPr>
        <w:pStyle w:val="Source"/>
        <w:rPr>
          <w:rFonts w:eastAsia="Calibri"/>
        </w:rPr>
      </w:pPr>
      <w:r w:rsidRPr="00181EF3">
        <w:rPr>
          <w:rFonts w:eastAsia="Calibri"/>
        </w:rPr>
        <w:t>Source: National Minimum Data Set (NMDS), Ministry of Health</w:t>
      </w:r>
      <w:r>
        <w:rPr>
          <w:rFonts w:eastAsia="Calibri"/>
        </w:rPr>
        <w:t>,</w:t>
      </w:r>
      <w:r w:rsidRPr="00507AA7">
        <w:t xml:space="preserve"> </w:t>
      </w:r>
      <w:r w:rsidRPr="00181EF3">
        <w:t>1996–98 to 201</w:t>
      </w:r>
      <w:r>
        <w:t>4</w:t>
      </w:r>
      <w:r w:rsidRPr="00181EF3">
        <w:t>–1</w:t>
      </w:r>
      <w:r>
        <w:t>6</w:t>
      </w:r>
      <w:r w:rsidRPr="00181EF3">
        <w:rPr>
          <w:rFonts w:eastAsia="Calibri"/>
        </w:rPr>
        <w:t>.</w:t>
      </w:r>
    </w:p>
    <w:p w14:paraId="25E85E59" w14:textId="77777777" w:rsidR="00E56CA2" w:rsidRDefault="00E56CA2" w:rsidP="00E56CA2"/>
    <w:p w14:paraId="5E785066" w14:textId="12E3A8A9" w:rsidR="00A14D8B" w:rsidRDefault="00A14D8B" w:rsidP="00A14D8B">
      <w:r w:rsidRPr="00181EF3">
        <w:t xml:space="preserve">Figure </w:t>
      </w:r>
      <w:r>
        <w:t>24</w:t>
      </w:r>
      <w:r w:rsidRPr="00181EF3">
        <w:t xml:space="preserve"> shows that Māori males and females aged 35+ years have higher age</w:t>
      </w:r>
      <w:r w:rsidRPr="00181EF3">
        <w:noBreakHyphen/>
        <w:t xml:space="preserve">standardised rates of hospitalisations due to heart failure compared </w:t>
      </w:r>
      <w:r w:rsidR="00FF1892">
        <w:t>with</w:t>
      </w:r>
      <w:r w:rsidR="00FF1892" w:rsidRPr="00181EF3">
        <w:t xml:space="preserve"> </w:t>
      </w:r>
      <w:r w:rsidR="00EC03A3">
        <w:t>non</w:t>
      </w:r>
      <w:r w:rsidR="00EC03A3">
        <w:noBreakHyphen/>
        <w:t>M</w:t>
      </w:r>
      <w:r w:rsidRPr="00181EF3">
        <w:t>āori males and females.</w:t>
      </w:r>
    </w:p>
    <w:p w14:paraId="132CC485" w14:textId="77777777" w:rsidR="004F4663" w:rsidRPr="00181EF3" w:rsidRDefault="004F4663" w:rsidP="00A14D8B"/>
    <w:p w14:paraId="48B1519D" w14:textId="77777777" w:rsidR="007A1A39" w:rsidRPr="00181EF3" w:rsidRDefault="007A1A39" w:rsidP="007A1A39">
      <w:pPr>
        <w:pStyle w:val="Heading4"/>
      </w:pPr>
      <w:r>
        <w:lastRenderedPageBreak/>
        <w:t>H</w:t>
      </w:r>
      <w:r w:rsidRPr="00181EF3">
        <w:t>ospitalisation</w:t>
      </w:r>
      <w:r>
        <w:t xml:space="preserve"> rates</w:t>
      </w:r>
      <w:r w:rsidRPr="00181EF3">
        <w:t xml:space="preserve"> due to heart failure have decreased</w:t>
      </w:r>
    </w:p>
    <w:p w14:paraId="7D70057F" w14:textId="5C953396" w:rsidR="008A5642" w:rsidRDefault="00A14D8B" w:rsidP="004F4663">
      <w:pPr>
        <w:keepNext/>
      </w:pPr>
      <w:r w:rsidRPr="00181EF3">
        <w:t>Overall, between 1996–98 and 2014–16 age-standardised rates of hospitalisations due to heart failure</w:t>
      </w:r>
      <w:r w:rsidRPr="00181EF3">
        <w:rPr>
          <w:i/>
        </w:rPr>
        <w:t xml:space="preserve"> </w:t>
      </w:r>
      <w:r w:rsidRPr="00181EF3">
        <w:t xml:space="preserve">for Māori and </w:t>
      </w:r>
      <w:r w:rsidR="00EC03A3">
        <w:t>non</w:t>
      </w:r>
      <w:r w:rsidR="00EC03A3">
        <w:noBreakHyphen/>
        <w:t>M</w:t>
      </w:r>
      <w:r w:rsidRPr="00181EF3">
        <w:t>āori decreased.</w:t>
      </w:r>
    </w:p>
    <w:p w14:paraId="4A292AD9" w14:textId="4FAEBC06" w:rsidR="00A14D8B" w:rsidRDefault="00A14D8B" w:rsidP="004F4663">
      <w:pPr>
        <w:keepNext/>
      </w:pPr>
    </w:p>
    <w:p w14:paraId="285D9535" w14:textId="275360F7" w:rsidR="00A14D8B" w:rsidRPr="00181EF3" w:rsidRDefault="00A14D8B" w:rsidP="004F4663">
      <w:pPr>
        <w:keepNext/>
        <w:keepLines/>
      </w:pPr>
      <w:r w:rsidRPr="00181EF3">
        <w:t xml:space="preserve">For Māori males, rates decreased </w:t>
      </w:r>
      <w:r w:rsidR="00636DA5">
        <w:t xml:space="preserve">by </w:t>
      </w:r>
      <w:r w:rsidRPr="00181EF3">
        <w:t xml:space="preserve">21 percent (from 751 to 591 hospitalisations per 100,000), and rates for </w:t>
      </w:r>
      <w:r w:rsidR="00EC03A3">
        <w:t>non</w:t>
      </w:r>
      <w:r w:rsidR="00EC03A3">
        <w:noBreakHyphen/>
        <w:t>M</w:t>
      </w:r>
      <w:r w:rsidRPr="00181EF3">
        <w:t xml:space="preserve">āori males decreased by 24 percent (from 192 to 145 hospitalisations per 100,000). For females, the decrease was much higher for Māori females than </w:t>
      </w:r>
      <w:r w:rsidR="00EC03A3">
        <w:t>non</w:t>
      </w:r>
      <w:r w:rsidR="00EC03A3">
        <w:noBreakHyphen/>
        <w:t>M</w:t>
      </w:r>
      <w:r w:rsidRPr="00181EF3">
        <w:t xml:space="preserve">āori females. Between 1996–98 and 2014–16, the rates for Māori females decreased by 35 percent (from 527 to 342 hospitalisations per 100,000), whereas the decrease for </w:t>
      </w:r>
      <w:r w:rsidR="00EC03A3">
        <w:t>non</w:t>
      </w:r>
      <w:r w:rsidR="00EC03A3">
        <w:noBreakHyphen/>
        <w:t>M</w:t>
      </w:r>
      <w:r w:rsidRPr="00181EF3">
        <w:t>āori females was by 29 percent (from 120 to 85 hospitalisations per 100,000).</w:t>
      </w:r>
    </w:p>
    <w:p w14:paraId="2931EBF2" w14:textId="77777777" w:rsidR="00A14D8B" w:rsidRPr="00181EF3" w:rsidRDefault="00A14D8B" w:rsidP="00A14D8B"/>
    <w:p w14:paraId="4AAFCFF0" w14:textId="3DBAB870" w:rsidR="00E56CA2" w:rsidRPr="00181EF3" w:rsidRDefault="00E56CA2" w:rsidP="00E56CA2">
      <w:pPr>
        <w:pStyle w:val="Heading4"/>
      </w:pPr>
      <w:r w:rsidRPr="00181EF3">
        <w:t xml:space="preserve">The difference between Māori and </w:t>
      </w:r>
      <w:r w:rsidR="00EC03A3">
        <w:t>non</w:t>
      </w:r>
      <w:r w:rsidR="00EC03A3">
        <w:noBreakHyphen/>
        <w:t>M</w:t>
      </w:r>
      <w:r w:rsidRPr="00181EF3">
        <w:t xml:space="preserve">āori </w:t>
      </w:r>
      <w:r>
        <w:t xml:space="preserve">heart failure hospitalisation </w:t>
      </w:r>
      <w:r w:rsidRPr="00181EF3">
        <w:t>rates decreased for males and females</w:t>
      </w:r>
    </w:p>
    <w:p w14:paraId="55C8F7BD" w14:textId="2BE455E1" w:rsidR="00E56CA2" w:rsidRDefault="00E56CA2" w:rsidP="00E56CA2">
      <w:r w:rsidRPr="00181EF3">
        <w:t xml:space="preserve">Between 1996–98 and 2014–16, the difference between Māori and </w:t>
      </w:r>
      <w:r w:rsidR="00EC03A3">
        <w:t>non</w:t>
      </w:r>
      <w:r w:rsidR="00EC03A3">
        <w:noBreakHyphen/>
        <w:t>M</w:t>
      </w:r>
      <w:r w:rsidRPr="00181EF3">
        <w:t>āori age</w:t>
      </w:r>
      <w:r w:rsidRPr="00181EF3">
        <w:noBreakHyphen/>
        <w:t xml:space="preserve">standardised rates of hospitalisations due to heart failure decreased for males and females. However, rates for Māori males and females remain around four times as high as those of </w:t>
      </w:r>
      <w:r w:rsidR="00EC03A3">
        <w:t>non</w:t>
      </w:r>
      <w:r w:rsidR="00EC03A3">
        <w:noBreakHyphen/>
        <w:t>M</w:t>
      </w:r>
      <w:r w:rsidRPr="00181EF3">
        <w:t>āori males and females</w:t>
      </w:r>
      <w:r>
        <w:t>.</w:t>
      </w:r>
    </w:p>
    <w:p w14:paraId="19D4E76D" w14:textId="77777777" w:rsidR="00E56CA2" w:rsidRDefault="00E56CA2" w:rsidP="00E56CA2"/>
    <w:p w14:paraId="17BF0B4E" w14:textId="75E4EFF9" w:rsidR="00E56CA2" w:rsidRPr="00181EF3" w:rsidRDefault="00E56CA2" w:rsidP="00E56CA2">
      <w:r w:rsidRPr="00181EF3">
        <w:t xml:space="preserve">Between 1996–98 and 2014–16, the difference between Māori and </w:t>
      </w:r>
      <w:r w:rsidR="00EC03A3">
        <w:t>non</w:t>
      </w:r>
      <w:r w:rsidR="00EC03A3">
        <w:noBreakHyphen/>
        <w:t>M</w:t>
      </w:r>
      <w:r w:rsidRPr="00181EF3">
        <w:t xml:space="preserve">āori male heart failure hospitalisation rates decreased by 20 percent, from 559 hospitalisations per 100,000 (the difference in 1996–98) to 446 hospitalisations per 100,000 (the difference in 2014–16). For females, the difference between Māori and </w:t>
      </w:r>
      <w:r w:rsidR="00EC03A3">
        <w:t>non</w:t>
      </w:r>
      <w:r w:rsidR="00EC03A3">
        <w:noBreakHyphen/>
        <w:t>M</w:t>
      </w:r>
      <w:r w:rsidRPr="00181EF3">
        <w:t>āori hospitalisation rates decreased by 37 percent (from 407 per 100,000 in 1996–98 to 257 per 100,000 in 2014–16).</w:t>
      </w:r>
    </w:p>
    <w:p w14:paraId="1721667C" w14:textId="32CB0F3F" w:rsidR="0000551D" w:rsidRDefault="0000551D"/>
    <w:p w14:paraId="776570E5" w14:textId="77777777" w:rsidR="00910411" w:rsidRDefault="00910411" w:rsidP="004F4663">
      <w:pPr>
        <w:pStyle w:val="Heading3"/>
        <w:pageBreakBefore/>
        <w:spacing w:before="0"/>
      </w:pPr>
      <w:bookmarkStart w:id="126" w:name="_Toc19102334"/>
      <w:r w:rsidRPr="00181EF3">
        <w:lastRenderedPageBreak/>
        <w:t>Chronic rheumatic heart disease</w:t>
      </w:r>
      <w:bookmarkEnd w:id="126"/>
    </w:p>
    <w:p w14:paraId="09A8F6D5" w14:textId="578EBE06" w:rsidR="00910411" w:rsidRPr="00181EF3" w:rsidRDefault="00910411" w:rsidP="00910411">
      <w:pPr>
        <w:pStyle w:val="Figure"/>
      </w:pPr>
      <w:bookmarkStart w:id="127" w:name="_Toc19101876"/>
      <w:r w:rsidRPr="00181EF3">
        <w:t xml:space="preserve">Figure </w:t>
      </w:r>
      <w:r w:rsidR="00E56CA2">
        <w:t>25</w:t>
      </w:r>
      <w:r w:rsidRPr="00181EF3">
        <w:t>:</w:t>
      </w:r>
      <w:r w:rsidRPr="00181EF3">
        <w:rPr>
          <w:sz w:val="24"/>
          <w:szCs w:val="24"/>
        </w:rPr>
        <w:t xml:space="preserve"> </w:t>
      </w:r>
      <w:r w:rsidRPr="00181EF3">
        <w:t>Chronic rheumatic heart disease mortality rates</w:t>
      </w:r>
      <w:r w:rsidR="001E6B75">
        <w:t xml:space="preserve">, </w:t>
      </w:r>
      <w:r w:rsidR="00836EA8">
        <w:t>1</w:t>
      </w:r>
      <w:r w:rsidR="001E6B75">
        <w:t xml:space="preserve">5+ years, </w:t>
      </w:r>
      <w:r w:rsidR="001E6B75" w:rsidRPr="00181EF3">
        <w:t xml:space="preserve">by </w:t>
      </w:r>
      <w:r w:rsidR="001E6B75">
        <w:t>gender</w:t>
      </w:r>
      <w:r w:rsidR="001E6B75" w:rsidRPr="00181EF3">
        <w:t xml:space="preserve">, </w:t>
      </w:r>
      <w:r w:rsidR="001E6B75">
        <w:t xml:space="preserve">Māori and </w:t>
      </w:r>
      <w:r w:rsidR="00EC03A3">
        <w:t>non</w:t>
      </w:r>
      <w:r w:rsidR="00EC03A3">
        <w:noBreakHyphen/>
        <w:t>M</w:t>
      </w:r>
      <w:r w:rsidR="001E6B75">
        <w:t>āori</w:t>
      </w:r>
      <w:r w:rsidR="001E6B75" w:rsidRPr="00181EF3">
        <w:t>,</w:t>
      </w:r>
      <w:r w:rsidRPr="00181EF3">
        <w:t xml:space="preserve"> 1996–98 to 2012–14</w:t>
      </w:r>
      <w:bookmarkEnd w:id="127"/>
    </w:p>
    <w:p w14:paraId="321203C0" w14:textId="77777777" w:rsidR="00910411" w:rsidRPr="00181EF3" w:rsidRDefault="00910411" w:rsidP="004F4663">
      <w:r w:rsidRPr="00181EF3">
        <w:rPr>
          <w:noProof/>
          <w:lang w:eastAsia="en-NZ"/>
        </w:rPr>
        <w:drawing>
          <wp:inline distT="0" distB="0" distL="0" distR="0" wp14:anchorId="326D8DD7" wp14:editId="5DF7F2DA">
            <wp:extent cx="5130165" cy="2640171"/>
            <wp:effectExtent l="0" t="0" r="0" b="8255"/>
            <wp:docPr id="298" name="Picture 298" descr="Rheumatic heart disease death rates are highest for Māori women, followed by Māori men. The rates for non-Māori men and women are similar and much lower." title="Figure 25: Chronic rheumatic heart disease mortality, age-standardised rates, Māori and non-Māori males and females, aged 35+ years, 1996–98 to 20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130165" cy="2640171"/>
                    </a:xfrm>
                    <a:prstGeom prst="rect">
                      <a:avLst/>
                    </a:prstGeom>
                  </pic:spPr>
                </pic:pic>
              </a:graphicData>
            </a:graphic>
          </wp:inline>
        </w:drawing>
      </w:r>
    </w:p>
    <w:p w14:paraId="7826A354" w14:textId="77777777" w:rsidR="001E6B75" w:rsidRDefault="001E6B75" w:rsidP="004F4663">
      <w:pPr>
        <w:pStyle w:val="Note"/>
      </w:pPr>
      <w:r w:rsidRPr="00181EF3">
        <w:t>Note</w:t>
      </w:r>
      <w:r>
        <w:t>s</w:t>
      </w:r>
      <w:r w:rsidRPr="00181EF3">
        <w:t>:</w:t>
      </w:r>
    </w:p>
    <w:p w14:paraId="227AB164" w14:textId="27C476BA" w:rsidR="008A5642" w:rsidRDefault="00446D86" w:rsidP="001E6B75">
      <w:pPr>
        <w:pStyle w:val="Note"/>
      </w:pPr>
      <w:r>
        <w:t>Figures are age-standardised to the 2001 Census total Māori population</w:t>
      </w:r>
      <w:r w:rsidR="001E6B75" w:rsidRPr="00181EF3">
        <w:t>.</w:t>
      </w:r>
    </w:p>
    <w:p w14:paraId="3A00169C" w14:textId="4D8FD8BD" w:rsidR="001E6B75" w:rsidRPr="00181EF3" w:rsidRDefault="001E6B75" w:rsidP="001E6B75">
      <w:pPr>
        <w:pStyle w:val="Note"/>
      </w:pPr>
      <w:r>
        <w:t>Prioritised ethnicity has been used.</w:t>
      </w:r>
    </w:p>
    <w:p w14:paraId="46615A91" w14:textId="77777777" w:rsidR="008A5642" w:rsidRDefault="001E6B75" w:rsidP="00886EED">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589734E7" w14:textId="57F3FDED" w:rsidR="001E6B75" w:rsidRPr="00181EF3" w:rsidRDefault="001E6B75" w:rsidP="001E6B75">
      <w:pPr>
        <w:pStyle w:val="Source"/>
        <w:rPr>
          <w:rFonts w:eastAsia="Calibri"/>
        </w:rPr>
      </w:pPr>
      <w:r w:rsidRPr="00181EF3">
        <w:rPr>
          <w:rFonts w:eastAsia="Calibri"/>
        </w:rPr>
        <w:t>Source: Mortality Collection Data Set (MORT), Ministry of Health</w:t>
      </w:r>
      <w:r>
        <w:rPr>
          <w:rFonts w:eastAsia="Calibri"/>
        </w:rPr>
        <w:t xml:space="preserve">, </w:t>
      </w:r>
      <w:r w:rsidRPr="00181EF3">
        <w:t>1996–98 to 2012–14</w:t>
      </w:r>
      <w:r w:rsidRPr="00181EF3">
        <w:rPr>
          <w:rFonts w:eastAsia="Calibri"/>
        </w:rPr>
        <w:t>.</w:t>
      </w:r>
    </w:p>
    <w:p w14:paraId="3BD571F0" w14:textId="77777777" w:rsidR="00A14D8B" w:rsidRDefault="00A14D8B" w:rsidP="00E56CA2"/>
    <w:p w14:paraId="0680CCDF" w14:textId="5EB72A89" w:rsidR="00A14D8B" w:rsidRDefault="00A14D8B" w:rsidP="00E56CA2">
      <w:r w:rsidRPr="00181EF3">
        <w:t xml:space="preserve">Figure </w:t>
      </w:r>
      <w:r>
        <w:t>25</w:t>
      </w:r>
      <w:r w:rsidRPr="00181EF3">
        <w:t xml:space="preserve"> shows that Māori males and females aged </w:t>
      </w:r>
      <w:r w:rsidR="00836EA8">
        <w:t>1</w:t>
      </w:r>
      <w:r w:rsidRPr="00181EF3">
        <w:t>5+ years have higher age</w:t>
      </w:r>
      <w:r w:rsidRPr="00181EF3">
        <w:noBreakHyphen/>
        <w:t xml:space="preserve">standardised chronic rheumatic heart disease mortality rates to compared </w:t>
      </w:r>
      <w:r w:rsidR="002D3C0C">
        <w:t>with</w:t>
      </w:r>
      <w:r w:rsidR="002D3C0C" w:rsidRPr="00181EF3">
        <w:t xml:space="preserve"> </w:t>
      </w:r>
      <w:r w:rsidR="00EC03A3">
        <w:t>non</w:t>
      </w:r>
      <w:r w:rsidR="00EC03A3">
        <w:noBreakHyphen/>
        <w:t>M</w:t>
      </w:r>
      <w:r w:rsidRPr="00181EF3">
        <w:t>āori males and females.</w:t>
      </w:r>
    </w:p>
    <w:p w14:paraId="436660BA" w14:textId="77777777" w:rsidR="004F4663" w:rsidRDefault="004F4663" w:rsidP="00E56CA2"/>
    <w:p w14:paraId="164041D5" w14:textId="77777777" w:rsidR="007A1A39" w:rsidRPr="00E56CA2" w:rsidRDefault="007A1A39" w:rsidP="007A1A39">
      <w:pPr>
        <w:pStyle w:val="Heading4"/>
      </w:pPr>
      <w:r w:rsidRPr="00181EF3">
        <w:t xml:space="preserve">Chronic rheumatic heart disease </w:t>
      </w:r>
      <w:r>
        <w:t xml:space="preserve">mortality </w:t>
      </w:r>
      <w:r w:rsidRPr="00181EF3">
        <w:t>rates have decreased</w:t>
      </w:r>
    </w:p>
    <w:p w14:paraId="62B4CEAA" w14:textId="5BDAC28B" w:rsidR="008A5642" w:rsidRDefault="00E56CA2" w:rsidP="00E56CA2">
      <w:r w:rsidRPr="00181EF3">
        <w:t xml:space="preserve">Between 1996–98 and 2012–14, age-standardised chronic rheumatic heart disease mortality rates decreased more for Māori males and females than for </w:t>
      </w:r>
      <w:r w:rsidR="00EC03A3">
        <w:t>non</w:t>
      </w:r>
      <w:r w:rsidR="00EC03A3">
        <w:noBreakHyphen/>
        <w:t>M</w:t>
      </w:r>
      <w:r w:rsidRPr="00181EF3">
        <w:t>āori males and females.</w:t>
      </w:r>
    </w:p>
    <w:p w14:paraId="04A84B4F" w14:textId="1FDC54FA" w:rsidR="00E56CA2" w:rsidRPr="00181EF3" w:rsidRDefault="00E56CA2" w:rsidP="00E56CA2"/>
    <w:p w14:paraId="475DBBEA" w14:textId="58874A7A" w:rsidR="00E56CA2" w:rsidRPr="00181EF3" w:rsidRDefault="00E56CA2" w:rsidP="00E56CA2">
      <w:r w:rsidRPr="00181EF3">
        <w:t xml:space="preserve">For Māori males, the rate of deaths per 100,000 due to chronic rheumatic heart disease decreased by 50 percent (from 10 to 4 deaths per 100,000). For Māori females, the rate of deaths per 100,000 due to chronic rheumatic heart disease decreased by 56 percent (from 13 to 6 deaths per 100,000). It is important to note that measuring decreases for </w:t>
      </w:r>
      <w:r w:rsidR="00EC03A3">
        <w:t>non</w:t>
      </w:r>
      <w:r w:rsidR="00EC03A3">
        <w:noBreakHyphen/>
        <w:t>M</w:t>
      </w:r>
      <w:r w:rsidRPr="00181EF3">
        <w:t>āori males and females could be misleading as the number of deaths per 100,000 is low for these groups, at around 1 death per 100,000. At these low rates an increase or decrease of just 1 death per 100,000 will correspond to percentage change of 100 percent, which is misleading considering the small change.</w:t>
      </w:r>
    </w:p>
    <w:p w14:paraId="71FECBE8" w14:textId="77777777" w:rsidR="00E56CA2" w:rsidRPr="00181EF3" w:rsidRDefault="00E56CA2" w:rsidP="00E56CA2"/>
    <w:p w14:paraId="56E1838F" w14:textId="2ED3645C" w:rsidR="00E56CA2" w:rsidRPr="00181EF3" w:rsidRDefault="00E56CA2" w:rsidP="00E56CA2">
      <w:pPr>
        <w:pStyle w:val="Heading4"/>
      </w:pPr>
      <w:r w:rsidRPr="00181EF3">
        <w:lastRenderedPageBreak/>
        <w:t xml:space="preserve">The difference between Māori and </w:t>
      </w:r>
      <w:r w:rsidR="00EC03A3">
        <w:t>non</w:t>
      </w:r>
      <w:r w:rsidR="00EC03A3">
        <w:noBreakHyphen/>
        <w:t>M</w:t>
      </w:r>
      <w:r w:rsidRPr="00181EF3">
        <w:t xml:space="preserve">āori </w:t>
      </w:r>
      <w:r>
        <w:t xml:space="preserve">chronic rheumatic heart disease mortality </w:t>
      </w:r>
      <w:r w:rsidRPr="00181EF3">
        <w:t>rates has decreased</w:t>
      </w:r>
    </w:p>
    <w:p w14:paraId="2480DD97" w14:textId="0DA57679" w:rsidR="00E56CA2" w:rsidRPr="00181EF3" w:rsidRDefault="00E56CA2" w:rsidP="00E56CA2">
      <w:r w:rsidRPr="00181EF3">
        <w:t xml:space="preserve">The difference between Māori and </w:t>
      </w:r>
      <w:r w:rsidR="00EC03A3">
        <w:t>non</w:t>
      </w:r>
      <w:r w:rsidR="00EC03A3">
        <w:noBreakHyphen/>
        <w:t>M</w:t>
      </w:r>
      <w:r w:rsidRPr="00181EF3">
        <w:t xml:space="preserve">āori age-standardised heart failure mortality rates decreased by over 50 percent between 1996–98 and 2012–14. However, rates for Māori remain more than four times as high as those for </w:t>
      </w:r>
      <w:r w:rsidR="00EC03A3">
        <w:t>non</w:t>
      </w:r>
      <w:r w:rsidR="00EC03A3">
        <w:noBreakHyphen/>
        <w:t>M</w:t>
      </w:r>
      <w:r w:rsidRPr="00181EF3">
        <w:t>āori</w:t>
      </w:r>
      <w:r w:rsidRPr="00181EF3">
        <w:rPr>
          <w:rFonts w:eastAsia="Calibri"/>
        </w:rPr>
        <w:t>.</w:t>
      </w:r>
    </w:p>
    <w:p w14:paraId="7EC1BF1F" w14:textId="77777777" w:rsidR="00E56CA2" w:rsidRDefault="00E56CA2" w:rsidP="00E56CA2"/>
    <w:p w14:paraId="69CDFD39" w14:textId="040F0B98" w:rsidR="00E56CA2" w:rsidRDefault="00E56CA2" w:rsidP="00E56CA2">
      <w:r w:rsidRPr="00181EF3">
        <w:t xml:space="preserve">Between 1996–98 and 2012–14, the difference between Māori and </w:t>
      </w:r>
      <w:r w:rsidR="00EC03A3">
        <w:t>non</w:t>
      </w:r>
      <w:r w:rsidR="00EC03A3">
        <w:noBreakHyphen/>
        <w:t>M</w:t>
      </w:r>
      <w:r w:rsidRPr="00181EF3">
        <w:t xml:space="preserve">āori male age-standardised chronic rheumatic heart disease mortality rates decreased by 60 percent, reducing from 9 per 100,000 (the difference in 1996–98) to 4 per 100,000 (the difference in 2012–14). Similarly, for females the difference between Māori and </w:t>
      </w:r>
      <w:r w:rsidR="00EC03A3">
        <w:t>non</w:t>
      </w:r>
      <w:r w:rsidR="00EC03A3">
        <w:noBreakHyphen/>
        <w:t>M</w:t>
      </w:r>
      <w:r w:rsidRPr="00181EF3">
        <w:t>āori mortality rates decreased by 54 percent (from 11 per 100,000 in 1996–98 to 5 per 100,000 in 2012–14).</w:t>
      </w:r>
    </w:p>
    <w:p w14:paraId="1E786261" w14:textId="77777777" w:rsidR="0056185A" w:rsidRDefault="0056185A" w:rsidP="00E56CA2"/>
    <w:p w14:paraId="0B62E195" w14:textId="3B409166" w:rsidR="0056185A" w:rsidRPr="00181EF3" w:rsidRDefault="0056185A" w:rsidP="0056185A">
      <w:pPr>
        <w:pStyle w:val="Figure"/>
      </w:pPr>
      <w:bookmarkStart w:id="128" w:name="_Toc19101877"/>
      <w:r w:rsidRPr="00181EF3">
        <w:t xml:space="preserve">Figure </w:t>
      </w:r>
      <w:r>
        <w:t>26</w:t>
      </w:r>
      <w:r w:rsidRPr="00181EF3">
        <w:t xml:space="preserve">: Chronic rheumatic heart disease hospitalisation rates, </w:t>
      </w:r>
      <w:r w:rsidR="00836EA8">
        <w:t>1</w:t>
      </w:r>
      <w:r>
        <w:t xml:space="preserve">5+ years, by gender, </w:t>
      </w:r>
      <w:r w:rsidRPr="00181EF3">
        <w:t xml:space="preserve">Māori and </w:t>
      </w:r>
      <w:r w:rsidR="00EC03A3">
        <w:t>non</w:t>
      </w:r>
      <w:r w:rsidR="00EC03A3">
        <w:noBreakHyphen/>
        <w:t>M</w:t>
      </w:r>
      <w:r w:rsidRPr="00181EF3">
        <w:t>āori, 1996–98 to 2014–16</w:t>
      </w:r>
      <w:bookmarkEnd w:id="128"/>
    </w:p>
    <w:p w14:paraId="6B74C966" w14:textId="77777777" w:rsidR="0056185A" w:rsidRPr="00181EF3" w:rsidRDefault="0056185A" w:rsidP="0056185A">
      <w:r w:rsidRPr="00181EF3">
        <w:rPr>
          <w:noProof/>
          <w:lang w:eastAsia="en-NZ"/>
        </w:rPr>
        <w:drawing>
          <wp:inline distT="0" distB="0" distL="0" distR="0" wp14:anchorId="560AE4E8" wp14:editId="5E25DD75">
            <wp:extent cx="5130165" cy="2616603"/>
            <wp:effectExtent l="0" t="0" r="0" b="0"/>
            <wp:docPr id="303" name="Picture 303" descr="Hospitalisation for rheumatic heart disease is highest for Māori and peaked between 2000 and 2001. The rates for all other groups are lower and have stayed relatively stable over time." title="Figure 26: Chronic rheumatic heart disease hospitalisation, age-standardised rates, Māori and non-Māori males and females, aged 35+ years, 1996–98 to 20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130165" cy="2616603"/>
                    </a:xfrm>
                    <a:prstGeom prst="rect">
                      <a:avLst/>
                    </a:prstGeom>
                  </pic:spPr>
                </pic:pic>
              </a:graphicData>
            </a:graphic>
          </wp:inline>
        </w:drawing>
      </w:r>
    </w:p>
    <w:p w14:paraId="7A5F37B3" w14:textId="77777777" w:rsidR="0056185A" w:rsidRDefault="0056185A" w:rsidP="0056185A">
      <w:pPr>
        <w:pStyle w:val="Note"/>
      </w:pPr>
      <w:r w:rsidRPr="00181EF3">
        <w:t>Note</w:t>
      </w:r>
      <w:r>
        <w:t>s</w:t>
      </w:r>
      <w:r w:rsidRPr="00181EF3">
        <w:t>:</w:t>
      </w:r>
    </w:p>
    <w:p w14:paraId="57E63350" w14:textId="513B3A25" w:rsidR="008A5642" w:rsidRDefault="00446D86" w:rsidP="0056185A">
      <w:pPr>
        <w:pStyle w:val="Note"/>
      </w:pPr>
      <w:r>
        <w:t>Figures are age-standardised to the 2001 Census total Māori population</w:t>
      </w:r>
      <w:r w:rsidR="0056185A" w:rsidRPr="00181EF3">
        <w:t>.</w:t>
      </w:r>
    </w:p>
    <w:p w14:paraId="4BE8F76C" w14:textId="4D693369" w:rsidR="0056185A" w:rsidRPr="00181EF3" w:rsidRDefault="0056185A" w:rsidP="0056185A">
      <w:pPr>
        <w:pStyle w:val="Note"/>
      </w:pPr>
      <w:r>
        <w:t>Prioritised ethnicity has been used.</w:t>
      </w:r>
    </w:p>
    <w:p w14:paraId="26E29E27" w14:textId="77777777" w:rsidR="008A5642" w:rsidRDefault="0056185A" w:rsidP="00886EED">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23A190D0" w14:textId="354B5AAE" w:rsidR="0056185A" w:rsidRPr="00181EF3" w:rsidRDefault="0056185A" w:rsidP="0056185A">
      <w:pPr>
        <w:pStyle w:val="Source"/>
        <w:rPr>
          <w:rFonts w:eastAsia="Calibri"/>
        </w:rPr>
      </w:pPr>
      <w:r w:rsidRPr="00181EF3">
        <w:rPr>
          <w:rFonts w:eastAsia="Calibri"/>
        </w:rPr>
        <w:t>Source: National Minimum Data Set (NMDS), Ministry of Health</w:t>
      </w:r>
      <w:r>
        <w:rPr>
          <w:rFonts w:eastAsia="Calibri"/>
        </w:rPr>
        <w:t>,</w:t>
      </w:r>
      <w:r w:rsidRPr="00507AA7">
        <w:t xml:space="preserve"> </w:t>
      </w:r>
      <w:r w:rsidRPr="00181EF3">
        <w:t>1996–98 to 201</w:t>
      </w:r>
      <w:r>
        <w:t>4</w:t>
      </w:r>
      <w:r w:rsidRPr="00181EF3">
        <w:t>–1</w:t>
      </w:r>
      <w:r>
        <w:t>6</w:t>
      </w:r>
      <w:r w:rsidRPr="00181EF3">
        <w:rPr>
          <w:rFonts w:eastAsia="Calibri"/>
        </w:rPr>
        <w:t>.</w:t>
      </w:r>
    </w:p>
    <w:p w14:paraId="083D3436" w14:textId="77777777" w:rsidR="0056185A" w:rsidRDefault="0056185A" w:rsidP="00E56CA2"/>
    <w:p w14:paraId="2F08BB62" w14:textId="7D9D5F1D" w:rsidR="00A14D8B" w:rsidRDefault="00A14D8B" w:rsidP="004F4663">
      <w:r w:rsidRPr="00181EF3">
        <w:t xml:space="preserve">Figure </w:t>
      </w:r>
      <w:r>
        <w:t>26</w:t>
      </w:r>
      <w:r w:rsidRPr="00181EF3">
        <w:t xml:space="preserve"> shows that Māori males and females aged </w:t>
      </w:r>
      <w:r w:rsidR="00836EA8">
        <w:t>1</w:t>
      </w:r>
      <w:r w:rsidRPr="00181EF3">
        <w:t xml:space="preserve">5+ years have higher age-standardised rates of hospitalisations due to chronic rheumatic heart disease compared </w:t>
      </w:r>
      <w:r w:rsidR="00FF1892">
        <w:t>with</w:t>
      </w:r>
      <w:r w:rsidR="00FF1892" w:rsidRPr="00181EF3">
        <w:t xml:space="preserve"> </w:t>
      </w:r>
      <w:r w:rsidRPr="00181EF3">
        <w:t xml:space="preserve">their </w:t>
      </w:r>
      <w:r w:rsidR="00EC03A3">
        <w:t>non</w:t>
      </w:r>
      <w:r w:rsidR="00EC03A3">
        <w:noBreakHyphen/>
        <w:t>M</w:t>
      </w:r>
      <w:r w:rsidRPr="00181EF3">
        <w:t>āori counterparts.</w:t>
      </w:r>
    </w:p>
    <w:p w14:paraId="4999992F" w14:textId="77777777" w:rsidR="004F4663" w:rsidRPr="00181EF3" w:rsidRDefault="004F4663" w:rsidP="004F4663"/>
    <w:p w14:paraId="7D09682E" w14:textId="77777777" w:rsidR="007A1A39" w:rsidRDefault="007A1A39" w:rsidP="007A1A39">
      <w:pPr>
        <w:pStyle w:val="Heading4"/>
      </w:pPr>
      <w:r>
        <w:lastRenderedPageBreak/>
        <w:t>H</w:t>
      </w:r>
      <w:r w:rsidRPr="00181EF3">
        <w:t>ospitalisation</w:t>
      </w:r>
      <w:r>
        <w:t xml:space="preserve"> rate</w:t>
      </w:r>
      <w:r w:rsidRPr="00181EF3">
        <w:t>s due to chronic rheumatic heart disease have decreased for Māori females</w:t>
      </w:r>
    </w:p>
    <w:p w14:paraId="6CEE94C9" w14:textId="35B14264" w:rsidR="00A14D8B" w:rsidRPr="00181EF3" w:rsidRDefault="00A14D8B" w:rsidP="004F4663">
      <w:pPr>
        <w:keepNext/>
      </w:pPr>
      <w:r w:rsidRPr="00181EF3">
        <w:t xml:space="preserve">Overall, between 1996–98 and 2014–16, hospitalisations per 100,000 for Māori females decreased, and rates for Māori males and </w:t>
      </w:r>
      <w:r w:rsidR="00EC03A3">
        <w:t>non</w:t>
      </w:r>
      <w:r w:rsidR="00EC03A3">
        <w:noBreakHyphen/>
        <w:t>M</w:t>
      </w:r>
      <w:r w:rsidRPr="00181EF3">
        <w:t>āori males and females did not change much.</w:t>
      </w:r>
    </w:p>
    <w:p w14:paraId="17CEC866" w14:textId="77777777" w:rsidR="00A14D8B" w:rsidRPr="00181EF3" w:rsidRDefault="00A14D8B" w:rsidP="004F4663">
      <w:pPr>
        <w:keepNext/>
      </w:pPr>
    </w:p>
    <w:p w14:paraId="72EAC1C0" w14:textId="595F38DA" w:rsidR="00A14D8B" w:rsidRPr="00181EF3" w:rsidRDefault="00A14D8B" w:rsidP="00A14D8B">
      <w:r w:rsidRPr="00181EF3">
        <w:t xml:space="preserve">For Māori females, the rate of hospitalisations due to chronic rheumatic heart disease decreased by 22 percent (from 45 to 35 hospitalisations per 100,000). For </w:t>
      </w:r>
      <w:r w:rsidR="00EC03A3">
        <w:t>non</w:t>
      </w:r>
      <w:r w:rsidR="00EC03A3">
        <w:noBreakHyphen/>
        <w:t>M</w:t>
      </w:r>
      <w:r w:rsidRPr="00181EF3">
        <w:t>āori females, and males, the change was by 2 or less hospitalisations per 100,000.</w:t>
      </w:r>
    </w:p>
    <w:p w14:paraId="3317D4A4" w14:textId="77777777" w:rsidR="00E56CA2" w:rsidRDefault="00E56CA2" w:rsidP="00E56CA2"/>
    <w:p w14:paraId="34457504" w14:textId="7FF14B97" w:rsidR="00E56CA2" w:rsidRDefault="00E56CA2" w:rsidP="0056185A">
      <w:pPr>
        <w:pStyle w:val="Heading4"/>
      </w:pPr>
      <w:r w:rsidRPr="00181EF3">
        <w:t xml:space="preserve">The difference between Māori and </w:t>
      </w:r>
      <w:r w:rsidR="00EC03A3">
        <w:t>non</w:t>
      </w:r>
      <w:r w:rsidR="00EC03A3">
        <w:noBreakHyphen/>
        <w:t>M</w:t>
      </w:r>
      <w:r w:rsidRPr="00181EF3">
        <w:t xml:space="preserve">āori </w:t>
      </w:r>
      <w:r w:rsidR="0056185A">
        <w:t xml:space="preserve">chronic rheumatic heart disease hospitalisation </w:t>
      </w:r>
      <w:r w:rsidRPr="00181EF3">
        <w:t>rates did not change much for males, and decreased for females</w:t>
      </w:r>
    </w:p>
    <w:p w14:paraId="67A6E155" w14:textId="0405270A" w:rsidR="0056185A" w:rsidRDefault="0056185A" w:rsidP="0056185A">
      <w:r w:rsidRPr="00181EF3">
        <w:t xml:space="preserve">Between 1996–98 and 2014–16, the difference between Māori and </w:t>
      </w:r>
      <w:r w:rsidR="00EC03A3">
        <w:t>non</w:t>
      </w:r>
      <w:r w:rsidR="00EC03A3">
        <w:noBreakHyphen/>
        <w:t>M</w:t>
      </w:r>
      <w:r w:rsidRPr="00181EF3">
        <w:t xml:space="preserve">āori age-standardised rates of hospitalisations due to heart failure did not change much for males, and decreased for females. Rates for Māori males and females and remain more than three times as high as those of </w:t>
      </w:r>
      <w:r w:rsidR="00EC03A3">
        <w:t>non</w:t>
      </w:r>
      <w:r w:rsidR="00EC03A3">
        <w:noBreakHyphen/>
        <w:t>M</w:t>
      </w:r>
      <w:r w:rsidRPr="00181EF3">
        <w:t>āori males and females</w:t>
      </w:r>
      <w:r>
        <w:t>.</w:t>
      </w:r>
    </w:p>
    <w:p w14:paraId="081F73A4" w14:textId="77777777" w:rsidR="0056185A" w:rsidRDefault="0056185A" w:rsidP="0056185A"/>
    <w:p w14:paraId="39A4146C" w14:textId="75F0DEC1" w:rsidR="00E56CA2" w:rsidRPr="00181EF3" w:rsidRDefault="00E56CA2" w:rsidP="00E56CA2">
      <w:r w:rsidRPr="00181EF3">
        <w:t xml:space="preserve">Between 1996–98 and 2014–16, the difference between Māori and </w:t>
      </w:r>
      <w:r w:rsidR="00EC03A3">
        <w:t>non</w:t>
      </w:r>
      <w:r w:rsidR="00EC03A3">
        <w:noBreakHyphen/>
        <w:t>M</w:t>
      </w:r>
      <w:r w:rsidRPr="00181EF3">
        <w:t xml:space="preserve">āori male chronic rheumatic heart disease hospitalisation rates did not change much, decreasing from 19 hospitalisations per 100,000 (the difference in 1996–98) to 17 hospitalisations per 100,000 (the difference in 2014–16). For females, the difference between Māori and </w:t>
      </w:r>
      <w:r w:rsidR="00EC03A3">
        <w:t>non</w:t>
      </w:r>
      <w:r w:rsidR="00EC03A3">
        <w:noBreakHyphen/>
        <w:t>M</w:t>
      </w:r>
      <w:r w:rsidRPr="00181EF3">
        <w:t>āori hospitalisation rates decreased by 24 percent (from 35 per 100,000 in</w:t>
      </w:r>
      <w:r w:rsidRPr="00181EF3">
        <w:br/>
        <w:t>1996–98 to 27 per 100,000 in 2014–16).</w:t>
      </w:r>
    </w:p>
    <w:p w14:paraId="66B055C3" w14:textId="77777777" w:rsidR="00E56CA2" w:rsidRPr="00181EF3" w:rsidRDefault="00E56CA2" w:rsidP="00E56CA2"/>
    <w:p w14:paraId="7D12EC7D" w14:textId="77777777" w:rsidR="00910411" w:rsidRDefault="00910411" w:rsidP="00B14564">
      <w:pPr>
        <w:pStyle w:val="Heading3"/>
        <w:pageBreakBefore/>
        <w:spacing w:before="0"/>
      </w:pPr>
      <w:bookmarkStart w:id="129" w:name="_Toc19102335"/>
      <w:r w:rsidRPr="00181EF3">
        <w:lastRenderedPageBreak/>
        <w:t>Ischaemic heart disease</w:t>
      </w:r>
      <w:bookmarkEnd w:id="129"/>
    </w:p>
    <w:p w14:paraId="5A077703" w14:textId="3F24246B" w:rsidR="0056185A" w:rsidRPr="00181EF3" w:rsidRDefault="0056185A" w:rsidP="0056185A">
      <w:pPr>
        <w:pStyle w:val="Figure"/>
      </w:pPr>
      <w:bookmarkStart w:id="130" w:name="_Toc19101878"/>
      <w:r w:rsidRPr="00181EF3">
        <w:t xml:space="preserve">Figure </w:t>
      </w:r>
      <w:r>
        <w:t>27</w:t>
      </w:r>
      <w:r w:rsidRPr="00181EF3">
        <w:t>: Ischaemic heart disease mortality</w:t>
      </w:r>
      <w:r>
        <w:t xml:space="preserve"> </w:t>
      </w:r>
      <w:r w:rsidRPr="00181EF3">
        <w:t xml:space="preserve">rates, </w:t>
      </w:r>
      <w:r>
        <w:t xml:space="preserve">35+ years, </w:t>
      </w:r>
      <w:r w:rsidRPr="00181EF3">
        <w:t xml:space="preserve">by </w:t>
      </w:r>
      <w:r>
        <w:t>gender</w:t>
      </w:r>
      <w:r w:rsidRPr="00181EF3">
        <w:t xml:space="preserve">, </w:t>
      </w:r>
      <w:r>
        <w:t xml:space="preserve">Māori and </w:t>
      </w:r>
      <w:r w:rsidR="00EC03A3">
        <w:t>non</w:t>
      </w:r>
      <w:r w:rsidR="00EC03A3">
        <w:noBreakHyphen/>
        <w:t>M</w:t>
      </w:r>
      <w:r>
        <w:t>āori</w:t>
      </w:r>
      <w:r w:rsidRPr="00181EF3">
        <w:t>, 1996–98 to 2012–14</w:t>
      </w:r>
      <w:bookmarkEnd w:id="130"/>
    </w:p>
    <w:p w14:paraId="6B6D94D0" w14:textId="77777777" w:rsidR="0056185A" w:rsidRPr="00181EF3" w:rsidRDefault="0056185A" w:rsidP="00B14564">
      <w:r w:rsidRPr="00181EF3">
        <w:rPr>
          <w:noProof/>
          <w:lang w:eastAsia="en-NZ"/>
        </w:rPr>
        <w:drawing>
          <wp:inline distT="0" distB="0" distL="0" distR="0" wp14:anchorId="42007D71" wp14:editId="1D4C70F4">
            <wp:extent cx="5130165" cy="2640171"/>
            <wp:effectExtent l="0" t="0" r="0" b="8255"/>
            <wp:docPr id="299" name="Picture 299" descr="Ischaemic heart disease death rates have gone down over time for all groups. Māori men have seen the greatest decline, followed by Māori women, non-Māori men and non-Māori women." title="Figure 27: Ischaemic heart disease mortality, age-standardised rates, Māori and non-Māori males and females, aged 35+ years, 1996–98 to 20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130165" cy="2640171"/>
                    </a:xfrm>
                    <a:prstGeom prst="rect">
                      <a:avLst/>
                    </a:prstGeom>
                  </pic:spPr>
                </pic:pic>
              </a:graphicData>
            </a:graphic>
          </wp:inline>
        </w:drawing>
      </w:r>
    </w:p>
    <w:p w14:paraId="65F2F0E3" w14:textId="77777777" w:rsidR="0056185A" w:rsidRDefault="0056185A" w:rsidP="00B14564">
      <w:pPr>
        <w:pStyle w:val="Note"/>
      </w:pPr>
      <w:r w:rsidRPr="00181EF3">
        <w:t>Note</w:t>
      </w:r>
      <w:r>
        <w:t>s</w:t>
      </w:r>
      <w:r w:rsidRPr="00181EF3">
        <w:t>:</w:t>
      </w:r>
    </w:p>
    <w:p w14:paraId="6D961064" w14:textId="754A3D7A" w:rsidR="008A5642" w:rsidRDefault="00446D86" w:rsidP="0056185A">
      <w:pPr>
        <w:pStyle w:val="Note"/>
      </w:pPr>
      <w:r>
        <w:t>Figures are age-standardised to the 2001 Census total Māori population</w:t>
      </w:r>
      <w:r w:rsidR="0056185A" w:rsidRPr="00181EF3">
        <w:t>.</w:t>
      </w:r>
    </w:p>
    <w:p w14:paraId="69F875DD" w14:textId="5EDA08F2" w:rsidR="0056185A" w:rsidRPr="00181EF3" w:rsidRDefault="0056185A" w:rsidP="0056185A">
      <w:pPr>
        <w:pStyle w:val="Note"/>
      </w:pPr>
      <w:r>
        <w:t>Prioritised ethnicity has been used.</w:t>
      </w:r>
    </w:p>
    <w:p w14:paraId="5DEC4AE2" w14:textId="77777777" w:rsidR="008A5642" w:rsidRDefault="0056185A" w:rsidP="00886EED">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3EA728A8" w14:textId="30FFBC6C" w:rsidR="0056185A" w:rsidRPr="00181EF3" w:rsidRDefault="0056185A" w:rsidP="0056185A">
      <w:pPr>
        <w:pStyle w:val="Source"/>
        <w:rPr>
          <w:rFonts w:eastAsia="Calibri"/>
        </w:rPr>
      </w:pPr>
      <w:r w:rsidRPr="00181EF3">
        <w:rPr>
          <w:rFonts w:eastAsia="Calibri"/>
        </w:rPr>
        <w:t>Source: Mortality Collection Data Set (MORT), Ministry of Health</w:t>
      </w:r>
      <w:r>
        <w:rPr>
          <w:rFonts w:eastAsia="Calibri"/>
        </w:rPr>
        <w:t xml:space="preserve">, </w:t>
      </w:r>
      <w:r w:rsidRPr="00181EF3">
        <w:t>1996–98 to 2012–14</w:t>
      </w:r>
      <w:r w:rsidRPr="00181EF3">
        <w:rPr>
          <w:rFonts w:eastAsia="Calibri"/>
        </w:rPr>
        <w:t>.</w:t>
      </w:r>
    </w:p>
    <w:p w14:paraId="2DCF77CB" w14:textId="77777777" w:rsidR="0056185A" w:rsidRPr="005D05F9" w:rsidRDefault="0056185A" w:rsidP="0056185A"/>
    <w:p w14:paraId="0B337A85" w14:textId="5CC48EAD" w:rsidR="0056185A" w:rsidRDefault="0056185A" w:rsidP="004F4663">
      <w:r w:rsidRPr="00181EF3">
        <w:t xml:space="preserve">Figure </w:t>
      </w:r>
      <w:r>
        <w:t>27</w:t>
      </w:r>
      <w:r w:rsidRPr="00181EF3">
        <w:t xml:space="preserve"> shows that Māori males and females aged 35+ years have higher age-standardised ischaemic heart disease mortality rates compared </w:t>
      </w:r>
      <w:r w:rsidR="00FF1892">
        <w:t>with</w:t>
      </w:r>
      <w:r w:rsidR="00FF1892" w:rsidRPr="00181EF3">
        <w:t xml:space="preserve"> </w:t>
      </w:r>
      <w:r w:rsidR="00EC03A3">
        <w:t>non</w:t>
      </w:r>
      <w:r w:rsidR="00EC03A3">
        <w:noBreakHyphen/>
        <w:t>M</w:t>
      </w:r>
      <w:r w:rsidRPr="00181EF3">
        <w:t>āori males and females.</w:t>
      </w:r>
    </w:p>
    <w:p w14:paraId="29935E53" w14:textId="77777777" w:rsidR="004F4663" w:rsidRPr="00181EF3" w:rsidRDefault="004F4663" w:rsidP="004F4663"/>
    <w:p w14:paraId="50EFF6A4" w14:textId="77777777" w:rsidR="007A1A39" w:rsidRPr="00181EF3" w:rsidRDefault="007A1A39" w:rsidP="007A1A39">
      <w:pPr>
        <w:pStyle w:val="Heading4"/>
      </w:pPr>
      <w:r w:rsidRPr="00181EF3">
        <w:t>Ischaemic heart disease mortality rates have decreased</w:t>
      </w:r>
    </w:p>
    <w:p w14:paraId="20D5BF81" w14:textId="5A0A0B4F" w:rsidR="00910411" w:rsidRPr="00181EF3" w:rsidRDefault="00910411" w:rsidP="00910411">
      <w:r w:rsidRPr="00181EF3">
        <w:t xml:space="preserve">Between 1996–98 and 2012–14, ischaemic heart disease mortality rates decreased for Māori and </w:t>
      </w:r>
      <w:r w:rsidR="00EC03A3">
        <w:t>non</w:t>
      </w:r>
      <w:r w:rsidR="00EC03A3">
        <w:noBreakHyphen/>
        <w:t>M</w:t>
      </w:r>
      <w:r w:rsidRPr="00181EF3">
        <w:t xml:space="preserve">āori males and females by over 50 percent. For Māori males, mortality rates decreased by 55 percent (from 447 to 201 deaths per 100,000). For </w:t>
      </w:r>
      <w:r w:rsidR="00EC03A3">
        <w:t>non</w:t>
      </w:r>
      <w:r w:rsidR="00EC03A3">
        <w:noBreakHyphen/>
        <w:t>M</w:t>
      </w:r>
      <w:r w:rsidRPr="00181EF3">
        <w:t xml:space="preserve">āori males, rates decreased 57 percent (from 215 to 92 deaths per 100,000). For Māori females, mortality rates decreased by 57 percent (from 226 to 97 deaths per 100,000), and for </w:t>
      </w:r>
      <w:r w:rsidR="00EC03A3">
        <w:t>non</w:t>
      </w:r>
      <w:r w:rsidR="00EC03A3">
        <w:noBreakHyphen/>
        <w:t>M</w:t>
      </w:r>
      <w:r w:rsidRPr="00181EF3">
        <w:t>āori females, rates decreased by 55 percent (from 85 to 38 deaths per 100,000).</w:t>
      </w:r>
    </w:p>
    <w:p w14:paraId="43208E1B" w14:textId="77777777" w:rsidR="00910411" w:rsidRPr="00181EF3" w:rsidRDefault="00910411" w:rsidP="00910411"/>
    <w:p w14:paraId="52F87E45" w14:textId="6EC50C98" w:rsidR="00910411" w:rsidRPr="00181EF3" w:rsidRDefault="00910411" w:rsidP="0056185A">
      <w:pPr>
        <w:pStyle w:val="Heading4"/>
      </w:pPr>
      <w:r w:rsidRPr="00181EF3">
        <w:t xml:space="preserve">The difference between Māori and </w:t>
      </w:r>
      <w:r w:rsidR="00EC03A3">
        <w:t>non</w:t>
      </w:r>
      <w:r w:rsidR="00EC03A3">
        <w:noBreakHyphen/>
        <w:t>M</w:t>
      </w:r>
      <w:r w:rsidRPr="00181EF3">
        <w:t xml:space="preserve">āori </w:t>
      </w:r>
      <w:r w:rsidR="0056185A">
        <w:t xml:space="preserve">ischaemic heart disease mortality </w:t>
      </w:r>
      <w:r w:rsidRPr="00181EF3">
        <w:t>rates has decreased</w:t>
      </w:r>
    </w:p>
    <w:p w14:paraId="51F71EA9" w14:textId="4906C529" w:rsidR="008A5642" w:rsidRDefault="00910411" w:rsidP="004F4663">
      <w:pPr>
        <w:keepNext/>
      </w:pPr>
      <w:r w:rsidRPr="00181EF3">
        <w:t xml:space="preserve">Between 1996–98 and 2012–14, the difference between Māori and </w:t>
      </w:r>
      <w:r w:rsidR="00EC03A3">
        <w:t>non</w:t>
      </w:r>
      <w:r w:rsidR="00EC03A3">
        <w:noBreakHyphen/>
        <w:t>M</w:t>
      </w:r>
      <w:r w:rsidRPr="00181EF3">
        <w:t xml:space="preserve">āori male ischaemic heart disease mortality rates halved, reducing from 232 per 100,000 (the difference in 1996–98) to 109 per 100,000 (the difference in 2012–14). Similarly, for </w:t>
      </w:r>
      <w:r w:rsidRPr="00181EF3">
        <w:lastRenderedPageBreak/>
        <w:t xml:space="preserve">females the difference between Māori and </w:t>
      </w:r>
      <w:r w:rsidR="00EC03A3">
        <w:t>non</w:t>
      </w:r>
      <w:r w:rsidR="00EC03A3">
        <w:noBreakHyphen/>
        <w:t>M</w:t>
      </w:r>
      <w:r w:rsidRPr="00181EF3">
        <w:t>āori mortality rates decreased by nearly 60 percent (from 141 per 100,000 in 1996–98 to 59 per 100,000 in 2012–14).</w:t>
      </w:r>
    </w:p>
    <w:p w14:paraId="00B1AA63" w14:textId="4D019D29" w:rsidR="0056185A" w:rsidRDefault="0056185A" w:rsidP="004F4663">
      <w:pPr>
        <w:keepNext/>
      </w:pPr>
    </w:p>
    <w:p w14:paraId="3AE24CF1" w14:textId="7C471208" w:rsidR="00910411" w:rsidRPr="00181EF3" w:rsidRDefault="00910411" w:rsidP="00910411">
      <w:r w:rsidRPr="00181EF3">
        <w:t xml:space="preserve">The difference between Māori and </w:t>
      </w:r>
      <w:r w:rsidR="00EC03A3">
        <w:t>non</w:t>
      </w:r>
      <w:r w:rsidR="00EC03A3">
        <w:noBreakHyphen/>
        <w:t>M</w:t>
      </w:r>
      <w:r w:rsidRPr="00181EF3">
        <w:t>āori age-standardised ischaemic heart disease mortality rates have halved between 1996–98 and 2012–14</w:t>
      </w:r>
      <w:r w:rsidR="0056185A">
        <w:t>, h</w:t>
      </w:r>
      <w:r w:rsidRPr="00181EF3">
        <w:t xml:space="preserve">owever, rates for Māori remain twice as high as those for </w:t>
      </w:r>
      <w:r w:rsidR="00EC03A3">
        <w:t>non</w:t>
      </w:r>
      <w:r w:rsidR="00EC03A3">
        <w:noBreakHyphen/>
        <w:t>M</w:t>
      </w:r>
      <w:r w:rsidRPr="00181EF3">
        <w:t>āori</w:t>
      </w:r>
      <w:r w:rsidRPr="00181EF3">
        <w:rPr>
          <w:rFonts w:eastAsia="Calibri"/>
        </w:rPr>
        <w:t>.</w:t>
      </w:r>
    </w:p>
    <w:p w14:paraId="16AE7D24" w14:textId="77777777" w:rsidR="00910411" w:rsidRDefault="00910411" w:rsidP="00910411"/>
    <w:p w14:paraId="3F0386E0" w14:textId="015EF554" w:rsidR="0056185A" w:rsidRPr="00181EF3" w:rsidRDefault="0056185A" w:rsidP="0056185A">
      <w:pPr>
        <w:pStyle w:val="Figure"/>
      </w:pPr>
      <w:bookmarkStart w:id="131" w:name="_Toc19101879"/>
      <w:r w:rsidRPr="00181EF3">
        <w:t xml:space="preserve">Figure </w:t>
      </w:r>
      <w:r>
        <w:t>28</w:t>
      </w:r>
      <w:r w:rsidRPr="00181EF3">
        <w:t xml:space="preserve">: Ischaemic heart disease hospitalisation rates, </w:t>
      </w:r>
      <w:r>
        <w:t xml:space="preserve">35+ years, by gender, </w:t>
      </w:r>
      <w:r w:rsidRPr="00181EF3">
        <w:t xml:space="preserve">Māori and </w:t>
      </w:r>
      <w:r w:rsidR="00EC03A3">
        <w:t>non</w:t>
      </w:r>
      <w:r w:rsidR="00EC03A3">
        <w:noBreakHyphen/>
        <w:t>M</w:t>
      </w:r>
      <w:r w:rsidRPr="00181EF3">
        <w:t>āori, 1996–98 to 2014–16</w:t>
      </w:r>
      <w:bookmarkEnd w:id="131"/>
    </w:p>
    <w:p w14:paraId="055A0D14" w14:textId="77777777" w:rsidR="0056185A" w:rsidRPr="00181EF3" w:rsidRDefault="0056185A" w:rsidP="0056185A">
      <w:r w:rsidRPr="00181EF3">
        <w:rPr>
          <w:noProof/>
          <w:lang w:eastAsia="en-NZ"/>
        </w:rPr>
        <w:drawing>
          <wp:inline distT="0" distB="0" distL="0" distR="0" wp14:anchorId="52E0038D" wp14:editId="402633FC">
            <wp:extent cx="5130165" cy="2616603"/>
            <wp:effectExtent l="0" t="0" r="0" b="0"/>
            <wp:docPr id="304" name="Picture 304" descr="Ischaemic heart disease hospitalization rates have gone down over time, with the peak for all groups between 1999 and 2001. Māori men have the highest current rates, followed by non-Māori men, Māori women and non-Māori women." title="Figure 28: Ischaemic heart disease hospitalisation, age-standardised rates, Māori and non-Māori males and females, aged 35+ years, 1996–98 to 20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130165" cy="2616603"/>
                    </a:xfrm>
                    <a:prstGeom prst="rect">
                      <a:avLst/>
                    </a:prstGeom>
                  </pic:spPr>
                </pic:pic>
              </a:graphicData>
            </a:graphic>
          </wp:inline>
        </w:drawing>
      </w:r>
    </w:p>
    <w:p w14:paraId="6AB4799A" w14:textId="77777777" w:rsidR="0056185A" w:rsidRDefault="0056185A" w:rsidP="0056185A">
      <w:pPr>
        <w:pStyle w:val="Note"/>
      </w:pPr>
      <w:r w:rsidRPr="00181EF3">
        <w:t>Note</w:t>
      </w:r>
      <w:r>
        <w:t>s</w:t>
      </w:r>
      <w:r w:rsidRPr="00181EF3">
        <w:t>:</w:t>
      </w:r>
    </w:p>
    <w:p w14:paraId="52EDFE06" w14:textId="031F37D4" w:rsidR="008A5642" w:rsidRDefault="00446D86" w:rsidP="0056185A">
      <w:pPr>
        <w:pStyle w:val="Note"/>
      </w:pPr>
      <w:r>
        <w:t>Figures are age-standardised to the 2001 Census total Māori population</w:t>
      </w:r>
      <w:r w:rsidR="0056185A" w:rsidRPr="00181EF3">
        <w:t>.</w:t>
      </w:r>
    </w:p>
    <w:p w14:paraId="1AACF0D4" w14:textId="10602166" w:rsidR="0056185A" w:rsidRPr="00181EF3" w:rsidRDefault="0056185A" w:rsidP="0056185A">
      <w:pPr>
        <w:pStyle w:val="Note"/>
      </w:pPr>
      <w:r>
        <w:t>Prioritised ethnicity has been used.</w:t>
      </w:r>
    </w:p>
    <w:p w14:paraId="50DFB218" w14:textId="77777777" w:rsidR="008A5642" w:rsidRDefault="0056185A" w:rsidP="00886EED">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45F55A14" w14:textId="0F372052" w:rsidR="0056185A" w:rsidRPr="00181EF3" w:rsidRDefault="0056185A" w:rsidP="0056185A">
      <w:pPr>
        <w:pStyle w:val="Source"/>
        <w:rPr>
          <w:rFonts w:eastAsia="Calibri"/>
        </w:rPr>
      </w:pPr>
      <w:r w:rsidRPr="00181EF3">
        <w:rPr>
          <w:rFonts w:eastAsia="Calibri"/>
        </w:rPr>
        <w:t>Source: National Minimum Data Set (NMDS), Ministry of Health</w:t>
      </w:r>
      <w:r>
        <w:rPr>
          <w:rFonts w:eastAsia="Calibri"/>
        </w:rPr>
        <w:t>,</w:t>
      </w:r>
      <w:r w:rsidRPr="00507AA7">
        <w:t xml:space="preserve"> </w:t>
      </w:r>
      <w:r w:rsidRPr="00181EF3">
        <w:t>1996–98 to 201</w:t>
      </w:r>
      <w:r>
        <w:t>4</w:t>
      </w:r>
      <w:r w:rsidRPr="00181EF3">
        <w:t>–1</w:t>
      </w:r>
      <w:r>
        <w:t>6</w:t>
      </w:r>
      <w:r w:rsidRPr="00181EF3">
        <w:rPr>
          <w:rFonts w:eastAsia="Calibri"/>
        </w:rPr>
        <w:t>.</w:t>
      </w:r>
    </w:p>
    <w:p w14:paraId="708D9598" w14:textId="77777777" w:rsidR="0056185A" w:rsidRPr="00181EF3" w:rsidRDefault="0056185A" w:rsidP="0056185A"/>
    <w:p w14:paraId="02B0CA61" w14:textId="2B6BBDAF" w:rsidR="00A14D8B" w:rsidRDefault="00A14D8B" w:rsidP="00A14D8B">
      <w:r w:rsidRPr="00181EF3">
        <w:t xml:space="preserve">Figure </w:t>
      </w:r>
      <w:r>
        <w:t>28</w:t>
      </w:r>
      <w:r w:rsidRPr="00181EF3">
        <w:t xml:space="preserve"> shows that Māori males and females aged 35+ years have higher age</w:t>
      </w:r>
      <w:r w:rsidRPr="00181EF3">
        <w:noBreakHyphen/>
        <w:t xml:space="preserve">standardised rates of hospitalisations due to ischaemic heart disease compared </w:t>
      </w:r>
      <w:r w:rsidR="002D3C0C">
        <w:t>with</w:t>
      </w:r>
      <w:r w:rsidR="002D3C0C" w:rsidRPr="00181EF3">
        <w:t xml:space="preserve"> </w:t>
      </w:r>
      <w:r w:rsidRPr="00181EF3">
        <w:t xml:space="preserve">their </w:t>
      </w:r>
      <w:r w:rsidR="00EC03A3">
        <w:t>non</w:t>
      </w:r>
      <w:r w:rsidR="00EC03A3">
        <w:noBreakHyphen/>
        <w:t>M</w:t>
      </w:r>
      <w:r w:rsidRPr="00181EF3">
        <w:t>āori counterparts</w:t>
      </w:r>
      <w:r>
        <w:t>.</w:t>
      </w:r>
    </w:p>
    <w:p w14:paraId="70819D0C" w14:textId="77777777" w:rsidR="004F4663" w:rsidRPr="00181EF3" w:rsidRDefault="004F4663" w:rsidP="00A14D8B">
      <w:pPr>
        <w:rPr>
          <w:i/>
        </w:rPr>
      </w:pPr>
    </w:p>
    <w:p w14:paraId="53509CEA" w14:textId="77777777" w:rsidR="007A1A39" w:rsidRDefault="007A1A39" w:rsidP="007A1A39">
      <w:pPr>
        <w:pStyle w:val="Heading4"/>
      </w:pPr>
      <w:r>
        <w:t>H</w:t>
      </w:r>
      <w:r w:rsidRPr="00181EF3">
        <w:t>ospitalisation</w:t>
      </w:r>
      <w:r>
        <w:t xml:space="preserve"> rates</w:t>
      </w:r>
      <w:r w:rsidRPr="00181EF3">
        <w:t xml:space="preserve"> due to ischaemic heart disease have decreased</w:t>
      </w:r>
    </w:p>
    <w:p w14:paraId="56A0A742" w14:textId="17024130" w:rsidR="00A14D8B" w:rsidRDefault="00A14D8B" w:rsidP="004F4663">
      <w:pPr>
        <w:keepNext/>
        <w:keepLines/>
      </w:pPr>
      <w:r w:rsidRPr="00181EF3">
        <w:t xml:space="preserve">Overall, between 1996–98 and 2014–16, ischaemic heart disease hospitalisation rates decreased for Māori and </w:t>
      </w:r>
      <w:r w:rsidR="00EC03A3">
        <w:t>non</w:t>
      </w:r>
      <w:r w:rsidR="00EC03A3">
        <w:noBreakHyphen/>
        <w:t>M</w:t>
      </w:r>
      <w:r w:rsidRPr="00181EF3">
        <w:t>āori. For Māori males</w:t>
      </w:r>
      <w:r>
        <w:t>,</w:t>
      </w:r>
      <w:r w:rsidRPr="00181EF3">
        <w:t xml:space="preserve"> hospitalisation rates decreased by 18 percent (from 1,005 to 825 hospitalisations per 100,000), and for </w:t>
      </w:r>
      <w:r w:rsidR="00EC03A3">
        <w:t>non</w:t>
      </w:r>
      <w:r w:rsidR="00EC03A3">
        <w:noBreakHyphen/>
        <w:t>M</w:t>
      </w:r>
      <w:r w:rsidRPr="00181EF3">
        <w:t>āori males</w:t>
      </w:r>
      <w:r>
        <w:t>,</w:t>
      </w:r>
      <w:r w:rsidRPr="00181EF3">
        <w:t xml:space="preserve"> hospitalisation rates decreased </w:t>
      </w:r>
      <w:r w:rsidR="00636DA5">
        <w:t xml:space="preserve">by </w:t>
      </w:r>
      <w:r w:rsidRPr="00181EF3">
        <w:t xml:space="preserve">45 percent (from 1,261 to 694 hospitalisations per 100,000). For </w:t>
      </w:r>
      <w:r>
        <w:t xml:space="preserve">Māori </w:t>
      </w:r>
      <w:r w:rsidRPr="00181EF3">
        <w:t xml:space="preserve">females, hospitalisation rates decreased by 40 percent (from 795 to 476 hospitalisations per 100,000), whereas the decrease for </w:t>
      </w:r>
      <w:r w:rsidR="00EC03A3">
        <w:t>non</w:t>
      </w:r>
      <w:r w:rsidR="00EC03A3">
        <w:noBreakHyphen/>
        <w:t>M</w:t>
      </w:r>
      <w:r w:rsidRPr="00181EF3">
        <w:t>āori women was by 55 percent (from 550 to 248 hospitalisations per 100,000).</w:t>
      </w:r>
    </w:p>
    <w:p w14:paraId="6C3D6F2F" w14:textId="77777777" w:rsidR="00A14D8B" w:rsidRPr="00181EF3" w:rsidRDefault="00A14D8B" w:rsidP="00A14D8B"/>
    <w:p w14:paraId="0EBE4EC2" w14:textId="5BDB7172" w:rsidR="0056185A" w:rsidRPr="00181EF3" w:rsidRDefault="0056185A" w:rsidP="0056185A">
      <w:pPr>
        <w:pStyle w:val="Heading4"/>
      </w:pPr>
      <w:r w:rsidRPr="00181EF3">
        <w:lastRenderedPageBreak/>
        <w:t xml:space="preserve">The difference between Māori and </w:t>
      </w:r>
      <w:r w:rsidR="00EC03A3">
        <w:t>non</w:t>
      </w:r>
      <w:r w:rsidR="00EC03A3">
        <w:noBreakHyphen/>
        <w:t>M</w:t>
      </w:r>
      <w:r w:rsidRPr="00181EF3">
        <w:t xml:space="preserve">āori </w:t>
      </w:r>
      <w:r>
        <w:t xml:space="preserve">ischaemic heart disease hospitalisation </w:t>
      </w:r>
      <w:r w:rsidRPr="00181EF3">
        <w:t>rates decreased</w:t>
      </w:r>
      <w:r>
        <w:t xml:space="preserve"> for females and increased for males</w:t>
      </w:r>
    </w:p>
    <w:p w14:paraId="35E010CA" w14:textId="35C605EC" w:rsidR="0056185A" w:rsidRPr="00181EF3" w:rsidRDefault="0056185A" w:rsidP="0056185A">
      <w:r w:rsidRPr="00181EF3">
        <w:t xml:space="preserve">Between 1996–98 and 2014–16, the difference between Māori and </w:t>
      </w:r>
      <w:r w:rsidR="00EC03A3">
        <w:t>non</w:t>
      </w:r>
      <w:r w:rsidR="00EC03A3">
        <w:noBreakHyphen/>
        <w:t>M</w:t>
      </w:r>
      <w:r w:rsidRPr="00181EF3">
        <w:t xml:space="preserve">āori male ischaemic heart disease hospitalisation rates increased by 151 percent, from 256 less hospitalisations per 100,000 (the difference in 1996–98) to 131 more hospitalisations per 100,000 (the difference in 2014–16). For females, the difference between Māori and </w:t>
      </w:r>
      <w:r w:rsidR="00EC03A3">
        <w:t>non</w:t>
      </w:r>
      <w:r w:rsidR="00EC03A3">
        <w:noBreakHyphen/>
        <w:t>M</w:t>
      </w:r>
      <w:r w:rsidRPr="00181EF3">
        <w:t>āori hospitalisation rates decreased by 7 percent (from 245 per 100,000 in</w:t>
      </w:r>
      <w:r w:rsidRPr="00181EF3">
        <w:br/>
        <w:t>1996–98 to 228 per 100,000 in 2014–16).</w:t>
      </w:r>
    </w:p>
    <w:p w14:paraId="6FF0E494" w14:textId="77777777" w:rsidR="0056185A" w:rsidRPr="00181EF3" w:rsidRDefault="0056185A" w:rsidP="0056185A"/>
    <w:p w14:paraId="077E01BF" w14:textId="643CF6BD" w:rsidR="0056185A" w:rsidRPr="00181EF3" w:rsidRDefault="0056185A" w:rsidP="0056185A">
      <w:pPr>
        <w:rPr>
          <w:rFonts w:eastAsia="Calibri"/>
        </w:rPr>
      </w:pPr>
      <w:r w:rsidRPr="00181EF3">
        <w:t xml:space="preserve">Between 1996–98 and 2014–16, the difference between Māori and </w:t>
      </w:r>
      <w:r w:rsidR="00EC03A3">
        <w:t>non</w:t>
      </w:r>
      <w:r w:rsidR="00EC03A3">
        <w:noBreakHyphen/>
        <w:t>M</w:t>
      </w:r>
      <w:r w:rsidRPr="00181EF3">
        <w:t>āori age</w:t>
      </w:r>
      <w:r w:rsidRPr="00181EF3">
        <w:noBreakHyphen/>
        <w:t xml:space="preserve">standardised rates of hospitalisations due to ischaemic heart disease increased for males and decreased for females. Rates for Māori males remain around 1.2 times as high as those of </w:t>
      </w:r>
      <w:r w:rsidR="00EC03A3">
        <w:t>non</w:t>
      </w:r>
      <w:r w:rsidR="00EC03A3">
        <w:noBreakHyphen/>
        <w:t>M</w:t>
      </w:r>
      <w:r w:rsidRPr="00181EF3">
        <w:t xml:space="preserve">āori males, and rates for Māori females remain around twice those of </w:t>
      </w:r>
      <w:r w:rsidR="00EC03A3">
        <w:t>non</w:t>
      </w:r>
      <w:r w:rsidR="00EC03A3">
        <w:noBreakHyphen/>
        <w:t>M</w:t>
      </w:r>
      <w:r w:rsidRPr="00181EF3">
        <w:t>āori females</w:t>
      </w:r>
      <w:r w:rsidRPr="00181EF3">
        <w:rPr>
          <w:rFonts w:eastAsia="Calibri"/>
        </w:rPr>
        <w:t>.</w:t>
      </w:r>
    </w:p>
    <w:p w14:paraId="0815B928" w14:textId="77777777" w:rsidR="0056185A" w:rsidRPr="00181EF3" w:rsidRDefault="0056185A" w:rsidP="0056185A"/>
    <w:p w14:paraId="22B014D6" w14:textId="77777777" w:rsidR="0056185A" w:rsidRDefault="0056185A" w:rsidP="00B14564">
      <w:pPr>
        <w:pStyle w:val="Heading3"/>
        <w:pageBreakBefore/>
        <w:spacing w:before="0"/>
      </w:pPr>
      <w:bookmarkStart w:id="132" w:name="_Toc19102336"/>
      <w:r w:rsidRPr="00181EF3">
        <w:lastRenderedPageBreak/>
        <w:t>All revascularisation (coronary artery bypass graft (CARB) and angioplasty) heart disease procedures</w:t>
      </w:r>
      <w:bookmarkEnd w:id="132"/>
    </w:p>
    <w:p w14:paraId="581C2C0F" w14:textId="5A70649D" w:rsidR="0056185A" w:rsidRPr="00181EF3" w:rsidRDefault="0056185A" w:rsidP="0056185A">
      <w:pPr>
        <w:pStyle w:val="Figure"/>
      </w:pPr>
      <w:bookmarkStart w:id="133" w:name="_Toc19101880"/>
      <w:bookmarkStart w:id="134" w:name="_Hlk17021647"/>
      <w:r w:rsidRPr="00181EF3">
        <w:t xml:space="preserve">Figure </w:t>
      </w:r>
      <w:r>
        <w:t>29</w:t>
      </w:r>
      <w:r w:rsidRPr="00181EF3">
        <w:t xml:space="preserve">: All revascularisation (coronary artery bypass graft (CARB) and angioplasty) heart disease procedure rates, </w:t>
      </w:r>
      <w:r>
        <w:t xml:space="preserve">35+ years, by gender, </w:t>
      </w:r>
      <w:r w:rsidRPr="00181EF3">
        <w:t xml:space="preserve">Māori and </w:t>
      </w:r>
      <w:r w:rsidR="00EC03A3">
        <w:t>non</w:t>
      </w:r>
      <w:r w:rsidR="00EC03A3">
        <w:noBreakHyphen/>
        <w:t>M</w:t>
      </w:r>
      <w:r w:rsidRPr="00181EF3">
        <w:t>āori, 1996–98 to 2014–16</w:t>
      </w:r>
      <w:bookmarkEnd w:id="133"/>
    </w:p>
    <w:p w14:paraId="4BD31EE1" w14:textId="77777777" w:rsidR="0056185A" w:rsidRPr="00181EF3" w:rsidRDefault="0056185A" w:rsidP="00B14564">
      <w:r w:rsidRPr="00181EF3">
        <w:rPr>
          <w:noProof/>
          <w:lang w:eastAsia="en-NZ"/>
        </w:rPr>
        <w:drawing>
          <wp:inline distT="0" distB="0" distL="0" distR="0" wp14:anchorId="3307BE62" wp14:editId="7A50F94A">
            <wp:extent cx="5130165" cy="2616603"/>
            <wp:effectExtent l="0" t="0" r="0" b="0"/>
            <wp:docPr id="305" name="Picture 305" descr="Revascularization procedure rates increased for all groups between 1996 and 2005. Since then, while the rate for non-Māori men has decreased to about the same rate as Māori men, the rate for other groups has stayed about the same, and higher for men than women." title="Figure 29: All revascularisation (coronary artery bypass graft (CARB) and angioplasty) heart disease procedures, age-standardised rates, Māori and non-Māori males and females, aged 35+ years, 1996–98 to 20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130165" cy="2616603"/>
                    </a:xfrm>
                    <a:prstGeom prst="rect">
                      <a:avLst/>
                    </a:prstGeom>
                  </pic:spPr>
                </pic:pic>
              </a:graphicData>
            </a:graphic>
          </wp:inline>
        </w:drawing>
      </w:r>
    </w:p>
    <w:p w14:paraId="7D5478FF" w14:textId="77777777" w:rsidR="0056185A" w:rsidRDefault="0056185A" w:rsidP="0056185A">
      <w:pPr>
        <w:pStyle w:val="Note"/>
      </w:pPr>
      <w:r w:rsidRPr="00181EF3">
        <w:t>Note</w:t>
      </w:r>
      <w:r>
        <w:t>s</w:t>
      </w:r>
      <w:r w:rsidRPr="00181EF3">
        <w:t>:</w:t>
      </w:r>
    </w:p>
    <w:p w14:paraId="56B538DE" w14:textId="1B2EE638" w:rsidR="008A5642" w:rsidRDefault="00446D86" w:rsidP="0056185A">
      <w:pPr>
        <w:pStyle w:val="Note"/>
      </w:pPr>
      <w:r>
        <w:t>Figures are age-standardised to the 2001 Census total Māori population</w:t>
      </w:r>
      <w:r w:rsidR="0056185A" w:rsidRPr="00181EF3">
        <w:t>.</w:t>
      </w:r>
    </w:p>
    <w:p w14:paraId="64149013" w14:textId="30C0276C" w:rsidR="0056185A" w:rsidRPr="00181EF3" w:rsidRDefault="0056185A" w:rsidP="0056185A">
      <w:pPr>
        <w:pStyle w:val="Note"/>
      </w:pPr>
      <w:r>
        <w:t>Prioritised ethnicity has been used.</w:t>
      </w:r>
    </w:p>
    <w:p w14:paraId="7C53EFCA" w14:textId="77777777" w:rsidR="008A5642" w:rsidRDefault="0056185A" w:rsidP="00886EED">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771CE06D" w14:textId="0153864D" w:rsidR="0056185A" w:rsidRPr="00181EF3" w:rsidRDefault="0056185A" w:rsidP="0056185A">
      <w:pPr>
        <w:pStyle w:val="Source"/>
        <w:rPr>
          <w:rFonts w:eastAsia="Calibri"/>
        </w:rPr>
      </w:pPr>
      <w:r w:rsidRPr="00181EF3">
        <w:rPr>
          <w:rFonts w:eastAsia="Calibri"/>
        </w:rPr>
        <w:t>Source: National Minimum Data Set (NMDS), Ministry of Health</w:t>
      </w:r>
      <w:r>
        <w:rPr>
          <w:rFonts w:eastAsia="Calibri"/>
        </w:rPr>
        <w:t>,</w:t>
      </w:r>
      <w:r w:rsidRPr="00507AA7">
        <w:t xml:space="preserve"> </w:t>
      </w:r>
      <w:r w:rsidRPr="00181EF3">
        <w:t>1996–98 to 201</w:t>
      </w:r>
      <w:r>
        <w:t>4</w:t>
      </w:r>
      <w:r w:rsidRPr="00181EF3">
        <w:t>–1</w:t>
      </w:r>
      <w:r>
        <w:t>6</w:t>
      </w:r>
      <w:r w:rsidRPr="00181EF3">
        <w:rPr>
          <w:rFonts w:eastAsia="Calibri"/>
        </w:rPr>
        <w:t>.</w:t>
      </w:r>
    </w:p>
    <w:bookmarkEnd w:id="134"/>
    <w:p w14:paraId="29DAA072" w14:textId="77777777" w:rsidR="0056185A" w:rsidRPr="00181EF3" w:rsidRDefault="0056185A" w:rsidP="0056185A"/>
    <w:p w14:paraId="434A1027" w14:textId="74E3109D" w:rsidR="0056185A" w:rsidRDefault="0056185A" w:rsidP="0056185A">
      <w:pPr>
        <w:rPr>
          <w:sz w:val="20"/>
        </w:rPr>
      </w:pPr>
      <w:r w:rsidRPr="00181EF3">
        <w:rPr>
          <w:sz w:val="20"/>
        </w:rPr>
        <w:t xml:space="preserve">Figure </w:t>
      </w:r>
      <w:r>
        <w:rPr>
          <w:sz w:val="20"/>
        </w:rPr>
        <w:t>29</w:t>
      </w:r>
      <w:r w:rsidRPr="00181EF3">
        <w:rPr>
          <w:sz w:val="20"/>
        </w:rPr>
        <w:t xml:space="preserve"> shows that between 1996–98 and 2014–16 rates of all revascularisation heart disease procedures increased more for Māori males and females than for </w:t>
      </w:r>
      <w:r w:rsidR="00EC03A3">
        <w:rPr>
          <w:sz w:val="20"/>
        </w:rPr>
        <w:t>non</w:t>
      </w:r>
      <w:r w:rsidR="00EC03A3">
        <w:rPr>
          <w:sz w:val="20"/>
        </w:rPr>
        <w:noBreakHyphen/>
        <w:t>M</w:t>
      </w:r>
      <w:r w:rsidRPr="00181EF3">
        <w:rPr>
          <w:sz w:val="20"/>
        </w:rPr>
        <w:t>āori males and females.</w:t>
      </w:r>
    </w:p>
    <w:p w14:paraId="7F953BA4" w14:textId="77777777" w:rsidR="004F4663" w:rsidRPr="00181EF3" w:rsidRDefault="004F4663" w:rsidP="0056185A">
      <w:pPr>
        <w:rPr>
          <w:sz w:val="20"/>
        </w:rPr>
      </w:pPr>
    </w:p>
    <w:p w14:paraId="0B5A80BD" w14:textId="77777777" w:rsidR="007A1A39" w:rsidRDefault="007A1A39" w:rsidP="007A1A39">
      <w:pPr>
        <w:pStyle w:val="Heading4"/>
      </w:pPr>
      <w:r w:rsidRPr="00181EF3">
        <w:t>All revascularisation heart disease procedures for Māori have increased</w:t>
      </w:r>
    </w:p>
    <w:p w14:paraId="2A097A99" w14:textId="6AF8FED6" w:rsidR="0056185A" w:rsidRPr="00181EF3" w:rsidRDefault="0056185A" w:rsidP="0056185A">
      <w:r w:rsidRPr="00181EF3">
        <w:t>Between 1996–98 and 2014–16, all revascularisation heart disease procedure</w:t>
      </w:r>
      <w:r w:rsidRPr="00181EF3">
        <w:rPr>
          <w:i/>
        </w:rPr>
        <w:t xml:space="preserve"> </w:t>
      </w:r>
      <w:r w:rsidRPr="00181EF3">
        <w:t xml:space="preserve">rates increased for Māori males and females and for </w:t>
      </w:r>
      <w:r w:rsidR="00EC03A3">
        <w:t>non</w:t>
      </w:r>
      <w:r w:rsidR="00EC03A3">
        <w:noBreakHyphen/>
        <w:t>M</w:t>
      </w:r>
      <w:r w:rsidRPr="00181EF3">
        <w:t>āori males. For Māori males</w:t>
      </w:r>
      <w:r>
        <w:t>,</w:t>
      </w:r>
      <w:r w:rsidRPr="00181EF3">
        <w:t xml:space="preserve"> procedure rates increased by 143 percent (from 88 to 212 procedures per 100,000), and for </w:t>
      </w:r>
      <w:r w:rsidR="00EC03A3">
        <w:t>non</w:t>
      </w:r>
      <w:r w:rsidR="00EC03A3">
        <w:noBreakHyphen/>
        <w:t>M</w:t>
      </w:r>
      <w:r w:rsidRPr="00181EF3">
        <w:t xml:space="preserve">āori males procedures increased by 16 percent (from 192 to 223 procedures 100,000). For females, the rate of procedures for Māori females increased by 150 percent (from 37 to 93 procedures per 100,000) whereas there was a decrease in procedures for </w:t>
      </w:r>
      <w:r w:rsidR="00EC03A3">
        <w:t>non</w:t>
      </w:r>
      <w:r w:rsidR="00EC03A3">
        <w:noBreakHyphen/>
        <w:t>M</w:t>
      </w:r>
      <w:r w:rsidRPr="00181EF3">
        <w:t>āori women by 5 percent (from 57 to 54 procedures per 100,000).</w:t>
      </w:r>
    </w:p>
    <w:p w14:paraId="48B1124D" w14:textId="77777777" w:rsidR="0056185A" w:rsidRPr="00181EF3" w:rsidRDefault="0056185A" w:rsidP="0056185A"/>
    <w:p w14:paraId="4C180231" w14:textId="7E974B05" w:rsidR="0056185A" w:rsidRPr="00181EF3" w:rsidRDefault="0056185A" w:rsidP="0056185A">
      <w:pPr>
        <w:pStyle w:val="Heading4"/>
      </w:pPr>
      <w:r w:rsidRPr="00181EF3">
        <w:lastRenderedPageBreak/>
        <w:t xml:space="preserve">The difference between Māori and </w:t>
      </w:r>
      <w:r w:rsidR="00EC03A3">
        <w:t>non</w:t>
      </w:r>
      <w:r w:rsidR="00EC03A3">
        <w:noBreakHyphen/>
        <w:t>M</w:t>
      </w:r>
      <w:r w:rsidRPr="00181EF3">
        <w:t xml:space="preserve">āori </w:t>
      </w:r>
      <w:r>
        <w:t>a</w:t>
      </w:r>
      <w:r w:rsidRPr="00181EF3">
        <w:t>ll revascularisation heart disease procedure rates have decreased</w:t>
      </w:r>
      <w:r>
        <w:t xml:space="preserve"> for males and increased for females</w:t>
      </w:r>
    </w:p>
    <w:p w14:paraId="5018F30F" w14:textId="15300F1E" w:rsidR="0056185A" w:rsidRPr="00181EF3" w:rsidRDefault="0056185A" w:rsidP="0056185A">
      <w:r w:rsidRPr="00181EF3">
        <w:t xml:space="preserve">Between 1996–98 and 2014–16, the difference between Māori and </w:t>
      </w:r>
      <w:r w:rsidR="00EC03A3">
        <w:t>non</w:t>
      </w:r>
      <w:r w:rsidR="00EC03A3">
        <w:noBreakHyphen/>
        <w:t>M</w:t>
      </w:r>
      <w:r w:rsidRPr="00181EF3">
        <w:t>āori male all revascularisation heart disease procedure</w:t>
      </w:r>
      <w:r w:rsidRPr="00181EF3">
        <w:rPr>
          <w:i/>
        </w:rPr>
        <w:t xml:space="preserve"> </w:t>
      </w:r>
      <w:r w:rsidRPr="00181EF3">
        <w:t xml:space="preserve">rates decreased by 90 percent, from 105 less procedures per 100,000 (the difference in 1996–98) to 11 less procedures per 100,000 (the difference in 2014–16). For females, the difference between Māori and </w:t>
      </w:r>
      <w:r w:rsidR="00EC03A3">
        <w:t>non</w:t>
      </w:r>
      <w:r w:rsidR="00EC03A3">
        <w:noBreakHyphen/>
        <w:t>M</w:t>
      </w:r>
      <w:r w:rsidRPr="00181EF3">
        <w:t>āori hospitalisation rates increased by 300 percent (from 20 less procedures per 100,000 in 1996–98 to 39 more procedures per 100,000 in 2014–16).</w:t>
      </w:r>
    </w:p>
    <w:p w14:paraId="68315772" w14:textId="77777777" w:rsidR="0056185A" w:rsidRPr="00181EF3" w:rsidRDefault="0056185A" w:rsidP="0056185A"/>
    <w:p w14:paraId="47F497D1" w14:textId="02290DBA" w:rsidR="0056185A" w:rsidRPr="00181EF3" w:rsidRDefault="002C01C4" w:rsidP="0056185A">
      <w:pPr>
        <w:rPr>
          <w:rFonts w:eastAsia="Calibri"/>
        </w:rPr>
      </w:pPr>
      <w:r>
        <w:t>Over time,</w:t>
      </w:r>
      <w:r w:rsidR="0056185A" w:rsidRPr="00181EF3">
        <w:t xml:space="preserve"> the difference between Māori and </w:t>
      </w:r>
      <w:r w:rsidR="00EC03A3">
        <w:t>non</w:t>
      </w:r>
      <w:r w:rsidR="00EC03A3">
        <w:noBreakHyphen/>
        <w:t>M</w:t>
      </w:r>
      <w:r w:rsidR="0056185A" w:rsidRPr="00181EF3">
        <w:t>āori age</w:t>
      </w:r>
      <w:r w:rsidR="0056185A" w:rsidRPr="00181EF3">
        <w:noBreakHyphen/>
        <w:t>standardised rates of all revascularisation heart disease procedure</w:t>
      </w:r>
      <w:r w:rsidR="0056185A" w:rsidRPr="00181EF3">
        <w:rPr>
          <w:i/>
        </w:rPr>
        <w:t xml:space="preserve"> </w:t>
      </w:r>
      <w:r w:rsidR="0056185A" w:rsidRPr="00181EF3">
        <w:t>rates decreased</w:t>
      </w:r>
      <w:r>
        <w:t xml:space="preserve"> for</w:t>
      </w:r>
      <w:r w:rsidR="0056185A" w:rsidRPr="00181EF3">
        <w:t xml:space="preserve"> males and increased </w:t>
      </w:r>
      <w:r>
        <w:t>for</w:t>
      </w:r>
      <w:r w:rsidR="0056185A" w:rsidRPr="00181EF3">
        <w:t xml:space="preserve"> females. Rates of procedures are now similar for Māori and </w:t>
      </w:r>
      <w:r w:rsidR="00EC03A3">
        <w:t>non</w:t>
      </w:r>
      <w:r w:rsidR="00EC03A3">
        <w:noBreakHyphen/>
        <w:t>M</w:t>
      </w:r>
      <w:r w:rsidR="0056185A" w:rsidRPr="00181EF3">
        <w:t xml:space="preserve">āori males. Rates for Māori females are around 1.7 times as high </w:t>
      </w:r>
      <w:r w:rsidR="00636DA5">
        <w:t>as that for</w:t>
      </w:r>
      <w:r w:rsidR="002D3C0C" w:rsidRPr="00181EF3">
        <w:t xml:space="preserve"> </w:t>
      </w:r>
      <w:r w:rsidR="00EC03A3">
        <w:t>non</w:t>
      </w:r>
      <w:r w:rsidR="00EC03A3">
        <w:noBreakHyphen/>
        <w:t>M</w:t>
      </w:r>
      <w:r w:rsidR="0056185A" w:rsidRPr="00181EF3">
        <w:t>āori females</w:t>
      </w:r>
      <w:r w:rsidR="0056185A" w:rsidRPr="00181EF3">
        <w:rPr>
          <w:rFonts w:eastAsia="Calibri"/>
        </w:rPr>
        <w:t>.</w:t>
      </w:r>
    </w:p>
    <w:p w14:paraId="0D70F9E1" w14:textId="77777777" w:rsidR="0056185A" w:rsidRPr="00181EF3" w:rsidRDefault="0056185A" w:rsidP="0056185A">
      <w:pPr>
        <w:rPr>
          <w:rFonts w:eastAsia="Calibri"/>
          <w:noProof/>
          <w:lang w:eastAsia="en-NZ"/>
        </w:rPr>
      </w:pPr>
    </w:p>
    <w:p w14:paraId="1E7E6B93" w14:textId="77777777" w:rsidR="0056185A" w:rsidRDefault="0056185A" w:rsidP="004F4663">
      <w:pPr>
        <w:pStyle w:val="Heading3"/>
        <w:pageBreakBefore/>
        <w:spacing w:before="0"/>
      </w:pPr>
      <w:bookmarkStart w:id="135" w:name="_Toc19102337"/>
      <w:r w:rsidRPr="00181EF3">
        <w:lastRenderedPageBreak/>
        <w:t>All coronary angioplasty procedures (percutaneous)</w:t>
      </w:r>
      <w:bookmarkEnd w:id="135"/>
    </w:p>
    <w:p w14:paraId="72F19A8D" w14:textId="06249E5D" w:rsidR="007A1A39" w:rsidRPr="00181EF3" w:rsidRDefault="002C01C4" w:rsidP="007A1A39">
      <w:pPr>
        <w:pStyle w:val="Figure"/>
      </w:pPr>
      <w:bookmarkStart w:id="136" w:name="_Toc19101881"/>
      <w:r w:rsidRPr="00181EF3">
        <w:t xml:space="preserve">Figure </w:t>
      </w:r>
      <w:r>
        <w:t>30</w:t>
      </w:r>
      <w:r w:rsidRPr="00181EF3">
        <w:t>: All coronary angioplasty procedure (percutaneous)</w:t>
      </w:r>
      <w:r w:rsidR="007A1A39" w:rsidRPr="007A1A39">
        <w:t xml:space="preserve"> </w:t>
      </w:r>
      <w:r w:rsidR="007A1A39">
        <w:t xml:space="preserve">rates, 35+ years, by gender, </w:t>
      </w:r>
      <w:r w:rsidR="007A1A39" w:rsidRPr="00181EF3">
        <w:t xml:space="preserve">Māori and </w:t>
      </w:r>
      <w:r w:rsidR="00EC03A3">
        <w:t>non</w:t>
      </w:r>
      <w:r w:rsidR="00EC03A3">
        <w:noBreakHyphen/>
        <w:t>M</w:t>
      </w:r>
      <w:r w:rsidR="007A1A39" w:rsidRPr="00181EF3">
        <w:t>āori, 1996–98 to 2014–16</w:t>
      </w:r>
      <w:bookmarkEnd w:id="136"/>
    </w:p>
    <w:p w14:paraId="39C2FD3F" w14:textId="77777777" w:rsidR="002C01C4" w:rsidRPr="00181EF3" w:rsidRDefault="002C01C4" w:rsidP="002C01C4">
      <w:r w:rsidRPr="00181EF3">
        <w:rPr>
          <w:noProof/>
          <w:lang w:eastAsia="en-NZ"/>
        </w:rPr>
        <w:drawing>
          <wp:inline distT="0" distB="0" distL="0" distR="0" wp14:anchorId="11705A86" wp14:editId="1CDC59E5">
            <wp:extent cx="5130165" cy="2616603"/>
            <wp:effectExtent l="0" t="0" r="0" b="0"/>
            <wp:docPr id="308" name="Picture 308" descr="Coronary angioplasty procedures increased for all groups in the years leading up to 2007, and have since stabilised for all groups except non-Māori men, whose rates have decreased to be just above the rate for non-Māori men. Women from both groups have lower rates than men." title="Figure 30: All coronary angioplasty procedures (percutaneous), age-standardised rates, Māori and non-Māori males and females, aged 35+ years, 1996–98 to 20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130165" cy="2616603"/>
                    </a:xfrm>
                    <a:prstGeom prst="rect">
                      <a:avLst/>
                    </a:prstGeom>
                  </pic:spPr>
                </pic:pic>
              </a:graphicData>
            </a:graphic>
          </wp:inline>
        </w:drawing>
      </w:r>
    </w:p>
    <w:p w14:paraId="087A34A1" w14:textId="77777777" w:rsidR="002C01C4" w:rsidRDefault="002C01C4" w:rsidP="002C01C4">
      <w:pPr>
        <w:pStyle w:val="Note"/>
      </w:pPr>
      <w:r w:rsidRPr="00181EF3">
        <w:t>Note</w:t>
      </w:r>
      <w:r>
        <w:t>s</w:t>
      </w:r>
      <w:r w:rsidRPr="00181EF3">
        <w:t>:</w:t>
      </w:r>
    </w:p>
    <w:p w14:paraId="4E4D5A5D" w14:textId="561226C7" w:rsidR="008A5642" w:rsidRDefault="00446D86" w:rsidP="002C01C4">
      <w:pPr>
        <w:pStyle w:val="Note"/>
      </w:pPr>
      <w:r>
        <w:t>Figures are age-standardised to the 2001 Census total Māori population</w:t>
      </w:r>
      <w:r w:rsidR="002C01C4" w:rsidRPr="00181EF3">
        <w:t>.</w:t>
      </w:r>
    </w:p>
    <w:p w14:paraId="1B0A729A" w14:textId="3B2324F3" w:rsidR="002C01C4" w:rsidRPr="00181EF3" w:rsidRDefault="002C01C4" w:rsidP="002C01C4">
      <w:pPr>
        <w:pStyle w:val="Note"/>
      </w:pPr>
      <w:r>
        <w:t>Prioritised ethnicity has been used.</w:t>
      </w:r>
    </w:p>
    <w:p w14:paraId="2B3F4B26" w14:textId="77777777" w:rsidR="008A5642" w:rsidRDefault="002C01C4" w:rsidP="00886EED">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4AB277FA" w14:textId="089084B2" w:rsidR="002C01C4" w:rsidRPr="00181EF3" w:rsidRDefault="002C01C4" w:rsidP="002C01C4">
      <w:pPr>
        <w:pStyle w:val="Source"/>
        <w:rPr>
          <w:rFonts w:eastAsia="Calibri"/>
        </w:rPr>
      </w:pPr>
      <w:r w:rsidRPr="00181EF3">
        <w:rPr>
          <w:rFonts w:eastAsia="Calibri"/>
        </w:rPr>
        <w:t>Source: National Minimum Data Set (NMDS), Ministry of Health</w:t>
      </w:r>
      <w:r>
        <w:rPr>
          <w:rFonts w:eastAsia="Calibri"/>
        </w:rPr>
        <w:t>,</w:t>
      </w:r>
      <w:r w:rsidRPr="00507AA7">
        <w:t xml:space="preserve"> </w:t>
      </w:r>
      <w:r w:rsidRPr="00181EF3">
        <w:t>1996–98 to 201</w:t>
      </w:r>
      <w:r>
        <w:t>4</w:t>
      </w:r>
      <w:r w:rsidRPr="00181EF3">
        <w:t>–1</w:t>
      </w:r>
      <w:r>
        <w:t>6</w:t>
      </w:r>
      <w:r w:rsidRPr="00181EF3">
        <w:rPr>
          <w:rFonts w:eastAsia="Calibri"/>
        </w:rPr>
        <w:t>.</w:t>
      </w:r>
    </w:p>
    <w:p w14:paraId="3BB19327" w14:textId="77777777" w:rsidR="002C01C4" w:rsidRPr="002C01C4" w:rsidRDefault="002C01C4" w:rsidP="002C01C4"/>
    <w:p w14:paraId="26671723" w14:textId="24118FE3" w:rsidR="002C01C4" w:rsidRDefault="002C01C4" w:rsidP="002C01C4">
      <w:r w:rsidRPr="00181EF3">
        <w:t xml:space="preserve">Figure </w:t>
      </w:r>
      <w:r>
        <w:t>30</w:t>
      </w:r>
      <w:r w:rsidRPr="00181EF3">
        <w:t xml:space="preserve"> shows that between 1996–98 and 2014–16 rates of all coronary angioplasty procedures increased more for Māori males and females than for </w:t>
      </w:r>
      <w:r w:rsidR="00EC03A3">
        <w:t>non</w:t>
      </w:r>
      <w:r w:rsidR="00EC03A3">
        <w:noBreakHyphen/>
        <w:t>M</w:t>
      </w:r>
      <w:r w:rsidRPr="00181EF3">
        <w:t>āori males and females.</w:t>
      </w:r>
    </w:p>
    <w:p w14:paraId="6F837D2E" w14:textId="77777777" w:rsidR="004F4663" w:rsidRPr="00181EF3" w:rsidRDefault="004F4663" w:rsidP="002C01C4"/>
    <w:p w14:paraId="5BEF56A1" w14:textId="77777777" w:rsidR="007A1A39" w:rsidRPr="00181EF3" w:rsidRDefault="007A1A39" w:rsidP="007A1A39">
      <w:pPr>
        <w:pStyle w:val="Heading4"/>
      </w:pPr>
      <w:r w:rsidRPr="00181EF3">
        <w:t>All coronary angioplasty procedure rates have increased</w:t>
      </w:r>
    </w:p>
    <w:p w14:paraId="07DB522E" w14:textId="4DC290C5" w:rsidR="0056185A" w:rsidRDefault="0056185A" w:rsidP="0056185A">
      <w:r w:rsidRPr="00181EF3">
        <w:t>Between 1996–98 and 2014–16, all coronary angioplasty procedure</w:t>
      </w:r>
      <w:r w:rsidRPr="00181EF3">
        <w:rPr>
          <w:i/>
        </w:rPr>
        <w:t xml:space="preserve"> </w:t>
      </w:r>
      <w:r w:rsidRPr="00181EF3">
        <w:t xml:space="preserve">rates increased for Māori and </w:t>
      </w:r>
      <w:r w:rsidR="00EC03A3">
        <w:t>non</w:t>
      </w:r>
      <w:r w:rsidR="00EC03A3">
        <w:noBreakHyphen/>
        <w:t>M</w:t>
      </w:r>
      <w:r w:rsidRPr="00181EF3">
        <w:t xml:space="preserve">āori males and females. For Māori males procedure rates increased by 238 percent (from 42 to 144 procedures per 100,000), and for </w:t>
      </w:r>
      <w:r w:rsidR="00EC03A3">
        <w:t>non</w:t>
      </w:r>
      <w:r w:rsidR="00EC03A3">
        <w:noBreakHyphen/>
        <w:t>M</w:t>
      </w:r>
      <w:r w:rsidRPr="00181EF3">
        <w:t xml:space="preserve">āori males procedures increased by 56 percent (from 105 to 163 procedures 100,000). For females, the rate of procedures for Māori females increased by 400 percent (from 15 to 73 procedures per 100,000), </w:t>
      </w:r>
      <w:r w:rsidR="00636DA5">
        <w:t xml:space="preserve">and </w:t>
      </w:r>
      <w:r w:rsidRPr="00181EF3">
        <w:t>the rate of procedures increased by 28 percent (from 32 to 41 procedures per 100,000)</w:t>
      </w:r>
      <w:r w:rsidR="00636DA5">
        <w:t xml:space="preserve"> for non</w:t>
      </w:r>
      <w:r w:rsidR="00636DA5">
        <w:noBreakHyphen/>
        <w:t>M</w:t>
      </w:r>
      <w:r w:rsidR="00636DA5" w:rsidRPr="00181EF3">
        <w:t>āori females</w:t>
      </w:r>
      <w:r w:rsidRPr="00181EF3">
        <w:t>.</w:t>
      </w:r>
    </w:p>
    <w:p w14:paraId="22663736" w14:textId="77777777" w:rsidR="004F4663" w:rsidRPr="00181EF3" w:rsidRDefault="004F4663" w:rsidP="0056185A"/>
    <w:p w14:paraId="211A7F1C" w14:textId="1772C7B9" w:rsidR="0056185A" w:rsidRPr="00181EF3" w:rsidRDefault="0056185A" w:rsidP="002C01C4">
      <w:pPr>
        <w:pStyle w:val="Heading4"/>
      </w:pPr>
      <w:r w:rsidRPr="00181EF3">
        <w:lastRenderedPageBreak/>
        <w:t xml:space="preserve">The difference between Māori and </w:t>
      </w:r>
      <w:r w:rsidR="00EC03A3">
        <w:t>non</w:t>
      </w:r>
      <w:r w:rsidR="00EC03A3">
        <w:noBreakHyphen/>
        <w:t>M</w:t>
      </w:r>
      <w:r w:rsidRPr="00181EF3">
        <w:t xml:space="preserve">āori </w:t>
      </w:r>
      <w:r w:rsidR="002C01C4">
        <w:t xml:space="preserve">all coronary angioplasty procedure </w:t>
      </w:r>
      <w:r w:rsidRPr="00181EF3">
        <w:t>rates have decreased</w:t>
      </w:r>
      <w:r>
        <w:t xml:space="preserve"> for males and increased for females</w:t>
      </w:r>
    </w:p>
    <w:p w14:paraId="108B0B33" w14:textId="66A9B1B4" w:rsidR="0056185A" w:rsidRPr="00181EF3" w:rsidRDefault="0056185A" w:rsidP="004F4663">
      <w:pPr>
        <w:keepNext/>
        <w:keepLines/>
      </w:pPr>
      <w:r w:rsidRPr="00181EF3">
        <w:t xml:space="preserve">Between 1996–98 and 2014–16, the difference between Māori and </w:t>
      </w:r>
      <w:r w:rsidR="00EC03A3">
        <w:t>non</w:t>
      </w:r>
      <w:r w:rsidR="00EC03A3">
        <w:noBreakHyphen/>
        <w:t>M</w:t>
      </w:r>
      <w:r w:rsidRPr="00181EF3">
        <w:t>āori male all revascularisation heart disease procedure</w:t>
      </w:r>
      <w:r w:rsidRPr="00181EF3">
        <w:rPr>
          <w:i/>
        </w:rPr>
        <w:t xml:space="preserve"> </w:t>
      </w:r>
      <w:r w:rsidRPr="00181EF3">
        <w:t xml:space="preserve">rates decreased by 69 percent, from 62 less procedures per 100,000 (the difference in 1996–98) to 19 less procedures per 100,000 (the difference in 2014–16). For females, the difference between Māori and </w:t>
      </w:r>
      <w:r w:rsidR="00EC03A3">
        <w:t>non</w:t>
      </w:r>
      <w:r w:rsidR="00EC03A3">
        <w:noBreakHyphen/>
        <w:t>M</w:t>
      </w:r>
      <w:r w:rsidRPr="00181EF3">
        <w:t>āori hospitalisation rates increased by 259 percent (from 19 less procedures per 100,000 in 1996–98 to 49 more procedures per 100,000 in 2014–16).</w:t>
      </w:r>
    </w:p>
    <w:p w14:paraId="41395594" w14:textId="77777777" w:rsidR="002C01C4" w:rsidRDefault="002C01C4" w:rsidP="0056185A"/>
    <w:p w14:paraId="4F94F57E" w14:textId="15D55D87" w:rsidR="00DC0539" w:rsidRDefault="002C01C4" w:rsidP="0056185A">
      <w:pPr>
        <w:rPr>
          <w:rFonts w:eastAsia="Calibri"/>
        </w:rPr>
      </w:pPr>
      <w:r>
        <w:t>Over time,</w:t>
      </w:r>
      <w:r w:rsidR="0056185A" w:rsidRPr="00181EF3">
        <w:t xml:space="preserve"> the difference between Māori and </w:t>
      </w:r>
      <w:r w:rsidR="00EC03A3">
        <w:t>non</w:t>
      </w:r>
      <w:r w:rsidR="00EC03A3">
        <w:noBreakHyphen/>
        <w:t>M</w:t>
      </w:r>
      <w:r w:rsidR="0056185A" w:rsidRPr="00181EF3">
        <w:t>āori male age-standardised rates of all coronary angioplasty procedure</w:t>
      </w:r>
      <w:r w:rsidR="0056185A" w:rsidRPr="00181EF3">
        <w:rPr>
          <w:i/>
        </w:rPr>
        <w:t xml:space="preserve"> </w:t>
      </w:r>
      <w:r w:rsidR="0056185A" w:rsidRPr="00181EF3">
        <w:t xml:space="preserve">deceased, and for females, the difference increased. Rates of procedures for Māori males is now close to that of </w:t>
      </w:r>
      <w:r w:rsidR="00EC03A3">
        <w:t>non</w:t>
      </w:r>
      <w:r w:rsidR="00EC03A3">
        <w:noBreakHyphen/>
        <w:t>M</w:t>
      </w:r>
      <w:r w:rsidR="0056185A" w:rsidRPr="00181EF3">
        <w:t xml:space="preserve">āori males, and rates for Māori females are around 1.7 times as high as for </w:t>
      </w:r>
      <w:r w:rsidR="00BB6271">
        <w:t>non-</w:t>
      </w:r>
      <w:r w:rsidR="0056185A" w:rsidRPr="00181EF3">
        <w:t>Māori females</w:t>
      </w:r>
      <w:r w:rsidR="0056185A" w:rsidRPr="00181EF3">
        <w:rPr>
          <w:rFonts w:eastAsia="Calibri"/>
        </w:rPr>
        <w:t>.</w:t>
      </w:r>
    </w:p>
    <w:p w14:paraId="209ABDBD" w14:textId="054CBDFD" w:rsidR="00DC0539" w:rsidRDefault="00DC0539" w:rsidP="00DC0539">
      <w:pPr>
        <w:rPr>
          <w:rFonts w:eastAsia="Calibri"/>
        </w:rPr>
      </w:pPr>
    </w:p>
    <w:p w14:paraId="6B6DC2C4" w14:textId="77777777" w:rsidR="00DC0539" w:rsidRPr="00181EF3" w:rsidRDefault="00DC0539" w:rsidP="004F4663">
      <w:pPr>
        <w:pStyle w:val="Heading2"/>
        <w:pageBreakBefore/>
        <w:spacing w:before="0"/>
        <w:rPr>
          <w:noProof/>
          <w:lang w:eastAsia="en-NZ"/>
        </w:rPr>
      </w:pPr>
      <w:bookmarkStart w:id="137" w:name="_Toc14718621"/>
      <w:bookmarkStart w:id="138" w:name="_Toc14775044"/>
      <w:bookmarkStart w:id="139" w:name="_Toc19102338"/>
      <w:r>
        <w:rPr>
          <w:noProof/>
          <w:lang w:eastAsia="en-NZ"/>
        </w:rPr>
        <w:lastRenderedPageBreak/>
        <w:t>C</w:t>
      </w:r>
      <w:r w:rsidRPr="00181EF3">
        <w:rPr>
          <w:noProof/>
          <w:lang w:eastAsia="en-NZ"/>
        </w:rPr>
        <w:t>ancer</w:t>
      </w:r>
      <w:bookmarkEnd w:id="137"/>
      <w:bookmarkEnd w:id="138"/>
      <w:bookmarkEnd w:id="139"/>
    </w:p>
    <w:p w14:paraId="6CD5C180" w14:textId="52206A0F" w:rsidR="00DC0539" w:rsidRPr="00181EF3" w:rsidRDefault="00DC0539" w:rsidP="00DC0539">
      <w:r w:rsidRPr="00181EF3">
        <w:t>Cancer is New Zealand’s single biggest cause of death. Many cancers can be cured if they are found and treated in time</w:t>
      </w:r>
      <w:r>
        <w:t xml:space="preserve"> (Ministry of Health 2019</w:t>
      </w:r>
      <w:r w:rsidR="00DF00D4">
        <w:t>c</w:t>
      </w:r>
      <w:r>
        <w:t>)</w:t>
      </w:r>
      <w:r w:rsidRPr="00181EF3">
        <w:t>.</w:t>
      </w:r>
    </w:p>
    <w:p w14:paraId="5F6D45B5" w14:textId="77777777" w:rsidR="00DC0539" w:rsidRPr="00181EF3" w:rsidRDefault="00DC0539" w:rsidP="00DC0539">
      <w:pPr>
        <w:rPr>
          <w:noProof/>
          <w:lang w:eastAsia="en-NZ"/>
        </w:rPr>
      </w:pPr>
    </w:p>
    <w:p w14:paraId="7E18147B" w14:textId="0671D390" w:rsidR="00DC0539" w:rsidRDefault="00DC0539" w:rsidP="00DC0539">
      <w:r w:rsidRPr="00181EF3">
        <w:rPr>
          <w:noProof/>
          <w:lang w:eastAsia="en-NZ"/>
        </w:rPr>
        <w:t xml:space="preserve">This </w:t>
      </w:r>
      <w:r>
        <w:rPr>
          <w:noProof/>
          <w:lang w:eastAsia="en-NZ"/>
        </w:rPr>
        <w:t>section</w:t>
      </w:r>
      <w:r w:rsidRPr="00181EF3">
        <w:rPr>
          <w:noProof/>
          <w:lang w:eastAsia="en-NZ"/>
        </w:rPr>
        <w:t xml:space="preserve"> </w:t>
      </w:r>
      <w:r w:rsidR="000D102F">
        <w:rPr>
          <w:noProof/>
          <w:lang w:eastAsia="en-NZ"/>
        </w:rPr>
        <w:t>present</w:t>
      </w:r>
      <w:r w:rsidRPr="00181EF3">
        <w:rPr>
          <w:noProof/>
          <w:lang w:eastAsia="en-NZ"/>
        </w:rPr>
        <w:t xml:space="preserve">s the trends related to cancer registration and mortality </w:t>
      </w:r>
      <w:r>
        <w:rPr>
          <w:noProof/>
          <w:lang w:eastAsia="en-NZ"/>
        </w:rPr>
        <w:t>over time</w:t>
      </w:r>
      <w:r w:rsidRPr="00181EF3">
        <w:t xml:space="preserve"> for Māori and </w:t>
      </w:r>
      <w:r w:rsidR="00EC03A3">
        <w:t>non</w:t>
      </w:r>
      <w:r w:rsidR="00EC03A3">
        <w:noBreakHyphen/>
        <w:t>M</w:t>
      </w:r>
      <w:r w:rsidRPr="00181EF3">
        <w:t>āori adults aged 25 years and over.</w:t>
      </w:r>
    </w:p>
    <w:p w14:paraId="25FE6ED8" w14:textId="77777777" w:rsidR="004F4663" w:rsidRPr="00181EF3" w:rsidRDefault="004F4663" w:rsidP="00DC0539"/>
    <w:p w14:paraId="523DAFEF" w14:textId="77777777" w:rsidR="00DC0539" w:rsidRPr="00181EF3" w:rsidRDefault="00DC0539" w:rsidP="00DC0539">
      <w:pPr>
        <w:pStyle w:val="Heading3"/>
      </w:pPr>
      <w:bookmarkStart w:id="140" w:name="_Toc19102339"/>
      <w:r w:rsidRPr="00181EF3">
        <w:t>What is the data telling us?</w:t>
      </w:r>
      <w:bookmarkEnd w:id="140"/>
    </w:p>
    <w:p w14:paraId="23934B27" w14:textId="77777777" w:rsidR="00DC0539" w:rsidRPr="00181EF3" w:rsidRDefault="00DC0539" w:rsidP="00DC0539">
      <w:pPr>
        <w:pStyle w:val="Shadedboxtext"/>
      </w:pPr>
      <w:r w:rsidRPr="00181EF3">
        <w:t>Overall the data shows that:</w:t>
      </w:r>
    </w:p>
    <w:p w14:paraId="64B6DD26" w14:textId="12880A79" w:rsidR="00DC0539" w:rsidRPr="00181EF3" w:rsidRDefault="00DC0539" w:rsidP="00DC0539">
      <w:pPr>
        <w:pStyle w:val="Shadedboxbullet"/>
        <w:ind w:left="568" w:hanging="284"/>
      </w:pPr>
      <w:r w:rsidRPr="00181EF3">
        <w:t xml:space="preserve">Māori adults aged 25 years and over have higher total-cancer registration and total-cancer mortality rates than </w:t>
      </w:r>
      <w:r w:rsidR="00EC03A3">
        <w:t>non</w:t>
      </w:r>
      <w:r w:rsidR="00EC03A3">
        <w:noBreakHyphen/>
        <w:t>M</w:t>
      </w:r>
      <w:r w:rsidRPr="00181EF3">
        <w:t>āori adults in the same age group over time.</w:t>
      </w:r>
    </w:p>
    <w:p w14:paraId="564EEDAB" w14:textId="21A79838" w:rsidR="00DC0539" w:rsidRPr="00181EF3" w:rsidRDefault="00DC0539" w:rsidP="00DC0539">
      <w:pPr>
        <w:pStyle w:val="Shadedboxbullet"/>
        <w:ind w:left="568" w:hanging="284"/>
      </w:pPr>
      <w:r w:rsidRPr="00181EF3">
        <w:t xml:space="preserve">The total-cancer registration and mortality rate differences between Māori females and </w:t>
      </w:r>
      <w:r w:rsidR="00EC03A3">
        <w:t>non</w:t>
      </w:r>
      <w:r w:rsidR="00EC03A3">
        <w:noBreakHyphen/>
        <w:t>M</w:t>
      </w:r>
      <w:r w:rsidRPr="00181EF3">
        <w:t xml:space="preserve">āori females were greater than the differences between Māori males and </w:t>
      </w:r>
      <w:r w:rsidR="00EC03A3">
        <w:t>non</w:t>
      </w:r>
      <w:r w:rsidR="00EC03A3">
        <w:noBreakHyphen/>
        <w:t>M</w:t>
      </w:r>
      <w:r w:rsidRPr="00181EF3">
        <w:t>āori males.</w:t>
      </w:r>
    </w:p>
    <w:p w14:paraId="2D00A46B" w14:textId="25050655" w:rsidR="00DC0539" w:rsidRPr="00181EF3" w:rsidRDefault="00DC0539" w:rsidP="00DC0539">
      <w:pPr>
        <w:pStyle w:val="Shadedboxbullet"/>
        <w:ind w:left="568" w:hanging="284"/>
      </w:pPr>
      <w:r w:rsidRPr="00181EF3">
        <w:t xml:space="preserve">Total-cancer registrations have declined for Māori males and remained similar for Māori females between 1996–98 and 2013–15. During this period, the difference between Māori and </w:t>
      </w:r>
      <w:r w:rsidR="00EC03A3">
        <w:t>non</w:t>
      </w:r>
      <w:r w:rsidR="00EC03A3">
        <w:noBreakHyphen/>
        <w:t>M</w:t>
      </w:r>
      <w:r w:rsidRPr="00181EF3">
        <w:t>āori in cancer registrations showed little change.</w:t>
      </w:r>
    </w:p>
    <w:p w14:paraId="0CB07AE9" w14:textId="5AE2CF0B" w:rsidR="00DC0539" w:rsidRPr="00181EF3" w:rsidRDefault="00DC0539" w:rsidP="00DC0539">
      <w:pPr>
        <w:pStyle w:val="Shadedboxbullet"/>
        <w:ind w:left="568" w:hanging="284"/>
      </w:pPr>
      <w:r w:rsidRPr="00181EF3">
        <w:t xml:space="preserve">Total-cancer mortality has declined steadily for Māori and </w:t>
      </w:r>
      <w:r w:rsidR="00EC03A3">
        <w:t>non</w:t>
      </w:r>
      <w:r w:rsidR="00EC03A3">
        <w:noBreakHyphen/>
        <w:t>M</w:t>
      </w:r>
      <w:r w:rsidRPr="00181EF3">
        <w:t xml:space="preserve">āori between 1996–98 and 2012–14. The difference between Māori and </w:t>
      </w:r>
      <w:r w:rsidR="00EC03A3">
        <w:t>non</w:t>
      </w:r>
      <w:r w:rsidR="00EC03A3">
        <w:noBreakHyphen/>
        <w:t>M</w:t>
      </w:r>
      <w:r w:rsidRPr="00181EF3">
        <w:t>āori cancer mortality has remained similar during this period.</w:t>
      </w:r>
    </w:p>
    <w:p w14:paraId="6967EE8B" w14:textId="77777777" w:rsidR="00DC0539" w:rsidRPr="00181EF3" w:rsidRDefault="00DC0539" w:rsidP="004F4663">
      <w:pPr>
        <w:pStyle w:val="Shadedboxbullet"/>
        <w:ind w:left="568" w:hanging="284"/>
      </w:pPr>
      <w:r w:rsidRPr="00181EF3">
        <w:t>The most common cancers registered by Māori males aged 25 years and over was prostate cancer, lung cancer and colorectal cancer, and this has not changed over time.</w:t>
      </w:r>
    </w:p>
    <w:p w14:paraId="533749A6" w14:textId="77777777" w:rsidR="00DC0539" w:rsidRPr="00181EF3" w:rsidRDefault="00DC0539" w:rsidP="00DC0539">
      <w:pPr>
        <w:pStyle w:val="Shadedboxbullet"/>
        <w:ind w:left="568" w:hanging="284"/>
      </w:pPr>
      <w:r w:rsidRPr="00181EF3">
        <w:t>The leading cause of cancer death for Māori males aged 25 years and over was lung cancer in 1996–98 and this remained the same in 2012–14.</w:t>
      </w:r>
    </w:p>
    <w:p w14:paraId="0B114883" w14:textId="77777777" w:rsidR="00DC0539" w:rsidRPr="00181EF3" w:rsidRDefault="00DC0539" w:rsidP="00DC0539">
      <w:pPr>
        <w:pStyle w:val="Shadedboxbullet"/>
        <w:ind w:left="568" w:hanging="284"/>
      </w:pPr>
      <w:r w:rsidRPr="00181EF3">
        <w:t>The most common cancers registered for Māori females aged 25 years and over in 2013–15 were breast cancer and lung cancer, and this has not changed over time.</w:t>
      </w:r>
    </w:p>
    <w:p w14:paraId="31178FF3" w14:textId="77777777" w:rsidR="00DC0539" w:rsidRPr="00181EF3" w:rsidRDefault="00DC0539" w:rsidP="00DC0539">
      <w:pPr>
        <w:pStyle w:val="Shadedboxbullet"/>
        <w:ind w:left="568" w:hanging="284"/>
      </w:pPr>
      <w:r w:rsidRPr="00181EF3">
        <w:t>The leading causes of cancer death for Māori females aged 25 years and over in 2012–14 was lung cancer and breast cancer, the top two leading cancer deaths remained the same over time.</w:t>
      </w:r>
    </w:p>
    <w:p w14:paraId="6FFA2641" w14:textId="77777777" w:rsidR="00DC0539" w:rsidRPr="00181EF3" w:rsidRDefault="00DC0539" w:rsidP="00DC0539"/>
    <w:p w14:paraId="4579E81B" w14:textId="77777777" w:rsidR="00DC0539" w:rsidRDefault="00DC0539" w:rsidP="004F4663">
      <w:pPr>
        <w:pStyle w:val="Heading3"/>
        <w:pageBreakBefore/>
        <w:spacing w:before="0"/>
      </w:pPr>
      <w:bookmarkStart w:id="141" w:name="_Toc19102340"/>
      <w:r w:rsidRPr="00181EF3">
        <w:lastRenderedPageBreak/>
        <w:t>Total</w:t>
      </w:r>
      <w:r w:rsidR="0000551D">
        <w:t xml:space="preserve"> </w:t>
      </w:r>
      <w:r w:rsidRPr="00181EF3">
        <w:t>cancer</w:t>
      </w:r>
      <w:bookmarkEnd w:id="141"/>
    </w:p>
    <w:p w14:paraId="70CA216F" w14:textId="5A62BD2D" w:rsidR="00DC0539" w:rsidRPr="00181EF3" w:rsidRDefault="00DC0539" w:rsidP="00DC0539">
      <w:pPr>
        <w:pStyle w:val="Figure"/>
      </w:pPr>
      <w:bookmarkStart w:id="142" w:name="_Toc19101882"/>
      <w:r w:rsidRPr="00181EF3">
        <w:t xml:space="preserve">Figure </w:t>
      </w:r>
      <w:r w:rsidR="00857DD9">
        <w:t>3</w:t>
      </w:r>
      <w:r w:rsidRPr="00181EF3">
        <w:t>1: Total cancer registration rate</w:t>
      </w:r>
      <w:r w:rsidR="00857DD9">
        <w:t>s</w:t>
      </w:r>
      <w:r w:rsidRPr="00181EF3">
        <w:t xml:space="preserve">, </w:t>
      </w:r>
      <w:r w:rsidR="00857DD9">
        <w:t xml:space="preserve">25+ years, </w:t>
      </w:r>
      <w:r w:rsidRPr="00181EF3">
        <w:t xml:space="preserve">Māori and </w:t>
      </w:r>
      <w:r w:rsidR="00EC03A3">
        <w:t>non</w:t>
      </w:r>
      <w:r w:rsidR="00EC03A3">
        <w:noBreakHyphen/>
        <w:t>M</w:t>
      </w:r>
      <w:r w:rsidRPr="00181EF3">
        <w:t>āori males, 1996–98 to 2013–15</w:t>
      </w:r>
      <w:bookmarkEnd w:id="142"/>
    </w:p>
    <w:p w14:paraId="1571800F" w14:textId="77777777" w:rsidR="00DC0539" w:rsidRPr="00181EF3" w:rsidRDefault="00DC0539" w:rsidP="00DC0539">
      <w:r w:rsidRPr="00181EF3">
        <w:rPr>
          <w:noProof/>
          <w:lang w:eastAsia="en-NZ"/>
        </w:rPr>
        <w:drawing>
          <wp:inline distT="0" distB="0" distL="0" distR="0" wp14:anchorId="1E9053FB" wp14:editId="7ED74ABD">
            <wp:extent cx="5130165" cy="3058916"/>
            <wp:effectExtent l="0" t="0" r="0" b="8255"/>
            <wp:docPr id="417" name="Picture 417" descr="Total cancer registration rates for men have gone down slightly over time. Māori men have slightly higher cancer rates than non-Māori men." title="Figure 31: Total cancer registration rate, Māori and non-Māori males aged 25 years and over, from 1996–98 to 20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130165" cy="3058916"/>
                    </a:xfrm>
                    <a:prstGeom prst="rect">
                      <a:avLst/>
                    </a:prstGeom>
                  </pic:spPr>
                </pic:pic>
              </a:graphicData>
            </a:graphic>
          </wp:inline>
        </w:drawing>
      </w:r>
    </w:p>
    <w:p w14:paraId="3E4A861B" w14:textId="77777777" w:rsidR="00857DD9" w:rsidRDefault="00857DD9" w:rsidP="00857DD9">
      <w:pPr>
        <w:pStyle w:val="Note"/>
      </w:pPr>
      <w:r w:rsidRPr="00181EF3">
        <w:t>Note</w:t>
      </w:r>
      <w:r>
        <w:t>s</w:t>
      </w:r>
      <w:r w:rsidRPr="00181EF3">
        <w:t>:</w:t>
      </w:r>
    </w:p>
    <w:p w14:paraId="55868E42" w14:textId="246530A5" w:rsidR="008A5642" w:rsidRDefault="00446D86" w:rsidP="00857DD9">
      <w:pPr>
        <w:pStyle w:val="Note"/>
      </w:pPr>
      <w:r>
        <w:t>Figures are age-standardised to the 2001 Census total Māori population</w:t>
      </w:r>
      <w:r w:rsidR="00857DD9" w:rsidRPr="00181EF3">
        <w:t>.</w:t>
      </w:r>
    </w:p>
    <w:p w14:paraId="5B5EA5F7" w14:textId="3632CA45" w:rsidR="00857DD9" w:rsidRPr="00181EF3" w:rsidRDefault="00857DD9" w:rsidP="00857DD9">
      <w:pPr>
        <w:pStyle w:val="Note"/>
      </w:pPr>
      <w:r>
        <w:t>Prioritised ethnicity has been used.</w:t>
      </w:r>
    </w:p>
    <w:p w14:paraId="44FD87CF" w14:textId="77777777" w:rsidR="008A5642" w:rsidRDefault="00857DD9" w:rsidP="00886EED">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1C50DBA7" w14:textId="260C67F9" w:rsidR="00DC0539" w:rsidRPr="00181EF3" w:rsidRDefault="00DC0539" w:rsidP="00DC0539">
      <w:pPr>
        <w:pStyle w:val="Source"/>
        <w:rPr>
          <w:rFonts w:eastAsia="Calibri"/>
        </w:rPr>
      </w:pPr>
      <w:r w:rsidRPr="00181EF3">
        <w:rPr>
          <w:rFonts w:eastAsia="Calibri"/>
        </w:rPr>
        <w:t>Source: New Zealand Cancer Registry (NZCR), Ministry of Health</w:t>
      </w:r>
      <w:r w:rsidR="00857DD9">
        <w:rPr>
          <w:rFonts w:eastAsia="Calibri"/>
        </w:rPr>
        <w:t xml:space="preserve">, </w:t>
      </w:r>
      <w:r w:rsidR="00857DD9" w:rsidRPr="00181EF3">
        <w:t>1996–98 to 201</w:t>
      </w:r>
      <w:r w:rsidR="00857DD9">
        <w:t>3</w:t>
      </w:r>
      <w:r w:rsidR="00857DD9" w:rsidRPr="00181EF3">
        <w:t>–1</w:t>
      </w:r>
      <w:r w:rsidR="00857DD9">
        <w:t>5</w:t>
      </w:r>
      <w:r w:rsidRPr="00181EF3">
        <w:rPr>
          <w:rFonts w:eastAsia="Calibri"/>
        </w:rPr>
        <w:t>.</w:t>
      </w:r>
    </w:p>
    <w:p w14:paraId="65074E76" w14:textId="77777777" w:rsidR="00DC0539" w:rsidRPr="00181EF3" w:rsidRDefault="00DC0539" w:rsidP="00DC0539"/>
    <w:p w14:paraId="6459F8EE" w14:textId="395BC56A" w:rsidR="00857DD9" w:rsidRDefault="00857DD9" w:rsidP="00857DD9">
      <w:r w:rsidRPr="00181EF3">
        <w:t xml:space="preserve">Figure </w:t>
      </w:r>
      <w:r>
        <w:t>3</w:t>
      </w:r>
      <w:r w:rsidRPr="00181EF3">
        <w:t xml:space="preserve">1 shows that, after adjusting for age, Māori males aged 25 years and over have higher total-cancer registration rates than </w:t>
      </w:r>
      <w:r w:rsidR="00EC03A3">
        <w:t>non</w:t>
      </w:r>
      <w:r w:rsidR="00EC03A3">
        <w:noBreakHyphen/>
        <w:t>M</w:t>
      </w:r>
      <w:r w:rsidRPr="00181EF3">
        <w:t>āori males over time.</w:t>
      </w:r>
    </w:p>
    <w:p w14:paraId="7F2833B9" w14:textId="77777777" w:rsidR="004F4663" w:rsidRDefault="004F4663" w:rsidP="00857DD9"/>
    <w:p w14:paraId="6AAFAA29" w14:textId="77777777" w:rsidR="007A1A39" w:rsidRPr="00A14D8B" w:rsidRDefault="007A1A39" w:rsidP="007A1A39">
      <w:pPr>
        <w:pStyle w:val="Heading4"/>
      </w:pPr>
      <w:r w:rsidRPr="00181EF3">
        <w:t>The total-cancer registration rate decreased over time for Māori males</w:t>
      </w:r>
    </w:p>
    <w:p w14:paraId="701FCFB7" w14:textId="79732939" w:rsidR="00857DD9" w:rsidRPr="00181EF3" w:rsidRDefault="00857DD9" w:rsidP="00857DD9">
      <w:r w:rsidRPr="00181EF3">
        <w:t xml:space="preserve">After adjusting for age, the total-cancer registration rates decreased over time for both Māori and </w:t>
      </w:r>
      <w:r w:rsidR="00EC03A3">
        <w:t>non</w:t>
      </w:r>
      <w:r w:rsidR="00EC03A3">
        <w:noBreakHyphen/>
        <w:t>M</w:t>
      </w:r>
      <w:r w:rsidRPr="00181EF3">
        <w:t>āori males aged 25 years and over.</w:t>
      </w:r>
    </w:p>
    <w:p w14:paraId="0F70A41B" w14:textId="77777777" w:rsidR="00857DD9" w:rsidRPr="00181EF3" w:rsidRDefault="00857DD9" w:rsidP="00857DD9"/>
    <w:p w14:paraId="6F5466C3" w14:textId="77777777" w:rsidR="00DC0539" w:rsidRPr="00181EF3" w:rsidRDefault="00DC0539" w:rsidP="00DC0539">
      <w:r w:rsidRPr="00181EF3">
        <w:t>The age-standardised total-cancer registration rates for Māori males aged 25 years and over decreased by 12 percent, from 530.2 registrations per 100,000 in 1996–98 to 466.0 registrations per 100,000 in 2013–15.</w:t>
      </w:r>
    </w:p>
    <w:p w14:paraId="13F74792" w14:textId="77777777" w:rsidR="00DC0539" w:rsidRPr="00181EF3" w:rsidRDefault="00DC0539" w:rsidP="00DC0539"/>
    <w:p w14:paraId="108161EA" w14:textId="18B6D748" w:rsidR="00DC0539" w:rsidRDefault="00DC0539" w:rsidP="00DC0539">
      <w:r w:rsidRPr="00181EF3">
        <w:t xml:space="preserve">The age-standardised total-cancer registration rates for </w:t>
      </w:r>
      <w:r w:rsidR="00EC03A3">
        <w:t>non</w:t>
      </w:r>
      <w:r w:rsidR="00EC03A3">
        <w:noBreakHyphen/>
        <w:t>M</w:t>
      </w:r>
      <w:r w:rsidRPr="00181EF3">
        <w:t>āori males decreased by 8 percent, from 428.8 registrations per 100,000 in 1996–98 to 394.5 registrations per 100,000 in 2013–15.</w:t>
      </w:r>
    </w:p>
    <w:p w14:paraId="4455347F" w14:textId="77777777" w:rsidR="004F4663" w:rsidRPr="00181EF3" w:rsidRDefault="004F4663" w:rsidP="00DC0539"/>
    <w:p w14:paraId="4E96187C" w14:textId="3D90A47F" w:rsidR="00DC0539" w:rsidRDefault="00DC0539" w:rsidP="00857DD9">
      <w:pPr>
        <w:pStyle w:val="Heading4"/>
      </w:pPr>
      <w:r w:rsidRPr="00181EF3">
        <w:lastRenderedPageBreak/>
        <w:t xml:space="preserve">The difference in total-cancer registration rates between Māori and </w:t>
      </w:r>
      <w:r w:rsidR="00EC03A3">
        <w:t>non</w:t>
      </w:r>
      <w:r w:rsidR="00EC03A3">
        <w:noBreakHyphen/>
        <w:t>M</w:t>
      </w:r>
      <w:r w:rsidRPr="00181EF3">
        <w:t>āori males decreased over time</w:t>
      </w:r>
    </w:p>
    <w:p w14:paraId="6F363C03" w14:textId="7F56580F" w:rsidR="00DC0539" w:rsidRDefault="00DC0539" w:rsidP="00DC0539">
      <w:r w:rsidRPr="00181EF3">
        <w:t xml:space="preserve">The difference in age-standardised total-cancer registration rates between Māori and </w:t>
      </w:r>
      <w:r w:rsidR="00EC03A3">
        <w:t>non</w:t>
      </w:r>
      <w:r w:rsidR="00EC03A3">
        <w:noBreakHyphen/>
        <w:t>M</w:t>
      </w:r>
      <w:r w:rsidRPr="00181EF3">
        <w:t xml:space="preserve">āori males aged 25 years and over decreased by 29 percent over time. Māori males aged 25 years and over had 101.4 more registrations per 100,000 than </w:t>
      </w:r>
      <w:r w:rsidR="00EC03A3">
        <w:t>non</w:t>
      </w:r>
      <w:r w:rsidR="00EC03A3">
        <w:noBreakHyphen/>
        <w:t>M</w:t>
      </w:r>
      <w:r w:rsidRPr="00181EF3">
        <w:t>āori</w:t>
      </w:r>
      <w:r w:rsidR="00BB6271">
        <w:t xml:space="preserve"> males</w:t>
      </w:r>
      <w:r w:rsidRPr="00181EF3">
        <w:t xml:space="preserve"> in 1996–98, and 71.5 more registrations per 100,000 in 2013–15.</w:t>
      </w:r>
    </w:p>
    <w:p w14:paraId="0EA93FAC" w14:textId="77777777" w:rsidR="00857DD9" w:rsidRPr="00181EF3" w:rsidRDefault="00857DD9" w:rsidP="00DC0539"/>
    <w:p w14:paraId="0DFC5146" w14:textId="34F796F9" w:rsidR="00857DD9" w:rsidRDefault="00857DD9" w:rsidP="00857DD9">
      <w:r w:rsidRPr="00181EF3">
        <w:t xml:space="preserve">The difference in total-cancer registration rate between Māori and </w:t>
      </w:r>
      <w:r w:rsidR="00EC03A3">
        <w:t>non</w:t>
      </w:r>
      <w:r w:rsidR="00EC03A3">
        <w:noBreakHyphen/>
        <w:t>M</w:t>
      </w:r>
      <w:r w:rsidRPr="00181EF3">
        <w:t xml:space="preserve">āori males decreased over time. </w:t>
      </w:r>
      <w:r>
        <w:t>However, t</w:t>
      </w:r>
      <w:r w:rsidRPr="00181EF3">
        <w:t xml:space="preserve">he age-standardised total-cancer registration rate among Māori males aged 25 years and over was 24 percent higher than that for </w:t>
      </w:r>
      <w:r w:rsidR="00EC03A3">
        <w:t>non</w:t>
      </w:r>
      <w:r w:rsidR="00EC03A3">
        <w:noBreakHyphen/>
        <w:t>M</w:t>
      </w:r>
      <w:r w:rsidRPr="00181EF3">
        <w:t>āori males in the same age group in</w:t>
      </w:r>
      <w:r>
        <w:t xml:space="preserve"> </w:t>
      </w:r>
      <w:r w:rsidRPr="00181EF3">
        <w:t>1996–98, and 18 percent higher in 2013–15.</w:t>
      </w:r>
    </w:p>
    <w:p w14:paraId="23C6AF37" w14:textId="77777777" w:rsidR="00DC0539" w:rsidRPr="00181EF3" w:rsidRDefault="00DC0539" w:rsidP="00DC0539"/>
    <w:p w14:paraId="183CA115" w14:textId="3793AA16" w:rsidR="00857DD9" w:rsidRPr="00181EF3" w:rsidRDefault="00857DD9" w:rsidP="00857DD9">
      <w:pPr>
        <w:pStyle w:val="Figure"/>
      </w:pPr>
      <w:bookmarkStart w:id="143" w:name="_Toc19101883"/>
      <w:r w:rsidRPr="00181EF3">
        <w:t xml:space="preserve">Figure </w:t>
      </w:r>
      <w:r>
        <w:t>3</w:t>
      </w:r>
      <w:r w:rsidRPr="00181EF3">
        <w:t>2: Total cancer registration rate</w:t>
      </w:r>
      <w:r>
        <w:t>s</w:t>
      </w:r>
      <w:r w:rsidRPr="00181EF3">
        <w:t xml:space="preserve">, </w:t>
      </w:r>
      <w:r>
        <w:t xml:space="preserve">25+ years, </w:t>
      </w:r>
      <w:r w:rsidRPr="00181EF3">
        <w:t xml:space="preserve">Māori and </w:t>
      </w:r>
      <w:r w:rsidR="00EC03A3">
        <w:t>non</w:t>
      </w:r>
      <w:r w:rsidR="00EC03A3">
        <w:noBreakHyphen/>
        <w:t>M</w:t>
      </w:r>
      <w:r w:rsidRPr="00181EF3">
        <w:t>āori females</w:t>
      </w:r>
      <w:r>
        <w:t xml:space="preserve">, </w:t>
      </w:r>
      <w:r w:rsidRPr="00181EF3">
        <w:t>1996–98 to 2013–15</w:t>
      </w:r>
      <w:bookmarkEnd w:id="143"/>
    </w:p>
    <w:p w14:paraId="68FC5CC5" w14:textId="77777777" w:rsidR="00857DD9" w:rsidRPr="00181EF3" w:rsidRDefault="00857DD9" w:rsidP="00857DD9">
      <w:r w:rsidRPr="00181EF3">
        <w:rPr>
          <w:noProof/>
          <w:lang w:eastAsia="en-NZ"/>
        </w:rPr>
        <w:drawing>
          <wp:inline distT="0" distB="0" distL="0" distR="0" wp14:anchorId="6EE254AF" wp14:editId="5731A752">
            <wp:extent cx="5130165" cy="3058916"/>
            <wp:effectExtent l="0" t="0" r="0" b="8255"/>
            <wp:docPr id="419" name="Picture 419" descr="Cancer rates for women have stayed relatively stable over time. Māori women have higher rates of cancer than non-Māori women." title="Figure 32: Total cancer registration rate, Māori and non-Māori females aged 25 years and over, from 1996–98 to 20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130165" cy="3058916"/>
                    </a:xfrm>
                    <a:prstGeom prst="rect">
                      <a:avLst/>
                    </a:prstGeom>
                  </pic:spPr>
                </pic:pic>
              </a:graphicData>
            </a:graphic>
          </wp:inline>
        </w:drawing>
      </w:r>
    </w:p>
    <w:p w14:paraId="347FEFF9" w14:textId="77777777" w:rsidR="00857DD9" w:rsidRDefault="00857DD9" w:rsidP="00857DD9">
      <w:pPr>
        <w:pStyle w:val="Note"/>
      </w:pPr>
      <w:r w:rsidRPr="00181EF3">
        <w:t>Note</w:t>
      </w:r>
      <w:r>
        <w:t>s</w:t>
      </w:r>
      <w:r w:rsidRPr="00181EF3">
        <w:t>:</w:t>
      </w:r>
    </w:p>
    <w:p w14:paraId="0E596D3B" w14:textId="20D9C01C" w:rsidR="008A5642" w:rsidRDefault="00446D86" w:rsidP="00857DD9">
      <w:pPr>
        <w:pStyle w:val="Note"/>
      </w:pPr>
      <w:r>
        <w:t>Figures are age-standardised to the 2001 Census total Māori population</w:t>
      </w:r>
      <w:r w:rsidR="00857DD9" w:rsidRPr="00181EF3">
        <w:t>.</w:t>
      </w:r>
    </w:p>
    <w:p w14:paraId="6828E42C" w14:textId="4D4FED8F" w:rsidR="00857DD9" w:rsidRPr="00181EF3" w:rsidRDefault="00857DD9" w:rsidP="00857DD9">
      <w:pPr>
        <w:pStyle w:val="Note"/>
      </w:pPr>
      <w:r>
        <w:t>Prioritised ethnicity has been used.</w:t>
      </w:r>
    </w:p>
    <w:p w14:paraId="40D55753" w14:textId="77777777" w:rsidR="008A5642" w:rsidRDefault="00857DD9" w:rsidP="00886EED">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7CAB2EA0" w14:textId="17C02197" w:rsidR="00A14D8B" w:rsidRDefault="00857DD9" w:rsidP="0094130D">
      <w:pPr>
        <w:pStyle w:val="Source"/>
        <w:rPr>
          <w:rFonts w:eastAsia="Calibri"/>
        </w:rPr>
      </w:pPr>
      <w:r w:rsidRPr="00181EF3">
        <w:rPr>
          <w:rFonts w:eastAsia="Calibri"/>
        </w:rPr>
        <w:t>Source: New Zealand Cancer Registry (NZCR), Ministry of Health</w:t>
      </w:r>
      <w:r>
        <w:rPr>
          <w:rFonts w:eastAsia="Calibri"/>
        </w:rPr>
        <w:t xml:space="preserve">, </w:t>
      </w:r>
      <w:r w:rsidRPr="00181EF3">
        <w:t>1996–98 to 201</w:t>
      </w:r>
      <w:r>
        <w:t>3</w:t>
      </w:r>
      <w:r w:rsidRPr="00181EF3">
        <w:t>–1</w:t>
      </w:r>
      <w:r>
        <w:t>5</w:t>
      </w:r>
      <w:r w:rsidRPr="00181EF3">
        <w:rPr>
          <w:rFonts w:eastAsia="Calibri"/>
        </w:rPr>
        <w:t>.</w:t>
      </w:r>
    </w:p>
    <w:p w14:paraId="4F76B97B" w14:textId="77777777" w:rsidR="0094130D" w:rsidRPr="0094130D" w:rsidRDefault="0094130D" w:rsidP="0094130D"/>
    <w:p w14:paraId="4E28B0ED" w14:textId="50CFE103" w:rsidR="00A14D8B" w:rsidRDefault="00A14D8B" w:rsidP="004F4663">
      <w:r w:rsidRPr="00181EF3">
        <w:t xml:space="preserve">Figure </w:t>
      </w:r>
      <w:r>
        <w:t>3</w:t>
      </w:r>
      <w:r w:rsidRPr="00181EF3">
        <w:t xml:space="preserve">2 shows that, after adjusting for age, Māori females aged 25 years and over have higher total-cancer registration rates than </w:t>
      </w:r>
      <w:r w:rsidR="00EC03A3">
        <w:t>non</w:t>
      </w:r>
      <w:r w:rsidR="00EC03A3">
        <w:noBreakHyphen/>
        <w:t>M</w:t>
      </w:r>
      <w:r w:rsidRPr="00181EF3">
        <w:t>āori females in the same age group over time.</w:t>
      </w:r>
    </w:p>
    <w:p w14:paraId="13CBC262" w14:textId="77777777" w:rsidR="004F4663" w:rsidRDefault="004F4663" w:rsidP="004F4663"/>
    <w:p w14:paraId="0A18573B" w14:textId="77777777" w:rsidR="007A1A39" w:rsidRDefault="007A1A39" w:rsidP="007A1A39">
      <w:pPr>
        <w:pStyle w:val="Heading4"/>
      </w:pPr>
      <w:r w:rsidRPr="00181EF3">
        <w:lastRenderedPageBreak/>
        <w:t>The total-cancer registration rate remained the same over time for Māori females</w:t>
      </w:r>
    </w:p>
    <w:p w14:paraId="62D731D2" w14:textId="3206B3A1" w:rsidR="00A14D8B" w:rsidRPr="00181EF3" w:rsidRDefault="00A14D8B" w:rsidP="00A14D8B">
      <w:pPr>
        <w:keepNext/>
      </w:pPr>
      <w:r w:rsidRPr="00181EF3">
        <w:t xml:space="preserve">After adjusting for age, the total-cancer registration rates </w:t>
      </w:r>
      <w:r>
        <w:t>remained similar</w:t>
      </w:r>
      <w:r w:rsidRPr="00181EF3">
        <w:t xml:space="preserve"> over time for Māori females aged 25 years and over and remained constant for </w:t>
      </w:r>
      <w:r w:rsidR="00EC03A3">
        <w:t>non</w:t>
      </w:r>
      <w:r w:rsidR="00EC03A3">
        <w:noBreakHyphen/>
        <w:t>M</w:t>
      </w:r>
      <w:r w:rsidRPr="00181EF3">
        <w:t>āori.</w:t>
      </w:r>
    </w:p>
    <w:p w14:paraId="7A7A32FD" w14:textId="77777777" w:rsidR="0094130D" w:rsidRDefault="0094130D" w:rsidP="00A14D8B">
      <w:pPr>
        <w:keepNext/>
      </w:pPr>
    </w:p>
    <w:p w14:paraId="1B511A6F" w14:textId="1B28776C" w:rsidR="00A14D8B" w:rsidRPr="00181EF3" w:rsidRDefault="00A14D8B" w:rsidP="00A14D8B">
      <w:pPr>
        <w:keepNext/>
      </w:pPr>
      <w:r w:rsidRPr="00181EF3">
        <w:t>The age-standardised total-cancer registration rates for Māori females aged 25 years and over remained similar over time, with 518.3 registrations per 100,000 in 1996–98 and 529.3 registrations per 100,000 in 2013–15.</w:t>
      </w:r>
    </w:p>
    <w:p w14:paraId="116FD165" w14:textId="77777777" w:rsidR="00A14D8B" w:rsidRPr="00181EF3" w:rsidRDefault="00A14D8B" w:rsidP="00A14D8B">
      <w:pPr>
        <w:keepNext/>
      </w:pPr>
    </w:p>
    <w:p w14:paraId="09C0C498" w14:textId="37509041" w:rsidR="00A14D8B" w:rsidRDefault="00A14D8B" w:rsidP="00A14D8B">
      <w:r w:rsidRPr="00181EF3">
        <w:t xml:space="preserve">The age-standardised total-cancer registration rates for </w:t>
      </w:r>
      <w:r w:rsidR="00EC03A3">
        <w:t>non</w:t>
      </w:r>
      <w:r w:rsidR="00EC03A3">
        <w:noBreakHyphen/>
        <w:t>M</w:t>
      </w:r>
      <w:r w:rsidRPr="00181EF3">
        <w:t>āori females in the same age group remained constant, with 386.1 registrations per 100,000 in 1996–98 and in 2013–15.</w:t>
      </w:r>
    </w:p>
    <w:p w14:paraId="0AECDFB4" w14:textId="77777777" w:rsidR="004F4663" w:rsidRPr="00181EF3" w:rsidRDefault="004F4663" w:rsidP="00A14D8B"/>
    <w:p w14:paraId="4342B7D6" w14:textId="23EC8EB9" w:rsidR="00DC0539" w:rsidRPr="00181EF3" w:rsidRDefault="00DC0539" w:rsidP="00857DD9">
      <w:pPr>
        <w:pStyle w:val="Heading4"/>
      </w:pPr>
      <w:r w:rsidRPr="00181EF3">
        <w:t xml:space="preserve">The difference in total-cancer registration rates between Māori and </w:t>
      </w:r>
      <w:r w:rsidR="00EC03A3">
        <w:t>non</w:t>
      </w:r>
      <w:r w:rsidR="00EC03A3">
        <w:noBreakHyphen/>
        <w:t>M</w:t>
      </w:r>
      <w:r w:rsidRPr="00181EF3">
        <w:t>āori females remained similar over time</w:t>
      </w:r>
    </w:p>
    <w:p w14:paraId="7193648E" w14:textId="22FC9D6C" w:rsidR="00DC0539" w:rsidRPr="00181EF3" w:rsidRDefault="00DC0539" w:rsidP="00DC0539">
      <w:r w:rsidRPr="00181EF3">
        <w:t xml:space="preserve">The difference in the age-standardised total-cancer registration rates between Māori and </w:t>
      </w:r>
      <w:r w:rsidR="00EC03A3">
        <w:t>non</w:t>
      </w:r>
      <w:r w:rsidR="00EC03A3">
        <w:noBreakHyphen/>
        <w:t>M</w:t>
      </w:r>
      <w:r w:rsidRPr="00181EF3">
        <w:t xml:space="preserve">āori females aged 25 years and over remained similar over time. Māori females aged 25 years and over had 130.2 more registrations per 100,000 than </w:t>
      </w:r>
      <w:r w:rsidR="00EC03A3">
        <w:t>non</w:t>
      </w:r>
      <w:r w:rsidR="00EC03A3">
        <w:noBreakHyphen/>
        <w:t>M</w:t>
      </w:r>
      <w:r w:rsidRPr="00181EF3">
        <w:t xml:space="preserve">āori </w:t>
      </w:r>
      <w:r w:rsidR="00BB6271">
        <w:t xml:space="preserve">females </w:t>
      </w:r>
      <w:r w:rsidRPr="00181EF3">
        <w:t>in 1996–98, and 143.2 more registrations per 100,000 in 2013–15.</w:t>
      </w:r>
    </w:p>
    <w:p w14:paraId="3E85974B" w14:textId="77777777" w:rsidR="00DC0539" w:rsidRPr="00181EF3" w:rsidRDefault="00DC0539" w:rsidP="00DC0539"/>
    <w:p w14:paraId="2609EDE4" w14:textId="307B4A0C" w:rsidR="00DC0539" w:rsidRPr="00181EF3" w:rsidRDefault="00DC0539" w:rsidP="00DC0539">
      <w:r w:rsidRPr="00181EF3">
        <w:t xml:space="preserve">The difference in the age-standardised total-cancer registration rates between Māori and </w:t>
      </w:r>
      <w:r w:rsidR="00EC03A3">
        <w:t>non</w:t>
      </w:r>
      <w:r w:rsidR="00EC03A3">
        <w:noBreakHyphen/>
        <w:t>M</w:t>
      </w:r>
      <w:r w:rsidRPr="00181EF3">
        <w:t xml:space="preserve">āori females aged 25 years and over were greater than that between Māori and </w:t>
      </w:r>
      <w:r w:rsidR="00EC03A3">
        <w:t>non</w:t>
      </w:r>
      <w:r w:rsidR="00EC03A3">
        <w:noBreakHyphen/>
        <w:t>M</w:t>
      </w:r>
      <w:r w:rsidRPr="00181EF3">
        <w:t>āori males in the same age group.</w:t>
      </w:r>
    </w:p>
    <w:p w14:paraId="65F80EE7" w14:textId="77777777" w:rsidR="00DC0539" w:rsidRPr="00181EF3" w:rsidRDefault="00DC0539" w:rsidP="00DC0539"/>
    <w:p w14:paraId="7860B444" w14:textId="42C2683F" w:rsidR="00DC0539" w:rsidRPr="00181EF3" w:rsidRDefault="00DC0539" w:rsidP="00DC0539">
      <w:r w:rsidRPr="00181EF3">
        <w:t xml:space="preserve">The difference between Māori and </w:t>
      </w:r>
      <w:r w:rsidR="00EC03A3">
        <w:t>non</w:t>
      </w:r>
      <w:r w:rsidR="00EC03A3">
        <w:noBreakHyphen/>
        <w:t>M</w:t>
      </w:r>
      <w:r w:rsidRPr="00181EF3">
        <w:t xml:space="preserve">āori females showed little change: the total-cancer registration rates among Māori females aged 25 years and over was 34 percent higher than that among </w:t>
      </w:r>
      <w:r w:rsidR="00EC03A3">
        <w:t>non</w:t>
      </w:r>
      <w:r w:rsidR="00EC03A3">
        <w:noBreakHyphen/>
        <w:t>M</w:t>
      </w:r>
      <w:r w:rsidRPr="00181EF3">
        <w:t>āori females in the same age group in 1996–98, and 37 percent higher in 2013–15.</w:t>
      </w:r>
    </w:p>
    <w:p w14:paraId="30F09AAD" w14:textId="77777777" w:rsidR="00DC0539" w:rsidRPr="00181EF3" w:rsidRDefault="00DC0539" w:rsidP="00DC0539"/>
    <w:p w14:paraId="196AAFFF" w14:textId="49A0C724" w:rsidR="0000551D" w:rsidRPr="00181EF3" w:rsidRDefault="0000551D" w:rsidP="0000551D">
      <w:pPr>
        <w:pStyle w:val="Figure"/>
      </w:pPr>
      <w:bookmarkStart w:id="144" w:name="_Toc19101884"/>
      <w:r w:rsidRPr="00181EF3">
        <w:lastRenderedPageBreak/>
        <w:t xml:space="preserve">Figure </w:t>
      </w:r>
      <w:r>
        <w:t>3</w:t>
      </w:r>
      <w:r w:rsidRPr="00181EF3">
        <w:t>3: Total cancer mortality rate</w:t>
      </w:r>
      <w:r>
        <w:t>s</w:t>
      </w:r>
      <w:r w:rsidRPr="00181EF3">
        <w:t xml:space="preserve">, </w:t>
      </w:r>
      <w:r>
        <w:t xml:space="preserve">25+ years, </w:t>
      </w:r>
      <w:r w:rsidRPr="00181EF3">
        <w:t xml:space="preserve">Māori and </w:t>
      </w:r>
      <w:r w:rsidR="00EC03A3">
        <w:t>non</w:t>
      </w:r>
      <w:r w:rsidR="00EC03A3">
        <w:noBreakHyphen/>
        <w:t>M</w:t>
      </w:r>
      <w:r w:rsidRPr="00181EF3">
        <w:t>āori males</w:t>
      </w:r>
      <w:r>
        <w:t>,</w:t>
      </w:r>
      <w:r w:rsidR="004F4663">
        <w:br/>
      </w:r>
      <w:r w:rsidRPr="00181EF3">
        <w:t>1996–98 to 2012–14</w:t>
      </w:r>
      <w:bookmarkEnd w:id="144"/>
    </w:p>
    <w:p w14:paraId="2CEE989D" w14:textId="77777777" w:rsidR="0000551D" w:rsidRPr="00181EF3" w:rsidRDefault="0000551D" w:rsidP="0000551D">
      <w:r w:rsidRPr="00181EF3">
        <w:rPr>
          <w:noProof/>
          <w:lang w:eastAsia="en-NZ"/>
        </w:rPr>
        <w:drawing>
          <wp:inline distT="0" distB="0" distL="0" distR="0" wp14:anchorId="1BEC2BD2" wp14:editId="1A02CB6B">
            <wp:extent cx="5130165" cy="3058916"/>
            <wp:effectExtent l="0" t="0" r="0" b="8255"/>
            <wp:docPr id="416" name="Picture 416" descr="Cancer deaths have slowly declined for men over the years. More Māori men die of cancer than non-Māori men." title="Figure 33: Total cancer mortality rate, Māori and non-Māori males aged 25 years and over, from 1996–98 to 20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130165" cy="3058916"/>
                    </a:xfrm>
                    <a:prstGeom prst="rect">
                      <a:avLst/>
                    </a:prstGeom>
                  </pic:spPr>
                </pic:pic>
              </a:graphicData>
            </a:graphic>
          </wp:inline>
        </w:drawing>
      </w:r>
    </w:p>
    <w:p w14:paraId="586183BE" w14:textId="77777777" w:rsidR="0000551D" w:rsidRDefault="0000551D" w:rsidP="0000551D">
      <w:pPr>
        <w:pStyle w:val="Note"/>
      </w:pPr>
      <w:r w:rsidRPr="00181EF3">
        <w:t>Note</w:t>
      </w:r>
      <w:r>
        <w:t>s</w:t>
      </w:r>
      <w:r w:rsidRPr="00181EF3">
        <w:t>:</w:t>
      </w:r>
    </w:p>
    <w:p w14:paraId="07C940DE" w14:textId="432EFE40" w:rsidR="008A5642" w:rsidRDefault="00446D86" w:rsidP="0000551D">
      <w:pPr>
        <w:pStyle w:val="Note"/>
      </w:pPr>
      <w:r>
        <w:t>Figures are age-standardised to the 2001 Census total Māori population</w:t>
      </w:r>
      <w:r w:rsidR="0000551D" w:rsidRPr="00181EF3">
        <w:t>.</w:t>
      </w:r>
    </w:p>
    <w:p w14:paraId="3DE24F95" w14:textId="5383F134" w:rsidR="0000551D" w:rsidRPr="00181EF3" w:rsidRDefault="0000551D" w:rsidP="0000551D">
      <w:pPr>
        <w:pStyle w:val="Note"/>
      </w:pPr>
      <w:r>
        <w:t>Prioritised ethnicity has been used.</w:t>
      </w:r>
    </w:p>
    <w:p w14:paraId="4198359D" w14:textId="77777777" w:rsidR="008A5642" w:rsidRDefault="0000551D" w:rsidP="00886EED">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4B56FF84" w14:textId="4ECA4A7B" w:rsidR="0000551D" w:rsidRPr="00181EF3" w:rsidRDefault="0000551D" w:rsidP="0000551D">
      <w:pPr>
        <w:pStyle w:val="Source"/>
        <w:rPr>
          <w:rFonts w:eastAsia="Calibri"/>
        </w:rPr>
      </w:pPr>
      <w:r w:rsidRPr="00181EF3">
        <w:rPr>
          <w:rFonts w:eastAsia="Calibri"/>
        </w:rPr>
        <w:t>Source: Mortality Collection Data Set (MORT), Ministry of Health</w:t>
      </w:r>
      <w:r>
        <w:rPr>
          <w:rFonts w:eastAsia="Calibri"/>
        </w:rPr>
        <w:t xml:space="preserve">, </w:t>
      </w:r>
      <w:r w:rsidRPr="00181EF3">
        <w:t>1996–98 to 2012–14</w:t>
      </w:r>
      <w:r w:rsidRPr="00181EF3">
        <w:rPr>
          <w:rFonts w:eastAsia="Calibri"/>
        </w:rPr>
        <w:t>.</w:t>
      </w:r>
    </w:p>
    <w:p w14:paraId="639548C3" w14:textId="77777777" w:rsidR="0000551D" w:rsidRPr="00181EF3" w:rsidRDefault="0000551D" w:rsidP="00DC0539"/>
    <w:p w14:paraId="71154A90" w14:textId="206E1695" w:rsidR="00A14D8B" w:rsidRDefault="00A14D8B" w:rsidP="00A14D8B">
      <w:r w:rsidRPr="00181EF3">
        <w:t xml:space="preserve">Figure </w:t>
      </w:r>
      <w:r>
        <w:t>3</w:t>
      </w:r>
      <w:r w:rsidRPr="00181EF3">
        <w:t xml:space="preserve">3 shows that, after adjusting for age, Māori males aged 25 years and over have higher total-cancer mortality rates than </w:t>
      </w:r>
      <w:r w:rsidR="00EC03A3">
        <w:t>non</w:t>
      </w:r>
      <w:r w:rsidR="00EC03A3">
        <w:noBreakHyphen/>
        <w:t>M</w:t>
      </w:r>
      <w:r w:rsidRPr="00181EF3">
        <w:t>āori males in the same age group over time.</w:t>
      </w:r>
    </w:p>
    <w:p w14:paraId="34702417" w14:textId="77777777" w:rsidR="004F4663" w:rsidRDefault="004F4663" w:rsidP="00A14D8B"/>
    <w:p w14:paraId="58DA5B77" w14:textId="77777777" w:rsidR="007A1A39" w:rsidRDefault="007A1A39" w:rsidP="007A1A39">
      <w:pPr>
        <w:pStyle w:val="Heading4"/>
      </w:pPr>
      <w:r w:rsidRPr="00181EF3">
        <w:t>The total-cancer mortality rate decreased over time for Māori males</w:t>
      </w:r>
    </w:p>
    <w:p w14:paraId="4BF3C676" w14:textId="5107D7CF" w:rsidR="00A14D8B" w:rsidRPr="00181EF3" w:rsidRDefault="00A14D8B" w:rsidP="00A14D8B">
      <w:r w:rsidRPr="00181EF3">
        <w:t xml:space="preserve">After adjusting for age, total-cancer mortality rates decreased over time for both Māori and </w:t>
      </w:r>
      <w:r w:rsidR="00EC03A3">
        <w:t>non</w:t>
      </w:r>
      <w:r w:rsidR="00EC03A3">
        <w:noBreakHyphen/>
        <w:t>M</w:t>
      </w:r>
      <w:r w:rsidRPr="00181EF3">
        <w:t>āori males aged 25 years and over.</w:t>
      </w:r>
    </w:p>
    <w:p w14:paraId="62117BBA" w14:textId="77777777" w:rsidR="00A14D8B" w:rsidRPr="0000551D" w:rsidRDefault="00A14D8B" w:rsidP="00A14D8B"/>
    <w:p w14:paraId="53C466C3" w14:textId="77777777" w:rsidR="00A14D8B" w:rsidRPr="00181EF3" w:rsidRDefault="00A14D8B" w:rsidP="00A14D8B">
      <w:r w:rsidRPr="00181EF3">
        <w:t>The age-standardised total-cancer mortality rates for Māori males aged 25 years and over decreased by 32 percent, from 301.7 deaths per 100,000 in 1996–98 to 206.4 deaths per 100,000 in 2012–14.</w:t>
      </w:r>
    </w:p>
    <w:p w14:paraId="30A718AA" w14:textId="77777777" w:rsidR="00A14D8B" w:rsidRPr="00181EF3" w:rsidRDefault="00A14D8B" w:rsidP="00A14D8B"/>
    <w:p w14:paraId="1569F2B9" w14:textId="4D34F7BD" w:rsidR="00A14D8B" w:rsidRDefault="00A14D8B" w:rsidP="00A14D8B">
      <w:r w:rsidRPr="00181EF3">
        <w:t xml:space="preserve">The age-standardised total-cancer mortality rates for </w:t>
      </w:r>
      <w:r w:rsidR="00EC03A3">
        <w:t>non</w:t>
      </w:r>
      <w:r w:rsidR="00EC03A3">
        <w:noBreakHyphen/>
        <w:t>M</w:t>
      </w:r>
      <w:r w:rsidRPr="00181EF3">
        <w:t>āori males in the same age group decreased by 25 percent over time, from 171.0 deaths per 100,000 in 1996–98 to 128.0 deaths per 100,000 in 2012–14.</w:t>
      </w:r>
    </w:p>
    <w:p w14:paraId="4D2549F1" w14:textId="77777777" w:rsidR="004F4663" w:rsidRPr="00181EF3" w:rsidRDefault="004F4663" w:rsidP="00A14D8B"/>
    <w:p w14:paraId="1C916931" w14:textId="17546DC3" w:rsidR="00DC0539" w:rsidRPr="00181EF3" w:rsidRDefault="00DC0539" w:rsidP="0000551D">
      <w:pPr>
        <w:pStyle w:val="Heading4"/>
      </w:pPr>
      <w:r w:rsidRPr="00181EF3">
        <w:lastRenderedPageBreak/>
        <w:t xml:space="preserve">The difference in total-cancer mortality rates between Māori and </w:t>
      </w:r>
      <w:r w:rsidR="00EC03A3">
        <w:t>non</w:t>
      </w:r>
      <w:r w:rsidR="00EC03A3">
        <w:noBreakHyphen/>
        <w:t>M</w:t>
      </w:r>
      <w:r w:rsidRPr="00181EF3">
        <w:t>āori males decreased over time</w:t>
      </w:r>
    </w:p>
    <w:p w14:paraId="117D494E" w14:textId="055145E9" w:rsidR="00DC0539" w:rsidRPr="00181EF3" w:rsidRDefault="00DC0539" w:rsidP="004F4663">
      <w:pPr>
        <w:keepNext/>
        <w:keepLines/>
        <w:rPr>
          <w:sz w:val="20"/>
        </w:rPr>
      </w:pPr>
      <w:r w:rsidRPr="00181EF3">
        <w:rPr>
          <w:sz w:val="20"/>
        </w:rPr>
        <w:t xml:space="preserve">The difference in age-standardised total-cancer mortality rates between Māori and </w:t>
      </w:r>
      <w:r w:rsidR="00EC03A3">
        <w:rPr>
          <w:sz w:val="20"/>
        </w:rPr>
        <w:t>non</w:t>
      </w:r>
      <w:r w:rsidR="00EC03A3">
        <w:rPr>
          <w:sz w:val="20"/>
        </w:rPr>
        <w:noBreakHyphen/>
        <w:t>M</w:t>
      </w:r>
      <w:r w:rsidRPr="00181EF3">
        <w:rPr>
          <w:sz w:val="20"/>
        </w:rPr>
        <w:t xml:space="preserve">āori males aged 25 years and over decreased by 40 percent over time. Māori males aged 25 years and over had 130.7 more deaths per 100,000 than </w:t>
      </w:r>
      <w:r w:rsidR="00EC03A3">
        <w:rPr>
          <w:sz w:val="20"/>
        </w:rPr>
        <w:t>non</w:t>
      </w:r>
      <w:r w:rsidR="00EC03A3">
        <w:rPr>
          <w:sz w:val="20"/>
        </w:rPr>
        <w:noBreakHyphen/>
        <w:t>M</w:t>
      </w:r>
      <w:r w:rsidRPr="00181EF3">
        <w:rPr>
          <w:sz w:val="20"/>
        </w:rPr>
        <w:t>āori</w:t>
      </w:r>
      <w:r w:rsidR="00BB6271">
        <w:rPr>
          <w:sz w:val="20"/>
        </w:rPr>
        <w:t xml:space="preserve"> males</w:t>
      </w:r>
      <w:r w:rsidRPr="00181EF3">
        <w:rPr>
          <w:sz w:val="20"/>
        </w:rPr>
        <w:t xml:space="preserve"> in 1996–98, and 78.4 more deaths per 100,000 in 2012–14.</w:t>
      </w:r>
    </w:p>
    <w:p w14:paraId="0E71FA46" w14:textId="77777777" w:rsidR="00DC0539" w:rsidRPr="00181EF3" w:rsidRDefault="00DC0539" w:rsidP="00DC0539">
      <w:pPr>
        <w:rPr>
          <w:sz w:val="20"/>
        </w:rPr>
      </w:pPr>
    </w:p>
    <w:p w14:paraId="459B071A" w14:textId="792764AA" w:rsidR="00DC0539" w:rsidRDefault="00DC0539" w:rsidP="00DC0539">
      <w:r w:rsidRPr="00181EF3">
        <w:t xml:space="preserve">The difference between Māori and </w:t>
      </w:r>
      <w:r w:rsidR="00EC03A3">
        <w:t>non</w:t>
      </w:r>
      <w:r w:rsidR="00EC03A3">
        <w:noBreakHyphen/>
        <w:t>M</w:t>
      </w:r>
      <w:r w:rsidRPr="00181EF3">
        <w:t xml:space="preserve">āori males aged 25 years and over is decreasing: the total-cancer mortality rate among Māori males aged 25 years and over was 76 percent higher than </w:t>
      </w:r>
      <w:r w:rsidR="00EC03A3">
        <w:t>non</w:t>
      </w:r>
      <w:r w:rsidR="00EC03A3">
        <w:noBreakHyphen/>
        <w:t>M</w:t>
      </w:r>
      <w:r w:rsidRPr="00181EF3">
        <w:t>āori males in 1998–98, and 61 percent higher in 2012–14.</w:t>
      </w:r>
    </w:p>
    <w:p w14:paraId="67ED7182" w14:textId="77777777" w:rsidR="0094130D" w:rsidRPr="00181EF3" w:rsidRDefault="0094130D" w:rsidP="00DC0539"/>
    <w:p w14:paraId="676C48B5" w14:textId="7E536E94" w:rsidR="0000551D" w:rsidRPr="00181EF3" w:rsidRDefault="0000551D" w:rsidP="0000551D">
      <w:pPr>
        <w:pStyle w:val="Figure"/>
      </w:pPr>
      <w:bookmarkStart w:id="145" w:name="_Toc19101885"/>
      <w:r w:rsidRPr="00181EF3">
        <w:t xml:space="preserve">Figure </w:t>
      </w:r>
      <w:r>
        <w:t>3</w:t>
      </w:r>
      <w:r w:rsidRPr="00181EF3">
        <w:t>4: Total cancer mortality rate</w:t>
      </w:r>
      <w:r>
        <w:t>s</w:t>
      </w:r>
      <w:r w:rsidRPr="00181EF3">
        <w:t xml:space="preserve">, </w:t>
      </w:r>
      <w:r>
        <w:t xml:space="preserve">25+ years, </w:t>
      </w:r>
      <w:r w:rsidRPr="00181EF3">
        <w:t xml:space="preserve">Māori and </w:t>
      </w:r>
      <w:r w:rsidR="00EC03A3">
        <w:t>non</w:t>
      </w:r>
      <w:r w:rsidR="00EC03A3">
        <w:noBreakHyphen/>
        <w:t>M</w:t>
      </w:r>
      <w:r w:rsidRPr="00181EF3">
        <w:t>āori females</w:t>
      </w:r>
      <w:r>
        <w:t>,</w:t>
      </w:r>
      <w:r w:rsidRPr="00181EF3">
        <w:t xml:space="preserve"> 1996–98 to 2012–14</w:t>
      </w:r>
      <w:bookmarkEnd w:id="145"/>
    </w:p>
    <w:p w14:paraId="402E46E8" w14:textId="77777777" w:rsidR="0000551D" w:rsidRPr="00181EF3" w:rsidRDefault="0000551D" w:rsidP="0000551D">
      <w:pPr>
        <w:rPr>
          <w:rFonts w:eastAsia="Calibri"/>
        </w:rPr>
      </w:pPr>
      <w:r w:rsidRPr="00181EF3">
        <w:rPr>
          <w:noProof/>
          <w:lang w:eastAsia="en-NZ"/>
        </w:rPr>
        <w:drawing>
          <wp:inline distT="0" distB="0" distL="0" distR="0" wp14:anchorId="6A0321FD" wp14:editId="6B61F6F4">
            <wp:extent cx="5130165" cy="3058916"/>
            <wp:effectExtent l="0" t="0" r="0" b="8255"/>
            <wp:docPr id="420" name="Picture 420" descr="Cancer death rates for women have declined slightly over the years. Māori women have higher cancer death rates than non-Māori women." title="Figure 34: Total cancer mortality rate, Māori and non-Māori females aged 25 years and over, from 1996–98 to 20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130165" cy="3058916"/>
                    </a:xfrm>
                    <a:prstGeom prst="rect">
                      <a:avLst/>
                    </a:prstGeom>
                  </pic:spPr>
                </pic:pic>
              </a:graphicData>
            </a:graphic>
          </wp:inline>
        </w:drawing>
      </w:r>
    </w:p>
    <w:p w14:paraId="4A63157C" w14:textId="77777777" w:rsidR="0000551D" w:rsidRDefault="0000551D" w:rsidP="0000551D">
      <w:pPr>
        <w:pStyle w:val="Note"/>
      </w:pPr>
      <w:r w:rsidRPr="00181EF3">
        <w:t>Note</w:t>
      </w:r>
      <w:r>
        <w:t>s</w:t>
      </w:r>
      <w:r w:rsidRPr="00181EF3">
        <w:t>:</w:t>
      </w:r>
    </w:p>
    <w:p w14:paraId="466215E7" w14:textId="376C216E" w:rsidR="008A5642" w:rsidRDefault="00446D86" w:rsidP="0000551D">
      <w:pPr>
        <w:pStyle w:val="Note"/>
      </w:pPr>
      <w:r>
        <w:t>Figures are age-standardised to the 2001 Census total Māori population</w:t>
      </w:r>
      <w:r w:rsidR="0000551D" w:rsidRPr="00181EF3">
        <w:t>.</w:t>
      </w:r>
    </w:p>
    <w:p w14:paraId="5C0EA88C" w14:textId="074D9537" w:rsidR="0000551D" w:rsidRPr="00181EF3" w:rsidRDefault="0000551D" w:rsidP="0000551D">
      <w:pPr>
        <w:pStyle w:val="Note"/>
      </w:pPr>
      <w:r>
        <w:t>Prioritised ethnicity has been used.</w:t>
      </w:r>
    </w:p>
    <w:p w14:paraId="5F6772B5" w14:textId="77777777" w:rsidR="008A5642" w:rsidRDefault="0000551D" w:rsidP="00886EED">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6CFAD621" w14:textId="3BEF1E3A" w:rsidR="0000551D" w:rsidRPr="00181EF3" w:rsidRDefault="0000551D" w:rsidP="0000551D">
      <w:pPr>
        <w:pStyle w:val="Source"/>
        <w:rPr>
          <w:rFonts w:eastAsia="Calibri"/>
        </w:rPr>
      </w:pPr>
      <w:r w:rsidRPr="00181EF3">
        <w:rPr>
          <w:rFonts w:eastAsia="Calibri"/>
        </w:rPr>
        <w:t>Source: Mortality Collection Data Set (MORT), Ministry of Health</w:t>
      </w:r>
      <w:r>
        <w:rPr>
          <w:rFonts w:eastAsia="Calibri"/>
        </w:rPr>
        <w:t xml:space="preserve">, </w:t>
      </w:r>
      <w:r w:rsidRPr="00181EF3">
        <w:t>1996–98 to 2012–14</w:t>
      </w:r>
      <w:r w:rsidRPr="00181EF3">
        <w:rPr>
          <w:rFonts w:eastAsia="Calibri"/>
        </w:rPr>
        <w:t>.</w:t>
      </w:r>
    </w:p>
    <w:p w14:paraId="6DF59D02" w14:textId="77777777" w:rsidR="0000551D" w:rsidRPr="00181EF3" w:rsidRDefault="0000551D" w:rsidP="00DC0539"/>
    <w:p w14:paraId="02953AA9" w14:textId="06BE111B" w:rsidR="00A14D8B" w:rsidRDefault="00A14D8B" w:rsidP="00A14D8B">
      <w:r w:rsidRPr="00181EF3">
        <w:t xml:space="preserve">Figure </w:t>
      </w:r>
      <w:r>
        <w:t>3</w:t>
      </w:r>
      <w:r w:rsidRPr="00181EF3">
        <w:t xml:space="preserve">4 shows that, after adjusting for age, Māori females aged 25 years and over have higher total-cancer mortality rates than </w:t>
      </w:r>
      <w:r w:rsidR="00EC03A3">
        <w:t>non</w:t>
      </w:r>
      <w:r w:rsidR="00EC03A3">
        <w:noBreakHyphen/>
        <w:t>M</w:t>
      </w:r>
      <w:r w:rsidRPr="00181EF3">
        <w:t>āori females in the same age group over time.</w:t>
      </w:r>
    </w:p>
    <w:p w14:paraId="50F31C15" w14:textId="77777777" w:rsidR="004F4663" w:rsidRDefault="004F4663" w:rsidP="00A14D8B"/>
    <w:p w14:paraId="31F80C49" w14:textId="77777777" w:rsidR="007A1A39" w:rsidRPr="00181EF3" w:rsidRDefault="007A1A39" w:rsidP="007A1A39">
      <w:pPr>
        <w:pStyle w:val="Heading4"/>
      </w:pPr>
      <w:r w:rsidRPr="00181EF3">
        <w:lastRenderedPageBreak/>
        <w:t>The total-cancer mortality rate decreased over time for Māori females</w:t>
      </w:r>
    </w:p>
    <w:p w14:paraId="13FC0A6A" w14:textId="3B12C9E3" w:rsidR="00A14D8B" w:rsidRPr="00181EF3" w:rsidRDefault="00A14D8B" w:rsidP="004F4663">
      <w:pPr>
        <w:keepNext/>
      </w:pPr>
      <w:r w:rsidRPr="00181EF3">
        <w:t xml:space="preserve">After adjusting for age, total-cancer mortality rates decreased over time for both Māori and </w:t>
      </w:r>
      <w:r w:rsidR="00EC03A3">
        <w:t>non</w:t>
      </w:r>
      <w:r w:rsidR="00EC03A3">
        <w:noBreakHyphen/>
        <w:t>M</w:t>
      </w:r>
      <w:r w:rsidRPr="00181EF3">
        <w:t>āori females aged 25 years and over.</w:t>
      </w:r>
    </w:p>
    <w:p w14:paraId="47285056" w14:textId="77777777" w:rsidR="00A14D8B" w:rsidRPr="00181EF3" w:rsidRDefault="00A14D8B" w:rsidP="004F4663">
      <w:pPr>
        <w:keepNext/>
      </w:pPr>
    </w:p>
    <w:p w14:paraId="709EC62F" w14:textId="77777777" w:rsidR="00A14D8B" w:rsidRPr="00181EF3" w:rsidRDefault="00A14D8B" w:rsidP="00A14D8B">
      <w:r w:rsidRPr="00181EF3">
        <w:t>The age-standardised total-cancer mortality rates for Māori females aged 25 years and over decreased by 24 percent, from 268.8 deaths per 100,000 in 1996–98 to 203.9 deaths per 100,000 in 2012–14.</w:t>
      </w:r>
    </w:p>
    <w:p w14:paraId="1625FC34" w14:textId="77777777" w:rsidR="00A14D8B" w:rsidRPr="00181EF3" w:rsidRDefault="00A14D8B" w:rsidP="00A14D8B"/>
    <w:p w14:paraId="4A490592" w14:textId="27ED10DD" w:rsidR="00A14D8B" w:rsidRDefault="00A14D8B" w:rsidP="00A14D8B">
      <w:r w:rsidRPr="00181EF3">
        <w:t xml:space="preserve">The age-standardised total-cancer mortality rates for </w:t>
      </w:r>
      <w:r w:rsidR="00EC03A3">
        <w:t>non</w:t>
      </w:r>
      <w:r w:rsidR="00EC03A3">
        <w:noBreakHyphen/>
        <w:t>M</w:t>
      </w:r>
      <w:r w:rsidRPr="00181EF3">
        <w:t>āori females in the same age group decreased by 25 percent over time, from 141.2 deaths per 100,000 in</w:t>
      </w:r>
      <w:r w:rsidRPr="00181EF3">
        <w:br/>
        <w:t>1996–98 to 105.3 deaths per 100,000 in 2012–14.</w:t>
      </w:r>
    </w:p>
    <w:p w14:paraId="5C64F285" w14:textId="77777777" w:rsidR="004F4663" w:rsidRPr="00181EF3" w:rsidRDefault="004F4663" w:rsidP="004F4663"/>
    <w:p w14:paraId="6E679218" w14:textId="170B58E7" w:rsidR="00DC0539" w:rsidRPr="00181EF3" w:rsidRDefault="00DC0539" w:rsidP="0000551D">
      <w:pPr>
        <w:pStyle w:val="Heading4"/>
      </w:pPr>
      <w:r w:rsidRPr="00181EF3">
        <w:t xml:space="preserve">The difference in total-cancer mortality rates between Māori and </w:t>
      </w:r>
      <w:r w:rsidR="00EC03A3">
        <w:t>non</w:t>
      </w:r>
      <w:r w:rsidR="00EC03A3">
        <w:noBreakHyphen/>
        <w:t>M</w:t>
      </w:r>
      <w:r w:rsidRPr="00181EF3">
        <w:t>āori females decreased over time</w:t>
      </w:r>
    </w:p>
    <w:p w14:paraId="165C9DAE" w14:textId="41E5D669" w:rsidR="00DC0539" w:rsidRPr="00181EF3" w:rsidRDefault="00DC0539" w:rsidP="00DC0539">
      <w:r w:rsidRPr="00181EF3">
        <w:t xml:space="preserve">The difference in age-standardised total-cancer mortality rates between Māori and </w:t>
      </w:r>
      <w:r w:rsidR="00EC03A3">
        <w:t>non</w:t>
      </w:r>
      <w:r w:rsidR="00EC03A3">
        <w:noBreakHyphen/>
        <w:t>M</w:t>
      </w:r>
      <w:r w:rsidRPr="00181EF3">
        <w:t xml:space="preserve">āori females aged 25 years and over decreased by 23 percent over time. Māori females aged 25 years and over had 127.6 more deaths per 100,000 than </w:t>
      </w:r>
      <w:r w:rsidR="00EC03A3">
        <w:t>non</w:t>
      </w:r>
      <w:r w:rsidR="00EC03A3">
        <w:noBreakHyphen/>
        <w:t>M</w:t>
      </w:r>
      <w:r w:rsidRPr="00181EF3">
        <w:t>āori</w:t>
      </w:r>
      <w:r w:rsidR="00BB6271">
        <w:t xml:space="preserve"> females</w:t>
      </w:r>
      <w:r w:rsidRPr="00181EF3">
        <w:t xml:space="preserve"> in 1996–98, and 98.6 more deaths per 100,000 in 2012–14.</w:t>
      </w:r>
    </w:p>
    <w:p w14:paraId="7A19D288" w14:textId="77777777" w:rsidR="00DC0539" w:rsidRPr="00181EF3" w:rsidRDefault="00DC0539" w:rsidP="00DC0539"/>
    <w:p w14:paraId="4BAE9FB2" w14:textId="2872D396" w:rsidR="00DC0539" w:rsidRPr="00181EF3" w:rsidRDefault="00DC0539" w:rsidP="00DC0539">
      <w:r w:rsidRPr="00181EF3">
        <w:t xml:space="preserve">Māori females aged 25 years and over had total-cancer mortality rate almost twice that of </w:t>
      </w:r>
      <w:r w:rsidR="00EC03A3">
        <w:t>non</w:t>
      </w:r>
      <w:r w:rsidR="00EC03A3">
        <w:noBreakHyphen/>
        <w:t>M</w:t>
      </w:r>
      <w:r w:rsidRPr="00181EF3">
        <w:t>āori females in the same age group in 2012–14. This has not changed much over time.</w:t>
      </w:r>
    </w:p>
    <w:p w14:paraId="053145E9" w14:textId="77777777" w:rsidR="00DC0539" w:rsidRPr="00181EF3" w:rsidRDefault="00DC0539" w:rsidP="00DC0539"/>
    <w:p w14:paraId="7BD6A567" w14:textId="77777777" w:rsidR="00DC0539" w:rsidRDefault="00DC0539" w:rsidP="004F4663">
      <w:pPr>
        <w:pStyle w:val="Heading3"/>
        <w:pageBreakBefore/>
        <w:spacing w:before="0"/>
      </w:pPr>
      <w:bookmarkStart w:id="146" w:name="_Toc19102341"/>
      <w:r w:rsidRPr="00181EF3">
        <w:lastRenderedPageBreak/>
        <w:t>Common cancer registration and mortality</w:t>
      </w:r>
      <w:r w:rsidR="0000551D">
        <w:t xml:space="preserve"> for Māori males and females</w:t>
      </w:r>
      <w:bookmarkEnd w:id="146"/>
    </w:p>
    <w:p w14:paraId="74946962" w14:textId="77777777" w:rsidR="00DC0539" w:rsidRPr="00181EF3" w:rsidRDefault="00DC0539" w:rsidP="00DC0539">
      <w:pPr>
        <w:pStyle w:val="Figure"/>
      </w:pPr>
      <w:bookmarkStart w:id="147" w:name="_Toc19101886"/>
      <w:r w:rsidRPr="00181EF3">
        <w:t xml:space="preserve">Figure </w:t>
      </w:r>
      <w:r w:rsidR="0000551D">
        <w:t>3</w:t>
      </w:r>
      <w:r w:rsidRPr="00181EF3">
        <w:t xml:space="preserve">5: Cancer registration rates, by site, </w:t>
      </w:r>
      <w:r w:rsidR="0000551D">
        <w:t xml:space="preserve">25+ years, </w:t>
      </w:r>
      <w:r w:rsidRPr="00181EF3">
        <w:t>Māori males</w:t>
      </w:r>
      <w:r w:rsidR="0000551D">
        <w:t>,</w:t>
      </w:r>
      <w:r w:rsidRPr="00181EF3">
        <w:t xml:space="preserve"> 1996–98 to 2013–15</w:t>
      </w:r>
      <w:bookmarkEnd w:id="147"/>
    </w:p>
    <w:p w14:paraId="7C9BD64D" w14:textId="77777777" w:rsidR="00DC0539" w:rsidRPr="00181EF3" w:rsidRDefault="00DC0539" w:rsidP="00DC0539">
      <w:r w:rsidRPr="00181EF3">
        <w:rPr>
          <w:noProof/>
          <w:lang w:eastAsia="en-NZ"/>
        </w:rPr>
        <w:drawing>
          <wp:inline distT="0" distB="0" distL="0" distR="0" wp14:anchorId="3291BE13" wp14:editId="246493F2">
            <wp:extent cx="5130165" cy="3223344"/>
            <wp:effectExtent l="0" t="0" r="0" b="0"/>
            <wp:docPr id="421" name="Picture 421" descr="Māori men are most likely to be diagnosed with lung and prostate cancer, but the rates for both have declined over time. Colorectal cancer is the next likeliest cancer, followed by stomach, testicular and liver cancers." title="Figure 35: Cancer registration rates, by site, Māori males aged 25 years and over, from 1996–98 to 20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130165" cy="3223344"/>
                    </a:xfrm>
                    <a:prstGeom prst="rect">
                      <a:avLst/>
                    </a:prstGeom>
                  </pic:spPr>
                </pic:pic>
              </a:graphicData>
            </a:graphic>
          </wp:inline>
        </w:drawing>
      </w:r>
    </w:p>
    <w:p w14:paraId="01793200" w14:textId="77777777" w:rsidR="00857DD9" w:rsidRDefault="00857DD9" w:rsidP="00857DD9">
      <w:pPr>
        <w:pStyle w:val="Note"/>
      </w:pPr>
      <w:r w:rsidRPr="00181EF3">
        <w:t>Note</w:t>
      </w:r>
      <w:r>
        <w:t>s</w:t>
      </w:r>
      <w:r w:rsidRPr="00181EF3">
        <w:t>:</w:t>
      </w:r>
    </w:p>
    <w:p w14:paraId="3DD92631" w14:textId="4430711D" w:rsidR="008A5642" w:rsidRDefault="00446D86" w:rsidP="00857DD9">
      <w:pPr>
        <w:pStyle w:val="Note"/>
      </w:pPr>
      <w:r>
        <w:t>Figures are age-standardised to the 2001 Census total Māori population</w:t>
      </w:r>
      <w:r w:rsidR="00857DD9" w:rsidRPr="00181EF3">
        <w:t>.</w:t>
      </w:r>
    </w:p>
    <w:p w14:paraId="4182E171" w14:textId="1EA86937" w:rsidR="00857DD9" w:rsidRPr="00181EF3" w:rsidRDefault="00857DD9" w:rsidP="00857DD9">
      <w:pPr>
        <w:pStyle w:val="Note"/>
      </w:pPr>
      <w:r>
        <w:t>Prioritised ethnicity has been used.</w:t>
      </w:r>
    </w:p>
    <w:p w14:paraId="550F85DA" w14:textId="77777777" w:rsidR="00857DD9" w:rsidRPr="00181EF3" w:rsidRDefault="00857DD9" w:rsidP="00857DD9">
      <w:pPr>
        <w:pStyle w:val="Source"/>
        <w:rPr>
          <w:rFonts w:eastAsia="Calibri"/>
        </w:rPr>
      </w:pPr>
      <w:r w:rsidRPr="00181EF3">
        <w:rPr>
          <w:rFonts w:eastAsia="Calibri"/>
        </w:rPr>
        <w:t>Source: New Zealand Cancer Registry (NZCR), Ministry of Health</w:t>
      </w:r>
      <w:r>
        <w:rPr>
          <w:rFonts w:eastAsia="Calibri"/>
        </w:rPr>
        <w:t xml:space="preserve">, </w:t>
      </w:r>
      <w:r w:rsidRPr="00181EF3">
        <w:t>1996–98 to 201</w:t>
      </w:r>
      <w:r>
        <w:t>3</w:t>
      </w:r>
      <w:r w:rsidRPr="00181EF3">
        <w:t>–1</w:t>
      </w:r>
      <w:r>
        <w:t>5</w:t>
      </w:r>
      <w:r w:rsidRPr="00181EF3">
        <w:rPr>
          <w:rFonts w:eastAsia="Calibri"/>
        </w:rPr>
        <w:t>.</w:t>
      </w:r>
    </w:p>
    <w:p w14:paraId="4F8EDD9A" w14:textId="77777777" w:rsidR="00DC0539" w:rsidRPr="00181EF3" w:rsidRDefault="00DC0539" w:rsidP="00DC0539"/>
    <w:p w14:paraId="36D83BE1" w14:textId="77777777" w:rsidR="00A14D8B" w:rsidRPr="00181EF3" w:rsidRDefault="00A14D8B" w:rsidP="00A14D8B">
      <w:r w:rsidRPr="00181EF3">
        <w:t xml:space="preserve">Figure </w:t>
      </w:r>
      <w:r>
        <w:t>3</w:t>
      </w:r>
      <w:r w:rsidRPr="00181EF3">
        <w:t>5 shows the common cancer sites registered by Māori males aged 25 years and over from 1996–98 to 2013–15. The most common cancer registered by Māori males aged 25 years and over in 2013–15 was prostate cancer, followed by lung cancer and colorectal cancer. The top three cancer sites remained the same over time.</w:t>
      </w:r>
    </w:p>
    <w:p w14:paraId="4723A350" w14:textId="77777777" w:rsidR="0000551D" w:rsidRDefault="0000551D" w:rsidP="00DC0539">
      <w:pPr>
        <w:rPr>
          <w:spacing w:val="-2"/>
        </w:rPr>
      </w:pPr>
    </w:p>
    <w:p w14:paraId="3D3D1CE3" w14:textId="25BFB713" w:rsidR="00DC0539" w:rsidRPr="00181EF3" w:rsidRDefault="00DC0539" w:rsidP="00DC0539">
      <w:pPr>
        <w:pStyle w:val="Figure"/>
      </w:pPr>
      <w:bookmarkStart w:id="148" w:name="_Toc19101887"/>
      <w:r w:rsidRPr="00181EF3">
        <w:lastRenderedPageBreak/>
        <w:t xml:space="preserve">Figure </w:t>
      </w:r>
      <w:r w:rsidR="0000551D">
        <w:t>3</w:t>
      </w:r>
      <w:r w:rsidRPr="00181EF3">
        <w:t xml:space="preserve">6: Cancer mortality rates, by site, </w:t>
      </w:r>
      <w:r w:rsidR="0000551D">
        <w:t xml:space="preserve">25+ years, </w:t>
      </w:r>
      <w:r w:rsidRPr="00181EF3">
        <w:t>Māori males</w:t>
      </w:r>
      <w:r w:rsidR="0000551D">
        <w:t>,</w:t>
      </w:r>
      <w:r w:rsidRPr="00181EF3">
        <w:t xml:space="preserve"> 1996–98 to</w:t>
      </w:r>
      <w:r w:rsidR="004F4663">
        <w:br/>
      </w:r>
      <w:r w:rsidRPr="00181EF3">
        <w:t>2012–14</w:t>
      </w:r>
      <w:bookmarkEnd w:id="148"/>
    </w:p>
    <w:p w14:paraId="6C8A0EB9" w14:textId="77777777" w:rsidR="00DC0539" w:rsidRPr="00181EF3" w:rsidRDefault="00DC0539" w:rsidP="004F4663">
      <w:pPr>
        <w:keepNext/>
      </w:pPr>
      <w:r w:rsidRPr="00181EF3">
        <w:rPr>
          <w:noProof/>
          <w:lang w:eastAsia="en-NZ"/>
        </w:rPr>
        <w:drawing>
          <wp:inline distT="0" distB="0" distL="0" distR="0" wp14:anchorId="539B6717" wp14:editId="7C93BD7E">
            <wp:extent cx="5130165" cy="3201420"/>
            <wp:effectExtent l="0" t="0" r="0" b="0"/>
            <wp:docPr id="422" name="Picture 422" descr="The deadliest cancer for Māori men is lung cancer. The death rate has declined over time. The graph shows that the death rates for prostate, stomach, colorectal and liver cancers are all comparable and have declined slighly over time." title="Figure 6: Cancer mortality rates, by site, Māori males aged 25 years and over, from 1996–98 to 20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130165" cy="3201420"/>
                    </a:xfrm>
                    <a:prstGeom prst="rect">
                      <a:avLst/>
                    </a:prstGeom>
                  </pic:spPr>
                </pic:pic>
              </a:graphicData>
            </a:graphic>
          </wp:inline>
        </w:drawing>
      </w:r>
    </w:p>
    <w:p w14:paraId="0763BC62" w14:textId="77777777" w:rsidR="00857DD9" w:rsidRDefault="00857DD9" w:rsidP="00857DD9">
      <w:pPr>
        <w:pStyle w:val="Note"/>
      </w:pPr>
      <w:r w:rsidRPr="00181EF3">
        <w:t>Note</w:t>
      </w:r>
      <w:r>
        <w:t>s</w:t>
      </w:r>
      <w:r w:rsidRPr="00181EF3">
        <w:t>:</w:t>
      </w:r>
    </w:p>
    <w:p w14:paraId="2AE96CC7" w14:textId="1A86D430" w:rsidR="008A5642" w:rsidRDefault="00446D86" w:rsidP="00857DD9">
      <w:pPr>
        <w:pStyle w:val="Note"/>
      </w:pPr>
      <w:r>
        <w:t>Figures are age-standardised to the 2001 Census total Māori population</w:t>
      </w:r>
      <w:r w:rsidR="00857DD9" w:rsidRPr="00181EF3">
        <w:t>.</w:t>
      </w:r>
    </w:p>
    <w:p w14:paraId="35CFBAF5" w14:textId="4E9AFD04" w:rsidR="00857DD9" w:rsidRPr="00181EF3" w:rsidRDefault="00857DD9" w:rsidP="00857DD9">
      <w:pPr>
        <w:pStyle w:val="Note"/>
      </w:pPr>
      <w:r>
        <w:t>Prioritised ethnicity has been used.</w:t>
      </w:r>
    </w:p>
    <w:p w14:paraId="7D442709" w14:textId="77777777" w:rsidR="00857DD9" w:rsidRPr="00181EF3" w:rsidRDefault="00857DD9" w:rsidP="00857DD9">
      <w:pPr>
        <w:pStyle w:val="Source"/>
        <w:rPr>
          <w:rFonts w:eastAsia="Calibri"/>
        </w:rPr>
      </w:pPr>
      <w:r w:rsidRPr="00181EF3">
        <w:rPr>
          <w:rFonts w:eastAsia="Calibri"/>
        </w:rPr>
        <w:t>Source: Mortality Collection Data Set (MORT), Ministry of Health</w:t>
      </w:r>
      <w:r>
        <w:rPr>
          <w:rFonts w:eastAsia="Calibri"/>
        </w:rPr>
        <w:t xml:space="preserve">, </w:t>
      </w:r>
      <w:r w:rsidRPr="00181EF3">
        <w:t>1996–98 to 2012–14</w:t>
      </w:r>
      <w:r w:rsidRPr="00181EF3">
        <w:rPr>
          <w:rFonts w:eastAsia="Calibri"/>
        </w:rPr>
        <w:t>.</w:t>
      </w:r>
    </w:p>
    <w:p w14:paraId="3A9A82E6" w14:textId="77777777" w:rsidR="00DC0539" w:rsidRPr="00181EF3" w:rsidRDefault="00DC0539" w:rsidP="00DC0539"/>
    <w:p w14:paraId="549C8A7E" w14:textId="77777777" w:rsidR="00A14D8B" w:rsidRDefault="00A14D8B" w:rsidP="0000551D">
      <w:pPr>
        <w:rPr>
          <w:spacing w:val="-2"/>
        </w:rPr>
      </w:pPr>
      <w:r w:rsidRPr="00181EF3">
        <w:rPr>
          <w:spacing w:val="-2"/>
        </w:rPr>
        <w:t xml:space="preserve">Figure </w:t>
      </w:r>
      <w:r>
        <w:rPr>
          <w:spacing w:val="-2"/>
        </w:rPr>
        <w:t>3</w:t>
      </w:r>
      <w:r w:rsidRPr="00181EF3">
        <w:rPr>
          <w:spacing w:val="-2"/>
        </w:rPr>
        <w:t>6 shows the leading causes of cancer death for Māori males aged 25 years and over from 1996–98 to 2012–14. The leading cause of cancer death for Māori males aged 25 years and over in 1996–98 was lung cancer and this has not changed over time.</w:t>
      </w:r>
    </w:p>
    <w:p w14:paraId="1479F4EB" w14:textId="77777777" w:rsidR="0000551D" w:rsidRPr="00181EF3" w:rsidRDefault="0000551D" w:rsidP="0000551D"/>
    <w:p w14:paraId="42CE1A24" w14:textId="77777777" w:rsidR="00DC0539" w:rsidRPr="00181EF3" w:rsidRDefault="00DC0539" w:rsidP="00DC0539">
      <w:pPr>
        <w:pStyle w:val="Figure"/>
      </w:pPr>
      <w:bookmarkStart w:id="149" w:name="_Toc19101888"/>
      <w:r w:rsidRPr="00181EF3">
        <w:lastRenderedPageBreak/>
        <w:t xml:space="preserve">Figure </w:t>
      </w:r>
      <w:r w:rsidR="0000551D">
        <w:t>3</w:t>
      </w:r>
      <w:r w:rsidRPr="00181EF3">
        <w:t xml:space="preserve">7: Cancer registration rates, by site, </w:t>
      </w:r>
      <w:r w:rsidR="0000551D">
        <w:t xml:space="preserve">25+ years, </w:t>
      </w:r>
      <w:r w:rsidRPr="00181EF3">
        <w:t>Māori females</w:t>
      </w:r>
      <w:r w:rsidR="0000551D">
        <w:t>,</w:t>
      </w:r>
      <w:r w:rsidRPr="00181EF3">
        <w:t xml:space="preserve"> 1996–98 to 2013–15</w:t>
      </w:r>
      <w:bookmarkEnd w:id="149"/>
    </w:p>
    <w:p w14:paraId="77CDA6B9" w14:textId="77777777" w:rsidR="00DC0539" w:rsidRPr="00181EF3" w:rsidRDefault="00DC0539" w:rsidP="004F4663">
      <w:pPr>
        <w:keepNext/>
      </w:pPr>
      <w:r w:rsidRPr="00181EF3">
        <w:rPr>
          <w:noProof/>
          <w:lang w:eastAsia="en-NZ"/>
        </w:rPr>
        <w:drawing>
          <wp:inline distT="0" distB="0" distL="0" distR="0" wp14:anchorId="1805A06B" wp14:editId="6CEA5D86">
            <wp:extent cx="5130165" cy="2853928"/>
            <wp:effectExtent l="0" t="0" r="0" b="3810"/>
            <wp:docPr id="423" name="Picture 423" descr="Māori women with cancer are most likely to be diagnosed with breast cancer. The second most likely cancer is lung cancer. Colorectal, uterine, cervical, stomach and thyroid cancers are the least likely. The rates for all have remained steady over time, but lung cancer has increased." title="Figure 37: Cancer registration rates, by site, Māori females aged 25 years and over, from 1996–98 to 20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130165" cy="2853928"/>
                    </a:xfrm>
                    <a:prstGeom prst="rect">
                      <a:avLst/>
                    </a:prstGeom>
                  </pic:spPr>
                </pic:pic>
              </a:graphicData>
            </a:graphic>
          </wp:inline>
        </w:drawing>
      </w:r>
    </w:p>
    <w:p w14:paraId="27820AA2" w14:textId="77777777" w:rsidR="00857DD9" w:rsidRDefault="00857DD9" w:rsidP="004F4663">
      <w:pPr>
        <w:pStyle w:val="Note"/>
        <w:keepNext/>
      </w:pPr>
      <w:r w:rsidRPr="00181EF3">
        <w:t>Note</w:t>
      </w:r>
      <w:r>
        <w:t>s</w:t>
      </w:r>
      <w:r w:rsidRPr="00181EF3">
        <w:t>:</w:t>
      </w:r>
    </w:p>
    <w:p w14:paraId="67A962B4" w14:textId="70C19DBF" w:rsidR="008A5642" w:rsidRDefault="00446D86" w:rsidP="004F4663">
      <w:pPr>
        <w:pStyle w:val="Note"/>
        <w:keepNext/>
      </w:pPr>
      <w:r>
        <w:t>Figures are age-standardised to the 2001 Census total Māori population</w:t>
      </w:r>
      <w:r w:rsidR="00857DD9" w:rsidRPr="00181EF3">
        <w:t>.</w:t>
      </w:r>
    </w:p>
    <w:p w14:paraId="74956C5A" w14:textId="57FEDE77" w:rsidR="00857DD9" w:rsidRPr="00181EF3" w:rsidRDefault="00857DD9" w:rsidP="004F4663">
      <w:pPr>
        <w:pStyle w:val="Note"/>
        <w:keepNext/>
      </w:pPr>
      <w:r>
        <w:t>Prioritised ethnicity has been used.</w:t>
      </w:r>
    </w:p>
    <w:p w14:paraId="236AB527" w14:textId="77777777" w:rsidR="00857DD9" w:rsidRDefault="00857DD9" w:rsidP="00857DD9">
      <w:pPr>
        <w:pStyle w:val="Source"/>
        <w:rPr>
          <w:rFonts w:eastAsia="Calibri"/>
        </w:rPr>
      </w:pPr>
      <w:r w:rsidRPr="00181EF3">
        <w:rPr>
          <w:rFonts w:eastAsia="Calibri"/>
        </w:rPr>
        <w:t>Source: New Zealand Cancer Registry (NZCR), Ministry of Health</w:t>
      </w:r>
      <w:r>
        <w:rPr>
          <w:rFonts w:eastAsia="Calibri"/>
        </w:rPr>
        <w:t xml:space="preserve">, </w:t>
      </w:r>
      <w:r w:rsidRPr="00181EF3">
        <w:t>1996–98 to 201</w:t>
      </w:r>
      <w:r>
        <w:t>3</w:t>
      </w:r>
      <w:r w:rsidRPr="00181EF3">
        <w:t>–1</w:t>
      </w:r>
      <w:r>
        <w:t>5</w:t>
      </w:r>
      <w:r w:rsidRPr="00181EF3">
        <w:rPr>
          <w:rFonts w:eastAsia="Calibri"/>
        </w:rPr>
        <w:t>.</w:t>
      </w:r>
    </w:p>
    <w:p w14:paraId="4FB467C4" w14:textId="77777777" w:rsidR="0000551D" w:rsidRDefault="0000551D" w:rsidP="0000551D">
      <w:pPr>
        <w:rPr>
          <w:rFonts w:eastAsia="Calibri"/>
        </w:rPr>
      </w:pPr>
    </w:p>
    <w:p w14:paraId="56FDB8CC" w14:textId="77777777" w:rsidR="00A14D8B" w:rsidRDefault="00A14D8B" w:rsidP="0000551D">
      <w:pPr>
        <w:rPr>
          <w:rFonts w:eastAsia="Calibri"/>
        </w:rPr>
      </w:pPr>
      <w:r w:rsidRPr="00181EF3">
        <w:t xml:space="preserve">Figure </w:t>
      </w:r>
      <w:r>
        <w:t>3</w:t>
      </w:r>
      <w:r w:rsidRPr="00181EF3">
        <w:t>7 shows the common cancer sites registered by Māori females aged 25 years and over from 1996–98 to 2013–15. The most common cancers registered by Māori females aged 25 years and over in 2013–15 were breast cancer and lung cancer, and this has not changed over time.</w:t>
      </w:r>
    </w:p>
    <w:p w14:paraId="7BEDCFFA" w14:textId="77777777" w:rsidR="00DC0539" w:rsidRPr="00181EF3" w:rsidRDefault="00DC0539" w:rsidP="00DC0539"/>
    <w:p w14:paraId="6D50B1E3" w14:textId="33515051" w:rsidR="00DC0539" w:rsidRPr="00181EF3" w:rsidRDefault="00DC0539" w:rsidP="00DC0539">
      <w:pPr>
        <w:pStyle w:val="Figure"/>
      </w:pPr>
      <w:bookmarkStart w:id="150" w:name="_Toc19101889"/>
      <w:r w:rsidRPr="00181EF3">
        <w:lastRenderedPageBreak/>
        <w:t xml:space="preserve">Figure </w:t>
      </w:r>
      <w:r w:rsidR="0000551D">
        <w:t>3</w:t>
      </w:r>
      <w:r w:rsidRPr="00181EF3">
        <w:t xml:space="preserve">8: Cancer mortality rates, by site, </w:t>
      </w:r>
      <w:r w:rsidR="0000551D">
        <w:t>25+ year</w:t>
      </w:r>
      <w:r w:rsidR="004F4663">
        <w:t>s</w:t>
      </w:r>
      <w:r w:rsidR="0000551D">
        <w:t xml:space="preserve">, </w:t>
      </w:r>
      <w:r w:rsidRPr="00181EF3">
        <w:t>Māori females</w:t>
      </w:r>
      <w:r w:rsidR="0000551D">
        <w:t>, 1</w:t>
      </w:r>
      <w:r w:rsidRPr="00181EF3">
        <w:t>996–98 to</w:t>
      </w:r>
      <w:r w:rsidR="004F4663">
        <w:br/>
      </w:r>
      <w:r w:rsidRPr="00181EF3">
        <w:t>2012–14</w:t>
      </w:r>
      <w:bookmarkEnd w:id="150"/>
    </w:p>
    <w:p w14:paraId="4BC54C46" w14:textId="77777777" w:rsidR="00DC0539" w:rsidRPr="004F4663" w:rsidRDefault="00DC0539" w:rsidP="004F4663">
      <w:pPr>
        <w:keepNext/>
      </w:pPr>
      <w:r w:rsidRPr="00181EF3">
        <w:rPr>
          <w:noProof/>
          <w:lang w:eastAsia="en-NZ"/>
        </w:rPr>
        <w:drawing>
          <wp:inline distT="0" distB="0" distL="0" distR="0" wp14:anchorId="2052A216" wp14:editId="0CEA6FDD">
            <wp:extent cx="5130165" cy="3204709"/>
            <wp:effectExtent l="0" t="0" r="0" b="0"/>
            <wp:docPr id="424" name="Picture 424" descr="Māori women who die of cancer are most likely to die of lung cancer, followed by breast cancer. Death rates for both have declined over time. Death rates for colorectal and stomach cancers are the next highest, stable over time, followed by cervical cancer, which has declined to comparable rates with uterine cancer deaths." title="Figure 38: Cancer mortality rates, by site, Māori females aged 25 years and over, from 1996–98 to 20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130165" cy="3204709"/>
                    </a:xfrm>
                    <a:prstGeom prst="rect">
                      <a:avLst/>
                    </a:prstGeom>
                  </pic:spPr>
                </pic:pic>
              </a:graphicData>
            </a:graphic>
          </wp:inline>
        </w:drawing>
      </w:r>
    </w:p>
    <w:p w14:paraId="6B0BE82D" w14:textId="77777777" w:rsidR="00857DD9" w:rsidRDefault="00857DD9" w:rsidP="004F4663">
      <w:pPr>
        <w:pStyle w:val="Note"/>
        <w:keepNext/>
      </w:pPr>
      <w:r w:rsidRPr="00181EF3">
        <w:t>Note</w:t>
      </w:r>
      <w:r>
        <w:t>s</w:t>
      </w:r>
      <w:r w:rsidRPr="00181EF3">
        <w:t>:</w:t>
      </w:r>
    </w:p>
    <w:p w14:paraId="7613EA1B" w14:textId="3E73EC86" w:rsidR="008A5642" w:rsidRDefault="00446D86" w:rsidP="004F4663">
      <w:pPr>
        <w:pStyle w:val="Note"/>
        <w:keepNext/>
      </w:pPr>
      <w:r>
        <w:t>Figures are age-standardised to the 2001 Census total Māori population</w:t>
      </w:r>
      <w:r w:rsidR="00857DD9" w:rsidRPr="00181EF3">
        <w:t>.</w:t>
      </w:r>
    </w:p>
    <w:p w14:paraId="4D964761" w14:textId="683C8DAC" w:rsidR="00857DD9" w:rsidRPr="00181EF3" w:rsidRDefault="00857DD9" w:rsidP="00857DD9">
      <w:pPr>
        <w:pStyle w:val="Note"/>
      </w:pPr>
      <w:r>
        <w:t>Prioritised ethnicity has been used.</w:t>
      </w:r>
    </w:p>
    <w:p w14:paraId="193D45AF" w14:textId="77777777" w:rsidR="00857DD9" w:rsidRDefault="00857DD9" w:rsidP="00857DD9">
      <w:pPr>
        <w:pStyle w:val="Source"/>
        <w:rPr>
          <w:rFonts w:eastAsia="Calibri"/>
        </w:rPr>
      </w:pPr>
      <w:r w:rsidRPr="00181EF3">
        <w:rPr>
          <w:rFonts w:eastAsia="Calibri"/>
        </w:rPr>
        <w:t>Source: Mortality Collection Data Set (MORT), Ministry of Health</w:t>
      </w:r>
      <w:r>
        <w:rPr>
          <w:rFonts w:eastAsia="Calibri"/>
        </w:rPr>
        <w:t xml:space="preserve">, </w:t>
      </w:r>
      <w:r w:rsidRPr="00181EF3">
        <w:t>1996–98 to 2012–14</w:t>
      </w:r>
      <w:r w:rsidRPr="00181EF3">
        <w:rPr>
          <w:rFonts w:eastAsia="Calibri"/>
        </w:rPr>
        <w:t>.</w:t>
      </w:r>
    </w:p>
    <w:p w14:paraId="5EA6FE33" w14:textId="77777777" w:rsidR="0000551D" w:rsidRDefault="0000551D" w:rsidP="0000551D"/>
    <w:p w14:paraId="4772CA23" w14:textId="77777777" w:rsidR="0000551D" w:rsidRPr="0000551D" w:rsidRDefault="00A14D8B" w:rsidP="0000551D">
      <w:pPr>
        <w:rPr>
          <w:rFonts w:eastAsia="Calibri"/>
        </w:rPr>
      </w:pPr>
      <w:r w:rsidRPr="00181EF3">
        <w:t xml:space="preserve">Figure </w:t>
      </w:r>
      <w:r>
        <w:t>3</w:t>
      </w:r>
      <w:r w:rsidRPr="00181EF3">
        <w:t>8 shows the leading causes of cancer death for Māori females aged 25 years and over from 1996–98 to 2012–14. The top two leading causes of cancer death for Māori females aged 25 years and over in 2012–14 were lung cancer and breast cancer, and this has not changed over time.</w:t>
      </w:r>
    </w:p>
    <w:p w14:paraId="19C171DD" w14:textId="77777777" w:rsidR="00DC0539" w:rsidRPr="00181EF3" w:rsidRDefault="00DC0539" w:rsidP="00DC0539"/>
    <w:p w14:paraId="2442A10D" w14:textId="77777777" w:rsidR="00DC0539" w:rsidRDefault="00DC0539" w:rsidP="004F4663">
      <w:pPr>
        <w:pStyle w:val="Heading3"/>
        <w:pageBreakBefore/>
        <w:spacing w:before="0"/>
      </w:pPr>
      <w:bookmarkStart w:id="151" w:name="_Toc19102342"/>
      <w:r w:rsidRPr="00181EF3">
        <w:lastRenderedPageBreak/>
        <w:t xml:space="preserve">Lung </w:t>
      </w:r>
      <w:r w:rsidR="0000551D">
        <w:t>cancer</w:t>
      </w:r>
      <w:bookmarkEnd w:id="151"/>
    </w:p>
    <w:p w14:paraId="2B2938DB" w14:textId="2667AAD1" w:rsidR="006A632C" w:rsidRPr="00181EF3" w:rsidRDefault="006A632C" w:rsidP="006A632C">
      <w:pPr>
        <w:pStyle w:val="Figure"/>
      </w:pPr>
      <w:bookmarkStart w:id="152" w:name="_Toc19101890"/>
      <w:r w:rsidRPr="00181EF3">
        <w:t xml:space="preserve">Figure </w:t>
      </w:r>
      <w:r>
        <w:t>3</w:t>
      </w:r>
      <w:r w:rsidRPr="00181EF3">
        <w:t>9: Lung cancer registration rate</w:t>
      </w:r>
      <w:r>
        <w:t>s</w:t>
      </w:r>
      <w:r w:rsidRPr="00181EF3">
        <w:t xml:space="preserve">, </w:t>
      </w:r>
      <w:r>
        <w:t xml:space="preserve">25+ years, </w:t>
      </w:r>
      <w:r w:rsidRPr="00181EF3">
        <w:t xml:space="preserve">Māori and </w:t>
      </w:r>
      <w:r w:rsidR="00EC03A3">
        <w:t>non</w:t>
      </w:r>
      <w:r w:rsidR="00EC03A3">
        <w:noBreakHyphen/>
        <w:t>M</w:t>
      </w:r>
      <w:r w:rsidRPr="00181EF3">
        <w:t>āori males</w:t>
      </w:r>
      <w:r>
        <w:t xml:space="preserve">, </w:t>
      </w:r>
      <w:r w:rsidRPr="00181EF3">
        <w:t>1996–98 to 2013–15</w:t>
      </w:r>
      <w:bookmarkEnd w:id="152"/>
    </w:p>
    <w:p w14:paraId="6776E7D2" w14:textId="77777777" w:rsidR="006A632C" w:rsidRPr="00181EF3" w:rsidRDefault="006A632C" w:rsidP="006A632C">
      <w:r w:rsidRPr="00181EF3">
        <w:rPr>
          <w:noProof/>
          <w:lang w:eastAsia="en-NZ"/>
        </w:rPr>
        <w:drawing>
          <wp:inline distT="0" distB="0" distL="0" distR="0" wp14:anchorId="1345FF9C" wp14:editId="2C230155">
            <wp:extent cx="5128952" cy="3000004"/>
            <wp:effectExtent l="0" t="0" r="0" b="0"/>
            <wp:docPr id="425" name="Picture 425" descr="Māori men are more likely to be diagnosed with lung cancer than non-Māori men. The rates for both have declined over time, more dramatically for Māori than non-Māori." title="Figure 39: Lung cancer registration rate, Māori and non-Māori males aged 25 years and over, from 1996–98 to 20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t="1903"/>
                    <a:stretch/>
                  </pic:blipFill>
                  <pic:spPr bwMode="auto">
                    <a:xfrm>
                      <a:off x="0" y="0"/>
                      <a:ext cx="5130165" cy="3000714"/>
                    </a:xfrm>
                    <a:prstGeom prst="rect">
                      <a:avLst/>
                    </a:prstGeom>
                    <a:ln>
                      <a:noFill/>
                    </a:ln>
                    <a:extLst>
                      <a:ext uri="{53640926-AAD7-44D8-BBD7-CCE9431645EC}">
                        <a14:shadowObscured xmlns:a14="http://schemas.microsoft.com/office/drawing/2010/main"/>
                      </a:ext>
                    </a:extLst>
                  </pic:spPr>
                </pic:pic>
              </a:graphicData>
            </a:graphic>
          </wp:inline>
        </w:drawing>
      </w:r>
    </w:p>
    <w:p w14:paraId="57A86151" w14:textId="77777777" w:rsidR="006A632C" w:rsidRDefault="006A632C" w:rsidP="006A632C">
      <w:pPr>
        <w:pStyle w:val="Note"/>
      </w:pPr>
      <w:r w:rsidRPr="00181EF3">
        <w:t>Note</w:t>
      </w:r>
      <w:r>
        <w:t>s</w:t>
      </w:r>
      <w:r w:rsidRPr="00181EF3">
        <w:t>:</w:t>
      </w:r>
    </w:p>
    <w:p w14:paraId="74661D8C" w14:textId="0991FA2D" w:rsidR="008A5642" w:rsidRDefault="00446D86" w:rsidP="006A632C">
      <w:pPr>
        <w:pStyle w:val="Note"/>
      </w:pPr>
      <w:r>
        <w:t>Figures are age-standardised to the 2001 Census total Māori population</w:t>
      </w:r>
      <w:r w:rsidR="006A632C" w:rsidRPr="00181EF3">
        <w:t>.</w:t>
      </w:r>
    </w:p>
    <w:p w14:paraId="2D86B1FA" w14:textId="7508F9DA" w:rsidR="006A632C" w:rsidRPr="00181EF3" w:rsidRDefault="006A632C" w:rsidP="006A632C">
      <w:pPr>
        <w:pStyle w:val="Note"/>
      </w:pPr>
      <w:r>
        <w:t>Prioritised ethnicity has been used.</w:t>
      </w:r>
    </w:p>
    <w:p w14:paraId="6B98730F" w14:textId="77777777" w:rsidR="008A5642" w:rsidRDefault="006A632C" w:rsidP="00886EED">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2F5CD4DE" w14:textId="0C887FB8" w:rsidR="006A632C" w:rsidRPr="00181EF3" w:rsidRDefault="006A632C" w:rsidP="006A632C">
      <w:pPr>
        <w:pStyle w:val="Source"/>
        <w:rPr>
          <w:rFonts w:eastAsia="Calibri"/>
        </w:rPr>
      </w:pPr>
      <w:r w:rsidRPr="00181EF3">
        <w:rPr>
          <w:rFonts w:eastAsia="Calibri"/>
        </w:rPr>
        <w:t>Source: New Zealand Cancer Registry (NZCR), Ministry of Health</w:t>
      </w:r>
      <w:r>
        <w:rPr>
          <w:rFonts w:eastAsia="Calibri"/>
        </w:rPr>
        <w:t xml:space="preserve">, </w:t>
      </w:r>
      <w:r w:rsidRPr="00181EF3">
        <w:t>1996–98 to 201</w:t>
      </w:r>
      <w:r>
        <w:t>3</w:t>
      </w:r>
      <w:r w:rsidRPr="00181EF3">
        <w:t>–1</w:t>
      </w:r>
      <w:r>
        <w:t>5</w:t>
      </w:r>
      <w:r w:rsidRPr="00181EF3">
        <w:rPr>
          <w:rFonts w:eastAsia="Calibri"/>
        </w:rPr>
        <w:t>.</w:t>
      </w:r>
    </w:p>
    <w:p w14:paraId="175F045E" w14:textId="77777777" w:rsidR="006A632C" w:rsidRPr="006A632C" w:rsidRDefault="006A632C" w:rsidP="006A632C"/>
    <w:p w14:paraId="33375B12" w14:textId="0C1CE54C" w:rsidR="006A632C" w:rsidRDefault="006A632C" w:rsidP="006A632C">
      <w:r w:rsidRPr="00181EF3">
        <w:t xml:space="preserve">Figure </w:t>
      </w:r>
      <w:r>
        <w:t>3</w:t>
      </w:r>
      <w:r w:rsidRPr="00181EF3">
        <w:t xml:space="preserve">9 shows that, after adjusting for age, Māori males aged 25 years and over have higher lung cancer registration rates than </w:t>
      </w:r>
      <w:r w:rsidR="00EC03A3">
        <w:t>non</w:t>
      </w:r>
      <w:r w:rsidR="00EC03A3">
        <w:noBreakHyphen/>
        <w:t>M</w:t>
      </w:r>
      <w:r w:rsidRPr="00181EF3">
        <w:t>āori males in the same age group over time.</w:t>
      </w:r>
    </w:p>
    <w:p w14:paraId="27430F0A" w14:textId="77777777" w:rsidR="004F4663" w:rsidRDefault="004F4663" w:rsidP="006A632C"/>
    <w:p w14:paraId="6DADA1F8" w14:textId="77777777" w:rsidR="007A1A39" w:rsidRDefault="007A1A39" w:rsidP="007A1A39">
      <w:pPr>
        <w:pStyle w:val="Heading4"/>
      </w:pPr>
      <w:r w:rsidRPr="00181EF3">
        <w:t>Lung cancer registration rate decreased over time for Māori males</w:t>
      </w:r>
    </w:p>
    <w:p w14:paraId="392B9E88" w14:textId="379C9571" w:rsidR="006A632C" w:rsidRDefault="006A632C" w:rsidP="006A632C">
      <w:r w:rsidRPr="00181EF3">
        <w:t xml:space="preserve">After adjusting for age, lung cancer registration rates decreased over time for both Māori and </w:t>
      </w:r>
      <w:r w:rsidR="00EC03A3">
        <w:t>non</w:t>
      </w:r>
      <w:r w:rsidR="00EC03A3">
        <w:noBreakHyphen/>
        <w:t>M</w:t>
      </w:r>
      <w:r w:rsidRPr="00181EF3">
        <w:t>āori males aged 25 years and over.</w:t>
      </w:r>
    </w:p>
    <w:p w14:paraId="596D8F90" w14:textId="77777777" w:rsidR="006A632C" w:rsidRPr="006A632C" w:rsidRDefault="006A632C" w:rsidP="006A632C"/>
    <w:p w14:paraId="5B295E14" w14:textId="77777777" w:rsidR="00DC0539" w:rsidRPr="00181EF3" w:rsidRDefault="00DC0539" w:rsidP="00DC0539">
      <w:r w:rsidRPr="00181EF3">
        <w:t>The age-standardised lung cancer registration rates for Māori males aged 25 years and over decreased by 24 percent, from 112.8 registrations per 100,000 in 1996–98 to 85.5 registrations per 100,000 in 2013–15.</w:t>
      </w:r>
    </w:p>
    <w:p w14:paraId="5D0B0C24" w14:textId="77777777" w:rsidR="00DC0539" w:rsidRPr="00181EF3" w:rsidRDefault="00DC0539" w:rsidP="00DC0539"/>
    <w:p w14:paraId="0BDDA9FB" w14:textId="502C9B4B" w:rsidR="00DC0539" w:rsidRPr="00181EF3" w:rsidRDefault="00DC0539" w:rsidP="00DC0539">
      <w:r w:rsidRPr="00181EF3">
        <w:t xml:space="preserve">The age-standardised lung cancer registration rates for </w:t>
      </w:r>
      <w:r w:rsidR="00EC03A3">
        <w:t>non</w:t>
      </w:r>
      <w:r w:rsidR="00EC03A3">
        <w:noBreakHyphen/>
        <w:t>M</w:t>
      </w:r>
      <w:r w:rsidRPr="00181EF3">
        <w:t>āori males in the same age group decreased by 32 percent over time, from 41.0 registrations per 100,000 in 1996–98 to 27.8 registrations per 100,000 in 2013–15.</w:t>
      </w:r>
    </w:p>
    <w:p w14:paraId="51CEC10C" w14:textId="77777777" w:rsidR="00DC0539" w:rsidRPr="00181EF3" w:rsidRDefault="00DC0539" w:rsidP="00DC0539"/>
    <w:p w14:paraId="03D0D26A" w14:textId="0BB7F6CA" w:rsidR="00DC0539" w:rsidRPr="00181EF3" w:rsidRDefault="00DC0539" w:rsidP="006A632C">
      <w:pPr>
        <w:pStyle w:val="Heading4"/>
      </w:pPr>
      <w:r w:rsidRPr="00181EF3">
        <w:lastRenderedPageBreak/>
        <w:t xml:space="preserve">The difference in lung cancer registration rates between Māori and </w:t>
      </w:r>
      <w:r w:rsidR="00EC03A3">
        <w:t>non</w:t>
      </w:r>
      <w:r w:rsidR="00EC03A3">
        <w:noBreakHyphen/>
        <w:t>M</w:t>
      </w:r>
      <w:r w:rsidRPr="00181EF3">
        <w:t>āori males decreased over time</w:t>
      </w:r>
    </w:p>
    <w:p w14:paraId="7D24D2F1" w14:textId="08580DE8" w:rsidR="00DC0539" w:rsidRPr="00181EF3" w:rsidRDefault="00DC0539" w:rsidP="00B14564">
      <w:pPr>
        <w:keepNext/>
        <w:keepLines/>
      </w:pPr>
      <w:r w:rsidRPr="00181EF3">
        <w:t xml:space="preserve">The difference in age-standardised lung cancer registration rates between Māori and </w:t>
      </w:r>
      <w:r w:rsidR="00EC03A3">
        <w:t>non</w:t>
      </w:r>
      <w:r w:rsidR="00EC03A3">
        <w:noBreakHyphen/>
        <w:t>M</w:t>
      </w:r>
      <w:r w:rsidRPr="00181EF3">
        <w:t xml:space="preserve">āori males aged 25 years and over decreased by 20 percent over time. Māori males aged 25 years and over had 71.8 more registrations per 100,000 than </w:t>
      </w:r>
      <w:r w:rsidR="00EC03A3">
        <w:t>non</w:t>
      </w:r>
      <w:r w:rsidR="00EC03A3">
        <w:noBreakHyphen/>
        <w:t>M</w:t>
      </w:r>
      <w:r w:rsidRPr="00181EF3">
        <w:t xml:space="preserve">āori </w:t>
      </w:r>
      <w:r w:rsidR="00BB6271">
        <w:t xml:space="preserve">males </w:t>
      </w:r>
      <w:r w:rsidRPr="00181EF3">
        <w:t>in 1996–98, and 57.7 more registrations per 100,000 in 2013–15.</w:t>
      </w:r>
    </w:p>
    <w:p w14:paraId="08BD6EBA" w14:textId="77777777" w:rsidR="006A632C" w:rsidRDefault="006A632C" w:rsidP="00DC0539"/>
    <w:p w14:paraId="664D7CC1" w14:textId="4D9B3FD3" w:rsidR="00DC0539" w:rsidRDefault="00DC0539" w:rsidP="00DC0539">
      <w:r w:rsidRPr="00181EF3">
        <w:t xml:space="preserve">Māori males aged 25 years and over had a lung cancer registration rate three times that of </w:t>
      </w:r>
      <w:r w:rsidR="00EC03A3">
        <w:t>non</w:t>
      </w:r>
      <w:r w:rsidR="00EC03A3">
        <w:noBreakHyphen/>
        <w:t>M</w:t>
      </w:r>
      <w:r w:rsidRPr="00181EF3">
        <w:t>āori males in the same age group in 2013–15. The age-standardised rate ratio increased from 2.75 in 1996–98 to 3.08 in 2013–15.</w:t>
      </w:r>
    </w:p>
    <w:p w14:paraId="2AC6E269" w14:textId="3B8BEA08" w:rsidR="00B14564" w:rsidRPr="00181EF3" w:rsidRDefault="00B14564" w:rsidP="00DC0539"/>
    <w:p w14:paraId="45B7F83E" w14:textId="209E8C89" w:rsidR="006A632C" w:rsidRPr="00181EF3" w:rsidRDefault="006A632C" w:rsidP="006A632C">
      <w:pPr>
        <w:pStyle w:val="Figure"/>
      </w:pPr>
      <w:bookmarkStart w:id="153" w:name="_Toc19101891"/>
      <w:r w:rsidRPr="00181EF3">
        <w:t xml:space="preserve">Figure </w:t>
      </w:r>
      <w:r>
        <w:t>4</w:t>
      </w:r>
      <w:r w:rsidRPr="00181EF3">
        <w:t>0: Lung cancer registration rate</w:t>
      </w:r>
      <w:r>
        <w:t>s</w:t>
      </w:r>
      <w:r w:rsidRPr="00181EF3">
        <w:t xml:space="preserve">, </w:t>
      </w:r>
      <w:r>
        <w:t xml:space="preserve">25+ years, </w:t>
      </w:r>
      <w:r w:rsidRPr="00181EF3">
        <w:t xml:space="preserve">Māori and </w:t>
      </w:r>
      <w:r w:rsidR="00EC03A3">
        <w:t>non</w:t>
      </w:r>
      <w:r w:rsidR="00EC03A3">
        <w:noBreakHyphen/>
        <w:t>M</w:t>
      </w:r>
      <w:r w:rsidRPr="00181EF3">
        <w:t>āori females</w:t>
      </w:r>
      <w:r>
        <w:t>,</w:t>
      </w:r>
      <w:r w:rsidRPr="00181EF3">
        <w:t xml:space="preserve"> 1996–98 to 2013–15</w:t>
      </w:r>
      <w:bookmarkEnd w:id="153"/>
    </w:p>
    <w:p w14:paraId="3DBB2D3A" w14:textId="77777777" w:rsidR="006A632C" w:rsidRPr="00181EF3" w:rsidRDefault="006A632C" w:rsidP="006A632C">
      <w:r w:rsidRPr="00181EF3">
        <w:rPr>
          <w:noProof/>
          <w:lang w:eastAsia="en-NZ"/>
        </w:rPr>
        <w:drawing>
          <wp:inline distT="0" distB="0" distL="0" distR="0" wp14:anchorId="63833149" wp14:editId="3A619F6E">
            <wp:extent cx="5130165" cy="3058916"/>
            <wp:effectExtent l="0" t="0" r="0" b="8255"/>
            <wp:docPr id="426" name="Picture 426" descr="Māori women are more likely than non-Māori women to be diagnosed with lung cancer. The rates for both have remained relatively steady." title="Figure 40: Lung cancer registration rate, Māori and non-Māori females aged 25 years and over, from 1996–98 to 20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130165" cy="3058916"/>
                    </a:xfrm>
                    <a:prstGeom prst="rect">
                      <a:avLst/>
                    </a:prstGeom>
                  </pic:spPr>
                </pic:pic>
              </a:graphicData>
            </a:graphic>
          </wp:inline>
        </w:drawing>
      </w:r>
    </w:p>
    <w:p w14:paraId="50C2E795" w14:textId="77777777" w:rsidR="006A632C" w:rsidRDefault="006A632C" w:rsidP="006A632C">
      <w:pPr>
        <w:pStyle w:val="Note"/>
      </w:pPr>
      <w:r w:rsidRPr="00181EF3">
        <w:t>Note</w:t>
      </w:r>
      <w:r>
        <w:t>s</w:t>
      </w:r>
      <w:r w:rsidRPr="00181EF3">
        <w:t>:</w:t>
      </w:r>
    </w:p>
    <w:p w14:paraId="04308E0C" w14:textId="23A1F0A9" w:rsidR="008A5642" w:rsidRDefault="00446D86" w:rsidP="006A632C">
      <w:pPr>
        <w:pStyle w:val="Note"/>
      </w:pPr>
      <w:r>
        <w:t>Figures are age-standardised to the 2001 Census total Māori population</w:t>
      </w:r>
      <w:r w:rsidR="006A632C" w:rsidRPr="00181EF3">
        <w:t>.</w:t>
      </w:r>
    </w:p>
    <w:p w14:paraId="546DC875" w14:textId="5282EFA6" w:rsidR="006A632C" w:rsidRPr="00181EF3" w:rsidRDefault="006A632C" w:rsidP="006A632C">
      <w:pPr>
        <w:pStyle w:val="Note"/>
      </w:pPr>
      <w:r>
        <w:t>Prioritised ethnicity has been used.</w:t>
      </w:r>
    </w:p>
    <w:p w14:paraId="2B0FA69D" w14:textId="77777777" w:rsidR="008A5642" w:rsidRDefault="006A632C" w:rsidP="00886EED">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078C5801" w14:textId="55C6148F" w:rsidR="006A632C" w:rsidRPr="00181EF3" w:rsidRDefault="006A632C" w:rsidP="006A632C">
      <w:pPr>
        <w:pStyle w:val="Source"/>
        <w:rPr>
          <w:rFonts w:eastAsia="Calibri"/>
        </w:rPr>
      </w:pPr>
      <w:r w:rsidRPr="00181EF3">
        <w:rPr>
          <w:rFonts w:eastAsia="Calibri"/>
        </w:rPr>
        <w:t>Source: New Zealand Cancer Registry (NZCR), Ministry of Health</w:t>
      </w:r>
      <w:r>
        <w:rPr>
          <w:rFonts w:eastAsia="Calibri"/>
        </w:rPr>
        <w:t xml:space="preserve">, </w:t>
      </w:r>
      <w:r w:rsidRPr="00181EF3">
        <w:t>1996–98 to 201</w:t>
      </w:r>
      <w:r>
        <w:t>3</w:t>
      </w:r>
      <w:r w:rsidRPr="00181EF3">
        <w:t>–1</w:t>
      </w:r>
      <w:r>
        <w:t>5</w:t>
      </w:r>
      <w:r w:rsidRPr="00181EF3">
        <w:rPr>
          <w:rFonts w:eastAsia="Calibri"/>
        </w:rPr>
        <w:t>.</w:t>
      </w:r>
    </w:p>
    <w:p w14:paraId="2E18DE21" w14:textId="77777777" w:rsidR="00DC0539" w:rsidRPr="00181EF3" w:rsidRDefault="00DC0539" w:rsidP="00DC0539"/>
    <w:p w14:paraId="0B0E6192" w14:textId="04DF0540" w:rsidR="00A14D8B" w:rsidRDefault="00A14D8B" w:rsidP="00A14D8B">
      <w:r w:rsidRPr="00181EF3">
        <w:t xml:space="preserve">Figure </w:t>
      </w:r>
      <w:r>
        <w:t>4</w:t>
      </w:r>
      <w:r w:rsidRPr="00181EF3">
        <w:t xml:space="preserve">0 shows that, after adjusting for age, Māori females aged 25 years and over have higher lung cancer registration rates than </w:t>
      </w:r>
      <w:r w:rsidR="00EC03A3">
        <w:t>non</w:t>
      </w:r>
      <w:r w:rsidR="00EC03A3">
        <w:noBreakHyphen/>
        <w:t>M</w:t>
      </w:r>
      <w:r w:rsidRPr="00181EF3">
        <w:t>āori females in the same age group over time.</w:t>
      </w:r>
    </w:p>
    <w:p w14:paraId="700BB1D7" w14:textId="77777777" w:rsidR="00B14564" w:rsidRDefault="00B14564" w:rsidP="00A14D8B"/>
    <w:p w14:paraId="41C1DFC0" w14:textId="77777777" w:rsidR="007B2CA8" w:rsidRPr="00181EF3" w:rsidRDefault="007B2CA8" w:rsidP="007B2CA8">
      <w:pPr>
        <w:pStyle w:val="Heading4"/>
      </w:pPr>
      <w:r w:rsidRPr="00181EF3">
        <w:lastRenderedPageBreak/>
        <w:t>Lung cancer registration rate remained similar over time for Māori females</w:t>
      </w:r>
    </w:p>
    <w:p w14:paraId="136B8556" w14:textId="74D8CDF3" w:rsidR="008A5642" w:rsidRDefault="00A14D8B" w:rsidP="00B14564">
      <w:pPr>
        <w:keepNext/>
      </w:pPr>
      <w:r w:rsidRPr="00181EF3">
        <w:t xml:space="preserve">After adjusting for age, lung cancer registrations remained similar over time for both Māori and </w:t>
      </w:r>
      <w:r w:rsidR="00EC03A3">
        <w:t>non</w:t>
      </w:r>
      <w:r w:rsidR="00EC03A3">
        <w:noBreakHyphen/>
        <w:t>M</w:t>
      </w:r>
      <w:r w:rsidRPr="00181EF3">
        <w:t>āori females aged 25 years and over.</w:t>
      </w:r>
    </w:p>
    <w:p w14:paraId="4C6F18BD" w14:textId="1277A7C2" w:rsidR="00A14D8B" w:rsidRDefault="00A14D8B" w:rsidP="00B14564">
      <w:pPr>
        <w:keepNext/>
      </w:pPr>
    </w:p>
    <w:p w14:paraId="5D14F9B4" w14:textId="77777777" w:rsidR="00A14D8B" w:rsidRPr="00181EF3" w:rsidRDefault="00A14D8B" w:rsidP="00B14564">
      <w:pPr>
        <w:keepNext/>
      </w:pPr>
      <w:r w:rsidRPr="00181EF3">
        <w:t>The age-standardised lung cancer registration rates for Māori females aged 25 years and over remained similar over time, with 90.5 registrations per 100,000 in 1996–98 and 92.5 registrations per 100,000 in 2013–15.</w:t>
      </w:r>
    </w:p>
    <w:p w14:paraId="08BC4F94" w14:textId="77777777" w:rsidR="00A14D8B" w:rsidRPr="00181EF3" w:rsidRDefault="00A14D8B" w:rsidP="00A14D8B"/>
    <w:p w14:paraId="3B45846F" w14:textId="0EC8E0D1" w:rsidR="00A14D8B" w:rsidRDefault="00A14D8B" w:rsidP="00A14D8B">
      <w:r w:rsidRPr="00181EF3">
        <w:t xml:space="preserve">For </w:t>
      </w:r>
      <w:r w:rsidR="00EC03A3">
        <w:t>non</w:t>
      </w:r>
      <w:r w:rsidR="00EC03A3">
        <w:noBreakHyphen/>
        <w:t>M</w:t>
      </w:r>
      <w:r w:rsidRPr="00181EF3">
        <w:t>āori females in the same age group, the age-standardised lung cancer registration rates also remained similar, with 22.4 registrations per 100,000 in 1996–98 and 24.4 registrations per 100,000 in 2013–15.</w:t>
      </w:r>
    </w:p>
    <w:p w14:paraId="4D75D0A6" w14:textId="77777777" w:rsidR="00B14564" w:rsidRPr="00181EF3" w:rsidRDefault="00B14564" w:rsidP="00A14D8B"/>
    <w:p w14:paraId="74F65B7B" w14:textId="0F11EE03" w:rsidR="00DC0539" w:rsidRPr="00181EF3" w:rsidRDefault="00DC0539" w:rsidP="006A632C">
      <w:pPr>
        <w:pStyle w:val="Heading4"/>
      </w:pPr>
      <w:r w:rsidRPr="00181EF3">
        <w:t xml:space="preserve">The difference in lung cancer registration rates between Māori and </w:t>
      </w:r>
      <w:r w:rsidR="00EC03A3">
        <w:t>non</w:t>
      </w:r>
      <w:r w:rsidR="00EC03A3">
        <w:noBreakHyphen/>
        <w:t>M</w:t>
      </w:r>
      <w:r w:rsidRPr="00181EF3">
        <w:t>āori females remained the same over time</w:t>
      </w:r>
    </w:p>
    <w:p w14:paraId="2A2070A0" w14:textId="132289A2" w:rsidR="00DC0539" w:rsidRPr="00181EF3" w:rsidRDefault="00DC0539" w:rsidP="00DC0539">
      <w:r w:rsidRPr="00181EF3">
        <w:t xml:space="preserve">The difference in age-standardised lung cancer registration rates between Māori and </w:t>
      </w:r>
      <w:r w:rsidR="00EC03A3">
        <w:t>non</w:t>
      </w:r>
      <w:r w:rsidR="00EC03A3">
        <w:noBreakHyphen/>
        <w:t>M</w:t>
      </w:r>
      <w:r w:rsidRPr="00181EF3">
        <w:t xml:space="preserve">āori females aged 25 years and over has not changed over time. Māori females aged 25 years and over had 68.1 more registrations per 100,000 than </w:t>
      </w:r>
      <w:r w:rsidR="00EC03A3">
        <w:t>non</w:t>
      </w:r>
      <w:r w:rsidR="00EC03A3">
        <w:noBreakHyphen/>
        <w:t>M</w:t>
      </w:r>
      <w:r w:rsidRPr="00181EF3">
        <w:t xml:space="preserve">āori </w:t>
      </w:r>
      <w:r w:rsidR="00BB6271">
        <w:t xml:space="preserve">females </w:t>
      </w:r>
      <w:r w:rsidRPr="00181EF3">
        <w:t>in 1996–98, and in 2013–15.</w:t>
      </w:r>
    </w:p>
    <w:p w14:paraId="398D762E" w14:textId="77777777" w:rsidR="00DC0539" w:rsidRPr="00181EF3" w:rsidRDefault="00DC0539" w:rsidP="00DC0539"/>
    <w:p w14:paraId="02FB8434" w14:textId="5421BD66" w:rsidR="00DC0539" w:rsidRPr="00181EF3" w:rsidRDefault="00DC0539" w:rsidP="00DC0539">
      <w:r w:rsidRPr="00181EF3">
        <w:t xml:space="preserve">Māori females aged 25 years and over had a lung cancer registration rate more than 3½ times that of </w:t>
      </w:r>
      <w:r w:rsidR="00EC03A3">
        <w:t>non</w:t>
      </w:r>
      <w:r w:rsidR="00EC03A3">
        <w:noBreakHyphen/>
        <w:t>M</w:t>
      </w:r>
      <w:r w:rsidRPr="00181EF3">
        <w:t>āori females in the same age group in 2013–15.</w:t>
      </w:r>
    </w:p>
    <w:p w14:paraId="7EC5221D" w14:textId="1F0ED89C" w:rsidR="006A632C" w:rsidRPr="00181EF3" w:rsidRDefault="006A632C" w:rsidP="0035555B">
      <w:pPr>
        <w:pStyle w:val="Figure"/>
      </w:pPr>
      <w:bookmarkStart w:id="154" w:name="_Toc19101892"/>
      <w:r w:rsidRPr="00181EF3">
        <w:lastRenderedPageBreak/>
        <w:t xml:space="preserve">Figure </w:t>
      </w:r>
      <w:r>
        <w:t>4</w:t>
      </w:r>
      <w:r w:rsidRPr="00181EF3">
        <w:t>1: Lung cancer mortality rate</w:t>
      </w:r>
      <w:r>
        <w:t>s</w:t>
      </w:r>
      <w:r w:rsidRPr="00181EF3">
        <w:t xml:space="preserve">, </w:t>
      </w:r>
      <w:r>
        <w:t xml:space="preserve">25+ years, </w:t>
      </w:r>
      <w:r w:rsidRPr="00181EF3">
        <w:t xml:space="preserve">Māori and </w:t>
      </w:r>
      <w:r w:rsidR="00EC03A3">
        <w:t>non</w:t>
      </w:r>
      <w:r w:rsidR="00EC03A3">
        <w:noBreakHyphen/>
        <w:t>M</w:t>
      </w:r>
      <w:r w:rsidRPr="00181EF3">
        <w:t>āori males</w:t>
      </w:r>
      <w:r>
        <w:t>,</w:t>
      </w:r>
      <w:r w:rsidR="00B14564">
        <w:br/>
      </w:r>
      <w:r w:rsidRPr="00181EF3">
        <w:t>1996–98 to 2012–14</w:t>
      </w:r>
      <w:bookmarkEnd w:id="154"/>
    </w:p>
    <w:p w14:paraId="6BBAB772" w14:textId="77777777" w:rsidR="006A632C" w:rsidRPr="00181EF3" w:rsidRDefault="006A632C" w:rsidP="00B14564">
      <w:pPr>
        <w:keepNext/>
      </w:pPr>
      <w:r w:rsidRPr="00181EF3">
        <w:rPr>
          <w:noProof/>
          <w:lang w:eastAsia="en-NZ"/>
        </w:rPr>
        <w:drawing>
          <wp:inline distT="0" distB="0" distL="0" distR="0" wp14:anchorId="07177407" wp14:editId="336E80FF">
            <wp:extent cx="5130165" cy="3058916"/>
            <wp:effectExtent l="0" t="0" r="0" b="8255"/>
            <wp:docPr id="427" name="Picture 427" descr="Māori men die of lung cancer at higher rates than non-Māori men. The death rates for both have declined over time, more dramatically for Māori men than non-Māori men." title="Figure 41: Lung cancer mortality rate, Māori and non-Māori males aged 25 years and over, from 1996–98 to 20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130165" cy="3058916"/>
                    </a:xfrm>
                    <a:prstGeom prst="rect">
                      <a:avLst/>
                    </a:prstGeom>
                  </pic:spPr>
                </pic:pic>
              </a:graphicData>
            </a:graphic>
          </wp:inline>
        </w:drawing>
      </w:r>
    </w:p>
    <w:p w14:paraId="751C8A52" w14:textId="77777777" w:rsidR="006A632C" w:rsidRDefault="006A632C" w:rsidP="00B14564">
      <w:pPr>
        <w:pStyle w:val="Note"/>
        <w:keepNext/>
      </w:pPr>
      <w:r w:rsidRPr="00181EF3">
        <w:t>Note</w:t>
      </w:r>
      <w:r>
        <w:t>s</w:t>
      </w:r>
      <w:r w:rsidRPr="00181EF3">
        <w:t>:</w:t>
      </w:r>
    </w:p>
    <w:p w14:paraId="1C70E2B7" w14:textId="36CD2873" w:rsidR="008A5642" w:rsidRDefault="00446D86" w:rsidP="00B14564">
      <w:pPr>
        <w:pStyle w:val="Note"/>
        <w:keepNext/>
      </w:pPr>
      <w:r>
        <w:t>Figures are age-standardised to the 2001 Census total Māori population</w:t>
      </w:r>
      <w:r w:rsidR="006A632C" w:rsidRPr="00181EF3">
        <w:t>.</w:t>
      </w:r>
    </w:p>
    <w:p w14:paraId="2CD0E00F" w14:textId="1EE6EF23" w:rsidR="006A632C" w:rsidRPr="00181EF3" w:rsidRDefault="006A632C" w:rsidP="00B14564">
      <w:pPr>
        <w:pStyle w:val="Note"/>
        <w:keepNext/>
      </w:pPr>
      <w:r>
        <w:t>Prioritised ethnicity has been used.</w:t>
      </w:r>
    </w:p>
    <w:p w14:paraId="38E28645" w14:textId="77777777" w:rsidR="008A5642" w:rsidRDefault="006A632C" w:rsidP="00BB6271">
      <w:pPr>
        <w:pStyle w:val="Note"/>
        <w:keepNext/>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326200CA" w14:textId="31B64785" w:rsidR="006A632C" w:rsidRPr="00181EF3" w:rsidRDefault="006A632C" w:rsidP="006A632C">
      <w:pPr>
        <w:pStyle w:val="Source"/>
        <w:rPr>
          <w:rFonts w:eastAsia="Calibri"/>
        </w:rPr>
      </w:pPr>
      <w:r w:rsidRPr="00181EF3">
        <w:rPr>
          <w:rFonts w:eastAsia="Calibri"/>
        </w:rPr>
        <w:t>Source: Mortality Collection Data Set (MORT), Ministry of Health</w:t>
      </w:r>
      <w:r>
        <w:rPr>
          <w:rFonts w:eastAsia="Calibri"/>
        </w:rPr>
        <w:t xml:space="preserve">, </w:t>
      </w:r>
      <w:r w:rsidRPr="00181EF3">
        <w:t>1996–98 to 2012–14</w:t>
      </w:r>
      <w:r w:rsidRPr="00181EF3">
        <w:rPr>
          <w:rFonts w:eastAsia="Calibri"/>
        </w:rPr>
        <w:t>.</w:t>
      </w:r>
    </w:p>
    <w:p w14:paraId="74C512B5" w14:textId="77777777" w:rsidR="00DC0539" w:rsidRPr="00181EF3" w:rsidRDefault="00DC0539" w:rsidP="00DC0539"/>
    <w:p w14:paraId="476B94FA" w14:textId="566A0FC1" w:rsidR="00A14D8B" w:rsidRDefault="00A14D8B" w:rsidP="00A14D8B">
      <w:r w:rsidRPr="00181EF3">
        <w:t xml:space="preserve">Figure </w:t>
      </w:r>
      <w:r>
        <w:t>4</w:t>
      </w:r>
      <w:r w:rsidRPr="00181EF3">
        <w:t xml:space="preserve">1 shows that, after adjusting for age, Māori males aged 25 years and over have higher lung cancer mortality rates than </w:t>
      </w:r>
      <w:r w:rsidR="00EC03A3">
        <w:t>non</w:t>
      </w:r>
      <w:r w:rsidR="00EC03A3">
        <w:noBreakHyphen/>
        <w:t>M</w:t>
      </w:r>
      <w:r w:rsidRPr="00181EF3">
        <w:t>āori males in the same age group over time.</w:t>
      </w:r>
    </w:p>
    <w:p w14:paraId="43464890" w14:textId="77777777" w:rsidR="00B14564" w:rsidRDefault="00B14564" w:rsidP="00A14D8B"/>
    <w:p w14:paraId="053F11F7" w14:textId="77777777" w:rsidR="007B2CA8" w:rsidRPr="00181EF3" w:rsidRDefault="007B2CA8" w:rsidP="007B2CA8">
      <w:pPr>
        <w:pStyle w:val="Heading4"/>
      </w:pPr>
      <w:r w:rsidRPr="00181EF3">
        <w:t>Lung cancer mortality rate decreased over time for Māori males</w:t>
      </w:r>
    </w:p>
    <w:p w14:paraId="5FA0EDB8" w14:textId="05F7432B" w:rsidR="00A14D8B" w:rsidRDefault="00A14D8B" w:rsidP="00A14D8B">
      <w:r w:rsidRPr="00181EF3">
        <w:t xml:space="preserve">After adjusting for age, lung cancer mortality rates decreased over time for both Māori and </w:t>
      </w:r>
      <w:r w:rsidR="00EC03A3">
        <w:t>non</w:t>
      </w:r>
      <w:r w:rsidR="00EC03A3">
        <w:noBreakHyphen/>
        <w:t>M</w:t>
      </w:r>
      <w:r w:rsidRPr="00181EF3">
        <w:t>āori males aged 25 years and over.</w:t>
      </w:r>
    </w:p>
    <w:p w14:paraId="3BCCA680" w14:textId="77777777" w:rsidR="00A14D8B" w:rsidRPr="00181EF3" w:rsidRDefault="00A14D8B" w:rsidP="00A14D8B"/>
    <w:p w14:paraId="351C639A" w14:textId="77777777" w:rsidR="00A14D8B" w:rsidRPr="00181EF3" w:rsidRDefault="00A14D8B" w:rsidP="00A14D8B">
      <w:r w:rsidRPr="00181EF3">
        <w:t>The age-standardised lung cancer mortality rates for Māori males aged 25 years and over decreased by 42 percent, from 109.1 deaths per 100,000 in 1996–98 to 63.5 deaths per 100,000 in 2012–14.</w:t>
      </w:r>
    </w:p>
    <w:p w14:paraId="1D25E264" w14:textId="77777777" w:rsidR="00A14D8B" w:rsidRPr="00181EF3" w:rsidRDefault="00A14D8B" w:rsidP="00A14D8B"/>
    <w:p w14:paraId="516AC8D4" w14:textId="7FBC0CA8" w:rsidR="00A14D8B" w:rsidRDefault="00A14D8B" w:rsidP="00A14D8B">
      <w:r w:rsidRPr="00181EF3">
        <w:t xml:space="preserve">The age-standardised lung cancer mortality rates for </w:t>
      </w:r>
      <w:r w:rsidR="00EC03A3">
        <w:t>non</w:t>
      </w:r>
      <w:r w:rsidR="00EC03A3">
        <w:noBreakHyphen/>
        <w:t>M</w:t>
      </w:r>
      <w:r w:rsidRPr="00181EF3">
        <w:t>āori males in the same age group decreased by 39 percent over time, from 36.3 deaths per 100,000 in 1996–98 to 22.1 deaths per 100,000 in 2012–14.</w:t>
      </w:r>
    </w:p>
    <w:p w14:paraId="7A5AA56F" w14:textId="77777777" w:rsidR="00B14564" w:rsidRDefault="00B14564" w:rsidP="00A14D8B"/>
    <w:p w14:paraId="08A75731" w14:textId="374E8718" w:rsidR="00DC0539" w:rsidRPr="00181EF3" w:rsidRDefault="00DC0539" w:rsidP="006A632C">
      <w:pPr>
        <w:pStyle w:val="Heading4"/>
      </w:pPr>
      <w:r w:rsidRPr="00181EF3">
        <w:lastRenderedPageBreak/>
        <w:t xml:space="preserve">The difference in lung cancer mortality rates between Māori and </w:t>
      </w:r>
      <w:r w:rsidR="00EC03A3">
        <w:t>non</w:t>
      </w:r>
      <w:r w:rsidR="00EC03A3">
        <w:noBreakHyphen/>
        <w:t>M</w:t>
      </w:r>
      <w:r w:rsidRPr="00181EF3">
        <w:t>āori males decreased over time</w:t>
      </w:r>
    </w:p>
    <w:p w14:paraId="16C8B50A" w14:textId="0AEA896B" w:rsidR="00DC0539" w:rsidRPr="00181EF3" w:rsidRDefault="00DC0539" w:rsidP="00B14564">
      <w:pPr>
        <w:keepNext/>
        <w:keepLines/>
      </w:pPr>
      <w:r w:rsidRPr="00181EF3">
        <w:t xml:space="preserve">The difference in age-standardised lung cancer mortality rate between Māori and </w:t>
      </w:r>
      <w:r w:rsidR="00EC03A3">
        <w:t>non</w:t>
      </w:r>
      <w:r w:rsidR="00EC03A3">
        <w:noBreakHyphen/>
        <w:t>M</w:t>
      </w:r>
      <w:r w:rsidRPr="00181EF3">
        <w:t xml:space="preserve">āori males aged 25 years and over decreased by 43 percent over time. Māori males aged 25 years and over had 72.8 more deaths per 100,000 than </w:t>
      </w:r>
      <w:r w:rsidR="00EC03A3">
        <w:t>non</w:t>
      </w:r>
      <w:r w:rsidR="00EC03A3">
        <w:noBreakHyphen/>
        <w:t>M</w:t>
      </w:r>
      <w:r w:rsidRPr="00181EF3">
        <w:t xml:space="preserve">āori </w:t>
      </w:r>
      <w:r w:rsidR="00BB6271">
        <w:t xml:space="preserve">males </w:t>
      </w:r>
      <w:r w:rsidRPr="00181EF3">
        <w:t>in 1996–98, and 41.4 more deaths per 100,000 in 2012–14.</w:t>
      </w:r>
    </w:p>
    <w:p w14:paraId="2CD609FD" w14:textId="77777777" w:rsidR="00DC0539" w:rsidRPr="00181EF3" w:rsidRDefault="00DC0539" w:rsidP="00DC0539"/>
    <w:p w14:paraId="2A4A0215" w14:textId="056C1DA4" w:rsidR="00DC0539" w:rsidRDefault="00DC0539" w:rsidP="00DC0539">
      <w:r w:rsidRPr="00181EF3">
        <w:t xml:space="preserve">In 2012–14, Māori males aged 25 years and over were almost three times as likely to die from lung cancer as </w:t>
      </w:r>
      <w:r w:rsidR="00EC03A3">
        <w:t>non</w:t>
      </w:r>
      <w:r w:rsidR="00EC03A3">
        <w:noBreakHyphen/>
        <w:t>M</w:t>
      </w:r>
      <w:r w:rsidRPr="00181EF3">
        <w:t>āori males in the same age group, after adjusting for age. There was a 4.7 percent decrease in the age-standardised rate ratios, from 3.01 in 1996–98 to 2.87 in 2012–14.</w:t>
      </w:r>
    </w:p>
    <w:p w14:paraId="53EC8473" w14:textId="77777777" w:rsidR="00B14564" w:rsidRPr="00181EF3" w:rsidRDefault="00B14564" w:rsidP="00DC0539"/>
    <w:p w14:paraId="743EAAEE" w14:textId="34F40BD4" w:rsidR="00CC3093" w:rsidRPr="00181EF3" w:rsidRDefault="00CC3093" w:rsidP="00CC3093">
      <w:pPr>
        <w:pStyle w:val="Figure"/>
      </w:pPr>
      <w:bookmarkStart w:id="155" w:name="_Toc19101893"/>
      <w:r w:rsidRPr="00181EF3">
        <w:t xml:space="preserve">Figure </w:t>
      </w:r>
      <w:r>
        <w:t>4</w:t>
      </w:r>
      <w:r w:rsidRPr="00181EF3">
        <w:t>2: Lung cancer mortality rate</w:t>
      </w:r>
      <w:r>
        <w:t>s</w:t>
      </w:r>
      <w:r w:rsidRPr="00181EF3">
        <w:t xml:space="preserve">, </w:t>
      </w:r>
      <w:r>
        <w:t xml:space="preserve">25+ years, </w:t>
      </w:r>
      <w:r w:rsidRPr="00181EF3">
        <w:t xml:space="preserve">Māori and </w:t>
      </w:r>
      <w:r w:rsidR="00EC03A3">
        <w:t>non</w:t>
      </w:r>
      <w:r w:rsidR="00EC03A3">
        <w:noBreakHyphen/>
        <w:t>M</w:t>
      </w:r>
      <w:r w:rsidRPr="00181EF3">
        <w:t>āori females</w:t>
      </w:r>
      <w:r>
        <w:t>,</w:t>
      </w:r>
      <w:r w:rsidRPr="00181EF3">
        <w:t xml:space="preserve"> 1996–98 to 2012–14</w:t>
      </w:r>
      <w:bookmarkEnd w:id="155"/>
    </w:p>
    <w:p w14:paraId="23305B5B" w14:textId="77777777" w:rsidR="00CC3093" w:rsidRPr="00181EF3" w:rsidRDefault="00CC3093" w:rsidP="00CC3093">
      <w:r w:rsidRPr="00181EF3">
        <w:rPr>
          <w:noProof/>
          <w:lang w:eastAsia="en-NZ"/>
        </w:rPr>
        <w:drawing>
          <wp:inline distT="0" distB="0" distL="0" distR="0" wp14:anchorId="692713A4" wp14:editId="1963A058">
            <wp:extent cx="5130165" cy="3058916"/>
            <wp:effectExtent l="0" t="0" r="0" b="8255"/>
            <wp:docPr id="428" name="Picture 428" descr="Māori women die of lung cancer at greater rates than non-Māori women, but their death rates have declined slightly. Non-Māori women's lung cancer death rates have remained steady." title="Figure 42: Lung cancer mortality rate, Māori and non-Māori females aged 25 years and over, from 1996–98 to 20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130165" cy="3058916"/>
                    </a:xfrm>
                    <a:prstGeom prst="rect">
                      <a:avLst/>
                    </a:prstGeom>
                  </pic:spPr>
                </pic:pic>
              </a:graphicData>
            </a:graphic>
          </wp:inline>
        </w:drawing>
      </w:r>
    </w:p>
    <w:p w14:paraId="112D854F" w14:textId="77777777" w:rsidR="00CC3093" w:rsidRDefault="00CC3093" w:rsidP="00CC3093">
      <w:pPr>
        <w:pStyle w:val="Note"/>
      </w:pPr>
      <w:r w:rsidRPr="00181EF3">
        <w:t>Note</w:t>
      </w:r>
      <w:r>
        <w:t>s</w:t>
      </w:r>
      <w:r w:rsidRPr="00181EF3">
        <w:t>:</w:t>
      </w:r>
    </w:p>
    <w:p w14:paraId="41E77A16" w14:textId="40E3B28C" w:rsidR="008A5642" w:rsidRDefault="00446D86" w:rsidP="00CC3093">
      <w:pPr>
        <w:pStyle w:val="Note"/>
      </w:pPr>
      <w:r>
        <w:t>Figures are age-standardised to the 2001 Census total Māori population</w:t>
      </w:r>
      <w:r w:rsidR="00CC3093" w:rsidRPr="00181EF3">
        <w:t>.</w:t>
      </w:r>
    </w:p>
    <w:p w14:paraId="6945CC14" w14:textId="6545CD72" w:rsidR="00CC3093" w:rsidRPr="00181EF3" w:rsidRDefault="00CC3093" w:rsidP="00CC3093">
      <w:pPr>
        <w:pStyle w:val="Note"/>
      </w:pPr>
      <w:r>
        <w:t>Prioritised ethnicity has been used.</w:t>
      </w:r>
    </w:p>
    <w:p w14:paraId="7F72D6E2" w14:textId="77777777" w:rsidR="008A5642" w:rsidRDefault="00CC3093" w:rsidP="00886EED">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32430700" w14:textId="68437881" w:rsidR="00CC3093" w:rsidRPr="00181EF3" w:rsidRDefault="00CC3093" w:rsidP="00CC3093">
      <w:pPr>
        <w:pStyle w:val="Source"/>
        <w:rPr>
          <w:rFonts w:eastAsia="Calibri"/>
        </w:rPr>
      </w:pPr>
      <w:r w:rsidRPr="00181EF3">
        <w:rPr>
          <w:rFonts w:eastAsia="Calibri"/>
        </w:rPr>
        <w:t>Source: Mortality Collection Data Set (MORT), Ministry of Health</w:t>
      </w:r>
      <w:r>
        <w:rPr>
          <w:rFonts w:eastAsia="Calibri"/>
        </w:rPr>
        <w:t xml:space="preserve">, </w:t>
      </w:r>
      <w:r w:rsidRPr="00181EF3">
        <w:t>1996–98 to 2012–14</w:t>
      </w:r>
      <w:r w:rsidRPr="00181EF3">
        <w:rPr>
          <w:rFonts w:eastAsia="Calibri"/>
        </w:rPr>
        <w:t>.</w:t>
      </w:r>
    </w:p>
    <w:p w14:paraId="5070612B" w14:textId="77777777" w:rsidR="00CC3093" w:rsidRPr="00181EF3" w:rsidRDefault="00CC3093" w:rsidP="00CC3093"/>
    <w:p w14:paraId="4C75300A" w14:textId="0F89E11D" w:rsidR="006A632C" w:rsidRDefault="006A632C" w:rsidP="006A632C">
      <w:r w:rsidRPr="00181EF3">
        <w:t xml:space="preserve">Figure </w:t>
      </w:r>
      <w:r>
        <w:t>4</w:t>
      </w:r>
      <w:r w:rsidRPr="00181EF3">
        <w:t xml:space="preserve">2 shows that, after adjusting for age, Māori females aged 25 years and over have higher lung cancer mortality rates than </w:t>
      </w:r>
      <w:r w:rsidR="00EC03A3">
        <w:t>non</w:t>
      </w:r>
      <w:r w:rsidR="00EC03A3">
        <w:noBreakHyphen/>
        <w:t>M</w:t>
      </w:r>
      <w:r w:rsidRPr="00181EF3">
        <w:t>āori females in the same age group over time.</w:t>
      </w:r>
    </w:p>
    <w:p w14:paraId="33A2141B" w14:textId="77777777" w:rsidR="00B14564" w:rsidRPr="00181EF3" w:rsidRDefault="00B14564" w:rsidP="006A632C"/>
    <w:p w14:paraId="46C0D1DE" w14:textId="77777777" w:rsidR="007B2CA8" w:rsidRDefault="007B2CA8" w:rsidP="007B2CA8">
      <w:pPr>
        <w:pStyle w:val="Heading4"/>
      </w:pPr>
      <w:r w:rsidRPr="00181EF3">
        <w:lastRenderedPageBreak/>
        <w:t>Lung cancer mortality rate decreased over time for Māori females</w:t>
      </w:r>
    </w:p>
    <w:p w14:paraId="6E400125" w14:textId="77777777" w:rsidR="006A632C" w:rsidRDefault="006A632C" w:rsidP="00B14564">
      <w:pPr>
        <w:keepNext/>
      </w:pPr>
      <w:r w:rsidRPr="00181EF3">
        <w:t>Lung cancer mortality rates decreased over time for Māori females aged 25 years and over, after adjusting for age.</w:t>
      </w:r>
    </w:p>
    <w:p w14:paraId="2878DDEE" w14:textId="77777777" w:rsidR="006A632C" w:rsidRPr="006A632C" w:rsidRDefault="006A632C" w:rsidP="00B14564">
      <w:pPr>
        <w:keepNext/>
      </w:pPr>
    </w:p>
    <w:p w14:paraId="3FE6C61B" w14:textId="77777777" w:rsidR="00DC0539" w:rsidRPr="00181EF3" w:rsidRDefault="00DC0539" w:rsidP="00B14564">
      <w:pPr>
        <w:keepNext/>
      </w:pPr>
      <w:r w:rsidRPr="00181EF3">
        <w:t>The age-standardised lung cancer mortality rates for Māori females aged 25 years and over decreased by 21 percent over time, from 84.6 deaths per 100,000 in 1996–98 to 67.1 deaths per 100,000 in 2012–14.</w:t>
      </w:r>
    </w:p>
    <w:p w14:paraId="134AE110" w14:textId="77777777" w:rsidR="00DC0539" w:rsidRPr="00181EF3" w:rsidRDefault="00DC0539" w:rsidP="00DC0539"/>
    <w:p w14:paraId="3AA8E1D4" w14:textId="53F55A51" w:rsidR="00DC0539" w:rsidRDefault="00DC0539" w:rsidP="00DC0539">
      <w:r w:rsidRPr="00181EF3">
        <w:t xml:space="preserve">For </w:t>
      </w:r>
      <w:r w:rsidR="00EC03A3">
        <w:t>non</w:t>
      </w:r>
      <w:r w:rsidR="00EC03A3">
        <w:noBreakHyphen/>
        <w:t>M</w:t>
      </w:r>
      <w:r w:rsidRPr="00181EF3">
        <w:t>āori females in the same age group, the age-standardised lung cancer mortality rates remained similar over time, from 18.8 deaths per 100,000 in 1996–98 to 16.9 deaths per 100,000 in 2012–14.</w:t>
      </w:r>
    </w:p>
    <w:p w14:paraId="5705E512" w14:textId="77777777" w:rsidR="00B14564" w:rsidRPr="00181EF3" w:rsidRDefault="00B14564" w:rsidP="00DC0539"/>
    <w:p w14:paraId="7BEC52A3" w14:textId="5C4D66B4" w:rsidR="00DC0539" w:rsidRPr="00181EF3" w:rsidRDefault="00DC0539" w:rsidP="00CC3093">
      <w:pPr>
        <w:pStyle w:val="Heading4"/>
      </w:pPr>
      <w:r w:rsidRPr="00181EF3">
        <w:t xml:space="preserve">The difference in lung cancer mortality rates between Māori and </w:t>
      </w:r>
      <w:r w:rsidR="00EC03A3">
        <w:t>non</w:t>
      </w:r>
      <w:r w:rsidR="00EC03A3">
        <w:noBreakHyphen/>
        <w:t>M</w:t>
      </w:r>
      <w:r w:rsidRPr="00181EF3">
        <w:t>āori females decreased over time</w:t>
      </w:r>
    </w:p>
    <w:p w14:paraId="342B2223" w14:textId="378B0A8E" w:rsidR="00DC0539" w:rsidRPr="00181EF3" w:rsidRDefault="00DC0539" w:rsidP="00DC0539">
      <w:r w:rsidRPr="00181EF3">
        <w:t xml:space="preserve">The difference in age-standardised lung cancer mortality rates between Māori and </w:t>
      </w:r>
      <w:r w:rsidR="00EC03A3">
        <w:t>non</w:t>
      </w:r>
      <w:r w:rsidR="00EC03A3">
        <w:noBreakHyphen/>
        <w:t>M</w:t>
      </w:r>
      <w:r w:rsidRPr="00181EF3">
        <w:t>āori females aged 25 years and over decreased by 24</w:t>
      </w:r>
      <w:r>
        <w:t xml:space="preserve"> percent</w:t>
      </w:r>
      <w:r w:rsidRPr="00181EF3">
        <w:t xml:space="preserve"> over time. Māori females aged 25 years and over had 65.8 more deaths per 100,000 than </w:t>
      </w:r>
      <w:r w:rsidR="00EC03A3">
        <w:t>non</w:t>
      </w:r>
      <w:r w:rsidR="00EC03A3">
        <w:noBreakHyphen/>
        <w:t>M</w:t>
      </w:r>
      <w:r w:rsidRPr="00181EF3">
        <w:t>āori</w:t>
      </w:r>
      <w:r w:rsidR="00BB6271">
        <w:t xml:space="preserve"> females</w:t>
      </w:r>
      <w:r w:rsidRPr="00181EF3">
        <w:t xml:space="preserve"> in 1996–98, and 50.2 more deaths per 100,000 in 2012–14.</w:t>
      </w:r>
    </w:p>
    <w:p w14:paraId="75C97A58" w14:textId="77777777" w:rsidR="00CC3093" w:rsidRDefault="00CC3093" w:rsidP="00DC0539"/>
    <w:p w14:paraId="4D6775CF" w14:textId="37A1412D" w:rsidR="00DC0539" w:rsidRPr="00181EF3" w:rsidRDefault="00DC0539" w:rsidP="00DC0539">
      <w:r w:rsidRPr="00181EF3">
        <w:t xml:space="preserve">The difference between Māori and </w:t>
      </w:r>
      <w:r w:rsidR="00EC03A3">
        <w:t>non</w:t>
      </w:r>
      <w:r w:rsidR="00EC03A3">
        <w:noBreakHyphen/>
        <w:t>M</w:t>
      </w:r>
      <w:r w:rsidRPr="00181EF3">
        <w:t>āori females decreased over time. In</w:t>
      </w:r>
      <w:r w:rsidR="00B14564">
        <w:br/>
      </w:r>
      <w:r w:rsidRPr="00181EF3">
        <w:t xml:space="preserve">2012–14, Māori females aged 25 years and over were almost four times as likely to die from lung cancer as </w:t>
      </w:r>
      <w:r w:rsidR="00EC03A3">
        <w:t>non</w:t>
      </w:r>
      <w:r w:rsidR="00EC03A3">
        <w:noBreakHyphen/>
        <w:t>M</w:t>
      </w:r>
      <w:r w:rsidRPr="00181EF3">
        <w:t>āori females in the same age group, after adjusting for age. The age-standardised rate ratios decreased from 4.5</w:t>
      </w:r>
      <w:r>
        <w:t>0</w:t>
      </w:r>
      <w:r w:rsidRPr="00181EF3">
        <w:t xml:space="preserve"> in 1996–98 to 3.98 in 2012–14.</w:t>
      </w:r>
    </w:p>
    <w:p w14:paraId="151F5926" w14:textId="77777777" w:rsidR="00DC0539" w:rsidRPr="00181EF3" w:rsidRDefault="00DC0539" w:rsidP="00DC0539"/>
    <w:p w14:paraId="4D8648C9" w14:textId="77777777" w:rsidR="00DC0539" w:rsidRPr="00181EF3" w:rsidRDefault="00DC0539" w:rsidP="00B14564">
      <w:pPr>
        <w:pStyle w:val="Heading3"/>
        <w:pageBreakBefore/>
        <w:spacing w:before="0"/>
      </w:pPr>
      <w:bookmarkStart w:id="156" w:name="_Toc19102343"/>
      <w:r w:rsidRPr="00181EF3">
        <w:lastRenderedPageBreak/>
        <w:t>Colorectal cancer</w:t>
      </w:r>
      <w:bookmarkEnd w:id="156"/>
    </w:p>
    <w:p w14:paraId="33A31938" w14:textId="109DE3AB" w:rsidR="00CC3093" w:rsidRPr="00181EF3" w:rsidRDefault="00CC3093" w:rsidP="00CC3093">
      <w:pPr>
        <w:pStyle w:val="Figure"/>
      </w:pPr>
      <w:bookmarkStart w:id="157" w:name="_Toc19101894"/>
      <w:r w:rsidRPr="00181EF3">
        <w:t xml:space="preserve">Figure </w:t>
      </w:r>
      <w:r>
        <w:t>4</w:t>
      </w:r>
      <w:r w:rsidRPr="00181EF3">
        <w:t>3: Colorectal cancer registration rate</w:t>
      </w:r>
      <w:r>
        <w:t>s</w:t>
      </w:r>
      <w:r w:rsidRPr="00181EF3">
        <w:t xml:space="preserve">, </w:t>
      </w:r>
      <w:r>
        <w:t xml:space="preserve">25+ years, </w:t>
      </w:r>
      <w:r w:rsidRPr="00181EF3">
        <w:t xml:space="preserve">Māori and </w:t>
      </w:r>
      <w:r w:rsidR="00EC03A3">
        <w:t>non</w:t>
      </w:r>
      <w:r w:rsidR="00EC03A3">
        <w:noBreakHyphen/>
        <w:t>M</w:t>
      </w:r>
      <w:r w:rsidRPr="00181EF3">
        <w:t>āori males</w:t>
      </w:r>
      <w:r>
        <w:t>,</w:t>
      </w:r>
      <w:r w:rsidRPr="00181EF3">
        <w:t xml:space="preserve"> 1996–98 to 2013–15</w:t>
      </w:r>
      <w:bookmarkEnd w:id="157"/>
    </w:p>
    <w:p w14:paraId="130B36CA" w14:textId="77777777" w:rsidR="00CC3093" w:rsidRPr="00181EF3" w:rsidRDefault="00CC3093" w:rsidP="00CC3093">
      <w:r w:rsidRPr="00181EF3">
        <w:rPr>
          <w:noProof/>
          <w:lang w:eastAsia="en-NZ"/>
        </w:rPr>
        <w:drawing>
          <wp:inline distT="0" distB="0" distL="0" distR="0" wp14:anchorId="1C89D3AF" wp14:editId="5121FBB4">
            <wp:extent cx="5130165" cy="3058916"/>
            <wp:effectExtent l="0" t="0" r="0" b="8255"/>
            <wp:docPr id="429" name="Picture 429" descr="Non-Māori men are diagnosed with colorectal cancer more often than Māori men. The rate for Māori men has remained steady while the rate for non-Māori men has decreased over time." title="Figure 43: Colorectal cancer registration rate, Māori and non-Māori males aged 25 years and over, from 1996–98 to 20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130165" cy="3058916"/>
                    </a:xfrm>
                    <a:prstGeom prst="rect">
                      <a:avLst/>
                    </a:prstGeom>
                  </pic:spPr>
                </pic:pic>
              </a:graphicData>
            </a:graphic>
          </wp:inline>
        </w:drawing>
      </w:r>
    </w:p>
    <w:p w14:paraId="304194C3" w14:textId="77777777" w:rsidR="00CC3093" w:rsidRDefault="00CC3093" w:rsidP="00CC3093">
      <w:pPr>
        <w:pStyle w:val="Note"/>
      </w:pPr>
      <w:r w:rsidRPr="00181EF3">
        <w:t>Note</w:t>
      </w:r>
      <w:r>
        <w:t>s</w:t>
      </w:r>
      <w:r w:rsidRPr="00181EF3">
        <w:t>:</w:t>
      </w:r>
    </w:p>
    <w:p w14:paraId="735ACC95" w14:textId="55543F22" w:rsidR="008A5642" w:rsidRDefault="00446D86" w:rsidP="00CC3093">
      <w:pPr>
        <w:pStyle w:val="Note"/>
      </w:pPr>
      <w:r>
        <w:t>Figures are age-standardised to the 2001 Census total Māori population</w:t>
      </w:r>
      <w:r w:rsidR="00CC3093" w:rsidRPr="00181EF3">
        <w:t>.</w:t>
      </w:r>
    </w:p>
    <w:p w14:paraId="7024D6AB" w14:textId="73AA9D20" w:rsidR="00CC3093" w:rsidRPr="00181EF3" w:rsidRDefault="00CC3093" w:rsidP="00CC3093">
      <w:pPr>
        <w:pStyle w:val="Note"/>
      </w:pPr>
      <w:r>
        <w:t>Prioritised ethnicity has been used.</w:t>
      </w:r>
    </w:p>
    <w:p w14:paraId="03338B4E" w14:textId="77777777" w:rsidR="008A5642" w:rsidRDefault="00CC3093" w:rsidP="00886EED">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197B6DFA" w14:textId="7D6768FC" w:rsidR="00CC3093" w:rsidRPr="00181EF3" w:rsidRDefault="00CC3093" w:rsidP="00CC3093">
      <w:pPr>
        <w:pStyle w:val="Source"/>
        <w:rPr>
          <w:rFonts w:eastAsia="Calibri"/>
        </w:rPr>
      </w:pPr>
      <w:r w:rsidRPr="00181EF3">
        <w:rPr>
          <w:rFonts w:eastAsia="Calibri"/>
        </w:rPr>
        <w:t>Source: New Zealand Cancer Registry (NZCR), Ministry of Health</w:t>
      </w:r>
      <w:r>
        <w:rPr>
          <w:rFonts w:eastAsia="Calibri"/>
        </w:rPr>
        <w:t xml:space="preserve">, </w:t>
      </w:r>
      <w:r w:rsidRPr="00181EF3">
        <w:t>1996–98 to 201</w:t>
      </w:r>
      <w:r>
        <w:t>3</w:t>
      </w:r>
      <w:r w:rsidRPr="00181EF3">
        <w:t>–1</w:t>
      </w:r>
      <w:r>
        <w:t>5</w:t>
      </w:r>
      <w:r w:rsidRPr="00181EF3">
        <w:rPr>
          <w:rFonts w:eastAsia="Calibri"/>
        </w:rPr>
        <w:t>.</w:t>
      </w:r>
    </w:p>
    <w:p w14:paraId="2F36DD4C" w14:textId="77777777" w:rsidR="00CC3093" w:rsidRPr="00CC3093" w:rsidRDefault="00CC3093" w:rsidP="00CC3093"/>
    <w:p w14:paraId="66D47F67" w14:textId="23155411" w:rsidR="00CC3093" w:rsidRDefault="00CC3093" w:rsidP="00CC3093">
      <w:r w:rsidRPr="00181EF3">
        <w:t xml:space="preserve">Figure </w:t>
      </w:r>
      <w:r>
        <w:t>4</w:t>
      </w:r>
      <w:r w:rsidRPr="00181EF3">
        <w:t xml:space="preserve">3 shows that Māori males aged 25 years and over have a lower colorectal cancer registration rate than </w:t>
      </w:r>
      <w:r w:rsidR="00EC03A3">
        <w:t>non</w:t>
      </w:r>
      <w:r w:rsidR="00EC03A3">
        <w:noBreakHyphen/>
        <w:t>M</w:t>
      </w:r>
      <w:r w:rsidRPr="00181EF3">
        <w:t>āori males in the same age group over time, after adjusting for age.</w:t>
      </w:r>
    </w:p>
    <w:p w14:paraId="1D62EC6F" w14:textId="77777777" w:rsidR="00B14564" w:rsidRDefault="00B14564" w:rsidP="00CC3093"/>
    <w:p w14:paraId="0128879C" w14:textId="77777777" w:rsidR="007B2CA8" w:rsidRDefault="007B2CA8" w:rsidP="007B2CA8">
      <w:pPr>
        <w:pStyle w:val="Heading4"/>
      </w:pPr>
      <w:r w:rsidRPr="00181EF3">
        <w:t>Colorectal cancer registration rate remained the same over time for Māori males</w:t>
      </w:r>
    </w:p>
    <w:p w14:paraId="0AE72273" w14:textId="29FAAD46" w:rsidR="00CC3093" w:rsidRPr="00181EF3" w:rsidRDefault="00CC3093" w:rsidP="00CC3093">
      <w:r w:rsidRPr="00181EF3">
        <w:t xml:space="preserve">After adjusting for age, the colorectal cancer registration rate has not changed much over time for Māori males aged 25 years and over but decreased for </w:t>
      </w:r>
      <w:r w:rsidR="00EC03A3">
        <w:t>non</w:t>
      </w:r>
      <w:r w:rsidR="00EC03A3">
        <w:noBreakHyphen/>
        <w:t>M</w:t>
      </w:r>
      <w:r w:rsidRPr="00181EF3">
        <w:t>āori males in the same age group.</w:t>
      </w:r>
    </w:p>
    <w:p w14:paraId="602140C9" w14:textId="77777777" w:rsidR="00CC3093" w:rsidRPr="00181EF3" w:rsidRDefault="00CC3093" w:rsidP="00CC3093"/>
    <w:p w14:paraId="76BF4E66" w14:textId="77777777" w:rsidR="00DC0539" w:rsidRPr="00181EF3" w:rsidRDefault="00DC0539" w:rsidP="00DC0539">
      <w:r w:rsidRPr="00181EF3">
        <w:t>The age-standardised colorectal cancer registration rates for Māori males aged 25 years and over have not changed much over time. Māori males had 47.2 colorectal cancer registrations per 100,000 in 1996–98, and 46.5 registrations per 100,000 in 2013–15.</w:t>
      </w:r>
    </w:p>
    <w:p w14:paraId="242F8C74" w14:textId="77777777" w:rsidR="00DC0539" w:rsidRPr="00181EF3" w:rsidRDefault="00DC0539" w:rsidP="00DC0539"/>
    <w:p w14:paraId="4F2BF91C" w14:textId="7FD3891A" w:rsidR="00DC0539" w:rsidRPr="00181EF3" w:rsidRDefault="00DC0539" w:rsidP="00DC0539">
      <w:r w:rsidRPr="00181EF3">
        <w:t xml:space="preserve">This age-standardised colorectal cancer registration rates for </w:t>
      </w:r>
      <w:r w:rsidR="00EC03A3">
        <w:t>non</w:t>
      </w:r>
      <w:r w:rsidR="00EC03A3">
        <w:noBreakHyphen/>
        <w:t>M</w:t>
      </w:r>
      <w:r w:rsidRPr="00181EF3">
        <w:t>āori males in the same age group decreased by 16 percent over time, from 63.8 registrations per 100,000 in 1996–98 to 53.5 registrations per 100,000 in 2013–15.</w:t>
      </w:r>
    </w:p>
    <w:p w14:paraId="65007F23" w14:textId="77777777" w:rsidR="00DC0539" w:rsidRPr="00181EF3" w:rsidRDefault="00DC0539" w:rsidP="00DC0539"/>
    <w:p w14:paraId="5F1A44FE" w14:textId="3373E930" w:rsidR="00DC0539" w:rsidRPr="00181EF3" w:rsidRDefault="00DC0539" w:rsidP="00CC3093">
      <w:pPr>
        <w:pStyle w:val="Heading4"/>
      </w:pPr>
      <w:r w:rsidRPr="00181EF3">
        <w:lastRenderedPageBreak/>
        <w:t xml:space="preserve">The difference in colorectal cancer registration rates between Māori and </w:t>
      </w:r>
      <w:r w:rsidR="00EC03A3">
        <w:t>non</w:t>
      </w:r>
      <w:r w:rsidR="00EC03A3">
        <w:noBreakHyphen/>
        <w:t>M</w:t>
      </w:r>
      <w:r w:rsidRPr="00181EF3">
        <w:t>āori males decreased over time</w:t>
      </w:r>
    </w:p>
    <w:p w14:paraId="0DD5B7F7" w14:textId="0CA86800" w:rsidR="00DC0539" w:rsidRPr="00181EF3" w:rsidRDefault="00DC0539" w:rsidP="00DC0539">
      <w:r w:rsidRPr="00181EF3">
        <w:t xml:space="preserve">The difference in age-standardised colorectal cancer registration rates between Māori and </w:t>
      </w:r>
      <w:r w:rsidR="00EC03A3">
        <w:t>non</w:t>
      </w:r>
      <w:r w:rsidR="00EC03A3">
        <w:noBreakHyphen/>
        <w:t>M</w:t>
      </w:r>
      <w:r w:rsidRPr="00181EF3">
        <w:t xml:space="preserve">āori males aged 25 years and over decreased over time. Māori males aged 25 years and over had 16.6 fewer registrations per 100,000 than </w:t>
      </w:r>
      <w:r w:rsidR="00EC03A3">
        <w:t>non</w:t>
      </w:r>
      <w:r w:rsidR="00EC03A3">
        <w:noBreakHyphen/>
        <w:t>M</w:t>
      </w:r>
      <w:r w:rsidRPr="00181EF3">
        <w:t>āori</w:t>
      </w:r>
      <w:r w:rsidR="00BB6271">
        <w:t xml:space="preserve"> males</w:t>
      </w:r>
      <w:r w:rsidRPr="00181EF3">
        <w:t xml:space="preserve"> in 1996–98, and 7.0 fewer registrations per 100,000 in 2013–15.</w:t>
      </w:r>
    </w:p>
    <w:p w14:paraId="5AFF4397" w14:textId="77777777" w:rsidR="00DC0539" w:rsidRPr="00181EF3" w:rsidRDefault="00DC0539" w:rsidP="00DC0539"/>
    <w:p w14:paraId="0DD0CEED" w14:textId="2CD599D8" w:rsidR="00DC0539" w:rsidRPr="00181EF3" w:rsidRDefault="00DC0539" w:rsidP="00DC0539">
      <w:r w:rsidRPr="00181EF3">
        <w:t xml:space="preserve">Māori males aged 25 years and over had a significantly lower colorectal cancer registration rate than </w:t>
      </w:r>
      <w:r w:rsidR="00EC03A3">
        <w:t>non</w:t>
      </w:r>
      <w:r w:rsidR="00EC03A3">
        <w:noBreakHyphen/>
        <w:t>M</w:t>
      </w:r>
      <w:r w:rsidRPr="00181EF3">
        <w:t xml:space="preserve">āori males in the same age group in 2013–15. The difference between Māori and </w:t>
      </w:r>
      <w:r w:rsidR="00EC03A3">
        <w:t>non</w:t>
      </w:r>
      <w:r w:rsidR="00EC03A3">
        <w:noBreakHyphen/>
        <w:t>M</w:t>
      </w:r>
      <w:r w:rsidRPr="00181EF3">
        <w:t>āori males is narrowing, however</w:t>
      </w:r>
      <w:r>
        <w:t>,</w:t>
      </w:r>
      <w:r w:rsidRPr="00181EF3">
        <w:t xml:space="preserve"> the age-standardised rate ratio increased from 0.74 in 1996–98 to 0.87 in 2013–15.</w:t>
      </w:r>
    </w:p>
    <w:p w14:paraId="1E9F1020" w14:textId="77777777" w:rsidR="00DC0539" w:rsidRPr="00181EF3" w:rsidRDefault="00DC0539" w:rsidP="00DC0539"/>
    <w:p w14:paraId="573A4DAD" w14:textId="3B441B1C" w:rsidR="00CC3093" w:rsidRPr="00181EF3" w:rsidRDefault="00CC3093" w:rsidP="00CC3093">
      <w:pPr>
        <w:pStyle w:val="Figure"/>
      </w:pPr>
      <w:bookmarkStart w:id="158" w:name="_Toc19101895"/>
      <w:r w:rsidRPr="00181EF3">
        <w:t xml:space="preserve">Figure </w:t>
      </w:r>
      <w:r>
        <w:t>4</w:t>
      </w:r>
      <w:r w:rsidRPr="00181EF3">
        <w:t>4: Colorectal cancer registration rate</w:t>
      </w:r>
      <w:r>
        <w:t>s</w:t>
      </w:r>
      <w:r w:rsidRPr="00181EF3">
        <w:t xml:space="preserve">, </w:t>
      </w:r>
      <w:r>
        <w:t xml:space="preserve">25+ years, </w:t>
      </w:r>
      <w:r w:rsidRPr="00181EF3">
        <w:t xml:space="preserve">Māori and </w:t>
      </w:r>
      <w:r w:rsidR="00EC03A3">
        <w:t>non</w:t>
      </w:r>
      <w:r w:rsidR="00EC03A3">
        <w:noBreakHyphen/>
        <w:t>M</w:t>
      </w:r>
      <w:r w:rsidRPr="00181EF3">
        <w:t>āori females</w:t>
      </w:r>
      <w:r>
        <w:t>,</w:t>
      </w:r>
      <w:r w:rsidRPr="00181EF3">
        <w:t xml:space="preserve"> 1996–98 to 2013–15</w:t>
      </w:r>
      <w:bookmarkEnd w:id="158"/>
    </w:p>
    <w:p w14:paraId="72C2CC92" w14:textId="77777777" w:rsidR="00CC3093" w:rsidRPr="00181EF3" w:rsidRDefault="00CC3093" w:rsidP="00CC3093">
      <w:r w:rsidRPr="00181EF3">
        <w:rPr>
          <w:noProof/>
          <w:lang w:eastAsia="en-NZ"/>
        </w:rPr>
        <w:drawing>
          <wp:inline distT="0" distB="0" distL="0" distR="0" wp14:anchorId="552ACAB9" wp14:editId="50F92F4F">
            <wp:extent cx="5130165" cy="3058916"/>
            <wp:effectExtent l="0" t="0" r="0" b="8255"/>
            <wp:docPr id="430" name="Picture 430" descr="Non-Māori women are diagnosed with colorectal cancer at higher rates than Māori women. The non-Māori rate has decreased over time, while the Māori rate has increased." title="Figure 44: Colorectal cancer registration rate, Māori and non-Māori females aged 25 years and over, from 1996–98 to 20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130165" cy="3058916"/>
                    </a:xfrm>
                    <a:prstGeom prst="rect">
                      <a:avLst/>
                    </a:prstGeom>
                  </pic:spPr>
                </pic:pic>
              </a:graphicData>
            </a:graphic>
          </wp:inline>
        </w:drawing>
      </w:r>
    </w:p>
    <w:p w14:paraId="362EFE5E" w14:textId="77777777" w:rsidR="00CC3093" w:rsidRDefault="00CC3093" w:rsidP="00CC3093">
      <w:pPr>
        <w:pStyle w:val="Note"/>
      </w:pPr>
      <w:r w:rsidRPr="00181EF3">
        <w:t>Note</w:t>
      </w:r>
      <w:r>
        <w:t>s</w:t>
      </w:r>
      <w:r w:rsidRPr="00181EF3">
        <w:t>:</w:t>
      </w:r>
    </w:p>
    <w:p w14:paraId="56166B27" w14:textId="4CF40D0F" w:rsidR="008A5642" w:rsidRDefault="00446D86" w:rsidP="00CC3093">
      <w:pPr>
        <w:pStyle w:val="Note"/>
      </w:pPr>
      <w:r>
        <w:t>Figures are age-standardised to the 2001 Census total Māori population</w:t>
      </w:r>
      <w:r w:rsidR="00CC3093" w:rsidRPr="00181EF3">
        <w:t>.</w:t>
      </w:r>
    </w:p>
    <w:p w14:paraId="2F181CA8" w14:textId="6B73D745" w:rsidR="00CC3093" w:rsidRPr="00181EF3" w:rsidRDefault="00CC3093" w:rsidP="00CC3093">
      <w:pPr>
        <w:pStyle w:val="Note"/>
      </w:pPr>
      <w:r>
        <w:t>Prioritised ethnicity has been used.</w:t>
      </w:r>
    </w:p>
    <w:p w14:paraId="319A82DD" w14:textId="77777777" w:rsidR="008A5642" w:rsidRDefault="00CC3093" w:rsidP="00886EED">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455A3F41" w14:textId="351995F4" w:rsidR="00CC3093" w:rsidRPr="00181EF3" w:rsidRDefault="00CC3093" w:rsidP="00CC3093">
      <w:pPr>
        <w:pStyle w:val="Source"/>
        <w:rPr>
          <w:rFonts w:eastAsia="Calibri"/>
        </w:rPr>
      </w:pPr>
      <w:r w:rsidRPr="00181EF3">
        <w:rPr>
          <w:rFonts w:eastAsia="Calibri"/>
        </w:rPr>
        <w:t>Source: New Zealand Cancer Registry (NZCR), Ministry of Health</w:t>
      </w:r>
      <w:r>
        <w:rPr>
          <w:rFonts w:eastAsia="Calibri"/>
        </w:rPr>
        <w:t xml:space="preserve">, </w:t>
      </w:r>
      <w:r w:rsidRPr="00181EF3">
        <w:t>1996–98 to 201</w:t>
      </w:r>
      <w:r>
        <w:t>3</w:t>
      </w:r>
      <w:r w:rsidRPr="00181EF3">
        <w:t>–1</w:t>
      </w:r>
      <w:r>
        <w:t>5</w:t>
      </w:r>
      <w:r w:rsidRPr="00181EF3">
        <w:rPr>
          <w:rFonts w:eastAsia="Calibri"/>
        </w:rPr>
        <w:t>.</w:t>
      </w:r>
    </w:p>
    <w:p w14:paraId="323989BD" w14:textId="77777777" w:rsidR="00CC3093" w:rsidRPr="00CC3093" w:rsidRDefault="00CC3093" w:rsidP="00CC3093"/>
    <w:p w14:paraId="6465EB6E" w14:textId="69C89DCA" w:rsidR="00CC3093" w:rsidRDefault="00CC3093" w:rsidP="00CC3093">
      <w:r w:rsidRPr="00181EF3">
        <w:t xml:space="preserve">Figure </w:t>
      </w:r>
      <w:r>
        <w:t>4</w:t>
      </w:r>
      <w:r w:rsidRPr="00181EF3">
        <w:t xml:space="preserve">4 shows that Māori females aged 25 years and over have a lower colorectal cancer registration rate than </w:t>
      </w:r>
      <w:r w:rsidR="00EC03A3">
        <w:t>non</w:t>
      </w:r>
      <w:r w:rsidR="00EC03A3">
        <w:noBreakHyphen/>
        <w:t>M</w:t>
      </w:r>
      <w:r w:rsidRPr="00181EF3">
        <w:t>āori females in the same age group over time, after adjusting for age.</w:t>
      </w:r>
    </w:p>
    <w:p w14:paraId="77150FA0" w14:textId="77777777" w:rsidR="00B14564" w:rsidRDefault="00B14564" w:rsidP="00CC3093"/>
    <w:p w14:paraId="3505B7A6" w14:textId="77777777" w:rsidR="007B2CA8" w:rsidRDefault="007B2CA8" w:rsidP="007B2CA8">
      <w:pPr>
        <w:pStyle w:val="Heading4"/>
      </w:pPr>
      <w:r w:rsidRPr="00181EF3">
        <w:lastRenderedPageBreak/>
        <w:t>Colorectal cancer registration rate increased over time for Māori females</w:t>
      </w:r>
    </w:p>
    <w:p w14:paraId="3763293B" w14:textId="32F308C3" w:rsidR="00CC3093" w:rsidRPr="00181EF3" w:rsidRDefault="00CC3093" w:rsidP="00B14564">
      <w:pPr>
        <w:keepNext/>
      </w:pPr>
      <w:r w:rsidRPr="00181EF3">
        <w:t xml:space="preserve">After adjusting for age, colorectal cancer registration rates increased over time for Māori females aged 25 years and over but decreased for </w:t>
      </w:r>
      <w:r w:rsidR="00EC03A3">
        <w:t>non</w:t>
      </w:r>
      <w:r w:rsidR="00EC03A3">
        <w:noBreakHyphen/>
        <w:t>M</w:t>
      </w:r>
      <w:r w:rsidRPr="00181EF3">
        <w:t>āori females in the same age group.</w:t>
      </w:r>
    </w:p>
    <w:p w14:paraId="723192AC" w14:textId="77777777" w:rsidR="00CC3093" w:rsidRPr="00CC3093" w:rsidRDefault="00CC3093" w:rsidP="00B14564">
      <w:pPr>
        <w:keepNext/>
      </w:pPr>
    </w:p>
    <w:p w14:paraId="72D4D34E" w14:textId="77777777" w:rsidR="00DC0539" w:rsidRPr="00181EF3" w:rsidRDefault="00DC0539" w:rsidP="00DC0539">
      <w:r w:rsidRPr="00181EF3">
        <w:t>The age-standardised colorectal cancer registration rates for Māori females aged 25 years and over increased by 21</w:t>
      </w:r>
      <w:r>
        <w:t xml:space="preserve"> percent</w:t>
      </w:r>
      <w:r w:rsidRPr="00181EF3">
        <w:t>, from 27.7 registrations per 100,000 in 1996–98 to 33.6 registrations per 100,000 in 2013–15.</w:t>
      </w:r>
    </w:p>
    <w:p w14:paraId="69BB5D3B" w14:textId="77777777" w:rsidR="00DC0539" w:rsidRPr="00181EF3" w:rsidRDefault="00DC0539" w:rsidP="00DC0539"/>
    <w:p w14:paraId="53F4910D" w14:textId="1AC3FA31" w:rsidR="00DC0539" w:rsidRDefault="00DC0539" w:rsidP="00DC0539">
      <w:r w:rsidRPr="00181EF3">
        <w:t xml:space="preserve">For </w:t>
      </w:r>
      <w:r w:rsidR="00EC03A3">
        <w:t>non</w:t>
      </w:r>
      <w:r w:rsidR="00EC03A3">
        <w:noBreakHyphen/>
        <w:t>M</w:t>
      </w:r>
      <w:r w:rsidRPr="00181EF3">
        <w:t>āori females in the same age group, the age-standardised colorectal cancer registration decreased by 19 percent over time, from 51.7 registrations per 100,000 in 1996–98 to 42.0 registrations per 100,000 in 2013–15.</w:t>
      </w:r>
    </w:p>
    <w:p w14:paraId="79432198" w14:textId="77777777" w:rsidR="00B14564" w:rsidRPr="00181EF3" w:rsidRDefault="00B14564" w:rsidP="00DC0539"/>
    <w:p w14:paraId="686D79C9" w14:textId="264189A5" w:rsidR="00DC0539" w:rsidRPr="00181EF3" w:rsidRDefault="00DC0539" w:rsidP="00CC3093">
      <w:pPr>
        <w:pStyle w:val="Heading4"/>
      </w:pPr>
      <w:r w:rsidRPr="00181EF3">
        <w:t xml:space="preserve">The difference in colorectal cancer registration rates between Māori and </w:t>
      </w:r>
      <w:r w:rsidR="00EC03A3">
        <w:t>non</w:t>
      </w:r>
      <w:r w:rsidR="00EC03A3">
        <w:noBreakHyphen/>
        <w:t>M</w:t>
      </w:r>
      <w:r w:rsidRPr="00181EF3">
        <w:t>āori females decreased over time</w:t>
      </w:r>
    </w:p>
    <w:p w14:paraId="4AE5FA99" w14:textId="3A85129D" w:rsidR="00DC0539" w:rsidRPr="00181EF3" w:rsidRDefault="00DC0539" w:rsidP="00DC0539">
      <w:r w:rsidRPr="00181EF3">
        <w:t xml:space="preserve">The difference in age-standardised colorectal cancer registration rates between Māori and </w:t>
      </w:r>
      <w:r w:rsidR="00EC03A3">
        <w:t>non</w:t>
      </w:r>
      <w:r w:rsidR="00EC03A3">
        <w:noBreakHyphen/>
        <w:t>M</w:t>
      </w:r>
      <w:r w:rsidRPr="00181EF3">
        <w:t xml:space="preserve">āori females aged 25 years and over decreased by 65 percent over time. Māori females aged 25 years and over had 24.0 fewer registrations per 100,000 than </w:t>
      </w:r>
      <w:r w:rsidR="00EC03A3">
        <w:t>non</w:t>
      </w:r>
      <w:r w:rsidR="00EC03A3">
        <w:noBreakHyphen/>
        <w:t>M</w:t>
      </w:r>
      <w:r w:rsidRPr="00181EF3">
        <w:t>āori</w:t>
      </w:r>
      <w:r w:rsidR="00BB6271">
        <w:t xml:space="preserve"> females</w:t>
      </w:r>
      <w:r w:rsidRPr="00181EF3">
        <w:t xml:space="preserve"> in 1996–98, and 8.4 fewer registrations per 100,000 in 2013–15.</w:t>
      </w:r>
    </w:p>
    <w:p w14:paraId="73CB8C9B" w14:textId="77777777" w:rsidR="00DC0539" w:rsidRPr="00181EF3" w:rsidRDefault="00DC0539" w:rsidP="00DC0539"/>
    <w:p w14:paraId="62DE0C05" w14:textId="56E1CDCF" w:rsidR="00DC0539" w:rsidRPr="00181EF3" w:rsidRDefault="00DC0539" w:rsidP="00DC0539">
      <w:r w:rsidRPr="00181EF3">
        <w:t xml:space="preserve">Māori females aged 25 years and over had a lower colorectal cancer registration rate than </w:t>
      </w:r>
      <w:r w:rsidR="00EC03A3">
        <w:t>non</w:t>
      </w:r>
      <w:r w:rsidR="00EC03A3">
        <w:noBreakHyphen/>
        <w:t>M</w:t>
      </w:r>
      <w:r w:rsidRPr="00181EF3">
        <w:t xml:space="preserve">āori females in the same age group in 2013–15, however, the difference between Māori and </w:t>
      </w:r>
      <w:r w:rsidR="00EC03A3">
        <w:t>non</w:t>
      </w:r>
      <w:r w:rsidR="00EC03A3">
        <w:noBreakHyphen/>
        <w:t>M</w:t>
      </w:r>
      <w:r w:rsidRPr="00181EF3">
        <w:t>āori females is narrowing. The age</w:t>
      </w:r>
      <w:r w:rsidRPr="00181EF3">
        <w:noBreakHyphen/>
        <w:t>standardised rate ratio increased by 51 percent, from 0.53 in 1996–98 to 0.80 in 2013–15.</w:t>
      </w:r>
    </w:p>
    <w:p w14:paraId="7B800370" w14:textId="77777777" w:rsidR="00DC0539" w:rsidRPr="00181EF3" w:rsidRDefault="00DC0539" w:rsidP="00DC0539"/>
    <w:p w14:paraId="7910E7E7" w14:textId="5AC9D42B" w:rsidR="00CC3093" w:rsidRPr="00181EF3" w:rsidRDefault="00CC3093" w:rsidP="00CC3093">
      <w:pPr>
        <w:pStyle w:val="Figure"/>
      </w:pPr>
      <w:bookmarkStart w:id="159" w:name="_Toc19101896"/>
      <w:r w:rsidRPr="00181EF3">
        <w:lastRenderedPageBreak/>
        <w:t xml:space="preserve">Figure </w:t>
      </w:r>
      <w:r>
        <w:t>4</w:t>
      </w:r>
      <w:r w:rsidRPr="00181EF3">
        <w:t>5: Colorectal cancer mortality rate</w:t>
      </w:r>
      <w:r>
        <w:t>s</w:t>
      </w:r>
      <w:r w:rsidRPr="00181EF3">
        <w:t xml:space="preserve">, </w:t>
      </w:r>
      <w:r>
        <w:t xml:space="preserve">25+ years, </w:t>
      </w:r>
      <w:r w:rsidRPr="00181EF3">
        <w:t xml:space="preserve">Māori and </w:t>
      </w:r>
      <w:r w:rsidR="00EC03A3">
        <w:t>non</w:t>
      </w:r>
      <w:r w:rsidR="00EC03A3">
        <w:noBreakHyphen/>
        <w:t>M</w:t>
      </w:r>
      <w:r w:rsidRPr="00181EF3">
        <w:t>āori males</w:t>
      </w:r>
      <w:r>
        <w:t>,</w:t>
      </w:r>
      <w:r w:rsidRPr="00181EF3">
        <w:t xml:space="preserve"> 1996–98 to 2012–14</w:t>
      </w:r>
      <w:bookmarkEnd w:id="159"/>
    </w:p>
    <w:p w14:paraId="189D91D1" w14:textId="77777777" w:rsidR="00CC3093" w:rsidRPr="00181EF3" w:rsidRDefault="00CC3093" w:rsidP="00B14564">
      <w:pPr>
        <w:keepNext/>
      </w:pPr>
      <w:r w:rsidRPr="00181EF3">
        <w:rPr>
          <w:noProof/>
          <w:lang w:eastAsia="en-NZ"/>
        </w:rPr>
        <w:drawing>
          <wp:inline distT="0" distB="0" distL="0" distR="0" wp14:anchorId="29E5A435" wp14:editId="5226F90D">
            <wp:extent cx="5130165" cy="3058916"/>
            <wp:effectExtent l="0" t="0" r="0" b="8255"/>
            <wp:docPr id="431" name="Picture 431" descr="The graph shows that Māori and non-Māori men die of colorectal cancer at about the same rate, which has decreased over time." title="Figure 45: Colorectal cancer mortality rate, Māori and non-Māori males aged 25 years and over, from 1996–98 to 20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130165" cy="3058916"/>
                    </a:xfrm>
                    <a:prstGeom prst="rect">
                      <a:avLst/>
                    </a:prstGeom>
                  </pic:spPr>
                </pic:pic>
              </a:graphicData>
            </a:graphic>
          </wp:inline>
        </w:drawing>
      </w:r>
    </w:p>
    <w:p w14:paraId="6FEFAD01" w14:textId="77777777" w:rsidR="00CC3093" w:rsidRDefault="00CC3093" w:rsidP="00B14564">
      <w:pPr>
        <w:pStyle w:val="Note"/>
        <w:keepNext/>
      </w:pPr>
      <w:r w:rsidRPr="00181EF3">
        <w:t>Note</w:t>
      </w:r>
      <w:r>
        <w:t>s</w:t>
      </w:r>
      <w:r w:rsidRPr="00181EF3">
        <w:t>:</w:t>
      </w:r>
    </w:p>
    <w:p w14:paraId="4F494E05" w14:textId="7A4A6980" w:rsidR="008A5642" w:rsidRDefault="00446D86" w:rsidP="00B14564">
      <w:pPr>
        <w:pStyle w:val="Note"/>
        <w:keepNext/>
      </w:pPr>
      <w:r>
        <w:t>Figures are age-standardised to the 2001 Census total Māori population</w:t>
      </w:r>
      <w:r w:rsidR="00CC3093" w:rsidRPr="00181EF3">
        <w:t>.</w:t>
      </w:r>
    </w:p>
    <w:p w14:paraId="49C8E2C4" w14:textId="0F9B2E3B" w:rsidR="00CC3093" w:rsidRPr="00181EF3" w:rsidRDefault="00CC3093" w:rsidP="00CC3093">
      <w:pPr>
        <w:pStyle w:val="Note"/>
      </w:pPr>
      <w:r>
        <w:t>Prioritised ethnicity has been used.</w:t>
      </w:r>
    </w:p>
    <w:p w14:paraId="083DEBAF" w14:textId="77777777" w:rsidR="008A5642" w:rsidRDefault="00CC3093" w:rsidP="00886EED">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1B7CA701" w14:textId="4A4305AF" w:rsidR="00CC3093" w:rsidRPr="00181EF3" w:rsidRDefault="00CC3093" w:rsidP="00CC3093">
      <w:pPr>
        <w:pStyle w:val="Source"/>
        <w:rPr>
          <w:rFonts w:eastAsia="Calibri"/>
        </w:rPr>
      </w:pPr>
      <w:r w:rsidRPr="00181EF3">
        <w:rPr>
          <w:rFonts w:eastAsia="Calibri"/>
        </w:rPr>
        <w:t>Source: Mortality Collection Data Set (MORT), Ministry of Health</w:t>
      </w:r>
      <w:r>
        <w:rPr>
          <w:rFonts w:eastAsia="Calibri"/>
        </w:rPr>
        <w:t xml:space="preserve">, </w:t>
      </w:r>
      <w:r w:rsidRPr="00181EF3">
        <w:t>1996–98 to 2012–14</w:t>
      </w:r>
      <w:r w:rsidRPr="00181EF3">
        <w:rPr>
          <w:rFonts w:eastAsia="Calibri"/>
        </w:rPr>
        <w:t>.</w:t>
      </w:r>
    </w:p>
    <w:p w14:paraId="6E7B12F7" w14:textId="77777777" w:rsidR="0094130D" w:rsidRDefault="0094130D" w:rsidP="00CC3093"/>
    <w:p w14:paraId="0E1DC7ED" w14:textId="119FDA20" w:rsidR="00CC3093" w:rsidRDefault="00CC3093" w:rsidP="00CC3093">
      <w:r w:rsidRPr="00181EF3">
        <w:t xml:space="preserve">Although Māori males aged 25 years and over had a lower colorectal cancer registration rate than </w:t>
      </w:r>
      <w:r w:rsidR="00EC03A3">
        <w:t>non</w:t>
      </w:r>
      <w:r w:rsidR="00EC03A3">
        <w:noBreakHyphen/>
        <w:t>M</w:t>
      </w:r>
      <w:r w:rsidRPr="00181EF3">
        <w:t xml:space="preserve">āori males in the same age group, Māori males aged 25 years and over had a similar colorectal cancer mortality rate as </w:t>
      </w:r>
      <w:r w:rsidR="00EC03A3">
        <w:t>non</w:t>
      </w:r>
      <w:r w:rsidR="00EC03A3">
        <w:noBreakHyphen/>
        <w:t>M</w:t>
      </w:r>
      <w:r w:rsidRPr="00181EF3">
        <w:t xml:space="preserve">āori males in the same age group, after adjusting for age (Figure </w:t>
      </w:r>
      <w:r>
        <w:t>4</w:t>
      </w:r>
      <w:r w:rsidRPr="00181EF3">
        <w:t>5).</w:t>
      </w:r>
    </w:p>
    <w:p w14:paraId="024CE6E6" w14:textId="77777777" w:rsidR="00B14564" w:rsidRDefault="00B14564" w:rsidP="00CC3093"/>
    <w:p w14:paraId="278B7C35" w14:textId="77777777" w:rsidR="007B2CA8" w:rsidRDefault="007B2CA8" w:rsidP="007B2CA8">
      <w:pPr>
        <w:pStyle w:val="Heading4"/>
      </w:pPr>
      <w:r w:rsidRPr="00181EF3">
        <w:t>Colorectal cancer mortality rate decreased over time for Māori males</w:t>
      </w:r>
    </w:p>
    <w:p w14:paraId="2D28BE11" w14:textId="0A32BEB0" w:rsidR="00CC3093" w:rsidRPr="00181EF3" w:rsidRDefault="00CC3093" w:rsidP="00CC3093">
      <w:r w:rsidRPr="00181EF3">
        <w:t xml:space="preserve">After adjusting for age, the colorectal cancer mortality rates decreased over time for both Māori and </w:t>
      </w:r>
      <w:r w:rsidR="00EC03A3">
        <w:t>non</w:t>
      </w:r>
      <w:r w:rsidR="00EC03A3">
        <w:noBreakHyphen/>
        <w:t>M</w:t>
      </w:r>
      <w:r w:rsidRPr="00181EF3">
        <w:t>āori males aged 25 years and over.</w:t>
      </w:r>
    </w:p>
    <w:p w14:paraId="0F107097" w14:textId="77777777" w:rsidR="00CC3093" w:rsidRPr="00CC3093" w:rsidRDefault="00CC3093" w:rsidP="00CC3093"/>
    <w:p w14:paraId="04BBFF3D" w14:textId="77777777" w:rsidR="00DC0539" w:rsidRPr="00181EF3" w:rsidRDefault="00DC0539" w:rsidP="00DC0539">
      <w:r w:rsidRPr="00181EF3">
        <w:t>The age-standardised colorectal cancer mortality rates for Māori males aged 25 years and over decreased by 17 percent over time, from 22.5 deaths per 100,000 in 1996–98 to 18.7 deaths per 100,000 in 2012–14.</w:t>
      </w:r>
    </w:p>
    <w:p w14:paraId="3B3B8B58" w14:textId="77777777" w:rsidR="00DC0539" w:rsidRPr="00181EF3" w:rsidRDefault="00DC0539" w:rsidP="00DC0539"/>
    <w:p w14:paraId="765D940B" w14:textId="01FB29A1" w:rsidR="00DC0539" w:rsidRDefault="00DC0539" w:rsidP="00DC0539">
      <w:r w:rsidRPr="00181EF3">
        <w:t xml:space="preserve">The age-standardised colorectal cancer mortality rates for </w:t>
      </w:r>
      <w:r w:rsidR="00EC03A3">
        <w:t>non</w:t>
      </w:r>
      <w:r w:rsidR="00EC03A3">
        <w:noBreakHyphen/>
        <w:t>M</w:t>
      </w:r>
      <w:r w:rsidRPr="00181EF3">
        <w:t>āori males in the same age group decreased by 35 percent over time, from 28.1 deaths per 100,000 in 1996–98 to 18.2 deaths per 100,000 in 2012–14.</w:t>
      </w:r>
    </w:p>
    <w:p w14:paraId="5B42C4DE" w14:textId="77777777" w:rsidR="00B14564" w:rsidRPr="00181EF3" w:rsidRDefault="00B14564" w:rsidP="00DC0539"/>
    <w:p w14:paraId="7F056B78" w14:textId="0014FC27" w:rsidR="00DC0539" w:rsidRPr="00181EF3" w:rsidRDefault="00DC0539" w:rsidP="00CC3093">
      <w:pPr>
        <w:pStyle w:val="Heading4"/>
      </w:pPr>
      <w:r w:rsidRPr="00181EF3">
        <w:lastRenderedPageBreak/>
        <w:t xml:space="preserve">The difference in colorectal cancer mortality rates between Māori and </w:t>
      </w:r>
      <w:r w:rsidR="00EC03A3">
        <w:t>non</w:t>
      </w:r>
      <w:r w:rsidR="00EC03A3">
        <w:noBreakHyphen/>
        <w:t>M</w:t>
      </w:r>
      <w:r w:rsidRPr="00181EF3">
        <w:t>āori males increased over time</w:t>
      </w:r>
    </w:p>
    <w:p w14:paraId="0DF8D601" w14:textId="34B1BAF5" w:rsidR="00DC0539" w:rsidRPr="00181EF3" w:rsidRDefault="00DC0539" w:rsidP="00B14564">
      <w:pPr>
        <w:keepNext/>
        <w:keepLines/>
      </w:pPr>
      <w:r w:rsidRPr="00181EF3">
        <w:t xml:space="preserve">The difference in age-standardised colorectal cancer mortality rate between Māori and </w:t>
      </w:r>
      <w:r w:rsidR="00EC03A3">
        <w:t>non</w:t>
      </w:r>
      <w:r w:rsidR="00EC03A3">
        <w:noBreakHyphen/>
        <w:t>M</w:t>
      </w:r>
      <w:r w:rsidRPr="00181EF3">
        <w:t xml:space="preserve">āori males aged 25 years and over increased over time. Māori males aged 25 years and over had 5.6 fewer deaths per 100,000 than </w:t>
      </w:r>
      <w:r w:rsidR="00EC03A3">
        <w:t>non</w:t>
      </w:r>
      <w:r w:rsidR="00EC03A3">
        <w:noBreakHyphen/>
        <w:t>M</w:t>
      </w:r>
      <w:r w:rsidRPr="00181EF3">
        <w:t xml:space="preserve">āori </w:t>
      </w:r>
      <w:r w:rsidR="00BB6271">
        <w:t xml:space="preserve">males </w:t>
      </w:r>
      <w:r w:rsidRPr="00181EF3">
        <w:t>in 1996–98, and 0.5 more deaths per 100,000 in 2012–14.</w:t>
      </w:r>
    </w:p>
    <w:p w14:paraId="1E369E23" w14:textId="77777777" w:rsidR="00DC0539" w:rsidRPr="00181EF3" w:rsidRDefault="00DC0539" w:rsidP="00DC0539"/>
    <w:p w14:paraId="305D59EA" w14:textId="2453D29E" w:rsidR="00DC0539" w:rsidRDefault="00CC3093" w:rsidP="00DC0539">
      <w:r>
        <w:t>There</w:t>
      </w:r>
      <w:r w:rsidR="00DC0539" w:rsidRPr="00181EF3">
        <w:t xml:space="preserve"> was no significant difference in colorectal mortality rates over time between Māori males and </w:t>
      </w:r>
      <w:r w:rsidR="00EC03A3">
        <w:t>non</w:t>
      </w:r>
      <w:r w:rsidR="00EC03A3">
        <w:noBreakHyphen/>
        <w:t>M</w:t>
      </w:r>
      <w:r w:rsidR="00DC0539" w:rsidRPr="00181EF3">
        <w:t>āori males aged 25 years and over in the same age group.</w:t>
      </w:r>
    </w:p>
    <w:p w14:paraId="70EFA49F" w14:textId="6D0D1C5B" w:rsidR="0094130D" w:rsidRDefault="0094130D" w:rsidP="00DC0539"/>
    <w:p w14:paraId="631D7BD4" w14:textId="755F2F72" w:rsidR="00CC3093" w:rsidRPr="00181EF3" w:rsidRDefault="00CC3093" w:rsidP="00CC3093">
      <w:pPr>
        <w:pStyle w:val="Figure"/>
      </w:pPr>
      <w:bookmarkStart w:id="160" w:name="_Toc19101897"/>
      <w:r w:rsidRPr="00181EF3">
        <w:t xml:space="preserve">Figure </w:t>
      </w:r>
      <w:r>
        <w:t>4</w:t>
      </w:r>
      <w:r w:rsidRPr="00181EF3">
        <w:t>6: Colorectal cancer mortality rate</w:t>
      </w:r>
      <w:r>
        <w:t>s</w:t>
      </w:r>
      <w:r w:rsidRPr="00181EF3">
        <w:t xml:space="preserve">, </w:t>
      </w:r>
      <w:r>
        <w:t xml:space="preserve">25+ years, </w:t>
      </w:r>
      <w:r w:rsidRPr="00181EF3">
        <w:t xml:space="preserve">Māori and </w:t>
      </w:r>
      <w:r w:rsidR="00EC03A3">
        <w:t>non</w:t>
      </w:r>
      <w:r w:rsidR="00EC03A3">
        <w:noBreakHyphen/>
        <w:t>M</w:t>
      </w:r>
      <w:r w:rsidRPr="00181EF3">
        <w:t>āori females</w:t>
      </w:r>
      <w:r>
        <w:t>,</w:t>
      </w:r>
      <w:r w:rsidRPr="00181EF3">
        <w:t xml:space="preserve"> 1996–98 to 2012–14</w:t>
      </w:r>
      <w:bookmarkEnd w:id="160"/>
    </w:p>
    <w:p w14:paraId="7D247138" w14:textId="77777777" w:rsidR="00CC3093" w:rsidRPr="00181EF3" w:rsidRDefault="00CC3093" w:rsidP="00CC3093">
      <w:r w:rsidRPr="00181EF3">
        <w:rPr>
          <w:noProof/>
          <w:lang w:eastAsia="en-NZ"/>
        </w:rPr>
        <w:drawing>
          <wp:inline distT="0" distB="0" distL="0" distR="0" wp14:anchorId="4F05DCB9" wp14:editId="57AD087B">
            <wp:extent cx="5130165" cy="3058916"/>
            <wp:effectExtent l="0" t="0" r="0" b="8255"/>
            <wp:docPr id="432" name="Picture 432" descr="The graph shows that non-Māori women die of colorectal cancer at a higher rate than Māori women, though the rates for both have decreased slightly over time." title="Figure 46: Colorectal cancer mortality rate, Māori and non-Māori females aged 25 years and over, from 1996–98 to 20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130165" cy="3058916"/>
                    </a:xfrm>
                    <a:prstGeom prst="rect">
                      <a:avLst/>
                    </a:prstGeom>
                  </pic:spPr>
                </pic:pic>
              </a:graphicData>
            </a:graphic>
          </wp:inline>
        </w:drawing>
      </w:r>
    </w:p>
    <w:p w14:paraId="7A185F2F" w14:textId="77777777" w:rsidR="00CC3093" w:rsidRDefault="00CC3093" w:rsidP="00CC3093">
      <w:pPr>
        <w:pStyle w:val="Note"/>
      </w:pPr>
      <w:r w:rsidRPr="00181EF3">
        <w:t>Note</w:t>
      </w:r>
      <w:r>
        <w:t>s</w:t>
      </w:r>
      <w:r w:rsidRPr="00181EF3">
        <w:t>:</w:t>
      </w:r>
    </w:p>
    <w:p w14:paraId="45D3457F" w14:textId="04901551" w:rsidR="008A5642" w:rsidRDefault="00446D86" w:rsidP="00CC3093">
      <w:pPr>
        <w:pStyle w:val="Note"/>
      </w:pPr>
      <w:r>
        <w:t>Figures are age-standardised to the 2001 Census total Māori population</w:t>
      </w:r>
      <w:r w:rsidR="00CC3093" w:rsidRPr="00181EF3">
        <w:t>.</w:t>
      </w:r>
    </w:p>
    <w:p w14:paraId="28F07867" w14:textId="4A875BA2" w:rsidR="00CC3093" w:rsidRPr="00181EF3" w:rsidRDefault="00CC3093" w:rsidP="00CC3093">
      <w:pPr>
        <w:pStyle w:val="Note"/>
      </w:pPr>
      <w:r>
        <w:t>Prioritised ethnicity has been used.</w:t>
      </w:r>
    </w:p>
    <w:p w14:paraId="76F40A07" w14:textId="77777777" w:rsidR="008A5642" w:rsidRDefault="00CC3093" w:rsidP="00886EED">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586942E3" w14:textId="551DE556" w:rsidR="00CC3093" w:rsidRPr="00181EF3" w:rsidRDefault="00CC3093" w:rsidP="00CC3093">
      <w:pPr>
        <w:pStyle w:val="Source"/>
        <w:rPr>
          <w:rFonts w:eastAsia="Calibri"/>
        </w:rPr>
      </w:pPr>
      <w:r w:rsidRPr="00181EF3">
        <w:rPr>
          <w:rFonts w:eastAsia="Calibri"/>
        </w:rPr>
        <w:t>Source: Mortality Collection Data Set (MORT), Ministry of Health</w:t>
      </w:r>
      <w:r>
        <w:rPr>
          <w:rFonts w:eastAsia="Calibri"/>
        </w:rPr>
        <w:t xml:space="preserve">, </w:t>
      </w:r>
      <w:r w:rsidRPr="00181EF3">
        <w:t>1996–98 to 2012–14</w:t>
      </w:r>
      <w:r w:rsidRPr="00181EF3">
        <w:rPr>
          <w:rFonts w:eastAsia="Calibri"/>
        </w:rPr>
        <w:t>.</w:t>
      </w:r>
    </w:p>
    <w:p w14:paraId="5937DA7A" w14:textId="77777777" w:rsidR="00CC3093" w:rsidRPr="00CC3093" w:rsidRDefault="00CC3093" w:rsidP="00CC3093"/>
    <w:p w14:paraId="4EC55642" w14:textId="6AE6E3D6" w:rsidR="00CC3093" w:rsidRDefault="00CC3093" w:rsidP="00CC3093">
      <w:r w:rsidRPr="00181EF3">
        <w:t xml:space="preserve">Figure </w:t>
      </w:r>
      <w:r>
        <w:t>4</w:t>
      </w:r>
      <w:r w:rsidRPr="00181EF3">
        <w:t xml:space="preserve">6 shows that Māori females aged 25 years and over have a lower colorectal cancer mortality rate than </w:t>
      </w:r>
      <w:r w:rsidR="00EC03A3">
        <w:t>non</w:t>
      </w:r>
      <w:r w:rsidR="00EC03A3">
        <w:noBreakHyphen/>
        <w:t>M</w:t>
      </w:r>
      <w:r w:rsidRPr="00181EF3">
        <w:t>āori females in the same age group, after adjusting for age.</w:t>
      </w:r>
    </w:p>
    <w:p w14:paraId="49149AE1" w14:textId="77777777" w:rsidR="00B14564" w:rsidRPr="00181EF3" w:rsidRDefault="00B14564" w:rsidP="00CC3093"/>
    <w:p w14:paraId="038AF6F3" w14:textId="77777777" w:rsidR="007B2CA8" w:rsidRDefault="007B2CA8" w:rsidP="007B2CA8">
      <w:pPr>
        <w:pStyle w:val="Heading4"/>
      </w:pPr>
      <w:r w:rsidRPr="00181EF3">
        <w:lastRenderedPageBreak/>
        <w:t>Colorectal cancer mortality rate decreased over time for Māori females</w:t>
      </w:r>
    </w:p>
    <w:p w14:paraId="05307B02" w14:textId="68F34BC1" w:rsidR="00CC3093" w:rsidRDefault="00CC3093" w:rsidP="00B14564">
      <w:pPr>
        <w:keepNext/>
      </w:pPr>
      <w:r w:rsidRPr="00181EF3">
        <w:t xml:space="preserve">After adjusting for age, colorectal cancer mortality rates decreased over time for both Māori and </w:t>
      </w:r>
      <w:r w:rsidR="00EC03A3">
        <w:t>non</w:t>
      </w:r>
      <w:r w:rsidR="00EC03A3">
        <w:noBreakHyphen/>
        <w:t>M</w:t>
      </w:r>
      <w:r w:rsidRPr="00181EF3">
        <w:t>āori females aged 25 years and over.</w:t>
      </w:r>
    </w:p>
    <w:p w14:paraId="2FEBAE14" w14:textId="77777777" w:rsidR="00CC3093" w:rsidRDefault="00CC3093" w:rsidP="00B14564">
      <w:pPr>
        <w:keepNext/>
      </w:pPr>
    </w:p>
    <w:p w14:paraId="7F821180" w14:textId="77777777" w:rsidR="00DC0539" w:rsidRPr="00181EF3" w:rsidRDefault="00DC0539" w:rsidP="00DC0539">
      <w:r w:rsidRPr="00181EF3">
        <w:t xml:space="preserve">The age-standardised colorectal cancer mortality rates for Māori females aged 25 years and over </w:t>
      </w:r>
      <w:r>
        <w:t>decreased</w:t>
      </w:r>
      <w:r w:rsidRPr="00181EF3">
        <w:t xml:space="preserve"> over time, </w:t>
      </w:r>
      <w:r>
        <w:t>from</w:t>
      </w:r>
      <w:r w:rsidRPr="00181EF3">
        <w:t xml:space="preserve"> 15.2 deaths per 100,000 in 1996–98 </w:t>
      </w:r>
      <w:r>
        <w:t>to</w:t>
      </w:r>
      <w:r w:rsidRPr="00181EF3">
        <w:t xml:space="preserve"> 13.1 deaths per 100,000 in 2012–14.</w:t>
      </w:r>
    </w:p>
    <w:p w14:paraId="3BE64C58" w14:textId="77777777" w:rsidR="00DC0539" w:rsidRPr="00181EF3" w:rsidRDefault="00DC0539" w:rsidP="00DC0539"/>
    <w:p w14:paraId="0D0B94BA" w14:textId="28F21FF1" w:rsidR="00DC0539" w:rsidRDefault="00DC0539" w:rsidP="00DC0539">
      <w:r w:rsidRPr="00181EF3">
        <w:t xml:space="preserve">The age-standardised colorectal cancer mortality rates for </w:t>
      </w:r>
      <w:r w:rsidR="00EC03A3">
        <w:t>non</w:t>
      </w:r>
      <w:r w:rsidR="00EC03A3">
        <w:noBreakHyphen/>
        <w:t>M</w:t>
      </w:r>
      <w:r w:rsidRPr="00181EF3">
        <w:t>āori females in the same age group decreased by 28 percent over time, from 20.1 deaths per 100,000 in 1996–98 to 14.4 deaths per 100,000 in 2012–14.</w:t>
      </w:r>
    </w:p>
    <w:p w14:paraId="1E7C4A06" w14:textId="77777777" w:rsidR="00B14564" w:rsidRPr="00181EF3" w:rsidRDefault="00B14564" w:rsidP="00DC0539"/>
    <w:p w14:paraId="1055655C" w14:textId="45202772" w:rsidR="00DC0539" w:rsidRPr="00181EF3" w:rsidRDefault="00DC0539" w:rsidP="00CC3093">
      <w:pPr>
        <w:pStyle w:val="Heading4"/>
      </w:pPr>
      <w:r w:rsidRPr="00181EF3">
        <w:t xml:space="preserve">The difference in colorectal cancer mortality rates between Māori and </w:t>
      </w:r>
      <w:r w:rsidR="00EC03A3">
        <w:t>non</w:t>
      </w:r>
      <w:r w:rsidR="00EC03A3">
        <w:noBreakHyphen/>
        <w:t>M</w:t>
      </w:r>
      <w:r w:rsidRPr="00181EF3">
        <w:t>āori females decreased over time</w:t>
      </w:r>
    </w:p>
    <w:p w14:paraId="371E4055" w14:textId="443E2D0F" w:rsidR="00DC0539" w:rsidRPr="00181EF3" w:rsidRDefault="00DC0539" w:rsidP="00DC0539">
      <w:r w:rsidRPr="00181EF3">
        <w:t xml:space="preserve">The difference in age-standardised colorectal cancer mortality rates between Māori and </w:t>
      </w:r>
      <w:r w:rsidR="00EC03A3">
        <w:t>non</w:t>
      </w:r>
      <w:r w:rsidR="00EC03A3">
        <w:noBreakHyphen/>
        <w:t>M</w:t>
      </w:r>
      <w:r w:rsidRPr="00181EF3">
        <w:t xml:space="preserve">āori females aged 25 years and over decreased over time. Māori females aged 25 years and over had 4.9 fewer deaths per 100,000 than </w:t>
      </w:r>
      <w:r w:rsidR="00EC03A3">
        <w:t>non</w:t>
      </w:r>
      <w:r w:rsidR="00EC03A3">
        <w:noBreakHyphen/>
        <w:t>M</w:t>
      </w:r>
      <w:r w:rsidRPr="00181EF3">
        <w:t>āori</w:t>
      </w:r>
      <w:r w:rsidR="00BB6271">
        <w:t xml:space="preserve"> females</w:t>
      </w:r>
      <w:r w:rsidRPr="00181EF3">
        <w:t xml:space="preserve"> in 1996–98, and 1.3 fewer deaths per 100,000 in 2012–14.</w:t>
      </w:r>
    </w:p>
    <w:p w14:paraId="1E96C26A" w14:textId="77777777" w:rsidR="00DC0539" w:rsidRPr="00181EF3" w:rsidRDefault="00DC0539" w:rsidP="00DC0539"/>
    <w:p w14:paraId="18AD2591" w14:textId="097A1734" w:rsidR="00DC0539" w:rsidRPr="00181EF3" w:rsidRDefault="00DC0539" w:rsidP="00DC0539">
      <w:r w:rsidRPr="00181EF3">
        <w:t xml:space="preserve">The difference between Māori and </w:t>
      </w:r>
      <w:r w:rsidR="00EC03A3">
        <w:t>non</w:t>
      </w:r>
      <w:r w:rsidR="00EC03A3">
        <w:noBreakHyphen/>
        <w:t>M</w:t>
      </w:r>
      <w:r w:rsidRPr="00181EF3">
        <w:t xml:space="preserve">āori females decreased over time: the age-standardised rate ratios increased from 0.75 (Māori females had a significantly lower colorectal cancer mortality rate than </w:t>
      </w:r>
      <w:r w:rsidR="00EC03A3">
        <w:t>non</w:t>
      </w:r>
      <w:r w:rsidR="00EC03A3">
        <w:noBreakHyphen/>
        <w:t>M</w:t>
      </w:r>
      <w:r w:rsidRPr="00181EF3">
        <w:t xml:space="preserve">āori females) in 1996–98 to 0.91 (there was no significant difference between Māori and </w:t>
      </w:r>
      <w:r w:rsidR="00EC03A3">
        <w:t>non</w:t>
      </w:r>
      <w:r w:rsidR="00EC03A3">
        <w:noBreakHyphen/>
        <w:t>M</w:t>
      </w:r>
      <w:r w:rsidRPr="00181EF3">
        <w:t>āori females) in 2012–14.</w:t>
      </w:r>
    </w:p>
    <w:p w14:paraId="4586E2F9" w14:textId="77777777" w:rsidR="00DC0539" w:rsidRPr="00181EF3" w:rsidRDefault="00DC0539" w:rsidP="00DC0539"/>
    <w:p w14:paraId="3899A5EB" w14:textId="77777777" w:rsidR="00DC0539" w:rsidRPr="00181EF3" w:rsidRDefault="00DC0539" w:rsidP="00B14564">
      <w:pPr>
        <w:pStyle w:val="Heading3"/>
        <w:pageBreakBefore/>
        <w:spacing w:before="0"/>
      </w:pPr>
      <w:bookmarkStart w:id="161" w:name="_Toc19102344"/>
      <w:r w:rsidRPr="00181EF3">
        <w:lastRenderedPageBreak/>
        <w:t>Cervical cancer</w:t>
      </w:r>
      <w:bookmarkEnd w:id="161"/>
    </w:p>
    <w:p w14:paraId="797F09B3" w14:textId="36FE3501" w:rsidR="00CC3093" w:rsidRPr="00181EF3" w:rsidRDefault="00CC3093" w:rsidP="00CC3093">
      <w:pPr>
        <w:pStyle w:val="Figure"/>
      </w:pPr>
      <w:bookmarkStart w:id="162" w:name="_Toc19101898"/>
      <w:r w:rsidRPr="00181EF3">
        <w:t xml:space="preserve">Figure </w:t>
      </w:r>
      <w:r>
        <w:t>4</w:t>
      </w:r>
      <w:r w:rsidRPr="00181EF3">
        <w:t>7: Cervical cancer registration rate</w:t>
      </w:r>
      <w:r>
        <w:t>s</w:t>
      </w:r>
      <w:r w:rsidRPr="00181EF3">
        <w:t xml:space="preserve">, </w:t>
      </w:r>
      <w:r>
        <w:t xml:space="preserve">25+ years, </w:t>
      </w:r>
      <w:r w:rsidRPr="00181EF3">
        <w:t xml:space="preserve">Māori and </w:t>
      </w:r>
      <w:r w:rsidR="00EC03A3">
        <w:t>non</w:t>
      </w:r>
      <w:r w:rsidR="00EC03A3">
        <w:noBreakHyphen/>
        <w:t>M</w:t>
      </w:r>
      <w:r w:rsidRPr="00181EF3">
        <w:t>āori females</w:t>
      </w:r>
      <w:r>
        <w:t>,</w:t>
      </w:r>
      <w:r w:rsidRPr="00181EF3">
        <w:t xml:space="preserve"> 1996–98 to 2013–15</w:t>
      </w:r>
      <w:bookmarkEnd w:id="162"/>
    </w:p>
    <w:p w14:paraId="19A4165C" w14:textId="77777777" w:rsidR="00CC3093" w:rsidRPr="00181EF3" w:rsidRDefault="00CC3093" w:rsidP="00CC3093">
      <w:r w:rsidRPr="00181EF3">
        <w:rPr>
          <w:noProof/>
          <w:lang w:eastAsia="en-NZ"/>
        </w:rPr>
        <w:drawing>
          <wp:inline distT="0" distB="0" distL="0" distR="0" wp14:anchorId="03642CDC" wp14:editId="6EDA4936">
            <wp:extent cx="5130165" cy="3058916"/>
            <wp:effectExtent l="0" t="0" r="0" b="8255"/>
            <wp:docPr id="433" name="Picture 433" descr="Māori women are diagnosed with cervical cancer at higher rates than non-Māori women, though their rate decreased until about 2005 and has remained relatively steady since then." title="Figure 47: Cervical cancer registration rate, Māori and non-Māori females aged 25 years and over, from 1996–98 to 20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130165" cy="3058916"/>
                    </a:xfrm>
                    <a:prstGeom prst="rect">
                      <a:avLst/>
                    </a:prstGeom>
                  </pic:spPr>
                </pic:pic>
              </a:graphicData>
            </a:graphic>
          </wp:inline>
        </w:drawing>
      </w:r>
    </w:p>
    <w:p w14:paraId="46FA847D" w14:textId="77777777" w:rsidR="00CC3093" w:rsidRDefault="00CC3093" w:rsidP="00CC3093">
      <w:pPr>
        <w:pStyle w:val="Note"/>
      </w:pPr>
      <w:r w:rsidRPr="00181EF3">
        <w:t>Note</w:t>
      </w:r>
      <w:r>
        <w:t>s</w:t>
      </w:r>
      <w:r w:rsidRPr="00181EF3">
        <w:t>:</w:t>
      </w:r>
    </w:p>
    <w:p w14:paraId="096345A8" w14:textId="44D6B0DB" w:rsidR="008A5642" w:rsidRDefault="00446D86" w:rsidP="00CC3093">
      <w:pPr>
        <w:pStyle w:val="Note"/>
      </w:pPr>
      <w:r>
        <w:t>Figures are age-standardised to the 2001 Census total Māori population</w:t>
      </w:r>
      <w:r w:rsidR="00CC3093" w:rsidRPr="00181EF3">
        <w:t>.</w:t>
      </w:r>
    </w:p>
    <w:p w14:paraId="5009CB77" w14:textId="0B319D11" w:rsidR="00CC3093" w:rsidRPr="00181EF3" w:rsidRDefault="00CC3093" w:rsidP="00CC3093">
      <w:pPr>
        <w:pStyle w:val="Note"/>
      </w:pPr>
      <w:r>
        <w:t>Prioritised ethnicity has been used.</w:t>
      </w:r>
    </w:p>
    <w:p w14:paraId="3E04575E" w14:textId="77777777" w:rsidR="008A5642" w:rsidRDefault="00CC3093" w:rsidP="00886EED">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0A70DDB5" w14:textId="40740583" w:rsidR="00CC3093" w:rsidRPr="00181EF3" w:rsidRDefault="00CC3093" w:rsidP="00CC3093">
      <w:pPr>
        <w:pStyle w:val="Source"/>
        <w:rPr>
          <w:rFonts w:eastAsia="Calibri"/>
        </w:rPr>
      </w:pPr>
      <w:r w:rsidRPr="00181EF3">
        <w:rPr>
          <w:rFonts w:eastAsia="Calibri"/>
        </w:rPr>
        <w:t>Source: New Zealand Cancer Registry (NZCR), Ministry of Health</w:t>
      </w:r>
      <w:r>
        <w:rPr>
          <w:rFonts w:eastAsia="Calibri"/>
        </w:rPr>
        <w:t xml:space="preserve">, </w:t>
      </w:r>
      <w:r w:rsidRPr="00181EF3">
        <w:t>1996–98 to 201</w:t>
      </w:r>
      <w:r>
        <w:t>3</w:t>
      </w:r>
      <w:r w:rsidRPr="00181EF3">
        <w:t>–1</w:t>
      </w:r>
      <w:r>
        <w:t>5</w:t>
      </w:r>
      <w:r w:rsidRPr="00181EF3">
        <w:rPr>
          <w:rFonts w:eastAsia="Calibri"/>
        </w:rPr>
        <w:t>.</w:t>
      </w:r>
    </w:p>
    <w:p w14:paraId="4A01FC7A" w14:textId="77777777" w:rsidR="00CC3093" w:rsidRPr="00CC3093" w:rsidRDefault="00CC3093" w:rsidP="00CC3093"/>
    <w:p w14:paraId="493FB26E" w14:textId="42F65485" w:rsidR="00CC3093" w:rsidRDefault="00CC3093" w:rsidP="00CC3093">
      <w:r w:rsidRPr="00181EF3">
        <w:t xml:space="preserve">Figure </w:t>
      </w:r>
      <w:r>
        <w:t>4</w:t>
      </w:r>
      <w:r w:rsidRPr="00181EF3">
        <w:t xml:space="preserve">7 shows that Māori females aged 25 years and over have a higher cervical cancer registration rates than </w:t>
      </w:r>
      <w:r w:rsidR="00EC03A3">
        <w:t>non</w:t>
      </w:r>
      <w:r w:rsidR="00EC03A3">
        <w:noBreakHyphen/>
        <w:t>M</w:t>
      </w:r>
      <w:r w:rsidRPr="00181EF3">
        <w:t>āori females in the same age group over time, after adjusting for age.</w:t>
      </w:r>
    </w:p>
    <w:p w14:paraId="13619AEF" w14:textId="77777777" w:rsidR="00B14564" w:rsidRDefault="00B14564" w:rsidP="00CC3093"/>
    <w:p w14:paraId="2BAD0532" w14:textId="6DEF5985" w:rsidR="007B2CA8" w:rsidRDefault="007B2CA8" w:rsidP="007B2CA8">
      <w:pPr>
        <w:pStyle w:val="Heading4"/>
      </w:pPr>
      <w:r w:rsidRPr="00181EF3">
        <w:t xml:space="preserve">Cervical cancer registration rates decreased over time for Māori and </w:t>
      </w:r>
      <w:r w:rsidR="00EC03A3">
        <w:t>non</w:t>
      </w:r>
      <w:r w:rsidR="00EC03A3">
        <w:noBreakHyphen/>
        <w:t>M</w:t>
      </w:r>
      <w:r w:rsidRPr="00181EF3">
        <w:t>āori females</w:t>
      </w:r>
    </w:p>
    <w:p w14:paraId="27AD23D6" w14:textId="77777777" w:rsidR="00DC0539" w:rsidRPr="00181EF3" w:rsidRDefault="00DC0539" w:rsidP="00DC0539">
      <w:r w:rsidRPr="00181EF3">
        <w:t>The age-standardised cervical cancer registration rates for Māori females aged 25 years and over decreased by 51 percent, from 37.3 registrations per 100,000 in 1996–98 to 18.3 registrations per 100,000 in 2013–15. Most of these decreases occurred between 1996–98 and 2005–07.</w:t>
      </w:r>
    </w:p>
    <w:p w14:paraId="384485F6" w14:textId="77777777" w:rsidR="00DC0539" w:rsidRPr="00181EF3" w:rsidRDefault="00DC0539" w:rsidP="00DC0539"/>
    <w:p w14:paraId="37D3F134" w14:textId="465D9371" w:rsidR="00DC0539" w:rsidRDefault="00DC0539" w:rsidP="00DC0539">
      <w:r w:rsidRPr="00181EF3">
        <w:t xml:space="preserve">For </w:t>
      </w:r>
      <w:r w:rsidR="00EC03A3">
        <w:t>non</w:t>
      </w:r>
      <w:r w:rsidR="00EC03A3">
        <w:noBreakHyphen/>
        <w:t>M</w:t>
      </w:r>
      <w:r w:rsidRPr="00181EF3">
        <w:t>āori females in the same age group, the age-standardised cervical cancer registration decreased by 34 percent over time, from 13.6 registrations per 100,000 in 1996–98 to 9.0 registrations per 100,000 in 2013–15.</w:t>
      </w:r>
    </w:p>
    <w:p w14:paraId="22818104" w14:textId="77777777" w:rsidR="00B14564" w:rsidRPr="00181EF3" w:rsidRDefault="00B14564" w:rsidP="00DC0539"/>
    <w:p w14:paraId="58D932A1" w14:textId="639EA4C4" w:rsidR="00DC0539" w:rsidRPr="00181EF3" w:rsidRDefault="00DC0539" w:rsidP="00CC3093">
      <w:pPr>
        <w:pStyle w:val="Heading4"/>
      </w:pPr>
      <w:r w:rsidRPr="00181EF3">
        <w:lastRenderedPageBreak/>
        <w:t xml:space="preserve">The difference in cervical cancer registration rates between Māori and </w:t>
      </w:r>
      <w:r w:rsidR="00EC03A3">
        <w:t>non</w:t>
      </w:r>
      <w:r w:rsidR="00EC03A3">
        <w:noBreakHyphen/>
        <w:t>M</w:t>
      </w:r>
      <w:r w:rsidRPr="00181EF3">
        <w:t>āori females decreased over time</w:t>
      </w:r>
    </w:p>
    <w:p w14:paraId="1F78230E" w14:textId="4A379DF1" w:rsidR="00DC0539" w:rsidRPr="00181EF3" w:rsidRDefault="00DC0539" w:rsidP="00DC0539">
      <w:r w:rsidRPr="00181EF3">
        <w:t xml:space="preserve">The difference in age-standardised cervical cancer registration rate between Māori and </w:t>
      </w:r>
      <w:r w:rsidR="00EC03A3">
        <w:t>non</w:t>
      </w:r>
      <w:r w:rsidR="00EC03A3">
        <w:noBreakHyphen/>
        <w:t>M</w:t>
      </w:r>
      <w:r w:rsidRPr="00181EF3">
        <w:t xml:space="preserve">āori females aged 25 years and over decreased by 61 percent over time. Māori females aged 25 years and over had 23.7 more registrations per 100,000 than </w:t>
      </w:r>
      <w:r w:rsidR="00EC03A3">
        <w:t>non</w:t>
      </w:r>
      <w:r w:rsidR="00EC03A3">
        <w:noBreakHyphen/>
        <w:t>M</w:t>
      </w:r>
      <w:r w:rsidRPr="00181EF3">
        <w:t>āori</w:t>
      </w:r>
      <w:r w:rsidR="00BB6271">
        <w:t xml:space="preserve"> females</w:t>
      </w:r>
      <w:r w:rsidRPr="00181EF3">
        <w:t xml:space="preserve"> in 1996–98, and 9.3 more registrations per 100,000 in 2013–15.</w:t>
      </w:r>
    </w:p>
    <w:p w14:paraId="5EE59E62" w14:textId="77777777" w:rsidR="00DC0539" w:rsidRPr="00181EF3" w:rsidRDefault="00DC0539" w:rsidP="00DC0539"/>
    <w:p w14:paraId="29FA0EB0" w14:textId="32D86882" w:rsidR="00DC0539" w:rsidRPr="00181EF3" w:rsidRDefault="00CC3093" w:rsidP="00DC0539">
      <w:pPr>
        <w:rPr>
          <w:rFonts w:eastAsia="Calibri"/>
        </w:rPr>
      </w:pPr>
      <w:r w:rsidRPr="00181EF3">
        <w:t xml:space="preserve">After adjusting for age, cervical cancer registration rates decreased over time for both Māori and </w:t>
      </w:r>
      <w:r w:rsidR="00EC03A3">
        <w:t>non</w:t>
      </w:r>
      <w:r w:rsidR="00EC03A3">
        <w:noBreakHyphen/>
        <w:t>M</w:t>
      </w:r>
      <w:r w:rsidRPr="00181EF3">
        <w:t xml:space="preserve">āori females aged 25 years and over with larger decreases for Māori females (51 percent) compared </w:t>
      </w:r>
      <w:r w:rsidR="00FF1892">
        <w:t>with</w:t>
      </w:r>
      <w:r w:rsidR="00FF1892" w:rsidRPr="00181EF3">
        <w:t xml:space="preserve"> </w:t>
      </w:r>
      <w:r w:rsidR="00EC03A3">
        <w:t>non</w:t>
      </w:r>
      <w:r w:rsidR="00EC03A3">
        <w:noBreakHyphen/>
        <w:t>M</w:t>
      </w:r>
      <w:r w:rsidRPr="00181EF3">
        <w:t>āori females (34 percent).</w:t>
      </w:r>
      <w:r>
        <w:t xml:space="preserve"> </w:t>
      </w:r>
      <w:r w:rsidR="00DC0539" w:rsidRPr="00181EF3">
        <w:t xml:space="preserve">Most of these decreases occurred between 1996–98 and 2005–07. Despite these larger decreases for Māori females, rates for Māori females remain twice as high as those of </w:t>
      </w:r>
      <w:r w:rsidR="00EC03A3">
        <w:t>non</w:t>
      </w:r>
      <w:r w:rsidR="00EC03A3">
        <w:noBreakHyphen/>
        <w:t>M</w:t>
      </w:r>
      <w:r w:rsidR="00DC0539" w:rsidRPr="00181EF3">
        <w:t>āori females</w:t>
      </w:r>
      <w:r w:rsidR="00DC0539" w:rsidRPr="00181EF3">
        <w:rPr>
          <w:rFonts w:ascii="Calibri" w:eastAsia="Calibri" w:hAnsi="Calibri"/>
          <w:noProof/>
          <w:szCs w:val="24"/>
          <w:lang w:eastAsia="en-NZ"/>
        </w:rPr>
        <w:t>.</w:t>
      </w:r>
    </w:p>
    <w:p w14:paraId="79123DCA" w14:textId="77777777" w:rsidR="00DC0539" w:rsidRPr="00181EF3" w:rsidRDefault="00DC0539" w:rsidP="00DC0539"/>
    <w:p w14:paraId="4BD97601" w14:textId="0B06E7E3" w:rsidR="00CC3093" w:rsidRPr="00181EF3" w:rsidRDefault="00CC3093" w:rsidP="00CC3093">
      <w:pPr>
        <w:pStyle w:val="Figure"/>
      </w:pPr>
      <w:bookmarkStart w:id="163" w:name="_Toc19101899"/>
      <w:r w:rsidRPr="00181EF3">
        <w:t xml:space="preserve">Figure </w:t>
      </w:r>
      <w:r>
        <w:t>4</w:t>
      </w:r>
      <w:r w:rsidRPr="00181EF3">
        <w:t>8: Cervical cancer mortality rate</w:t>
      </w:r>
      <w:r>
        <w:t>s</w:t>
      </w:r>
      <w:r w:rsidRPr="00181EF3">
        <w:t xml:space="preserve">, </w:t>
      </w:r>
      <w:r>
        <w:t xml:space="preserve">25+ years, </w:t>
      </w:r>
      <w:r w:rsidRPr="00181EF3">
        <w:t xml:space="preserve">Māori and </w:t>
      </w:r>
      <w:r w:rsidR="00EC03A3">
        <w:t>non</w:t>
      </w:r>
      <w:r w:rsidR="00EC03A3">
        <w:noBreakHyphen/>
        <w:t>M</w:t>
      </w:r>
      <w:r w:rsidRPr="00181EF3">
        <w:t>āori females</w:t>
      </w:r>
      <w:r>
        <w:t>,</w:t>
      </w:r>
      <w:r w:rsidRPr="00181EF3">
        <w:t xml:space="preserve"> 1996–98 to 2012–14</w:t>
      </w:r>
      <w:bookmarkEnd w:id="163"/>
    </w:p>
    <w:p w14:paraId="7090D582" w14:textId="77777777" w:rsidR="00CC3093" w:rsidRPr="00181EF3" w:rsidRDefault="00CC3093" w:rsidP="00CC3093">
      <w:r w:rsidRPr="00181EF3">
        <w:rPr>
          <w:noProof/>
          <w:lang w:eastAsia="en-NZ"/>
        </w:rPr>
        <w:drawing>
          <wp:inline distT="0" distB="0" distL="0" distR="0" wp14:anchorId="358AF678" wp14:editId="77D1F75D">
            <wp:extent cx="5130165" cy="3058916"/>
            <wp:effectExtent l="0" t="0" r="0" b="8255"/>
            <wp:docPr id="434" name="Picture 434" descr="Māori women die of cervical cancer at higher rates than non-Māori women. The death rates for both have gone down over time." title="Figure 48: Cervical cancer mortality rate, Māori and non-Māori females aged 25 years and over, from 1996–98 to 20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130165" cy="3058916"/>
                    </a:xfrm>
                    <a:prstGeom prst="rect">
                      <a:avLst/>
                    </a:prstGeom>
                  </pic:spPr>
                </pic:pic>
              </a:graphicData>
            </a:graphic>
          </wp:inline>
        </w:drawing>
      </w:r>
    </w:p>
    <w:p w14:paraId="7F5BD190" w14:textId="77777777" w:rsidR="00CC3093" w:rsidRDefault="00CC3093" w:rsidP="00CC3093">
      <w:pPr>
        <w:pStyle w:val="Note"/>
      </w:pPr>
      <w:r w:rsidRPr="00181EF3">
        <w:t>Note</w:t>
      </w:r>
      <w:r>
        <w:t>s</w:t>
      </w:r>
      <w:r w:rsidRPr="00181EF3">
        <w:t>:</w:t>
      </w:r>
    </w:p>
    <w:p w14:paraId="43DC2947" w14:textId="1C596377" w:rsidR="008A5642" w:rsidRDefault="00446D86" w:rsidP="00CC3093">
      <w:pPr>
        <w:pStyle w:val="Note"/>
      </w:pPr>
      <w:r>
        <w:t>Figures are age-standardised to the 2001 Census total Māori population</w:t>
      </w:r>
      <w:r w:rsidR="00CC3093" w:rsidRPr="00181EF3">
        <w:t>.</w:t>
      </w:r>
    </w:p>
    <w:p w14:paraId="4CE79AE9" w14:textId="479896C0" w:rsidR="00CC3093" w:rsidRPr="00181EF3" w:rsidRDefault="00CC3093" w:rsidP="00CC3093">
      <w:pPr>
        <w:pStyle w:val="Note"/>
      </w:pPr>
      <w:r>
        <w:t>Prioritised ethnicity has been used.</w:t>
      </w:r>
    </w:p>
    <w:p w14:paraId="5911CA60" w14:textId="77777777" w:rsidR="008A5642" w:rsidRDefault="00CC3093" w:rsidP="00886EED">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58889FC2" w14:textId="7028675A" w:rsidR="00CC3093" w:rsidRPr="00181EF3" w:rsidRDefault="00CC3093" w:rsidP="00CC3093">
      <w:pPr>
        <w:pStyle w:val="Source"/>
        <w:rPr>
          <w:rFonts w:eastAsia="Calibri"/>
        </w:rPr>
      </w:pPr>
      <w:r w:rsidRPr="00181EF3">
        <w:rPr>
          <w:rFonts w:eastAsia="Calibri"/>
        </w:rPr>
        <w:t>Source: Mortality Collection Data Set (MORT), Ministry of Health</w:t>
      </w:r>
      <w:r>
        <w:rPr>
          <w:rFonts w:eastAsia="Calibri"/>
        </w:rPr>
        <w:t xml:space="preserve">, </w:t>
      </w:r>
      <w:r w:rsidRPr="00181EF3">
        <w:t>1996–98 to 2012–14</w:t>
      </w:r>
      <w:r w:rsidRPr="00181EF3">
        <w:rPr>
          <w:rFonts w:eastAsia="Calibri"/>
        </w:rPr>
        <w:t>.</w:t>
      </w:r>
    </w:p>
    <w:p w14:paraId="0C65B4B7" w14:textId="77777777" w:rsidR="00CC3093" w:rsidRPr="00CC3093" w:rsidRDefault="00CC3093" w:rsidP="00CC3093"/>
    <w:p w14:paraId="34D27ECA" w14:textId="03699350" w:rsidR="00CC3093" w:rsidRDefault="00CC3093" w:rsidP="00CC3093">
      <w:r w:rsidRPr="00181EF3">
        <w:t xml:space="preserve">Figure </w:t>
      </w:r>
      <w:r>
        <w:t>4</w:t>
      </w:r>
      <w:r w:rsidRPr="00181EF3">
        <w:t xml:space="preserve">8 shows that Māori females aged 25 years and over have higher cervical cancer mortality rates than </w:t>
      </w:r>
      <w:r w:rsidR="00EC03A3">
        <w:t>non</w:t>
      </w:r>
      <w:r w:rsidR="00EC03A3">
        <w:noBreakHyphen/>
        <w:t>M</w:t>
      </w:r>
      <w:r w:rsidRPr="00181EF3">
        <w:t>āori females in the same age group, after adjusting for age.</w:t>
      </w:r>
    </w:p>
    <w:p w14:paraId="5D3F4726" w14:textId="77777777" w:rsidR="00B14564" w:rsidRDefault="00B14564" w:rsidP="00CC3093"/>
    <w:p w14:paraId="0A56C89A" w14:textId="6BC1427D" w:rsidR="007B2CA8" w:rsidRDefault="007B2CA8" w:rsidP="007B2CA8">
      <w:pPr>
        <w:pStyle w:val="Heading4"/>
      </w:pPr>
      <w:r w:rsidRPr="00181EF3">
        <w:lastRenderedPageBreak/>
        <w:t xml:space="preserve">Cervical cancer mortality rate decreased over time for Māori and </w:t>
      </w:r>
      <w:r w:rsidR="00EC03A3">
        <w:t>non</w:t>
      </w:r>
      <w:r w:rsidR="00EC03A3">
        <w:noBreakHyphen/>
        <w:t>M</w:t>
      </w:r>
      <w:r w:rsidRPr="00181EF3">
        <w:t>āori females</w:t>
      </w:r>
    </w:p>
    <w:p w14:paraId="3E5A7EC8" w14:textId="52B3137F" w:rsidR="00CC3093" w:rsidRPr="00181EF3" w:rsidRDefault="00CC3093" w:rsidP="00B14564">
      <w:pPr>
        <w:keepNext/>
        <w:keepLines/>
      </w:pPr>
      <w:r w:rsidRPr="00181EF3">
        <w:t xml:space="preserve">After adjusting for age, cervical cancer mortality rates decreased over time for both Māori and </w:t>
      </w:r>
      <w:r w:rsidR="00EC03A3">
        <w:t>non</w:t>
      </w:r>
      <w:r w:rsidR="00EC03A3">
        <w:noBreakHyphen/>
        <w:t>M</w:t>
      </w:r>
      <w:r w:rsidRPr="00181EF3">
        <w:t xml:space="preserve">āori females aged 25 years and over with larger decreases for Māori females (67 percent) compared </w:t>
      </w:r>
      <w:r w:rsidR="00FF1892">
        <w:t>with</w:t>
      </w:r>
      <w:r w:rsidR="00FF1892" w:rsidRPr="00181EF3">
        <w:t xml:space="preserve"> </w:t>
      </w:r>
      <w:r w:rsidR="00EC03A3">
        <w:t>non</w:t>
      </w:r>
      <w:r w:rsidR="00EC03A3">
        <w:noBreakHyphen/>
        <w:t>M</w:t>
      </w:r>
      <w:r w:rsidRPr="00181EF3">
        <w:t>āori females (47 percent).</w:t>
      </w:r>
    </w:p>
    <w:p w14:paraId="30BE9965" w14:textId="77777777" w:rsidR="00CC3093" w:rsidRPr="00CC3093" w:rsidRDefault="00CC3093" w:rsidP="00CC3093"/>
    <w:p w14:paraId="1B0F9042" w14:textId="77777777" w:rsidR="00DC0539" w:rsidRPr="00181EF3" w:rsidRDefault="00DC0539" w:rsidP="00DC0539">
      <w:r w:rsidRPr="00181EF3">
        <w:t>The age-standardised cervical cancer mortality rates for Māori females aged 25 years and over decreased by 67 percent, from 16.8 deaths per 100,000 in 1996–98 to 5.5 deaths per 100,000 in 2012–14. Most of these decreases occurred between 1996–98 and 2001–03.</w:t>
      </w:r>
    </w:p>
    <w:p w14:paraId="3F1E0247" w14:textId="77777777" w:rsidR="00DC0539" w:rsidRPr="00181EF3" w:rsidRDefault="00DC0539" w:rsidP="00DC0539"/>
    <w:p w14:paraId="7D4A3083" w14:textId="0E4ED6D8" w:rsidR="00DC0539" w:rsidRDefault="00DC0539" w:rsidP="00DC0539">
      <w:r w:rsidRPr="00181EF3">
        <w:t xml:space="preserve">The age-standardised cervical cancer mortality rates for </w:t>
      </w:r>
      <w:r w:rsidR="00EC03A3">
        <w:t>non</w:t>
      </w:r>
      <w:r w:rsidR="00EC03A3">
        <w:noBreakHyphen/>
        <w:t>M</w:t>
      </w:r>
      <w:r w:rsidRPr="00181EF3">
        <w:t>āori females in the same age group decreased by 47 percent over time, from 3.6 deaths per 100,000 in 1996–98 to 1.9 deaths per 100,000 in 2012–14.</w:t>
      </w:r>
    </w:p>
    <w:p w14:paraId="4D2E7BDA" w14:textId="77777777" w:rsidR="00B14564" w:rsidRPr="00181EF3" w:rsidRDefault="00B14564" w:rsidP="00DC0539"/>
    <w:p w14:paraId="2233FFD0" w14:textId="4727EF7F" w:rsidR="00DC0539" w:rsidRPr="00181EF3" w:rsidRDefault="00DC0539" w:rsidP="00CC3093">
      <w:pPr>
        <w:pStyle w:val="Heading4"/>
      </w:pPr>
      <w:r w:rsidRPr="00181EF3">
        <w:t xml:space="preserve">The difference in cervical cancer mortality rates between Māori and </w:t>
      </w:r>
      <w:r w:rsidR="00EC03A3">
        <w:t>non</w:t>
      </w:r>
      <w:r w:rsidR="00EC03A3">
        <w:noBreakHyphen/>
        <w:t>M</w:t>
      </w:r>
      <w:r w:rsidRPr="00181EF3">
        <w:t>āori females decreased over time</w:t>
      </w:r>
    </w:p>
    <w:p w14:paraId="3FE98988" w14:textId="70C37802" w:rsidR="00DC0539" w:rsidRPr="00181EF3" w:rsidRDefault="00DC0539" w:rsidP="00DC0539">
      <w:r w:rsidRPr="00181EF3">
        <w:t xml:space="preserve">The difference in age-standardised cervical cancer mortality rate between Māori and </w:t>
      </w:r>
      <w:r w:rsidR="00EC03A3">
        <w:t>non</w:t>
      </w:r>
      <w:r w:rsidR="00EC03A3">
        <w:noBreakHyphen/>
        <w:t>M</w:t>
      </w:r>
      <w:r w:rsidRPr="00181EF3">
        <w:t xml:space="preserve">āori females aged 25 years and over decreased by 73 percent over time. Māori females aged 25 years and over had 13.2 more registrations per 100,000 than </w:t>
      </w:r>
      <w:r w:rsidR="00EC03A3">
        <w:t>non</w:t>
      </w:r>
      <w:r w:rsidR="00EC03A3">
        <w:noBreakHyphen/>
        <w:t>M</w:t>
      </w:r>
      <w:r w:rsidRPr="00181EF3">
        <w:t xml:space="preserve">āori </w:t>
      </w:r>
      <w:r w:rsidR="00BB6271">
        <w:t xml:space="preserve">females </w:t>
      </w:r>
      <w:r w:rsidRPr="00181EF3">
        <w:t>in 1996–98, and 3.6 more registrations per 100,000 in 2012–14.</w:t>
      </w:r>
    </w:p>
    <w:p w14:paraId="7D4DFE5E" w14:textId="77777777" w:rsidR="00DC0539" w:rsidRPr="00181EF3" w:rsidRDefault="00DC0539" w:rsidP="00DC0539"/>
    <w:p w14:paraId="342465CB" w14:textId="77777777" w:rsidR="00DC0539" w:rsidRPr="00181EF3" w:rsidRDefault="00DC0539" w:rsidP="00DC0539">
      <w:r w:rsidRPr="00181EF3">
        <w:t>The age-standardised rate ratios decreased from 4.62 in 1996–98 to 2.82 in 2012–14.</w:t>
      </w:r>
    </w:p>
    <w:p w14:paraId="7361EA25" w14:textId="77777777" w:rsidR="00DC0539" w:rsidRPr="00181EF3" w:rsidRDefault="00DC0539" w:rsidP="00DC0539"/>
    <w:p w14:paraId="270D3CCD" w14:textId="77777777" w:rsidR="00DC0539" w:rsidRPr="00181EF3" w:rsidRDefault="00DC0539" w:rsidP="00B14564">
      <w:pPr>
        <w:pStyle w:val="Heading3"/>
        <w:pageBreakBefore/>
        <w:spacing w:before="0"/>
      </w:pPr>
      <w:bookmarkStart w:id="164" w:name="_Toc19102345"/>
      <w:r w:rsidRPr="00181EF3">
        <w:lastRenderedPageBreak/>
        <w:t>Prostate cancer</w:t>
      </w:r>
      <w:bookmarkEnd w:id="164"/>
    </w:p>
    <w:p w14:paraId="41E23ADF" w14:textId="7A558CAA" w:rsidR="00CC3093" w:rsidRPr="00181EF3" w:rsidRDefault="00CC3093" w:rsidP="00CC3093">
      <w:pPr>
        <w:pStyle w:val="Figure"/>
      </w:pPr>
      <w:bookmarkStart w:id="165" w:name="_Toc19101900"/>
      <w:r w:rsidRPr="00181EF3">
        <w:t xml:space="preserve">Figure </w:t>
      </w:r>
      <w:r>
        <w:t>4</w:t>
      </w:r>
      <w:r w:rsidRPr="00181EF3">
        <w:t>9: Prostate cancer registration rate</w:t>
      </w:r>
      <w:r>
        <w:t>s</w:t>
      </w:r>
      <w:r w:rsidRPr="00181EF3">
        <w:t xml:space="preserve">, </w:t>
      </w:r>
      <w:r>
        <w:t xml:space="preserve">25+ years, </w:t>
      </w:r>
      <w:r w:rsidRPr="00181EF3">
        <w:t xml:space="preserve">Māori and </w:t>
      </w:r>
      <w:r w:rsidR="00EC03A3">
        <w:t>non</w:t>
      </w:r>
      <w:r w:rsidR="00EC03A3">
        <w:noBreakHyphen/>
        <w:t>M</w:t>
      </w:r>
      <w:r w:rsidRPr="00181EF3">
        <w:t>āori males</w:t>
      </w:r>
      <w:r>
        <w:t>,</w:t>
      </w:r>
      <w:r w:rsidRPr="00181EF3">
        <w:t xml:space="preserve"> 1996–98 to 2013–15</w:t>
      </w:r>
      <w:bookmarkEnd w:id="165"/>
    </w:p>
    <w:p w14:paraId="1EF951E8" w14:textId="77777777" w:rsidR="00CC3093" w:rsidRPr="00181EF3" w:rsidRDefault="00CC3093" w:rsidP="00CC3093">
      <w:r w:rsidRPr="00181EF3">
        <w:rPr>
          <w:noProof/>
          <w:lang w:eastAsia="en-NZ"/>
        </w:rPr>
        <w:drawing>
          <wp:inline distT="0" distB="0" distL="0" distR="0" wp14:anchorId="30B42885" wp14:editId="686669CB">
            <wp:extent cx="5130165" cy="3058916"/>
            <wp:effectExtent l="0" t="0" r="0" b="8255"/>
            <wp:docPr id="435" name="Picture 435" descr="Non-Māori men are diagnosed with prostate cancer at slightly higher rates than Māori men. The rates have remained relatively steady for both over time, though non-Māori rates have increased slightly and Māori rates have decreased." title="Figure 49: Prostate cancer registration rate, Māori and non-Māori males aged 25 years and over, from 1996–98 to 20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130165" cy="3058916"/>
                    </a:xfrm>
                    <a:prstGeom prst="rect">
                      <a:avLst/>
                    </a:prstGeom>
                  </pic:spPr>
                </pic:pic>
              </a:graphicData>
            </a:graphic>
          </wp:inline>
        </w:drawing>
      </w:r>
    </w:p>
    <w:p w14:paraId="5DC80367" w14:textId="77777777" w:rsidR="00CC3093" w:rsidRDefault="00CC3093" w:rsidP="00CC3093">
      <w:pPr>
        <w:pStyle w:val="Note"/>
      </w:pPr>
      <w:r w:rsidRPr="00181EF3">
        <w:t>Note</w:t>
      </w:r>
      <w:r>
        <w:t>s</w:t>
      </w:r>
      <w:r w:rsidRPr="00181EF3">
        <w:t>:</w:t>
      </w:r>
    </w:p>
    <w:p w14:paraId="47565569" w14:textId="1CD17C1D" w:rsidR="008A5642" w:rsidRDefault="00446D86" w:rsidP="00CC3093">
      <w:pPr>
        <w:pStyle w:val="Note"/>
      </w:pPr>
      <w:r>
        <w:t>Figures are age-standardised to the 2001 Census total Māori population</w:t>
      </w:r>
      <w:r w:rsidR="00CC3093" w:rsidRPr="00181EF3">
        <w:t>.</w:t>
      </w:r>
    </w:p>
    <w:p w14:paraId="30E7907A" w14:textId="1A8DA742" w:rsidR="00CC3093" w:rsidRPr="00181EF3" w:rsidRDefault="00CC3093" w:rsidP="00CC3093">
      <w:pPr>
        <w:pStyle w:val="Note"/>
      </w:pPr>
      <w:r>
        <w:t>Prioritised ethnicity has been used.</w:t>
      </w:r>
    </w:p>
    <w:p w14:paraId="5BC1044A" w14:textId="77777777" w:rsidR="008A5642" w:rsidRDefault="00CC3093" w:rsidP="00886EED">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5DC83500" w14:textId="56176D18" w:rsidR="00CC3093" w:rsidRPr="00181EF3" w:rsidRDefault="00CC3093" w:rsidP="00CC3093">
      <w:pPr>
        <w:pStyle w:val="Source"/>
        <w:rPr>
          <w:rFonts w:eastAsia="Calibri"/>
        </w:rPr>
      </w:pPr>
      <w:r w:rsidRPr="00181EF3">
        <w:rPr>
          <w:rFonts w:eastAsia="Calibri"/>
        </w:rPr>
        <w:t>Source: New Zealand Cancer Registry (NZCR), Ministry of Health</w:t>
      </w:r>
      <w:r>
        <w:rPr>
          <w:rFonts w:eastAsia="Calibri"/>
        </w:rPr>
        <w:t xml:space="preserve">, </w:t>
      </w:r>
      <w:r w:rsidRPr="00181EF3">
        <w:t>1996–98 to 201</w:t>
      </w:r>
      <w:r>
        <w:t>3</w:t>
      </w:r>
      <w:r w:rsidRPr="00181EF3">
        <w:t>–1</w:t>
      </w:r>
      <w:r>
        <w:t>5</w:t>
      </w:r>
      <w:r w:rsidRPr="00181EF3">
        <w:rPr>
          <w:rFonts w:eastAsia="Calibri"/>
        </w:rPr>
        <w:t>.</w:t>
      </w:r>
    </w:p>
    <w:p w14:paraId="64A61957" w14:textId="77777777" w:rsidR="00CC3093" w:rsidRPr="00181EF3" w:rsidRDefault="00CC3093" w:rsidP="00CC3093"/>
    <w:p w14:paraId="5326FE5D" w14:textId="20CADABF" w:rsidR="00CC3093" w:rsidRDefault="00CC3093" w:rsidP="00CC3093">
      <w:r w:rsidRPr="00181EF3">
        <w:t xml:space="preserve">Figure </w:t>
      </w:r>
      <w:r>
        <w:t>4</w:t>
      </w:r>
      <w:r w:rsidRPr="00181EF3">
        <w:t xml:space="preserve">9 shows that Māori males aged 25 years and over had a lower prostate cancer registration rate than </w:t>
      </w:r>
      <w:r w:rsidR="00EC03A3">
        <w:t>non</w:t>
      </w:r>
      <w:r w:rsidR="00EC03A3">
        <w:noBreakHyphen/>
        <w:t>M</w:t>
      </w:r>
      <w:r w:rsidRPr="00181EF3">
        <w:t xml:space="preserve">āori males in the same age group since 1999–2001, after adjusting for age. Before that, Māori males aged 25 years and over had similar age-standardised prostate cancer registration rates as </w:t>
      </w:r>
      <w:r w:rsidR="00EC03A3">
        <w:t>non</w:t>
      </w:r>
      <w:r w:rsidR="00EC03A3">
        <w:noBreakHyphen/>
        <w:t>M</w:t>
      </w:r>
      <w:r w:rsidRPr="00181EF3">
        <w:t>āori males in the same age group.</w:t>
      </w:r>
    </w:p>
    <w:p w14:paraId="1A677861" w14:textId="77777777" w:rsidR="00B14564" w:rsidRDefault="00B14564" w:rsidP="00CC3093"/>
    <w:p w14:paraId="19F914DF" w14:textId="77777777" w:rsidR="007B2CA8" w:rsidRDefault="007B2CA8" w:rsidP="007B2CA8">
      <w:pPr>
        <w:pStyle w:val="Heading4"/>
      </w:pPr>
      <w:r w:rsidRPr="00181EF3">
        <w:t>Prostate cancer registration rate decreased over time for Māori males</w:t>
      </w:r>
    </w:p>
    <w:p w14:paraId="03A275BF" w14:textId="4396C3D4" w:rsidR="00CC3093" w:rsidRDefault="00CC3093" w:rsidP="00CC3093">
      <w:r w:rsidRPr="00181EF3">
        <w:t xml:space="preserve">After adjusting for age, prostate cancer registration rates decreased over time for Māori males aged 25 years and over, but remained similar for </w:t>
      </w:r>
      <w:r w:rsidR="00EC03A3">
        <w:t>non</w:t>
      </w:r>
      <w:r w:rsidR="00EC03A3">
        <w:noBreakHyphen/>
        <w:t>M</w:t>
      </w:r>
      <w:r w:rsidRPr="00181EF3">
        <w:t>āori males.</w:t>
      </w:r>
    </w:p>
    <w:p w14:paraId="0A8BE5D9" w14:textId="77777777" w:rsidR="00CC3093" w:rsidRPr="00181EF3" w:rsidRDefault="00CC3093" w:rsidP="00CC3093"/>
    <w:p w14:paraId="33FD77EB" w14:textId="77777777" w:rsidR="00DC0539" w:rsidRPr="00181EF3" w:rsidRDefault="00DC0539" w:rsidP="00DC0539">
      <w:r w:rsidRPr="00181EF3">
        <w:t>The age-standardised prostate cancer registration rates for Māori males aged 25 years and over decreased by 18 percent, from 110.8 registrations per 100,000 in 1996–98 to 91.2 registrations per 100,000 in 2013–15.</w:t>
      </w:r>
    </w:p>
    <w:p w14:paraId="1DEE5428" w14:textId="77777777" w:rsidR="00DC0539" w:rsidRPr="00181EF3" w:rsidRDefault="00DC0539" w:rsidP="00DC0539"/>
    <w:p w14:paraId="5B1F3794" w14:textId="757DCC1E" w:rsidR="00DC0539" w:rsidRDefault="00DC0539" w:rsidP="00DC0539">
      <w:r w:rsidRPr="00181EF3">
        <w:t xml:space="preserve">The age-standardised prostate cancer registration rates for </w:t>
      </w:r>
      <w:r w:rsidR="00EC03A3">
        <w:t>non</w:t>
      </w:r>
      <w:r w:rsidR="00EC03A3">
        <w:noBreakHyphen/>
        <w:t>M</w:t>
      </w:r>
      <w:r w:rsidRPr="00181EF3">
        <w:t>āori males in the same age group have not changed much, from 105.4 registrations per 100,000 in 1996–98 to 102.8 registrations per 100,000 in 2013–15.</w:t>
      </w:r>
    </w:p>
    <w:p w14:paraId="0E81CF3F" w14:textId="77777777" w:rsidR="00B14564" w:rsidRPr="00181EF3" w:rsidRDefault="00B14564" w:rsidP="00DC0539"/>
    <w:p w14:paraId="57A419AE" w14:textId="01630709" w:rsidR="00DC0539" w:rsidRPr="00181EF3" w:rsidRDefault="00DC0539" w:rsidP="00CC3093">
      <w:pPr>
        <w:pStyle w:val="Heading4"/>
      </w:pPr>
      <w:r w:rsidRPr="00181EF3">
        <w:lastRenderedPageBreak/>
        <w:t xml:space="preserve">The difference in prostate cancer </w:t>
      </w:r>
      <w:r w:rsidR="0002348D">
        <w:t>registration</w:t>
      </w:r>
      <w:r w:rsidRPr="00181EF3">
        <w:t xml:space="preserve"> rates between Māori and </w:t>
      </w:r>
      <w:r w:rsidR="00EC03A3">
        <w:t>non</w:t>
      </w:r>
      <w:r w:rsidR="00EC03A3">
        <w:noBreakHyphen/>
        <w:t>M</w:t>
      </w:r>
      <w:r w:rsidRPr="00181EF3">
        <w:t>āori males decreased over time</w:t>
      </w:r>
    </w:p>
    <w:p w14:paraId="4D7A1E26" w14:textId="1A021F38" w:rsidR="00DC0539" w:rsidRPr="00181EF3" w:rsidRDefault="00DC0539" w:rsidP="00DC0539">
      <w:r w:rsidRPr="00181EF3">
        <w:t xml:space="preserve">The difference in age-standardised prostate cancer registration rate between Māori and </w:t>
      </w:r>
      <w:r w:rsidR="00EC03A3">
        <w:t>non</w:t>
      </w:r>
      <w:r w:rsidR="00EC03A3">
        <w:noBreakHyphen/>
        <w:t>M</w:t>
      </w:r>
      <w:r w:rsidRPr="00181EF3">
        <w:t xml:space="preserve">āori males aged 25 years and over decreased over time. Māori males aged 25 years and over had 5.4 more registrations per 100,000 than </w:t>
      </w:r>
      <w:r w:rsidR="00EC03A3">
        <w:t>non</w:t>
      </w:r>
      <w:r w:rsidR="00EC03A3">
        <w:noBreakHyphen/>
        <w:t>M</w:t>
      </w:r>
      <w:r w:rsidRPr="00181EF3">
        <w:t>āori</w:t>
      </w:r>
      <w:r w:rsidR="00BB6271">
        <w:t xml:space="preserve"> males</w:t>
      </w:r>
      <w:r w:rsidRPr="00181EF3">
        <w:t xml:space="preserve"> in 1996–98, and 11.6 fewer registrations per 100,000 in 2013–15.</w:t>
      </w:r>
    </w:p>
    <w:p w14:paraId="60E36DE5" w14:textId="77777777" w:rsidR="00DC0539" w:rsidRPr="00181EF3" w:rsidRDefault="00DC0539" w:rsidP="00DC0539"/>
    <w:p w14:paraId="0FFBDF15" w14:textId="04D87298" w:rsidR="00DC0539" w:rsidRPr="00181EF3" w:rsidRDefault="00DC0539" w:rsidP="00DC0539">
      <w:r w:rsidRPr="00181EF3">
        <w:t xml:space="preserve">Māori males aged 25 years and over had a significantly lower prostate cancer registration rate than </w:t>
      </w:r>
      <w:r w:rsidR="00EC03A3">
        <w:t>non</w:t>
      </w:r>
      <w:r w:rsidR="00EC03A3">
        <w:noBreakHyphen/>
        <w:t>M</w:t>
      </w:r>
      <w:r w:rsidRPr="00181EF3">
        <w:t>āori males in the same age group in 2013–15, and there was no significant difference in 1996–98.</w:t>
      </w:r>
    </w:p>
    <w:p w14:paraId="4CA9E9E4" w14:textId="77777777" w:rsidR="00DC0539" w:rsidRPr="00181EF3" w:rsidRDefault="00DC0539" w:rsidP="00DC0539"/>
    <w:p w14:paraId="2D7EB1B0" w14:textId="648CE376" w:rsidR="00CC3093" w:rsidRPr="00181EF3" w:rsidRDefault="00CC3093" w:rsidP="00CC3093">
      <w:pPr>
        <w:pStyle w:val="Figure"/>
      </w:pPr>
      <w:bookmarkStart w:id="166" w:name="_Toc19101901"/>
      <w:r w:rsidRPr="00181EF3">
        <w:t xml:space="preserve">Figure </w:t>
      </w:r>
      <w:r>
        <w:t>5</w:t>
      </w:r>
      <w:r w:rsidRPr="00181EF3">
        <w:t>0: Prostate cancer mortality rate</w:t>
      </w:r>
      <w:r>
        <w:t>s</w:t>
      </w:r>
      <w:r w:rsidRPr="00181EF3">
        <w:t xml:space="preserve">, </w:t>
      </w:r>
      <w:r>
        <w:t xml:space="preserve">25+ years, </w:t>
      </w:r>
      <w:r w:rsidRPr="00181EF3">
        <w:t xml:space="preserve">Māori and </w:t>
      </w:r>
      <w:r w:rsidR="00EC03A3">
        <w:t>non</w:t>
      </w:r>
      <w:r w:rsidR="00EC03A3">
        <w:noBreakHyphen/>
        <w:t>M</w:t>
      </w:r>
      <w:r w:rsidRPr="00181EF3">
        <w:t>āori males</w:t>
      </w:r>
      <w:r>
        <w:t>,</w:t>
      </w:r>
      <w:r w:rsidRPr="00181EF3">
        <w:t xml:space="preserve"> 1996–98 to 2012–14</w:t>
      </w:r>
      <w:bookmarkEnd w:id="166"/>
    </w:p>
    <w:p w14:paraId="707368F4" w14:textId="77777777" w:rsidR="00CC3093" w:rsidRPr="00181EF3" w:rsidRDefault="00CC3093" w:rsidP="00CC3093">
      <w:r w:rsidRPr="00181EF3">
        <w:rPr>
          <w:noProof/>
          <w:lang w:eastAsia="en-NZ"/>
        </w:rPr>
        <w:drawing>
          <wp:inline distT="0" distB="0" distL="0" distR="0" wp14:anchorId="6981AD64" wp14:editId="0D207E8F">
            <wp:extent cx="5130165" cy="3058916"/>
            <wp:effectExtent l="0" t="0" r="0" b="8255"/>
            <wp:docPr id="436" name="Picture 436" descr="Māori men have higher prostate cancer death rates than non-Māori men, but the rates for both have declined over time." title="Figure 50: Prostate cancer mortality rate, Māori and non-Māori males aged 25 years and over, from 1996–98 to 20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130165" cy="3058916"/>
                    </a:xfrm>
                    <a:prstGeom prst="rect">
                      <a:avLst/>
                    </a:prstGeom>
                  </pic:spPr>
                </pic:pic>
              </a:graphicData>
            </a:graphic>
          </wp:inline>
        </w:drawing>
      </w:r>
    </w:p>
    <w:p w14:paraId="168E4570" w14:textId="77777777" w:rsidR="00CC3093" w:rsidRDefault="00CC3093" w:rsidP="00CC3093">
      <w:pPr>
        <w:pStyle w:val="Note"/>
      </w:pPr>
      <w:r w:rsidRPr="00181EF3">
        <w:t>Note</w:t>
      </w:r>
      <w:r>
        <w:t>s</w:t>
      </w:r>
      <w:r w:rsidRPr="00181EF3">
        <w:t>:</w:t>
      </w:r>
    </w:p>
    <w:p w14:paraId="07F213C3" w14:textId="499C0841" w:rsidR="008A5642" w:rsidRDefault="00446D86" w:rsidP="00CC3093">
      <w:pPr>
        <w:pStyle w:val="Note"/>
      </w:pPr>
      <w:r>
        <w:t>Figures are age-standardised to the 2001 Census total Māori population</w:t>
      </w:r>
      <w:r w:rsidR="00CC3093" w:rsidRPr="00181EF3">
        <w:t>.</w:t>
      </w:r>
    </w:p>
    <w:p w14:paraId="131AA4CA" w14:textId="16CE6B2B" w:rsidR="00CC3093" w:rsidRPr="00181EF3" w:rsidRDefault="00CC3093" w:rsidP="00CC3093">
      <w:pPr>
        <w:pStyle w:val="Note"/>
      </w:pPr>
      <w:r>
        <w:t>Prioritised ethnicity has been used.</w:t>
      </w:r>
    </w:p>
    <w:p w14:paraId="5303ACA7" w14:textId="77777777" w:rsidR="008A5642" w:rsidRDefault="00CC3093" w:rsidP="00886EED">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62959A36" w14:textId="6CECC9B9" w:rsidR="00CC3093" w:rsidRPr="00181EF3" w:rsidRDefault="00CC3093" w:rsidP="00CC3093">
      <w:pPr>
        <w:pStyle w:val="Source"/>
        <w:rPr>
          <w:rFonts w:eastAsia="Calibri"/>
        </w:rPr>
      </w:pPr>
      <w:r w:rsidRPr="00181EF3">
        <w:rPr>
          <w:rFonts w:eastAsia="Calibri"/>
        </w:rPr>
        <w:t>Source: Mortality Collection Data Set (MORT), Ministry of Health</w:t>
      </w:r>
      <w:r>
        <w:rPr>
          <w:rFonts w:eastAsia="Calibri"/>
        </w:rPr>
        <w:t xml:space="preserve">, </w:t>
      </w:r>
      <w:r w:rsidRPr="00181EF3">
        <w:t>1996–98 to 2012–14</w:t>
      </w:r>
      <w:r w:rsidRPr="00181EF3">
        <w:rPr>
          <w:rFonts w:eastAsia="Calibri"/>
        </w:rPr>
        <w:t>.</w:t>
      </w:r>
    </w:p>
    <w:p w14:paraId="2049F7FE" w14:textId="77777777" w:rsidR="00CC3093" w:rsidRPr="00CC3093" w:rsidRDefault="00CC3093" w:rsidP="00CC3093"/>
    <w:p w14:paraId="50BB7C20" w14:textId="544DAA44" w:rsidR="00CC3093" w:rsidRDefault="00CC3093" w:rsidP="00CC3093">
      <w:r w:rsidRPr="00181EF3">
        <w:t xml:space="preserve">Figure </w:t>
      </w:r>
      <w:r>
        <w:t>5</w:t>
      </w:r>
      <w:r w:rsidRPr="00181EF3">
        <w:t xml:space="preserve">0 shows that Māori males aged 25 years and over have a higher prostate cancer mortality rate than </w:t>
      </w:r>
      <w:r w:rsidR="00EC03A3">
        <w:t>non</w:t>
      </w:r>
      <w:r w:rsidR="00EC03A3">
        <w:noBreakHyphen/>
        <w:t>M</w:t>
      </w:r>
      <w:r w:rsidRPr="00181EF3">
        <w:t>āori males in the same age group over time, after adjusting for age.</w:t>
      </w:r>
    </w:p>
    <w:p w14:paraId="24F86B98" w14:textId="77777777" w:rsidR="00B14564" w:rsidRDefault="00B14564" w:rsidP="00CC3093"/>
    <w:p w14:paraId="4395C1F3" w14:textId="77777777" w:rsidR="007B2CA8" w:rsidRDefault="007B2CA8" w:rsidP="007B2CA8">
      <w:pPr>
        <w:pStyle w:val="Heading4"/>
      </w:pPr>
      <w:r w:rsidRPr="00181EF3">
        <w:lastRenderedPageBreak/>
        <w:t>Prostate cancer mortality rate decreased over time for Māori males</w:t>
      </w:r>
    </w:p>
    <w:p w14:paraId="633E5773" w14:textId="3B4AC43D" w:rsidR="00CC3093" w:rsidRPr="00181EF3" w:rsidRDefault="00CC3093" w:rsidP="00B14564">
      <w:pPr>
        <w:keepNext/>
      </w:pPr>
      <w:r w:rsidRPr="00181EF3">
        <w:t xml:space="preserve">After adjusting for age, prostate cancer mortality rates decreased over time for both Māori and </w:t>
      </w:r>
      <w:r w:rsidR="00EC03A3">
        <w:t>non</w:t>
      </w:r>
      <w:r w:rsidR="00EC03A3">
        <w:noBreakHyphen/>
        <w:t>M</w:t>
      </w:r>
      <w:r w:rsidRPr="00181EF3">
        <w:t>āori males aged 25 years and over.</w:t>
      </w:r>
    </w:p>
    <w:p w14:paraId="69ADBE40" w14:textId="77777777" w:rsidR="00CC3093" w:rsidRPr="00181EF3" w:rsidRDefault="00CC3093" w:rsidP="00B14564">
      <w:pPr>
        <w:keepNext/>
      </w:pPr>
    </w:p>
    <w:p w14:paraId="49689788" w14:textId="01BE68B6" w:rsidR="00DC0539" w:rsidRPr="00181EF3" w:rsidRDefault="00DC0539" w:rsidP="00DC0539">
      <w:r w:rsidRPr="00181EF3">
        <w:t>The age-standardised prostate cancer mortality rates for Māori males aged 25 years and over decreased by 35 percent, from 26.0 deaths per 100,000 in 1996–98 to 17.0</w:t>
      </w:r>
      <w:r w:rsidR="00B14564">
        <w:t> </w:t>
      </w:r>
      <w:r w:rsidRPr="00181EF3">
        <w:t>deaths per 100,000 in 2012–14.</w:t>
      </w:r>
    </w:p>
    <w:p w14:paraId="4C8A2707" w14:textId="77777777" w:rsidR="00DC0539" w:rsidRPr="00181EF3" w:rsidRDefault="00DC0539" w:rsidP="00DC0539"/>
    <w:p w14:paraId="6B082396" w14:textId="3076CF12" w:rsidR="00DC0539" w:rsidRDefault="00DC0539" w:rsidP="00DC0539">
      <w:r w:rsidRPr="00181EF3">
        <w:t xml:space="preserve">For </w:t>
      </w:r>
      <w:r w:rsidR="00EC03A3">
        <w:t>non</w:t>
      </w:r>
      <w:r w:rsidR="00EC03A3">
        <w:noBreakHyphen/>
        <w:t>M</w:t>
      </w:r>
      <w:r w:rsidRPr="00181EF3">
        <w:t>āori males in the same age group, the age-standardised prostate cancer mortality rates decreased by 30 percent over time, from 17.8 deaths per 100,000 in 1996–98 to 12.5 deaths per 100,000 in 2012–14.</w:t>
      </w:r>
    </w:p>
    <w:p w14:paraId="517DC9D8" w14:textId="77777777" w:rsidR="00B14564" w:rsidRPr="00181EF3" w:rsidRDefault="00B14564" w:rsidP="00DC0539"/>
    <w:p w14:paraId="324A2ED9" w14:textId="743A372F" w:rsidR="00DC0539" w:rsidRPr="00181EF3" w:rsidRDefault="00DC0539" w:rsidP="00CC3093">
      <w:pPr>
        <w:pStyle w:val="Heading4"/>
      </w:pPr>
      <w:r w:rsidRPr="00181EF3">
        <w:t xml:space="preserve">The difference in prostate cancer mortality rates between Māori and </w:t>
      </w:r>
      <w:r w:rsidR="00EC03A3">
        <w:t>non</w:t>
      </w:r>
      <w:r w:rsidR="00EC03A3">
        <w:noBreakHyphen/>
        <w:t>M</w:t>
      </w:r>
      <w:r w:rsidRPr="00181EF3">
        <w:t>āori males decreased over time</w:t>
      </w:r>
    </w:p>
    <w:p w14:paraId="62F41053" w14:textId="1C64724E" w:rsidR="00DC0539" w:rsidRPr="00181EF3" w:rsidRDefault="00DC0539" w:rsidP="00DC0539">
      <w:r w:rsidRPr="00181EF3">
        <w:t xml:space="preserve">The difference in age-standardised prostate cancer mortality rates between Māori and </w:t>
      </w:r>
      <w:r w:rsidR="00EC03A3">
        <w:t>non</w:t>
      </w:r>
      <w:r w:rsidR="00EC03A3">
        <w:noBreakHyphen/>
        <w:t>M</w:t>
      </w:r>
      <w:r w:rsidRPr="00181EF3">
        <w:t xml:space="preserve">āori males aged 25 years and over decreased by 45 percent over time. Māori males aged 25 years and over had 8.2 more deaths per 100,000 than </w:t>
      </w:r>
      <w:r w:rsidR="00EC03A3">
        <w:t>non</w:t>
      </w:r>
      <w:r w:rsidR="00EC03A3">
        <w:noBreakHyphen/>
        <w:t>M</w:t>
      </w:r>
      <w:r w:rsidRPr="00181EF3">
        <w:t>āori</w:t>
      </w:r>
      <w:r w:rsidR="00BB6271">
        <w:t xml:space="preserve"> males</w:t>
      </w:r>
      <w:r w:rsidRPr="00181EF3">
        <w:t xml:space="preserve"> in 1996–98, and 4.5 more deaths per 100,000 in 2012–14.</w:t>
      </w:r>
    </w:p>
    <w:p w14:paraId="482323A8" w14:textId="77777777" w:rsidR="00DC0539" w:rsidRPr="00181EF3" w:rsidRDefault="00DC0539" w:rsidP="00DC0539"/>
    <w:p w14:paraId="071BC644" w14:textId="118516F0" w:rsidR="00DC0539" w:rsidRPr="00181EF3" w:rsidRDefault="00DC0539" w:rsidP="00DC0539">
      <w:r w:rsidRPr="00181EF3">
        <w:t xml:space="preserve">The difference between Māori and </w:t>
      </w:r>
      <w:r w:rsidR="00EC03A3">
        <w:t>non</w:t>
      </w:r>
      <w:r w:rsidR="00EC03A3">
        <w:noBreakHyphen/>
        <w:t>M</w:t>
      </w:r>
      <w:r w:rsidRPr="00181EF3">
        <w:t>āori males aged 25 years and over is narrowing: the age-standardised rate ratios decreased from 1.46 in 1996–98 to 1.36 in 2012–14.</w:t>
      </w:r>
    </w:p>
    <w:p w14:paraId="4F91D733" w14:textId="77777777" w:rsidR="00DC0539" w:rsidRPr="00181EF3" w:rsidRDefault="00DC0539" w:rsidP="00DC0539"/>
    <w:p w14:paraId="0A3E3FAB" w14:textId="77777777" w:rsidR="00DC0539" w:rsidRPr="00181EF3" w:rsidRDefault="00DC0539" w:rsidP="00B14564">
      <w:pPr>
        <w:pStyle w:val="Heading3"/>
        <w:pageBreakBefore/>
        <w:spacing w:before="0"/>
      </w:pPr>
      <w:bookmarkStart w:id="167" w:name="_Toc19102346"/>
      <w:r w:rsidRPr="00181EF3">
        <w:lastRenderedPageBreak/>
        <w:t>Breast cancer</w:t>
      </w:r>
      <w:bookmarkEnd w:id="167"/>
    </w:p>
    <w:p w14:paraId="111D4416" w14:textId="2552EAD3" w:rsidR="002F1577" w:rsidRPr="00181EF3" w:rsidRDefault="002F1577" w:rsidP="002F1577">
      <w:pPr>
        <w:pStyle w:val="Figure"/>
      </w:pPr>
      <w:bookmarkStart w:id="168" w:name="_Toc19101902"/>
      <w:r w:rsidRPr="00181EF3">
        <w:t xml:space="preserve">Figure </w:t>
      </w:r>
      <w:r>
        <w:t>5</w:t>
      </w:r>
      <w:r w:rsidRPr="00181EF3">
        <w:t>1: Breast cancer registration rate</w:t>
      </w:r>
      <w:r>
        <w:t>s</w:t>
      </w:r>
      <w:r w:rsidRPr="00181EF3">
        <w:t xml:space="preserve">, </w:t>
      </w:r>
      <w:r>
        <w:t xml:space="preserve">25+ years, </w:t>
      </w:r>
      <w:r w:rsidRPr="00181EF3">
        <w:t xml:space="preserve">Māori and </w:t>
      </w:r>
      <w:r w:rsidR="00EC03A3">
        <w:t>non</w:t>
      </w:r>
      <w:r w:rsidR="00EC03A3">
        <w:noBreakHyphen/>
        <w:t>M</w:t>
      </w:r>
      <w:r w:rsidRPr="00181EF3">
        <w:t>āori females</w:t>
      </w:r>
      <w:r>
        <w:t>,</w:t>
      </w:r>
      <w:r w:rsidRPr="00181EF3">
        <w:t xml:space="preserve"> 1996–98 to 2013–15</w:t>
      </w:r>
      <w:bookmarkEnd w:id="168"/>
    </w:p>
    <w:p w14:paraId="2AC9C5FA" w14:textId="77777777" w:rsidR="002F1577" w:rsidRPr="00181EF3" w:rsidRDefault="002F1577" w:rsidP="002F1577">
      <w:r w:rsidRPr="00181EF3">
        <w:rPr>
          <w:noProof/>
          <w:lang w:eastAsia="en-NZ"/>
        </w:rPr>
        <w:drawing>
          <wp:inline distT="0" distB="0" distL="0" distR="0" wp14:anchorId="41ED17B3" wp14:editId="1473FB1C">
            <wp:extent cx="5130165" cy="3058916"/>
            <wp:effectExtent l="0" t="0" r="0" b="8255"/>
            <wp:docPr id="437" name="Picture 437" descr="Māori women are diagnosed with breast cancer at higher rates than non-Māori women and the rates for both have increased slightly over time." title="Figure 51: Breast cancer registration rate, Māori and non-Māori females aged 25 years and over, from 1996–98 to 20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130165" cy="3058916"/>
                    </a:xfrm>
                    <a:prstGeom prst="rect">
                      <a:avLst/>
                    </a:prstGeom>
                  </pic:spPr>
                </pic:pic>
              </a:graphicData>
            </a:graphic>
          </wp:inline>
        </w:drawing>
      </w:r>
    </w:p>
    <w:p w14:paraId="19BCD453" w14:textId="77777777" w:rsidR="002F1577" w:rsidRDefault="002F1577" w:rsidP="002F1577">
      <w:pPr>
        <w:pStyle w:val="Note"/>
      </w:pPr>
      <w:r w:rsidRPr="00181EF3">
        <w:t>Note</w:t>
      </w:r>
      <w:r>
        <w:t>s</w:t>
      </w:r>
      <w:r w:rsidRPr="00181EF3">
        <w:t>:</w:t>
      </w:r>
    </w:p>
    <w:p w14:paraId="4D7F8A3A" w14:textId="444F3DFB" w:rsidR="008A5642" w:rsidRDefault="00446D86" w:rsidP="002F1577">
      <w:pPr>
        <w:pStyle w:val="Note"/>
      </w:pPr>
      <w:r>
        <w:t>Figures are age-standardised to the 2001 Census total Māori population</w:t>
      </w:r>
      <w:r w:rsidR="002F1577" w:rsidRPr="00181EF3">
        <w:t>.</w:t>
      </w:r>
    </w:p>
    <w:p w14:paraId="7ADCDF06" w14:textId="4F035277" w:rsidR="002F1577" w:rsidRPr="00181EF3" w:rsidRDefault="002F1577" w:rsidP="002F1577">
      <w:pPr>
        <w:pStyle w:val="Note"/>
      </w:pPr>
      <w:r>
        <w:t>Prioritised ethnicity has been used.</w:t>
      </w:r>
    </w:p>
    <w:p w14:paraId="1EB79EF9" w14:textId="77777777" w:rsidR="008A5642" w:rsidRDefault="002F1577" w:rsidP="00886EED">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6820A8EF" w14:textId="30E6BB99" w:rsidR="002F1577" w:rsidRPr="00181EF3" w:rsidRDefault="002F1577" w:rsidP="002F1577">
      <w:pPr>
        <w:pStyle w:val="Source"/>
        <w:rPr>
          <w:rFonts w:eastAsia="Calibri"/>
        </w:rPr>
      </w:pPr>
      <w:r w:rsidRPr="00181EF3">
        <w:rPr>
          <w:rFonts w:eastAsia="Calibri"/>
        </w:rPr>
        <w:t>Source: New Zealand Cancer Registry (NZCR), Ministry of Health</w:t>
      </w:r>
      <w:r>
        <w:rPr>
          <w:rFonts w:eastAsia="Calibri"/>
        </w:rPr>
        <w:t xml:space="preserve">, </w:t>
      </w:r>
      <w:r w:rsidRPr="00181EF3">
        <w:t>1996–98 to 201</w:t>
      </w:r>
      <w:r>
        <w:t>3</w:t>
      </w:r>
      <w:r w:rsidRPr="00181EF3">
        <w:t>–1</w:t>
      </w:r>
      <w:r>
        <w:t>5</w:t>
      </w:r>
      <w:r w:rsidRPr="00181EF3">
        <w:rPr>
          <w:rFonts w:eastAsia="Calibri"/>
        </w:rPr>
        <w:t>.</w:t>
      </w:r>
    </w:p>
    <w:p w14:paraId="47FDBEE0" w14:textId="77777777" w:rsidR="002F1577" w:rsidRPr="002F1577" w:rsidRDefault="002F1577" w:rsidP="002F1577"/>
    <w:p w14:paraId="6C908059" w14:textId="2AAEB697" w:rsidR="002F1577" w:rsidRDefault="002F1577" w:rsidP="002F1577">
      <w:r w:rsidRPr="00181EF3">
        <w:t xml:space="preserve">Figure </w:t>
      </w:r>
      <w:r>
        <w:t>5</w:t>
      </w:r>
      <w:r w:rsidRPr="00181EF3">
        <w:t xml:space="preserve">1 shows that Māori females aged 25 years and over had a higher breast cancer registration rate than </w:t>
      </w:r>
      <w:r w:rsidR="00EC03A3">
        <w:t>non</w:t>
      </w:r>
      <w:r w:rsidR="00EC03A3">
        <w:noBreakHyphen/>
        <w:t>M</w:t>
      </w:r>
      <w:r w:rsidRPr="00181EF3">
        <w:t>āori females in the same age group, after adjusting for age. This has remained the same over time.</w:t>
      </w:r>
    </w:p>
    <w:p w14:paraId="4EE0C3D8" w14:textId="77777777" w:rsidR="00B14564" w:rsidRDefault="00B14564" w:rsidP="002F1577"/>
    <w:p w14:paraId="7E98C286" w14:textId="77777777" w:rsidR="007B2CA8" w:rsidRDefault="007B2CA8" w:rsidP="007B2CA8">
      <w:pPr>
        <w:pStyle w:val="Heading4"/>
      </w:pPr>
      <w:r w:rsidRPr="00181EF3">
        <w:t>Breast cancer registration rate increased over time for Māori females</w:t>
      </w:r>
    </w:p>
    <w:p w14:paraId="456B99F9" w14:textId="03980304" w:rsidR="002F1577" w:rsidRPr="00181EF3" w:rsidRDefault="002F1577" w:rsidP="002F1577">
      <w:r w:rsidRPr="00181EF3">
        <w:t xml:space="preserve">After adjusting for age, breast cancer registration rates increased over time for both Māori and </w:t>
      </w:r>
      <w:r w:rsidR="00EC03A3">
        <w:t>non</w:t>
      </w:r>
      <w:r w:rsidR="00EC03A3">
        <w:noBreakHyphen/>
        <w:t>M</w:t>
      </w:r>
      <w:r w:rsidRPr="00181EF3">
        <w:t>āori females aged 25 years and over.</w:t>
      </w:r>
    </w:p>
    <w:p w14:paraId="4BFEB2B5" w14:textId="77777777" w:rsidR="002F1577" w:rsidRPr="002F1577" w:rsidRDefault="002F1577" w:rsidP="002F1577"/>
    <w:p w14:paraId="051AAE03" w14:textId="77777777" w:rsidR="00DC0539" w:rsidRPr="00181EF3" w:rsidRDefault="00DC0539" w:rsidP="00DC0539">
      <w:r w:rsidRPr="00181EF3">
        <w:t>The age-standardised breast cancer registration rates for Māori females aged 25 years and over increased by 12 percent, from 156.5 registrations per 100,000 in 1996–98 to 175.1 registrations per 100,000 in 2013–15.</w:t>
      </w:r>
    </w:p>
    <w:p w14:paraId="6B925DE9" w14:textId="77777777" w:rsidR="00DC0539" w:rsidRPr="00181EF3" w:rsidRDefault="00DC0539" w:rsidP="00DC0539"/>
    <w:p w14:paraId="6929B604" w14:textId="2F159335" w:rsidR="00DC0539" w:rsidRDefault="00DC0539" w:rsidP="00DC0539">
      <w:r w:rsidRPr="00181EF3">
        <w:t xml:space="preserve">For </w:t>
      </w:r>
      <w:r w:rsidR="00EC03A3">
        <w:t>non</w:t>
      </w:r>
      <w:r w:rsidR="00EC03A3">
        <w:noBreakHyphen/>
        <w:t>M</w:t>
      </w:r>
      <w:r w:rsidRPr="00181EF3">
        <w:t>āori females in the same age group, the age-standardised breast cancer registration rates increased by 12 percent over time, from 120.0 registrations per 100,000 in 1996–98 to 134.8 registrations per 100,000 in 2013–15.</w:t>
      </w:r>
    </w:p>
    <w:p w14:paraId="1FC61A53" w14:textId="77777777" w:rsidR="00B14564" w:rsidRPr="00181EF3" w:rsidRDefault="00B14564" w:rsidP="00DC0539"/>
    <w:p w14:paraId="0038B9C2" w14:textId="18156CF7" w:rsidR="00DC0539" w:rsidRPr="00181EF3" w:rsidRDefault="00DC0539" w:rsidP="002F1577">
      <w:pPr>
        <w:pStyle w:val="Heading4"/>
      </w:pPr>
      <w:r w:rsidRPr="00181EF3">
        <w:lastRenderedPageBreak/>
        <w:t xml:space="preserve">The difference in breast cancer registration rates between Māori and </w:t>
      </w:r>
      <w:r w:rsidR="00EC03A3">
        <w:t>non</w:t>
      </w:r>
      <w:r w:rsidR="00EC03A3">
        <w:noBreakHyphen/>
        <w:t>M</w:t>
      </w:r>
      <w:r w:rsidRPr="00181EF3">
        <w:t>āori females remained similar over time</w:t>
      </w:r>
    </w:p>
    <w:p w14:paraId="1B3AF616" w14:textId="66C44DD5" w:rsidR="00DC0539" w:rsidRPr="00181EF3" w:rsidRDefault="00DC0539" w:rsidP="00DC0539">
      <w:r w:rsidRPr="00181EF3">
        <w:t xml:space="preserve">The difference in age-standardised breast cancer registration rates between Māori and </w:t>
      </w:r>
      <w:r w:rsidR="00EC03A3">
        <w:t>non</w:t>
      </w:r>
      <w:r w:rsidR="00EC03A3">
        <w:noBreakHyphen/>
        <w:t>M</w:t>
      </w:r>
      <w:r w:rsidRPr="00181EF3">
        <w:t xml:space="preserve">āori females aged 25 years and over remained similar over time. Māori females aged 25 years and over had 36.5 more registrations per 100,000 than </w:t>
      </w:r>
      <w:r w:rsidR="00EC03A3">
        <w:t>non</w:t>
      </w:r>
      <w:r w:rsidR="00EC03A3">
        <w:noBreakHyphen/>
        <w:t>M</w:t>
      </w:r>
      <w:r w:rsidRPr="00181EF3">
        <w:t>āori</w:t>
      </w:r>
      <w:r w:rsidR="00BB6271">
        <w:t xml:space="preserve"> females</w:t>
      </w:r>
      <w:r w:rsidRPr="00181EF3">
        <w:t xml:space="preserve"> in 1996–98, and 40.3 more registrations per 100,000 in 2013–15.</w:t>
      </w:r>
    </w:p>
    <w:p w14:paraId="3FFF5CB8" w14:textId="77777777" w:rsidR="00DC0539" w:rsidRPr="00181EF3" w:rsidRDefault="00DC0539" w:rsidP="00DC0539"/>
    <w:p w14:paraId="4294E5F2" w14:textId="174859FD" w:rsidR="00DC0539" w:rsidRDefault="00DC0539" w:rsidP="00DC0539">
      <w:r w:rsidRPr="00181EF3">
        <w:t xml:space="preserve">Māori females aged 25 years and over had a breast cancer registration rate 1.3 times that of </w:t>
      </w:r>
      <w:r w:rsidR="00EC03A3">
        <w:t>non</w:t>
      </w:r>
      <w:r w:rsidR="00EC03A3">
        <w:noBreakHyphen/>
        <w:t>M</w:t>
      </w:r>
      <w:r w:rsidRPr="00181EF3">
        <w:t>āori females in the same age group in 2013–15. This has not changed much over time.</w:t>
      </w:r>
    </w:p>
    <w:p w14:paraId="0DECA85D" w14:textId="77777777" w:rsidR="00B14564" w:rsidRPr="00181EF3" w:rsidRDefault="00B14564" w:rsidP="00DC0539"/>
    <w:p w14:paraId="65464C5A" w14:textId="19244812" w:rsidR="002F1577" w:rsidRPr="00181EF3" w:rsidRDefault="002F1577" w:rsidP="002F1577">
      <w:pPr>
        <w:pStyle w:val="Figure"/>
      </w:pPr>
      <w:bookmarkStart w:id="169" w:name="_Toc19101903"/>
      <w:bookmarkStart w:id="170" w:name="_Hlk17021620"/>
      <w:r w:rsidRPr="00181EF3">
        <w:t xml:space="preserve">Figure </w:t>
      </w:r>
      <w:r>
        <w:t>5</w:t>
      </w:r>
      <w:r w:rsidRPr="00181EF3">
        <w:t>2: Breast cancer mortality rate</w:t>
      </w:r>
      <w:r>
        <w:t>s</w:t>
      </w:r>
      <w:r w:rsidRPr="00181EF3">
        <w:t xml:space="preserve">, </w:t>
      </w:r>
      <w:r>
        <w:t xml:space="preserve">25+ years, </w:t>
      </w:r>
      <w:r w:rsidRPr="00181EF3">
        <w:t xml:space="preserve">Māori and </w:t>
      </w:r>
      <w:r w:rsidR="00EC03A3">
        <w:t>non</w:t>
      </w:r>
      <w:r w:rsidR="00EC03A3">
        <w:noBreakHyphen/>
        <w:t>M</w:t>
      </w:r>
      <w:r w:rsidRPr="00181EF3">
        <w:t>āori females</w:t>
      </w:r>
      <w:r>
        <w:t>,</w:t>
      </w:r>
      <w:r w:rsidRPr="00181EF3">
        <w:t xml:space="preserve"> 1996–98 to 2012–14</w:t>
      </w:r>
      <w:bookmarkEnd w:id="169"/>
    </w:p>
    <w:p w14:paraId="54EC17EC" w14:textId="77777777" w:rsidR="002F1577" w:rsidRPr="00181EF3" w:rsidRDefault="002F1577" w:rsidP="002F1577">
      <w:r w:rsidRPr="00181EF3">
        <w:rPr>
          <w:noProof/>
          <w:lang w:eastAsia="en-NZ"/>
        </w:rPr>
        <w:drawing>
          <wp:inline distT="0" distB="0" distL="0" distR="0" wp14:anchorId="523BE194" wp14:editId="3FB96501">
            <wp:extent cx="5130165" cy="3058916"/>
            <wp:effectExtent l="0" t="0" r="0" b="8255"/>
            <wp:docPr id="438" name="Picture 438" descr="Māori women die of breast cancer at higher rates than non-Māori women, but the death rates for both have steadily declined over time." title="Figure 52: Breast cancer mortality rate, Māori and non-Māori females aged 25 years and over, from 1996–98 to 20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130165" cy="3058916"/>
                    </a:xfrm>
                    <a:prstGeom prst="rect">
                      <a:avLst/>
                    </a:prstGeom>
                  </pic:spPr>
                </pic:pic>
              </a:graphicData>
            </a:graphic>
          </wp:inline>
        </w:drawing>
      </w:r>
    </w:p>
    <w:p w14:paraId="005EA2E9" w14:textId="77777777" w:rsidR="002F1577" w:rsidRDefault="002F1577" w:rsidP="002F1577">
      <w:pPr>
        <w:pStyle w:val="Note"/>
      </w:pPr>
      <w:r w:rsidRPr="00181EF3">
        <w:t>Note</w:t>
      </w:r>
      <w:r>
        <w:t>s</w:t>
      </w:r>
      <w:r w:rsidRPr="00181EF3">
        <w:t>:</w:t>
      </w:r>
    </w:p>
    <w:p w14:paraId="783D0BE4" w14:textId="216396CD" w:rsidR="008A5642" w:rsidRDefault="00446D86" w:rsidP="002F1577">
      <w:pPr>
        <w:pStyle w:val="Note"/>
      </w:pPr>
      <w:r>
        <w:t>Figures are age-standardised to the 2001 Census total Māori population</w:t>
      </w:r>
      <w:r w:rsidR="002F1577" w:rsidRPr="00181EF3">
        <w:t>.</w:t>
      </w:r>
    </w:p>
    <w:p w14:paraId="14EF5576" w14:textId="055A6764" w:rsidR="002F1577" w:rsidRPr="00181EF3" w:rsidRDefault="002F1577" w:rsidP="002F1577">
      <w:pPr>
        <w:pStyle w:val="Note"/>
      </w:pPr>
      <w:r>
        <w:t>Prioritised ethnicity has been used.</w:t>
      </w:r>
    </w:p>
    <w:p w14:paraId="278E5E73" w14:textId="77777777" w:rsidR="008A5642" w:rsidRDefault="002F1577" w:rsidP="00886EED">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05826B53" w14:textId="58FE1C3E" w:rsidR="002F1577" w:rsidRPr="00181EF3" w:rsidRDefault="002F1577" w:rsidP="002F1577">
      <w:pPr>
        <w:pStyle w:val="Source"/>
        <w:rPr>
          <w:rFonts w:eastAsia="Calibri"/>
        </w:rPr>
      </w:pPr>
      <w:r w:rsidRPr="00181EF3">
        <w:rPr>
          <w:rFonts w:eastAsia="Calibri"/>
        </w:rPr>
        <w:t>Source: Mortality Collection Data Set (MORT), Ministry of Health</w:t>
      </w:r>
      <w:r>
        <w:rPr>
          <w:rFonts w:eastAsia="Calibri"/>
        </w:rPr>
        <w:t xml:space="preserve">, </w:t>
      </w:r>
      <w:r w:rsidRPr="00181EF3">
        <w:t>1996–98 to 2012–14</w:t>
      </w:r>
      <w:r w:rsidRPr="00181EF3">
        <w:rPr>
          <w:rFonts w:eastAsia="Calibri"/>
        </w:rPr>
        <w:t>.</w:t>
      </w:r>
    </w:p>
    <w:bookmarkEnd w:id="170"/>
    <w:p w14:paraId="775BFFB4" w14:textId="77777777" w:rsidR="002F1577" w:rsidRPr="00181EF3" w:rsidRDefault="002F1577" w:rsidP="002F1577"/>
    <w:p w14:paraId="1F6D9135" w14:textId="77A77E89" w:rsidR="002F1577" w:rsidRDefault="002F1577" w:rsidP="002F1577">
      <w:r w:rsidRPr="00181EF3">
        <w:t xml:space="preserve">Figure </w:t>
      </w:r>
      <w:r>
        <w:t>5</w:t>
      </w:r>
      <w:r w:rsidRPr="00181EF3">
        <w:t xml:space="preserve">2 shows that Māori females aged 25 years and over have higher breast cancer mortality rates than </w:t>
      </w:r>
      <w:r w:rsidR="00EC03A3">
        <w:t>non</w:t>
      </w:r>
      <w:r w:rsidR="00EC03A3">
        <w:noBreakHyphen/>
        <w:t>M</w:t>
      </w:r>
      <w:r w:rsidRPr="00181EF3">
        <w:t>āori females in the same age group over time, after adjusting for age.</w:t>
      </w:r>
    </w:p>
    <w:p w14:paraId="4B03B2D4" w14:textId="77777777" w:rsidR="00B14564" w:rsidRDefault="00B14564" w:rsidP="002F1577"/>
    <w:p w14:paraId="4968589F" w14:textId="77777777" w:rsidR="007B2CA8" w:rsidRDefault="007B2CA8" w:rsidP="007B2CA8">
      <w:pPr>
        <w:pStyle w:val="Heading4"/>
      </w:pPr>
      <w:r w:rsidRPr="00181EF3">
        <w:lastRenderedPageBreak/>
        <w:t>Breast cancer mortality rate decreased over time for Māori females</w:t>
      </w:r>
    </w:p>
    <w:p w14:paraId="431CB8B5" w14:textId="0C0665D0" w:rsidR="002F1577" w:rsidRPr="00181EF3" w:rsidRDefault="002F1577" w:rsidP="00B14564">
      <w:pPr>
        <w:keepNext/>
      </w:pPr>
      <w:r w:rsidRPr="00181EF3">
        <w:t xml:space="preserve">After adjusting for age, breast cancer mortality rates decreased over time for both Māori and </w:t>
      </w:r>
      <w:r w:rsidR="00EC03A3">
        <w:t>non</w:t>
      </w:r>
      <w:r w:rsidR="00EC03A3">
        <w:noBreakHyphen/>
        <w:t>M</w:t>
      </w:r>
      <w:r w:rsidRPr="00181EF3">
        <w:t>āori females aged 25 years and over.</w:t>
      </w:r>
    </w:p>
    <w:p w14:paraId="3FE6D5A4" w14:textId="77777777" w:rsidR="002F1577" w:rsidRDefault="002F1577" w:rsidP="00B14564">
      <w:pPr>
        <w:keepNext/>
      </w:pPr>
    </w:p>
    <w:p w14:paraId="159EBEE9" w14:textId="77777777" w:rsidR="00DC0539" w:rsidRPr="00181EF3" w:rsidRDefault="00DC0539" w:rsidP="00B14564">
      <w:pPr>
        <w:keepNext/>
      </w:pPr>
      <w:r w:rsidRPr="00181EF3">
        <w:t>The age-standardised breast cancer mortality rates for Māori females aged 25 years and over decreased by 33 percent, from 49.1 deaths per 100,000 in 1996–98 to 33.1 registrations per 100,000 in 2012–14.</w:t>
      </w:r>
    </w:p>
    <w:p w14:paraId="060EAB51" w14:textId="77777777" w:rsidR="00DC0539" w:rsidRPr="00181EF3" w:rsidRDefault="00DC0539" w:rsidP="00DC0539"/>
    <w:p w14:paraId="7BCEFE84" w14:textId="0191E29A" w:rsidR="00DC0539" w:rsidRDefault="00DC0539" w:rsidP="00DC0539">
      <w:r w:rsidRPr="00181EF3">
        <w:t xml:space="preserve">The age-standardised breast cancer mortality rates for </w:t>
      </w:r>
      <w:r w:rsidR="00EC03A3">
        <w:t>non</w:t>
      </w:r>
      <w:r w:rsidR="00EC03A3">
        <w:noBreakHyphen/>
        <w:t>M</w:t>
      </w:r>
      <w:r w:rsidRPr="00181EF3">
        <w:t>āori females in the same age group decreased by 36 percent over time, from 32.3 deaths per 100,000 in</w:t>
      </w:r>
      <w:r w:rsidRPr="00181EF3">
        <w:br/>
        <w:t>1996–98 to 20.6 deaths per 100,000 in 2012–14.</w:t>
      </w:r>
    </w:p>
    <w:p w14:paraId="7C691B94" w14:textId="77777777" w:rsidR="00B14564" w:rsidRPr="00181EF3" w:rsidRDefault="00B14564" w:rsidP="00DC0539"/>
    <w:p w14:paraId="4F0701B7" w14:textId="5466B9C5" w:rsidR="00DC0539" w:rsidRPr="00181EF3" w:rsidRDefault="00DC0539" w:rsidP="002F1577">
      <w:pPr>
        <w:pStyle w:val="Heading4"/>
      </w:pPr>
      <w:r w:rsidRPr="00181EF3">
        <w:t xml:space="preserve">The difference in breast cancer mortality rates between Māori and </w:t>
      </w:r>
      <w:r w:rsidR="00EC03A3">
        <w:t>non</w:t>
      </w:r>
      <w:r w:rsidR="00EC03A3">
        <w:noBreakHyphen/>
        <w:t>M</w:t>
      </w:r>
      <w:r w:rsidRPr="00181EF3">
        <w:t>āori females remained similar over time</w:t>
      </w:r>
    </w:p>
    <w:p w14:paraId="5AD9BBBF" w14:textId="178F8E0D" w:rsidR="00DC0539" w:rsidRPr="00181EF3" w:rsidRDefault="00DC0539" w:rsidP="00DC0539">
      <w:r w:rsidRPr="00181EF3">
        <w:t xml:space="preserve">The difference in age-standardised breast cancer mortality rates between Māori and </w:t>
      </w:r>
      <w:r w:rsidR="00EC03A3">
        <w:t>non</w:t>
      </w:r>
      <w:r w:rsidR="00EC03A3">
        <w:noBreakHyphen/>
        <w:t>M</w:t>
      </w:r>
      <w:r w:rsidRPr="00181EF3">
        <w:t xml:space="preserve">āori females aged 25 years and over remained similar over time. Māori females aged 25 years and over had 16.8 more deaths </w:t>
      </w:r>
      <w:r w:rsidR="00F27A7A" w:rsidRPr="00181EF3">
        <w:t>per 100,000</w:t>
      </w:r>
      <w:r w:rsidR="00F27A7A">
        <w:t xml:space="preserve"> </w:t>
      </w:r>
      <w:r w:rsidRPr="00181EF3">
        <w:t xml:space="preserve">than </w:t>
      </w:r>
      <w:r w:rsidR="00EC03A3">
        <w:t>non</w:t>
      </w:r>
      <w:r w:rsidR="00EC03A3">
        <w:noBreakHyphen/>
        <w:t>M</w:t>
      </w:r>
      <w:r w:rsidRPr="00181EF3">
        <w:t xml:space="preserve">āori </w:t>
      </w:r>
      <w:r w:rsidR="00F27A7A">
        <w:t xml:space="preserve">females </w:t>
      </w:r>
      <w:r w:rsidRPr="00181EF3">
        <w:t>in 1996–98, and 12.5 more deaths per 100,000 in 2012–14.</w:t>
      </w:r>
    </w:p>
    <w:p w14:paraId="6E04684C" w14:textId="77777777" w:rsidR="00DC0539" w:rsidRPr="00181EF3" w:rsidRDefault="00DC0539" w:rsidP="00DC0539"/>
    <w:p w14:paraId="3A222A9D" w14:textId="6CEC997D" w:rsidR="00DC0539" w:rsidRDefault="00DC0539" w:rsidP="00DC0539">
      <w:r w:rsidRPr="00181EF3">
        <w:t xml:space="preserve">Māori females aged 25 years and over had a breast cancer mortality rate 1.6 times that of </w:t>
      </w:r>
      <w:r w:rsidR="00EC03A3">
        <w:t>non</w:t>
      </w:r>
      <w:r w:rsidR="00EC03A3">
        <w:noBreakHyphen/>
        <w:t>M</w:t>
      </w:r>
      <w:r w:rsidRPr="00181EF3">
        <w:t>āori females in the same age group in 2012–14. This has not changed much over time.</w:t>
      </w:r>
    </w:p>
    <w:p w14:paraId="67540163" w14:textId="77777777" w:rsidR="00B14564" w:rsidRPr="00181EF3" w:rsidRDefault="00B14564" w:rsidP="00DC0539"/>
    <w:p w14:paraId="10CDC4CF" w14:textId="77777777" w:rsidR="00654B21" w:rsidRPr="00181EF3" w:rsidRDefault="00654B21" w:rsidP="00B14564">
      <w:pPr>
        <w:pStyle w:val="Heading2"/>
        <w:pageBreakBefore/>
        <w:spacing w:before="0"/>
        <w:rPr>
          <w:noProof/>
          <w:lang w:eastAsia="en-NZ"/>
        </w:rPr>
      </w:pPr>
      <w:bookmarkStart w:id="171" w:name="_Toc14718623"/>
      <w:bookmarkStart w:id="172" w:name="_Toc14775046"/>
      <w:bookmarkStart w:id="173" w:name="_Toc19102347"/>
      <w:r w:rsidRPr="00181EF3">
        <w:rPr>
          <w:noProof/>
          <w:lang w:eastAsia="en-NZ"/>
        </w:rPr>
        <w:lastRenderedPageBreak/>
        <w:t>BreastScreen Aotearoa and National Cervical Screening Programmes</w:t>
      </w:r>
      <w:bookmarkEnd w:id="171"/>
      <w:bookmarkEnd w:id="172"/>
      <w:bookmarkEnd w:id="173"/>
    </w:p>
    <w:p w14:paraId="37FF1257" w14:textId="01D66EDD" w:rsidR="008A5642" w:rsidRDefault="00654B21" w:rsidP="00654B21">
      <w:r w:rsidRPr="00181EF3">
        <w:rPr>
          <w:noProof/>
          <w:lang w:eastAsia="en-NZ"/>
        </w:rPr>
        <w:t xml:space="preserve">This </w:t>
      </w:r>
      <w:r>
        <w:rPr>
          <w:noProof/>
          <w:lang w:eastAsia="en-NZ"/>
        </w:rPr>
        <w:t>section</w:t>
      </w:r>
      <w:r w:rsidRPr="00181EF3">
        <w:rPr>
          <w:noProof/>
          <w:lang w:eastAsia="en-NZ"/>
        </w:rPr>
        <w:t xml:space="preserve"> presents data from BreastScreen Aotearoa (BSA) and the National Cervical Screening Programme (NCSP), programmes of the National Screening Unit at the Ministry of Health. Trends over time from 2002 and 2017 are shown </w:t>
      </w:r>
      <w:r w:rsidRPr="00181EF3">
        <w:t xml:space="preserve">for Māori and </w:t>
      </w:r>
      <w:r w:rsidR="00EC03A3">
        <w:t>non</w:t>
      </w:r>
      <w:r w:rsidR="00EC03A3">
        <w:noBreakHyphen/>
        <w:t>M</w:t>
      </w:r>
      <w:r w:rsidRPr="00181EF3">
        <w:t>āori women.</w:t>
      </w:r>
    </w:p>
    <w:p w14:paraId="51199DCF" w14:textId="1BCA3925" w:rsidR="00654B21" w:rsidRPr="00181EF3" w:rsidRDefault="00654B21" w:rsidP="00654B21"/>
    <w:p w14:paraId="5EC7ED6E" w14:textId="6997A6CA" w:rsidR="00654B21" w:rsidRPr="00181EF3" w:rsidRDefault="00654B21" w:rsidP="00654B21">
      <w:pPr>
        <w:rPr>
          <w:noProof/>
          <w:lang w:eastAsia="en-NZ"/>
        </w:rPr>
      </w:pPr>
      <w:r w:rsidRPr="00181EF3">
        <w:rPr>
          <w:noProof/>
          <w:lang w:eastAsia="en-NZ"/>
        </w:rPr>
        <w:t>The aim of screening is to identify cancers at an early stage, allowing treatment to be commenced sooner than might otherwise be expected.</w:t>
      </w:r>
      <w:r>
        <w:rPr>
          <w:noProof/>
          <w:lang w:eastAsia="en-NZ"/>
        </w:rPr>
        <w:t xml:space="preserve"> </w:t>
      </w:r>
      <w:r w:rsidRPr="00654B21">
        <w:rPr>
          <w:noProof/>
          <w:lang w:eastAsia="en-NZ"/>
        </w:rPr>
        <w:t xml:space="preserve">Please refer to the Appendix </w:t>
      </w:r>
      <w:r>
        <w:rPr>
          <w:noProof/>
          <w:lang w:eastAsia="en-NZ"/>
        </w:rPr>
        <w:t>4</w:t>
      </w:r>
      <w:r w:rsidR="00254D26">
        <w:rPr>
          <w:noProof/>
          <w:lang w:eastAsia="en-NZ"/>
        </w:rPr>
        <w:t xml:space="preserve">: </w:t>
      </w:r>
      <w:r w:rsidRPr="00E63739">
        <w:rPr>
          <w:noProof/>
          <w:lang w:eastAsia="en-NZ"/>
        </w:rPr>
        <w:t>Overview of Breast and Cervical Cancer Screening Programmes</w:t>
      </w:r>
      <w:r w:rsidRPr="00654B21">
        <w:rPr>
          <w:noProof/>
          <w:lang w:eastAsia="en-NZ"/>
        </w:rPr>
        <w:t xml:space="preserve"> </w:t>
      </w:r>
      <w:r w:rsidR="00254D26">
        <w:rPr>
          <w:noProof/>
          <w:lang w:eastAsia="en-NZ"/>
        </w:rPr>
        <w:t>for an explanation of the</w:t>
      </w:r>
      <w:r w:rsidR="00254D26" w:rsidRPr="00654B21">
        <w:rPr>
          <w:noProof/>
          <w:lang w:eastAsia="en-NZ"/>
        </w:rPr>
        <w:t xml:space="preserve"> </w:t>
      </w:r>
      <w:r w:rsidRPr="00654B21">
        <w:rPr>
          <w:noProof/>
          <w:lang w:eastAsia="en-NZ"/>
        </w:rPr>
        <w:t>key points relating to these screening programmes.</w:t>
      </w:r>
    </w:p>
    <w:p w14:paraId="36EC8FFE" w14:textId="77777777" w:rsidR="00654B21" w:rsidRDefault="00654B21" w:rsidP="00C02928"/>
    <w:p w14:paraId="2C5CE6DB" w14:textId="77777777" w:rsidR="00654B21" w:rsidRPr="00181EF3" w:rsidRDefault="00654B21" w:rsidP="00654B21">
      <w:pPr>
        <w:pStyle w:val="Heading3"/>
      </w:pPr>
      <w:bookmarkStart w:id="174" w:name="_Toc19102348"/>
      <w:r w:rsidRPr="00181EF3">
        <w:t>What is the data telling us?</w:t>
      </w:r>
      <w:bookmarkEnd w:id="174"/>
    </w:p>
    <w:p w14:paraId="03112266" w14:textId="77777777" w:rsidR="00654B21" w:rsidRPr="00181EF3" w:rsidRDefault="00654B21" w:rsidP="00654B21">
      <w:pPr>
        <w:pStyle w:val="Shadedboxheading"/>
      </w:pPr>
      <w:r w:rsidRPr="00181EF3">
        <w:t>Breast screening data shows that:</w:t>
      </w:r>
    </w:p>
    <w:p w14:paraId="4361576E" w14:textId="188D0ADB" w:rsidR="00654B21" w:rsidRPr="00181EF3" w:rsidRDefault="00654B21" w:rsidP="00654B21">
      <w:pPr>
        <w:pStyle w:val="Shadedboxbullet"/>
        <w:ind w:left="568" w:hanging="284"/>
      </w:pPr>
      <w:r w:rsidRPr="00181EF3">
        <w:t xml:space="preserve">Between 2003 and 2017, Māori women had lower rates of breast screening than </w:t>
      </w:r>
      <w:r w:rsidR="00EC03A3">
        <w:t>non</w:t>
      </w:r>
      <w:r w:rsidR="00EC03A3">
        <w:noBreakHyphen/>
        <w:t>M</w:t>
      </w:r>
      <w:r w:rsidRPr="00181EF3">
        <w:t>āori women.</w:t>
      </w:r>
    </w:p>
    <w:p w14:paraId="0863EF88" w14:textId="1B404140" w:rsidR="00654B21" w:rsidRPr="00181EF3" w:rsidRDefault="00654B21" w:rsidP="00654B21">
      <w:pPr>
        <w:pStyle w:val="Shadedboxbullet"/>
        <w:ind w:left="568" w:hanging="284"/>
      </w:pPr>
      <w:r w:rsidRPr="00181EF3">
        <w:t xml:space="preserve">Between 2007 and 2017, breast screening rates of Māori and </w:t>
      </w:r>
      <w:r w:rsidR="00EC03A3">
        <w:t>non</w:t>
      </w:r>
      <w:r w:rsidR="00EC03A3">
        <w:noBreakHyphen/>
        <w:t>M</w:t>
      </w:r>
      <w:r w:rsidRPr="00181EF3">
        <w:t>āori women aged 45 to 69 increased, with bigger increases for Māori women.</w:t>
      </w:r>
    </w:p>
    <w:p w14:paraId="7CE8F358" w14:textId="1A482739" w:rsidR="00654B21" w:rsidRPr="00181EF3" w:rsidRDefault="00654B21" w:rsidP="00654B21">
      <w:pPr>
        <w:pStyle w:val="Shadedboxbullet"/>
        <w:ind w:left="568" w:hanging="284"/>
      </w:pPr>
      <w:r w:rsidRPr="00181EF3">
        <w:t xml:space="preserve">Between 2007 and 2017, breast screening rates of Māori women aged 45 to 69 increased from 42 percent to 65 percent, an increase of 23 percentage points or 55 percent. The corresponding increase for </w:t>
      </w:r>
      <w:r w:rsidR="00EC03A3">
        <w:t>non</w:t>
      </w:r>
      <w:r w:rsidR="00EC03A3">
        <w:noBreakHyphen/>
        <w:t>M</w:t>
      </w:r>
      <w:r w:rsidRPr="00181EF3">
        <w:t>āori women was from 57 percent to 73 percent, an increase of 16 percentage points or 28 percent.</w:t>
      </w:r>
    </w:p>
    <w:p w14:paraId="0FCC66FD" w14:textId="1920855F" w:rsidR="00654B21" w:rsidRPr="00181EF3" w:rsidRDefault="00654B21" w:rsidP="00654B21">
      <w:pPr>
        <w:pStyle w:val="Shadedboxbullet"/>
        <w:ind w:left="568" w:hanging="284"/>
      </w:pPr>
      <w:r w:rsidRPr="00181EF3">
        <w:t xml:space="preserve">Between 2003 and 2017, breast screening rates of Māori women aged 50 to 69 increased from 45 percent to 65 percent, an increase of 20 percentage points or 46 percent. The corresponding increase for </w:t>
      </w:r>
      <w:r w:rsidR="00EC03A3">
        <w:t>non</w:t>
      </w:r>
      <w:r w:rsidR="00EC03A3">
        <w:noBreakHyphen/>
        <w:t>M</w:t>
      </w:r>
      <w:r w:rsidRPr="00181EF3">
        <w:t>āori women was from 57 percent to 73 percent, an increase of 20 percentage points or 38 percent.</w:t>
      </w:r>
    </w:p>
    <w:p w14:paraId="2F97C0AB" w14:textId="77777777" w:rsidR="00654B21" w:rsidRPr="00181EF3" w:rsidRDefault="00654B21" w:rsidP="00654B21">
      <w:pPr>
        <w:pStyle w:val="Shadedboxheading"/>
      </w:pPr>
      <w:r w:rsidRPr="00181EF3">
        <w:t>Cervical screening data shows that:</w:t>
      </w:r>
    </w:p>
    <w:p w14:paraId="6BC721E8" w14:textId="6B293BD7" w:rsidR="00654B21" w:rsidRPr="00181EF3" w:rsidRDefault="00654B21" w:rsidP="00C02928">
      <w:pPr>
        <w:pStyle w:val="Shadedboxbullet"/>
        <w:ind w:left="568" w:hanging="284"/>
      </w:pPr>
      <w:r w:rsidRPr="00181EF3">
        <w:t xml:space="preserve">Between 2002 and 2017, Māori women have had lower cervical screening rates than </w:t>
      </w:r>
      <w:r w:rsidR="00EC03A3">
        <w:t>non</w:t>
      </w:r>
      <w:r w:rsidR="00EC03A3">
        <w:noBreakHyphen/>
        <w:t>M</w:t>
      </w:r>
      <w:r w:rsidRPr="00181EF3">
        <w:t>āori women (on average about 10 percentage points lower).</w:t>
      </w:r>
    </w:p>
    <w:p w14:paraId="516CAD8D" w14:textId="452F8836" w:rsidR="00654B21" w:rsidRPr="00181EF3" w:rsidRDefault="00654B21" w:rsidP="00C02928">
      <w:pPr>
        <w:pStyle w:val="Shadedboxbullet"/>
        <w:ind w:left="568" w:hanging="284"/>
      </w:pPr>
      <w:r w:rsidRPr="00181EF3">
        <w:t xml:space="preserve">Cervical screening rates for both Māori and </w:t>
      </w:r>
      <w:r w:rsidR="00EC03A3">
        <w:t>non</w:t>
      </w:r>
      <w:r w:rsidR="00EC03A3">
        <w:noBreakHyphen/>
        <w:t>M</w:t>
      </w:r>
      <w:r w:rsidRPr="00181EF3">
        <w:t>āori women have not changed much between 2002 and 2017.</w:t>
      </w:r>
    </w:p>
    <w:p w14:paraId="514AE632" w14:textId="6F36CF4D" w:rsidR="00654B21" w:rsidRPr="00181EF3" w:rsidRDefault="00654B21" w:rsidP="00654B21">
      <w:pPr>
        <w:pStyle w:val="Shadedboxbullet"/>
        <w:ind w:left="568" w:hanging="284"/>
      </w:pPr>
      <w:r w:rsidRPr="00181EF3">
        <w:t xml:space="preserve">Between 2002 and 2017, cervical screening rates of Māori women aged 20 to 69 fluctuated around 64 percent, while the corresponding rate for </w:t>
      </w:r>
      <w:r w:rsidR="00EC03A3">
        <w:t>non</w:t>
      </w:r>
      <w:r w:rsidR="00EC03A3">
        <w:noBreakHyphen/>
        <w:t>M</w:t>
      </w:r>
      <w:r w:rsidRPr="00181EF3">
        <w:t>āori women fluctuated around 74 percent.</w:t>
      </w:r>
    </w:p>
    <w:p w14:paraId="416DDC30" w14:textId="51E212AF" w:rsidR="00654B21" w:rsidRPr="00181EF3" w:rsidRDefault="00654B21" w:rsidP="00654B21">
      <w:pPr>
        <w:pStyle w:val="Shadedboxbullet"/>
        <w:ind w:left="568" w:hanging="284"/>
      </w:pPr>
      <w:r w:rsidRPr="00181EF3">
        <w:t xml:space="preserve">Between 2002 and 2017, cervical screening rates of Māori women aged 25 to 69 fluctuated around 66 percent, while the corresponding rate for </w:t>
      </w:r>
      <w:r w:rsidR="00EC03A3">
        <w:t>non</w:t>
      </w:r>
      <w:r w:rsidR="00EC03A3">
        <w:noBreakHyphen/>
        <w:t>M</w:t>
      </w:r>
      <w:r w:rsidRPr="00181EF3">
        <w:t>āori women fluctuated around 76 percent.</w:t>
      </w:r>
    </w:p>
    <w:p w14:paraId="2EA4F6FA" w14:textId="77777777" w:rsidR="00654B21" w:rsidRPr="00181EF3" w:rsidRDefault="00654B21" w:rsidP="00C02928">
      <w:pPr>
        <w:pStyle w:val="Heading3"/>
        <w:spacing w:before="600"/>
      </w:pPr>
      <w:bookmarkStart w:id="175" w:name="_Toc19102349"/>
      <w:r w:rsidRPr="00181EF3">
        <w:lastRenderedPageBreak/>
        <w:t>BreastScreen Aotearoa</w:t>
      </w:r>
      <w:bookmarkEnd w:id="175"/>
    </w:p>
    <w:p w14:paraId="09A3B0FC" w14:textId="77777777" w:rsidR="00654B21" w:rsidRPr="00181EF3" w:rsidRDefault="00654B21" w:rsidP="00654B21">
      <w:pPr>
        <w:pStyle w:val="Heading4"/>
        <w:rPr>
          <w:noProof/>
          <w:lang w:eastAsia="en-NZ"/>
        </w:rPr>
      </w:pPr>
      <w:r w:rsidRPr="00181EF3">
        <w:rPr>
          <w:noProof/>
          <w:lang w:eastAsia="en-NZ"/>
        </w:rPr>
        <w:t>Women aged 45 to 69</w:t>
      </w:r>
      <w:r>
        <w:rPr>
          <w:noProof/>
          <w:lang w:eastAsia="en-NZ"/>
        </w:rPr>
        <w:t xml:space="preserve"> years</w:t>
      </w:r>
    </w:p>
    <w:p w14:paraId="67C9770E" w14:textId="63556F6A" w:rsidR="00654B21" w:rsidRPr="00181EF3" w:rsidRDefault="00654B21" w:rsidP="00654B21">
      <w:pPr>
        <w:pStyle w:val="Figure"/>
        <w:rPr>
          <w:noProof/>
        </w:rPr>
      </w:pPr>
      <w:bookmarkStart w:id="176" w:name="_Toc19101904"/>
      <w:r w:rsidRPr="00181EF3">
        <w:rPr>
          <w:noProof/>
          <w:lang w:eastAsia="en-NZ"/>
        </w:rPr>
        <w:t xml:space="preserve">Figure </w:t>
      </w:r>
      <w:r>
        <w:rPr>
          <w:noProof/>
          <w:lang w:eastAsia="en-NZ"/>
        </w:rPr>
        <w:t>53</w:t>
      </w:r>
      <w:r w:rsidRPr="00181EF3">
        <w:rPr>
          <w:noProof/>
          <w:lang w:eastAsia="en-NZ"/>
        </w:rPr>
        <w:t xml:space="preserve">: </w:t>
      </w:r>
      <w:r w:rsidRPr="00181EF3">
        <w:rPr>
          <w:noProof/>
        </w:rPr>
        <w:t xml:space="preserve">Māori and </w:t>
      </w:r>
      <w:r w:rsidR="00EC03A3">
        <w:rPr>
          <w:noProof/>
        </w:rPr>
        <w:t>non</w:t>
      </w:r>
      <w:r w:rsidR="00EC03A3">
        <w:rPr>
          <w:noProof/>
        </w:rPr>
        <w:noBreakHyphen/>
        <w:t>M</w:t>
      </w:r>
      <w:r w:rsidRPr="00181EF3">
        <w:rPr>
          <w:noProof/>
        </w:rPr>
        <w:t>āori women screened in a two year screening period, aged 45–69 years, 2007–2017</w:t>
      </w:r>
      <w:bookmarkEnd w:id="176"/>
    </w:p>
    <w:p w14:paraId="36E9472D" w14:textId="77777777" w:rsidR="00654B21" w:rsidRPr="00181EF3" w:rsidRDefault="00654B21" w:rsidP="00654B21">
      <w:r w:rsidRPr="00181EF3">
        <w:rPr>
          <w:noProof/>
          <w:lang w:eastAsia="en-NZ"/>
        </w:rPr>
        <w:drawing>
          <wp:inline distT="0" distB="0" distL="0" distR="0" wp14:anchorId="50333288" wp14:editId="766246BC">
            <wp:extent cx="5130165" cy="2841322"/>
            <wp:effectExtent l="0" t="0" r="0" b="0"/>
            <wp:docPr id="25" name="Picture 25" descr="A slightly higher percentage of non-Māori women were screened by BreastScreen Aotearoa than Māori women. The rates for both have stabilised since 2012." title="Figure 53: Māori and non-Māori women screened in a two year screening period, aged 45–69 years, 2007–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130165" cy="2841322"/>
                    </a:xfrm>
                    <a:prstGeom prst="rect">
                      <a:avLst/>
                    </a:prstGeom>
                  </pic:spPr>
                </pic:pic>
              </a:graphicData>
            </a:graphic>
          </wp:inline>
        </w:drawing>
      </w:r>
    </w:p>
    <w:p w14:paraId="2E5C6330" w14:textId="77777777" w:rsidR="00654B21" w:rsidRDefault="00654B21" w:rsidP="00C02928">
      <w:pPr>
        <w:pStyle w:val="Note"/>
      </w:pPr>
      <w:r>
        <w:t>Notes:</w:t>
      </w:r>
    </w:p>
    <w:p w14:paraId="2955FA1C" w14:textId="77777777" w:rsidR="00654B21" w:rsidRPr="00181EF3" w:rsidRDefault="00654B21" w:rsidP="00C02928">
      <w:pPr>
        <w:pStyle w:val="Note"/>
      </w:pPr>
      <w:r w:rsidRPr="00181EF3">
        <w:t>Percentages (%) are presented here to measure screening participation.</w:t>
      </w:r>
    </w:p>
    <w:p w14:paraId="6268DD8F" w14:textId="77777777" w:rsidR="00654B21" w:rsidRPr="00181EF3" w:rsidRDefault="00654B21" w:rsidP="00C02928">
      <w:pPr>
        <w:pStyle w:val="Note"/>
        <w:ind w:left="0" w:firstLine="0"/>
      </w:pPr>
      <w:r w:rsidRPr="00181EF3">
        <w:t>Both the breast screening and cervical screen programmes had changes to the way the eligible population is measured resulting in the current reporting not being comparable to earlier reporting.</w:t>
      </w:r>
    </w:p>
    <w:p w14:paraId="6C08AB89" w14:textId="79E68605" w:rsidR="00654B21" w:rsidRPr="00181EF3" w:rsidRDefault="00654B21" w:rsidP="00C02928">
      <w:pPr>
        <w:pStyle w:val="Note"/>
        <w:ind w:left="0" w:firstLine="0"/>
      </w:pPr>
      <w:r w:rsidRPr="00181EF3">
        <w:t xml:space="preserve">The population denominators used for calculating cervical screening coverage is </w:t>
      </w:r>
      <w:r w:rsidR="008F0248">
        <w:t>Stats NZ</w:t>
      </w:r>
      <w:r w:rsidRPr="00181EF3">
        <w:t>’s 2017 update of DHB population projections (2013 Census base) at the end of the monitoring period adjusted for the prevalence of hysterectomy (as most women who have had a hysterectomy are not eligible for screening).</w:t>
      </w:r>
    </w:p>
    <w:p w14:paraId="23A998E3" w14:textId="77777777" w:rsidR="00654B21" w:rsidRPr="00181EF3" w:rsidRDefault="00654B21" w:rsidP="00654B21">
      <w:pPr>
        <w:pStyle w:val="Note"/>
      </w:pPr>
      <w:r w:rsidRPr="00181EF3">
        <w:t>Data showing results by five-year age groups for 2003 to 2017 are provided in Excel workbooks.</w:t>
      </w:r>
    </w:p>
    <w:p w14:paraId="3C5B0885" w14:textId="77777777" w:rsidR="00654B21" w:rsidRPr="00181EF3" w:rsidRDefault="00654B21" w:rsidP="00654B21">
      <w:pPr>
        <w:pStyle w:val="Source"/>
      </w:pPr>
      <w:r w:rsidRPr="00181EF3">
        <w:t>Source: BreastScreen Aotearoa, Ministry of Health, extracted 3 July 2018.</w:t>
      </w:r>
    </w:p>
    <w:p w14:paraId="0B6297CF" w14:textId="77777777" w:rsidR="00654B21" w:rsidRPr="00181EF3" w:rsidRDefault="00654B21" w:rsidP="00654B21">
      <w:pPr>
        <w:rPr>
          <w:noProof/>
          <w:lang w:eastAsia="en-NZ"/>
        </w:rPr>
      </w:pPr>
    </w:p>
    <w:p w14:paraId="60668A3B" w14:textId="1B3FF215" w:rsidR="00654B21" w:rsidRPr="00181EF3" w:rsidRDefault="00654B21" w:rsidP="00654B21">
      <w:pPr>
        <w:rPr>
          <w:noProof/>
          <w:lang w:eastAsia="en-NZ"/>
        </w:rPr>
      </w:pPr>
      <w:r w:rsidRPr="00181EF3">
        <w:rPr>
          <w:noProof/>
          <w:lang w:eastAsia="en-NZ"/>
        </w:rPr>
        <w:t xml:space="preserve">Between 2007 and 2017, Māori women aged 45 to 69 had lower rates of breast screening than </w:t>
      </w:r>
      <w:r w:rsidR="00EC03A3">
        <w:rPr>
          <w:noProof/>
          <w:lang w:eastAsia="en-NZ"/>
        </w:rPr>
        <w:t>non</w:t>
      </w:r>
      <w:r w:rsidR="00EC03A3">
        <w:rPr>
          <w:noProof/>
          <w:lang w:eastAsia="en-NZ"/>
        </w:rPr>
        <w:noBreakHyphen/>
        <w:t>M</w:t>
      </w:r>
      <w:r w:rsidRPr="00181EF3">
        <w:rPr>
          <w:noProof/>
          <w:lang w:eastAsia="en-NZ"/>
        </w:rPr>
        <w:t xml:space="preserve">āori women in the same age group – see Figure </w:t>
      </w:r>
      <w:r>
        <w:rPr>
          <w:noProof/>
          <w:lang w:eastAsia="en-NZ"/>
        </w:rPr>
        <w:t>53</w:t>
      </w:r>
      <w:r w:rsidRPr="00181EF3">
        <w:rPr>
          <w:noProof/>
          <w:lang w:eastAsia="en-NZ"/>
        </w:rPr>
        <w:t>.</w:t>
      </w:r>
    </w:p>
    <w:p w14:paraId="58D1F5D0" w14:textId="77777777" w:rsidR="00654B21" w:rsidRPr="00181EF3" w:rsidRDefault="00654B21" w:rsidP="00654B21">
      <w:pPr>
        <w:rPr>
          <w:noProof/>
          <w:lang w:eastAsia="en-NZ"/>
        </w:rPr>
      </w:pPr>
    </w:p>
    <w:p w14:paraId="09D01A7C" w14:textId="311A3C7F" w:rsidR="00654B21" w:rsidRPr="00181EF3" w:rsidRDefault="00654B21" w:rsidP="00C02928">
      <w:pPr>
        <w:rPr>
          <w:noProof/>
          <w:lang w:eastAsia="en-NZ"/>
        </w:rPr>
      </w:pPr>
      <w:r w:rsidRPr="00181EF3">
        <w:rPr>
          <w:noProof/>
          <w:lang w:eastAsia="en-NZ"/>
        </w:rPr>
        <w:t xml:space="preserve">Between 2007 and 2017, breast screening rates of Māori and </w:t>
      </w:r>
      <w:r w:rsidR="00EC03A3">
        <w:rPr>
          <w:noProof/>
          <w:lang w:eastAsia="en-NZ"/>
        </w:rPr>
        <w:t>non</w:t>
      </w:r>
      <w:r w:rsidR="00EC03A3">
        <w:rPr>
          <w:noProof/>
          <w:lang w:eastAsia="en-NZ"/>
        </w:rPr>
        <w:noBreakHyphen/>
        <w:t>M</w:t>
      </w:r>
      <w:r w:rsidRPr="00181EF3">
        <w:rPr>
          <w:noProof/>
          <w:lang w:eastAsia="en-NZ"/>
        </w:rPr>
        <w:t xml:space="preserve">āori women aged 45 to 69 increased. The percentage of Māori women screened increased from 42 percent to 65 percent during this time, an increase of 23 percentage points or 55 percent. The increase for </w:t>
      </w:r>
      <w:r w:rsidR="00EC03A3">
        <w:rPr>
          <w:noProof/>
          <w:lang w:eastAsia="en-NZ"/>
        </w:rPr>
        <w:t>non</w:t>
      </w:r>
      <w:r w:rsidR="00EC03A3">
        <w:rPr>
          <w:noProof/>
          <w:lang w:eastAsia="en-NZ"/>
        </w:rPr>
        <w:noBreakHyphen/>
        <w:t>M</w:t>
      </w:r>
      <w:r w:rsidRPr="00181EF3">
        <w:rPr>
          <w:noProof/>
          <w:lang w:eastAsia="en-NZ"/>
        </w:rPr>
        <w:t xml:space="preserve">āori women screened during the same time increased from 57 percent to 73 percent, an increase of 16 percentage points or 28 percent. Most of these increases occurred between 2007 and 2012, with little or no increases since 2012. The little or no increases since 2012 can be associated with the flattening of Māori and </w:t>
      </w:r>
      <w:r w:rsidR="00EC03A3">
        <w:rPr>
          <w:noProof/>
          <w:lang w:eastAsia="en-NZ"/>
        </w:rPr>
        <w:t>non</w:t>
      </w:r>
      <w:r w:rsidR="00EC03A3">
        <w:rPr>
          <w:noProof/>
          <w:lang w:eastAsia="en-NZ"/>
        </w:rPr>
        <w:noBreakHyphen/>
        <w:t>M</w:t>
      </w:r>
      <w:r w:rsidRPr="00181EF3">
        <w:rPr>
          <w:noProof/>
          <w:lang w:eastAsia="en-NZ"/>
        </w:rPr>
        <w:t>āori results in the above graph since 2012.</w:t>
      </w:r>
    </w:p>
    <w:p w14:paraId="0F94CC6F" w14:textId="77777777" w:rsidR="00654B21" w:rsidRPr="00181EF3" w:rsidRDefault="00654B21" w:rsidP="00654B21">
      <w:pPr>
        <w:rPr>
          <w:noProof/>
          <w:lang w:eastAsia="en-NZ"/>
        </w:rPr>
      </w:pPr>
    </w:p>
    <w:p w14:paraId="5A737971" w14:textId="1BB06A93" w:rsidR="00654B21" w:rsidRPr="00181EF3" w:rsidRDefault="00654B21" w:rsidP="00654B21">
      <w:pPr>
        <w:rPr>
          <w:noProof/>
          <w:lang w:eastAsia="en-NZ"/>
        </w:rPr>
      </w:pPr>
      <w:r w:rsidRPr="00181EF3">
        <w:rPr>
          <w:noProof/>
          <w:lang w:eastAsia="en-NZ"/>
        </w:rPr>
        <w:t xml:space="preserve">Between 2012 and 2017, on average breast screening rates were around 10 percentage points lower for Māori women compared </w:t>
      </w:r>
      <w:r w:rsidR="00FF1892">
        <w:rPr>
          <w:noProof/>
          <w:lang w:eastAsia="en-NZ"/>
        </w:rPr>
        <w:t>with</w:t>
      </w:r>
      <w:r w:rsidR="00FF1892" w:rsidRPr="00181EF3">
        <w:rPr>
          <w:noProof/>
          <w:lang w:eastAsia="en-NZ"/>
        </w:rPr>
        <w:t xml:space="preserve"> </w:t>
      </w:r>
      <w:r w:rsidRPr="00181EF3">
        <w:rPr>
          <w:noProof/>
          <w:lang w:eastAsia="en-NZ"/>
        </w:rPr>
        <w:t>Māori women. This rate did not vary much between the five-year age groups between the ages 45 to 69 (see Excel workbook for five-year age group data).</w:t>
      </w:r>
    </w:p>
    <w:p w14:paraId="1B06C9F5" w14:textId="77777777" w:rsidR="00654B21" w:rsidRPr="00181EF3" w:rsidRDefault="00654B21" w:rsidP="00654B21">
      <w:pPr>
        <w:rPr>
          <w:noProof/>
          <w:lang w:eastAsia="en-NZ"/>
        </w:rPr>
      </w:pPr>
    </w:p>
    <w:p w14:paraId="6E7E70AD" w14:textId="77777777" w:rsidR="00654B21" w:rsidRPr="00181EF3" w:rsidRDefault="00654B21" w:rsidP="00654B21">
      <w:pPr>
        <w:pStyle w:val="Heading4"/>
      </w:pPr>
      <w:r w:rsidRPr="00181EF3">
        <w:lastRenderedPageBreak/>
        <w:t>Women aged 50 to 69</w:t>
      </w:r>
      <w:r>
        <w:t xml:space="preserve"> years</w:t>
      </w:r>
    </w:p>
    <w:p w14:paraId="03B5914A" w14:textId="5E3AE236" w:rsidR="00654B21" w:rsidRPr="00181EF3" w:rsidRDefault="00654B21" w:rsidP="00654B21">
      <w:pPr>
        <w:pStyle w:val="Figure"/>
      </w:pPr>
      <w:bookmarkStart w:id="177" w:name="_Toc19101905"/>
      <w:r w:rsidRPr="00181EF3">
        <w:t xml:space="preserve">Figure </w:t>
      </w:r>
      <w:r>
        <w:t>54</w:t>
      </w:r>
      <w:r w:rsidRPr="00181EF3">
        <w:t xml:space="preserve">: Māori and </w:t>
      </w:r>
      <w:r w:rsidR="00EC03A3">
        <w:t>non</w:t>
      </w:r>
      <w:r w:rsidR="00EC03A3">
        <w:noBreakHyphen/>
        <w:t>M</w:t>
      </w:r>
      <w:r w:rsidRPr="00181EF3">
        <w:t>āori women screened in a two year screening period, aged 50–69 years, 2003–2017</w:t>
      </w:r>
      <w:bookmarkEnd w:id="177"/>
    </w:p>
    <w:p w14:paraId="679381D9" w14:textId="77777777" w:rsidR="00654B21" w:rsidRPr="00181EF3" w:rsidRDefault="00654B21" w:rsidP="00654B21">
      <w:r w:rsidRPr="00181EF3">
        <w:rPr>
          <w:noProof/>
          <w:lang w:eastAsia="en-NZ"/>
        </w:rPr>
        <w:drawing>
          <wp:inline distT="0" distB="0" distL="0" distR="0" wp14:anchorId="75F8BFB6" wp14:editId="553FC9A7">
            <wp:extent cx="5130165" cy="2858861"/>
            <wp:effectExtent l="0" t="0" r="0" b="0"/>
            <wp:docPr id="26" name="Picture 26" descr="Non-Māori women were more likely to be screened than Māori women. The rates for both have stabilised since 2012." title="Figure 54: Māori and non-Māori women screened in a two year screening period, aged 50–69 years, 2003–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130165" cy="2858861"/>
                    </a:xfrm>
                    <a:prstGeom prst="rect">
                      <a:avLst/>
                    </a:prstGeom>
                  </pic:spPr>
                </pic:pic>
              </a:graphicData>
            </a:graphic>
          </wp:inline>
        </w:drawing>
      </w:r>
    </w:p>
    <w:p w14:paraId="20E943FE" w14:textId="77777777" w:rsidR="00654B21" w:rsidRDefault="00654B21" w:rsidP="00C02928">
      <w:pPr>
        <w:pStyle w:val="Note"/>
      </w:pPr>
      <w:r>
        <w:t>Notes:</w:t>
      </w:r>
    </w:p>
    <w:p w14:paraId="2FE218CD" w14:textId="77777777" w:rsidR="00654B21" w:rsidRPr="00181EF3" w:rsidRDefault="00654B21" w:rsidP="00C02928">
      <w:pPr>
        <w:pStyle w:val="Note"/>
      </w:pPr>
      <w:r w:rsidRPr="00181EF3">
        <w:t>Percentages (%) are presented here to measure screening participation.</w:t>
      </w:r>
    </w:p>
    <w:p w14:paraId="0FDE4CCA" w14:textId="77777777" w:rsidR="00654B21" w:rsidRPr="00181EF3" w:rsidRDefault="00654B21" w:rsidP="00C02928">
      <w:pPr>
        <w:pStyle w:val="Note"/>
        <w:ind w:left="0" w:firstLine="0"/>
      </w:pPr>
      <w:r w:rsidRPr="00181EF3">
        <w:t>Both the breast screening and cervical screen programmes had changes to the way the eligible population is measured resulting in the current reporting not being comparable to earlier reporting.</w:t>
      </w:r>
    </w:p>
    <w:p w14:paraId="5E348C77" w14:textId="59F54D83" w:rsidR="00654B21" w:rsidRPr="00181EF3" w:rsidRDefault="00654B21" w:rsidP="00C02928">
      <w:pPr>
        <w:pStyle w:val="Note"/>
        <w:ind w:left="0" w:firstLine="0"/>
      </w:pPr>
      <w:r w:rsidRPr="00181EF3">
        <w:t xml:space="preserve">The population denominators used for calculating cervical screening coverage is </w:t>
      </w:r>
      <w:r w:rsidR="008F0248">
        <w:t>Stats NZ</w:t>
      </w:r>
      <w:r w:rsidRPr="00181EF3">
        <w:t>’s 2017 update of DHB population projections (2013 Census base) at the end of the monitoring period adjusted for the prevalence of hysterectomy (as most women who have had a hysterectomy are not eligible for screening).</w:t>
      </w:r>
    </w:p>
    <w:p w14:paraId="20FD9C15" w14:textId="77777777" w:rsidR="00654B21" w:rsidRPr="00181EF3" w:rsidRDefault="00654B21" w:rsidP="00654B21">
      <w:pPr>
        <w:pStyle w:val="Note"/>
      </w:pPr>
      <w:r w:rsidRPr="00181EF3">
        <w:t>Data showing results by five-year age groups for 2003 to 2017 are provided in Excel workbooks.</w:t>
      </w:r>
    </w:p>
    <w:p w14:paraId="3C5985DB" w14:textId="77777777" w:rsidR="00654B21" w:rsidRPr="00181EF3" w:rsidRDefault="00654B21" w:rsidP="00654B21">
      <w:pPr>
        <w:pStyle w:val="Source"/>
      </w:pPr>
      <w:r w:rsidRPr="00181EF3">
        <w:t>Source: BreastScreen Aotearoa, Ministry of Health, extracted 3 July 2018.</w:t>
      </w:r>
    </w:p>
    <w:p w14:paraId="5170ED30" w14:textId="77777777" w:rsidR="00654B21" w:rsidRPr="00181EF3" w:rsidRDefault="00654B21" w:rsidP="00654B21">
      <w:pPr>
        <w:rPr>
          <w:noProof/>
          <w:lang w:eastAsia="en-NZ"/>
        </w:rPr>
      </w:pPr>
    </w:p>
    <w:p w14:paraId="744820FA" w14:textId="2189AE2F" w:rsidR="00654B21" w:rsidRPr="00181EF3" w:rsidRDefault="00654B21" w:rsidP="00654B21">
      <w:r w:rsidRPr="00181EF3">
        <w:t xml:space="preserve">Between 2003 and 2017, Māori women aged 50 to 69 had lower rates of breast screening than </w:t>
      </w:r>
      <w:r w:rsidR="00EC03A3">
        <w:t>non</w:t>
      </w:r>
      <w:r w:rsidR="00EC03A3">
        <w:noBreakHyphen/>
        <w:t>M</w:t>
      </w:r>
      <w:r w:rsidRPr="00181EF3">
        <w:t xml:space="preserve">āori women in the same in age group – see Figure </w:t>
      </w:r>
      <w:r>
        <w:t>54</w:t>
      </w:r>
      <w:r w:rsidRPr="00181EF3">
        <w:t>.</w:t>
      </w:r>
    </w:p>
    <w:p w14:paraId="0E260F29" w14:textId="77777777" w:rsidR="00654B21" w:rsidRDefault="00654B21" w:rsidP="00654B21">
      <w:pPr>
        <w:rPr>
          <w:noProof/>
          <w:lang w:eastAsia="en-NZ"/>
        </w:rPr>
      </w:pPr>
    </w:p>
    <w:p w14:paraId="65204094" w14:textId="22EBB35F" w:rsidR="00654B21" w:rsidRPr="00181EF3" w:rsidRDefault="00654B21" w:rsidP="00654B21">
      <w:pPr>
        <w:rPr>
          <w:noProof/>
          <w:lang w:eastAsia="en-NZ"/>
        </w:rPr>
      </w:pPr>
      <w:r w:rsidRPr="00181EF3">
        <w:rPr>
          <w:noProof/>
          <w:lang w:eastAsia="en-NZ"/>
        </w:rPr>
        <w:t xml:space="preserve">Between 2003 and 2017, breast screening rates of Māori and </w:t>
      </w:r>
      <w:r w:rsidR="00EC03A3">
        <w:rPr>
          <w:noProof/>
          <w:lang w:eastAsia="en-NZ"/>
        </w:rPr>
        <w:t>non</w:t>
      </w:r>
      <w:r w:rsidR="00EC03A3">
        <w:rPr>
          <w:noProof/>
          <w:lang w:eastAsia="en-NZ"/>
        </w:rPr>
        <w:noBreakHyphen/>
        <w:t>M</w:t>
      </w:r>
      <w:r w:rsidRPr="00181EF3">
        <w:rPr>
          <w:noProof/>
          <w:lang w:eastAsia="en-NZ"/>
        </w:rPr>
        <w:t xml:space="preserve">āori women aged 50 to 69 both increased by around 20 percentage points. Likewise with the results of women aged 45 to 69, most of these increases occurred between 2003 and 2012, with little or no increases since 2012. The little or no increases since 2012 can be associated with the flattening of Māori and </w:t>
      </w:r>
      <w:r w:rsidR="00EC03A3">
        <w:rPr>
          <w:noProof/>
          <w:lang w:eastAsia="en-NZ"/>
        </w:rPr>
        <w:t>non</w:t>
      </w:r>
      <w:r w:rsidR="00EC03A3">
        <w:rPr>
          <w:noProof/>
          <w:lang w:eastAsia="en-NZ"/>
        </w:rPr>
        <w:noBreakHyphen/>
        <w:t>M</w:t>
      </w:r>
      <w:r w:rsidRPr="00181EF3">
        <w:rPr>
          <w:noProof/>
          <w:lang w:eastAsia="en-NZ"/>
        </w:rPr>
        <w:t>āori results in the above graph during since 2012.</w:t>
      </w:r>
    </w:p>
    <w:p w14:paraId="215A5FCF" w14:textId="77777777" w:rsidR="00654B21" w:rsidRPr="00181EF3" w:rsidRDefault="00654B21" w:rsidP="00654B21">
      <w:pPr>
        <w:rPr>
          <w:noProof/>
          <w:lang w:eastAsia="en-NZ"/>
        </w:rPr>
      </w:pPr>
    </w:p>
    <w:p w14:paraId="231A4D36" w14:textId="6BC8FD0B" w:rsidR="00654B21" w:rsidRPr="00181EF3" w:rsidRDefault="00654B21" w:rsidP="00C02928">
      <w:pPr>
        <w:rPr>
          <w:noProof/>
          <w:lang w:eastAsia="en-NZ"/>
        </w:rPr>
      </w:pPr>
      <w:r w:rsidRPr="00181EF3">
        <w:rPr>
          <w:noProof/>
          <w:lang w:eastAsia="en-NZ"/>
        </w:rPr>
        <w:t xml:space="preserve">Between 2012 and 2017, on average breast screening rates were around 10 percentage points lower for Māori women compared </w:t>
      </w:r>
      <w:r w:rsidR="00FF1892">
        <w:rPr>
          <w:noProof/>
          <w:lang w:eastAsia="en-NZ"/>
        </w:rPr>
        <w:t>with</w:t>
      </w:r>
      <w:r w:rsidR="00FF1892" w:rsidRPr="00181EF3">
        <w:rPr>
          <w:noProof/>
          <w:lang w:eastAsia="en-NZ"/>
        </w:rPr>
        <w:t xml:space="preserve"> </w:t>
      </w:r>
      <w:r w:rsidRPr="00181EF3">
        <w:rPr>
          <w:noProof/>
          <w:lang w:eastAsia="en-NZ"/>
        </w:rPr>
        <w:t>Māori women. This rate did not vary much between all the five</w:t>
      </w:r>
      <w:r w:rsidR="00C02928">
        <w:rPr>
          <w:noProof/>
          <w:lang w:eastAsia="en-NZ"/>
        </w:rPr>
        <w:t>-</w:t>
      </w:r>
      <w:r w:rsidRPr="00181EF3">
        <w:rPr>
          <w:noProof/>
          <w:lang w:eastAsia="en-NZ"/>
        </w:rPr>
        <w:t>year age groups between the ages 45 to 69 (see Excel workbook for five-year age group data).</w:t>
      </w:r>
    </w:p>
    <w:p w14:paraId="4310CF42" w14:textId="77777777" w:rsidR="00654B21" w:rsidRPr="00181EF3" w:rsidRDefault="00654B21" w:rsidP="00654B21"/>
    <w:p w14:paraId="76EBEB1E" w14:textId="77777777" w:rsidR="00654B21" w:rsidRPr="00181EF3" w:rsidRDefault="00654B21" w:rsidP="00C02928">
      <w:pPr>
        <w:pStyle w:val="Heading3"/>
        <w:pageBreakBefore/>
        <w:spacing w:before="0"/>
      </w:pPr>
      <w:bookmarkStart w:id="178" w:name="_Toc19102350"/>
      <w:r w:rsidRPr="00181EF3">
        <w:lastRenderedPageBreak/>
        <w:t>National Cervical Screening Programme</w:t>
      </w:r>
      <w:bookmarkEnd w:id="178"/>
    </w:p>
    <w:p w14:paraId="53A7DD6D" w14:textId="77777777" w:rsidR="00654B21" w:rsidRPr="00181EF3" w:rsidRDefault="00654B21" w:rsidP="00654B21">
      <w:pPr>
        <w:pStyle w:val="Heading4"/>
        <w:rPr>
          <w:noProof/>
          <w:lang w:eastAsia="en-NZ"/>
        </w:rPr>
      </w:pPr>
      <w:r w:rsidRPr="00181EF3">
        <w:rPr>
          <w:noProof/>
          <w:lang w:eastAsia="en-NZ"/>
        </w:rPr>
        <w:t>Women aged 20 to 69</w:t>
      </w:r>
      <w:r>
        <w:rPr>
          <w:noProof/>
          <w:lang w:eastAsia="en-NZ"/>
        </w:rPr>
        <w:t xml:space="preserve"> years</w:t>
      </w:r>
    </w:p>
    <w:p w14:paraId="69E67E6E" w14:textId="7097A377" w:rsidR="00654B21" w:rsidRPr="00181EF3" w:rsidRDefault="00654B21" w:rsidP="00654B21">
      <w:pPr>
        <w:pStyle w:val="Figure"/>
        <w:rPr>
          <w:noProof/>
          <w:lang w:eastAsia="en-NZ"/>
        </w:rPr>
      </w:pPr>
      <w:bookmarkStart w:id="179" w:name="_Toc19101906"/>
      <w:r w:rsidRPr="00181EF3">
        <w:rPr>
          <w:noProof/>
          <w:lang w:eastAsia="en-NZ"/>
        </w:rPr>
        <w:t xml:space="preserve">Figure </w:t>
      </w:r>
      <w:r>
        <w:rPr>
          <w:noProof/>
          <w:lang w:eastAsia="en-NZ"/>
        </w:rPr>
        <w:t>55</w:t>
      </w:r>
      <w:r w:rsidRPr="00181EF3">
        <w:rPr>
          <w:noProof/>
          <w:lang w:eastAsia="en-NZ"/>
        </w:rPr>
        <w:t xml:space="preserve">: Two-year cervical screening coverage of Māori and </w:t>
      </w:r>
      <w:r w:rsidR="00EC03A3">
        <w:rPr>
          <w:noProof/>
          <w:lang w:eastAsia="en-NZ"/>
        </w:rPr>
        <w:t>non</w:t>
      </w:r>
      <w:r w:rsidR="00EC03A3">
        <w:rPr>
          <w:noProof/>
          <w:lang w:eastAsia="en-NZ"/>
        </w:rPr>
        <w:noBreakHyphen/>
        <w:t>M</w:t>
      </w:r>
      <w:r w:rsidRPr="00181EF3">
        <w:rPr>
          <w:noProof/>
          <w:lang w:eastAsia="en-NZ"/>
        </w:rPr>
        <w:t>āori women aged 20–69 years, 2002–2017</w:t>
      </w:r>
      <w:bookmarkEnd w:id="179"/>
    </w:p>
    <w:p w14:paraId="4A8D2803" w14:textId="77777777" w:rsidR="00654B21" w:rsidRPr="00181EF3" w:rsidRDefault="00654B21" w:rsidP="00654B21">
      <w:pPr>
        <w:rPr>
          <w:lang w:eastAsia="en-NZ"/>
        </w:rPr>
      </w:pPr>
      <w:r w:rsidRPr="00181EF3">
        <w:rPr>
          <w:noProof/>
          <w:lang w:eastAsia="en-NZ"/>
        </w:rPr>
        <w:drawing>
          <wp:inline distT="0" distB="0" distL="0" distR="0" wp14:anchorId="39EDFAD9" wp14:editId="68B3D8E1">
            <wp:extent cx="5130165" cy="2799667"/>
            <wp:effectExtent l="0" t="0" r="0" b="1270"/>
            <wp:docPr id="27" name="Picture 27" descr="A higher percentage of non-Māori women had cervical screenings than Māori women. The rates for both have remained steady over time." title="Figure 55: Two-year cervical screening coverage of Māori and non-Māori women aged 20–69 years, 2002–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130165" cy="2799667"/>
                    </a:xfrm>
                    <a:prstGeom prst="rect">
                      <a:avLst/>
                    </a:prstGeom>
                  </pic:spPr>
                </pic:pic>
              </a:graphicData>
            </a:graphic>
          </wp:inline>
        </w:drawing>
      </w:r>
    </w:p>
    <w:p w14:paraId="2444E411" w14:textId="77777777" w:rsidR="00654B21" w:rsidRDefault="00654B21" w:rsidP="00C02928">
      <w:pPr>
        <w:pStyle w:val="Note"/>
      </w:pPr>
      <w:r>
        <w:t>Notes:</w:t>
      </w:r>
    </w:p>
    <w:p w14:paraId="01EE2603" w14:textId="77777777" w:rsidR="00654B21" w:rsidRPr="00181EF3" w:rsidRDefault="00654B21" w:rsidP="00C02928">
      <w:pPr>
        <w:pStyle w:val="Note"/>
      </w:pPr>
      <w:r w:rsidRPr="00181EF3">
        <w:t>Percentages (%) are presented here to measure screening participation.</w:t>
      </w:r>
    </w:p>
    <w:p w14:paraId="2834FFA8" w14:textId="77777777" w:rsidR="00654B21" w:rsidRPr="00181EF3" w:rsidRDefault="00654B21" w:rsidP="00C02928">
      <w:pPr>
        <w:pStyle w:val="Note"/>
        <w:ind w:left="0" w:firstLine="0"/>
      </w:pPr>
      <w:r w:rsidRPr="00181EF3">
        <w:t>Both the breast screening and cervical screen programmes had changes to the way the eligible population is measured resulting in the current reporting not being comparable to earlier reporting.</w:t>
      </w:r>
    </w:p>
    <w:p w14:paraId="14409D36" w14:textId="77424A42" w:rsidR="00654B21" w:rsidRPr="00181EF3" w:rsidRDefault="00654B21" w:rsidP="00C02928">
      <w:pPr>
        <w:pStyle w:val="Note"/>
        <w:ind w:left="0" w:firstLine="0"/>
      </w:pPr>
      <w:r w:rsidRPr="00181EF3">
        <w:t xml:space="preserve">The population denominators used for calculating cervical screening coverage is </w:t>
      </w:r>
      <w:r w:rsidR="008F0248">
        <w:t>Stats NZ</w:t>
      </w:r>
      <w:r w:rsidRPr="00181EF3">
        <w:t>’s 2017 update of DHB population projections (2013 Census base) at the end of the monitoring period adjusted for the prevalence of hysterectomy (as most women who have had a hysterectomy are not eligible for screening).</w:t>
      </w:r>
    </w:p>
    <w:p w14:paraId="0DDBEE8C" w14:textId="77777777" w:rsidR="00654B21" w:rsidRPr="00181EF3" w:rsidRDefault="00654B21" w:rsidP="00654B21">
      <w:pPr>
        <w:pStyle w:val="Note"/>
      </w:pPr>
      <w:r w:rsidRPr="00181EF3">
        <w:t>Data showing results by five-year age groups for 2003 to 2017 are provided in Excel workbooks.</w:t>
      </w:r>
    </w:p>
    <w:p w14:paraId="495B20BD" w14:textId="77777777" w:rsidR="00654B21" w:rsidRPr="00181EF3" w:rsidRDefault="00654B21" w:rsidP="00654B21">
      <w:pPr>
        <w:pStyle w:val="Source"/>
      </w:pPr>
      <w:r w:rsidRPr="00181EF3">
        <w:t xml:space="preserve">Source: </w:t>
      </w:r>
      <w:r w:rsidRPr="00181EF3">
        <w:rPr>
          <w:noProof/>
          <w:color w:val="000000" w:themeColor="text1"/>
          <w:lang w:eastAsia="en-NZ"/>
        </w:rPr>
        <w:t>National Cervical Screening Programme</w:t>
      </w:r>
      <w:r w:rsidRPr="00181EF3">
        <w:t>, Ministry of Health, extracted 3 July 2018.</w:t>
      </w:r>
    </w:p>
    <w:p w14:paraId="4803CF1F" w14:textId="77777777" w:rsidR="00654B21" w:rsidRPr="00181EF3" w:rsidRDefault="00654B21" w:rsidP="00654B21">
      <w:pPr>
        <w:rPr>
          <w:noProof/>
          <w:lang w:eastAsia="en-NZ"/>
        </w:rPr>
      </w:pPr>
    </w:p>
    <w:p w14:paraId="552DB7A5" w14:textId="7E244936" w:rsidR="00654B21" w:rsidRPr="00181EF3" w:rsidRDefault="00654B21" w:rsidP="00654B21">
      <w:pPr>
        <w:rPr>
          <w:noProof/>
          <w:lang w:eastAsia="en-NZ"/>
        </w:rPr>
      </w:pPr>
      <w:r w:rsidRPr="00181EF3">
        <w:rPr>
          <w:noProof/>
          <w:lang w:eastAsia="en-NZ"/>
        </w:rPr>
        <w:t xml:space="preserve">Between 2002 and 2017, Māori women aged 20 to 69 had lower rates of cervical screening than </w:t>
      </w:r>
      <w:r w:rsidR="00EC03A3">
        <w:rPr>
          <w:noProof/>
          <w:lang w:eastAsia="en-NZ"/>
        </w:rPr>
        <w:t>non</w:t>
      </w:r>
      <w:r w:rsidR="00EC03A3">
        <w:rPr>
          <w:noProof/>
          <w:lang w:eastAsia="en-NZ"/>
        </w:rPr>
        <w:noBreakHyphen/>
        <w:t>M</w:t>
      </w:r>
      <w:r w:rsidRPr="00181EF3">
        <w:rPr>
          <w:noProof/>
          <w:lang w:eastAsia="en-NZ"/>
        </w:rPr>
        <w:t xml:space="preserve">āori women – see Figure </w:t>
      </w:r>
      <w:r>
        <w:rPr>
          <w:noProof/>
          <w:lang w:eastAsia="en-NZ"/>
        </w:rPr>
        <w:t>55</w:t>
      </w:r>
      <w:r w:rsidRPr="00181EF3">
        <w:rPr>
          <w:noProof/>
          <w:lang w:eastAsia="en-NZ"/>
        </w:rPr>
        <w:t>.</w:t>
      </w:r>
    </w:p>
    <w:p w14:paraId="55EB178C" w14:textId="77777777" w:rsidR="00654B21" w:rsidRPr="00181EF3" w:rsidRDefault="00654B21" w:rsidP="00654B21">
      <w:pPr>
        <w:rPr>
          <w:noProof/>
          <w:lang w:eastAsia="en-NZ"/>
        </w:rPr>
      </w:pPr>
    </w:p>
    <w:p w14:paraId="36F33133" w14:textId="1A710503" w:rsidR="00654B21" w:rsidRPr="00181EF3" w:rsidRDefault="00654B21" w:rsidP="00654B21">
      <w:pPr>
        <w:rPr>
          <w:noProof/>
          <w:spacing w:val="-2"/>
          <w:lang w:eastAsia="en-NZ"/>
        </w:rPr>
      </w:pPr>
      <w:r w:rsidRPr="00181EF3">
        <w:rPr>
          <w:noProof/>
          <w:spacing w:val="-2"/>
          <w:lang w:eastAsia="en-NZ"/>
        </w:rPr>
        <w:t xml:space="preserve">Cervical screening rates for Māori and </w:t>
      </w:r>
      <w:r w:rsidR="00EC03A3">
        <w:rPr>
          <w:noProof/>
          <w:spacing w:val="-2"/>
          <w:lang w:eastAsia="en-NZ"/>
        </w:rPr>
        <w:t>non</w:t>
      </w:r>
      <w:r w:rsidR="00EC03A3">
        <w:rPr>
          <w:noProof/>
          <w:spacing w:val="-2"/>
          <w:lang w:eastAsia="en-NZ"/>
        </w:rPr>
        <w:noBreakHyphen/>
        <w:t>M</w:t>
      </w:r>
      <w:r w:rsidRPr="00181EF3">
        <w:rPr>
          <w:noProof/>
          <w:spacing w:val="-2"/>
          <w:lang w:eastAsia="en-NZ"/>
        </w:rPr>
        <w:t xml:space="preserve">āori women aged 20 to 69 did not change much between 2002 and 2017. Cervical screening rates for Māori women fluctuated around 64 percent while the rates for </w:t>
      </w:r>
      <w:r w:rsidR="00EC03A3">
        <w:rPr>
          <w:noProof/>
          <w:spacing w:val="-2"/>
          <w:lang w:eastAsia="en-NZ"/>
        </w:rPr>
        <w:t>non</w:t>
      </w:r>
      <w:r w:rsidR="00EC03A3">
        <w:rPr>
          <w:noProof/>
          <w:spacing w:val="-2"/>
          <w:lang w:eastAsia="en-NZ"/>
        </w:rPr>
        <w:noBreakHyphen/>
        <w:t>M</w:t>
      </w:r>
      <w:r w:rsidRPr="00181EF3">
        <w:rPr>
          <w:noProof/>
          <w:spacing w:val="-2"/>
          <w:lang w:eastAsia="en-NZ"/>
        </w:rPr>
        <w:t>āori women fluctuated around 74 percent.</w:t>
      </w:r>
    </w:p>
    <w:p w14:paraId="2AB3351D" w14:textId="77777777" w:rsidR="00654B21" w:rsidRPr="00181EF3" w:rsidRDefault="00654B21" w:rsidP="00654B21">
      <w:pPr>
        <w:rPr>
          <w:noProof/>
          <w:lang w:eastAsia="en-NZ"/>
        </w:rPr>
      </w:pPr>
    </w:p>
    <w:p w14:paraId="38096D3B" w14:textId="7D398BBA" w:rsidR="00654B21" w:rsidRPr="00181EF3" w:rsidRDefault="00654B21" w:rsidP="00654B21">
      <w:pPr>
        <w:rPr>
          <w:noProof/>
          <w:lang w:eastAsia="en-NZ"/>
        </w:rPr>
      </w:pPr>
      <w:r w:rsidRPr="00181EF3">
        <w:rPr>
          <w:noProof/>
          <w:lang w:eastAsia="en-NZ"/>
        </w:rPr>
        <w:t xml:space="preserve">Between 2002 and 2017, on average, cervical screening rates were 10 percentage points lower during this time for Māori women compared </w:t>
      </w:r>
      <w:r w:rsidR="00FF1892">
        <w:rPr>
          <w:noProof/>
          <w:lang w:eastAsia="en-NZ"/>
        </w:rPr>
        <w:t>with</w:t>
      </w:r>
      <w:r w:rsidR="00FF1892" w:rsidRPr="00181EF3">
        <w:rPr>
          <w:noProof/>
          <w:lang w:eastAsia="en-NZ"/>
        </w:rPr>
        <w:t xml:space="preserve"> </w:t>
      </w:r>
      <w:r w:rsidR="00EC03A3">
        <w:rPr>
          <w:noProof/>
          <w:lang w:eastAsia="en-NZ"/>
        </w:rPr>
        <w:t>non</w:t>
      </w:r>
      <w:r w:rsidR="00EC03A3">
        <w:rPr>
          <w:noProof/>
          <w:lang w:eastAsia="en-NZ"/>
        </w:rPr>
        <w:noBreakHyphen/>
        <w:t>M</w:t>
      </w:r>
      <w:r w:rsidRPr="00181EF3">
        <w:rPr>
          <w:noProof/>
          <w:lang w:eastAsia="en-NZ"/>
        </w:rPr>
        <w:t xml:space="preserve">āori women. This applied to most five-year age groups (30 to 69 years) except the rate for Māori women aged 20 to 24 was around 1 percentage point less than those of </w:t>
      </w:r>
      <w:r w:rsidR="00EC03A3">
        <w:rPr>
          <w:noProof/>
          <w:lang w:eastAsia="en-NZ"/>
        </w:rPr>
        <w:t>non</w:t>
      </w:r>
      <w:r w:rsidR="00EC03A3">
        <w:rPr>
          <w:noProof/>
          <w:lang w:eastAsia="en-NZ"/>
        </w:rPr>
        <w:noBreakHyphen/>
        <w:t>M</w:t>
      </w:r>
      <w:r w:rsidRPr="00181EF3">
        <w:rPr>
          <w:noProof/>
          <w:lang w:eastAsia="en-NZ"/>
        </w:rPr>
        <w:t xml:space="preserve">āori women the same age, and the rate for Māori women aged 25 to 29 was around 5 percentage point less than those of </w:t>
      </w:r>
      <w:r w:rsidR="00EC03A3">
        <w:rPr>
          <w:noProof/>
          <w:lang w:eastAsia="en-NZ"/>
        </w:rPr>
        <w:t>non</w:t>
      </w:r>
      <w:r w:rsidR="00EC03A3">
        <w:rPr>
          <w:noProof/>
          <w:lang w:eastAsia="en-NZ"/>
        </w:rPr>
        <w:noBreakHyphen/>
        <w:t>M</w:t>
      </w:r>
      <w:r w:rsidRPr="00181EF3">
        <w:rPr>
          <w:noProof/>
          <w:lang w:eastAsia="en-NZ"/>
        </w:rPr>
        <w:t>āori women the same age (see Excel workbook for five-year age group data).</w:t>
      </w:r>
    </w:p>
    <w:p w14:paraId="5CB04626" w14:textId="77777777" w:rsidR="00654B21" w:rsidRPr="00181EF3" w:rsidRDefault="00654B21" w:rsidP="00654B21">
      <w:pPr>
        <w:rPr>
          <w:noProof/>
          <w:lang w:eastAsia="en-NZ"/>
        </w:rPr>
      </w:pPr>
    </w:p>
    <w:p w14:paraId="71801836" w14:textId="77777777" w:rsidR="00654B21" w:rsidRPr="00181EF3" w:rsidRDefault="00654B21" w:rsidP="00654B21">
      <w:pPr>
        <w:pStyle w:val="Heading4"/>
        <w:rPr>
          <w:noProof/>
          <w:lang w:eastAsia="en-NZ"/>
        </w:rPr>
      </w:pPr>
      <w:r w:rsidRPr="00181EF3">
        <w:rPr>
          <w:noProof/>
          <w:lang w:eastAsia="en-NZ"/>
        </w:rPr>
        <w:lastRenderedPageBreak/>
        <w:t>Women aged 25 to 69 years</w:t>
      </w:r>
    </w:p>
    <w:p w14:paraId="5A2DCBD9" w14:textId="0ADF7B38" w:rsidR="00654B21" w:rsidRPr="00181EF3" w:rsidRDefault="00654B21" w:rsidP="00654B21">
      <w:pPr>
        <w:pStyle w:val="Figure"/>
        <w:rPr>
          <w:noProof/>
        </w:rPr>
      </w:pPr>
      <w:bookmarkStart w:id="180" w:name="_Toc19101907"/>
      <w:r w:rsidRPr="00181EF3">
        <w:rPr>
          <w:noProof/>
          <w:lang w:eastAsia="en-NZ"/>
        </w:rPr>
        <w:t xml:space="preserve">Figure </w:t>
      </w:r>
      <w:r>
        <w:rPr>
          <w:noProof/>
          <w:lang w:eastAsia="en-NZ"/>
        </w:rPr>
        <w:t>56</w:t>
      </w:r>
      <w:r w:rsidRPr="00181EF3">
        <w:rPr>
          <w:noProof/>
          <w:lang w:eastAsia="en-NZ"/>
        </w:rPr>
        <w:t xml:space="preserve">: Two year cervical screening coverage of </w:t>
      </w:r>
      <w:r w:rsidRPr="00181EF3">
        <w:rPr>
          <w:noProof/>
        </w:rPr>
        <w:t xml:space="preserve">Māori and </w:t>
      </w:r>
      <w:r w:rsidR="00EC03A3">
        <w:rPr>
          <w:noProof/>
        </w:rPr>
        <w:t>non</w:t>
      </w:r>
      <w:r w:rsidR="00EC03A3">
        <w:rPr>
          <w:noProof/>
        </w:rPr>
        <w:noBreakHyphen/>
        <w:t>M</w:t>
      </w:r>
      <w:r w:rsidRPr="00181EF3">
        <w:rPr>
          <w:noProof/>
        </w:rPr>
        <w:t>āori women aged 25–69 years, 2002–2017</w:t>
      </w:r>
      <w:bookmarkEnd w:id="180"/>
    </w:p>
    <w:p w14:paraId="29F223F7" w14:textId="77777777" w:rsidR="00654B21" w:rsidRPr="00181EF3" w:rsidRDefault="00654B21" w:rsidP="00654B21">
      <w:r w:rsidRPr="00181EF3">
        <w:rPr>
          <w:noProof/>
          <w:lang w:eastAsia="en-NZ"/>
        </w:rPr>
        <w:drawing>
          <wp:inline distT="0" distB="0" distL="0" distR="0" wp14:anchorId="66CDCD03" wp14:editId="5BF13FBC">
            <wp:extent cx="5130165" cy="3213478"/>
            <wp:effectExtent l="0" t="0" r="0" b="6350"/>
            <wp:docPr id="28" name="Picture 28" descr="A higher percentage of non-Māori women had cervical screenings than Māori women. The rates for both have remained steady over time." title="Figure 56: Two year cervical screening coverage of Māori and non-Māori women aged 25–69 years, 2002–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130165" cy="3213478"/>
                    </a:xfrm>
                    <a:prstGeom prst="rect">
                      <a:avLst/>
                    </a:prstGeom>
                  </pic:spPr>
                </pic:pic>
              </a:graphicData>
            </a:graphic>
          </wp:inline>
        </w:drawing>
      </w:r>
    </w:p>
    <w:p w14:paraId="495A964B" w14:textId="77777777" w:rsidR="00654B21" w:rsidRDefault="00654B21" w:rsidP="00C02928">
      <w:pPr>
        <w:pStyle w:val="Note"/>
      </w:pPr>
      <w:r>
        <w:t>Notes:</w:t>
      </w:r>
    </w:p>
    <w:p w14:paraId="334493BD" w14:textId="77777777" w:rsidR="00654B21" w:rsidRPr="00181EF3" w:rsidRDefault="00654B21" w:rsidP="00C02928">
      <w:pPr>
        <w:pStyle w:val="Note"/>
      </w:pPr>
      <w:r w:rsidRPr="00181EF3">
        <w:t>Percentages (%) are presented here to measure screening participation.</w:t>
      </w:r>
    </w:p>
    <w:p w14:paraId="68E480FD" w14:textId="77777777" w:rsidR="00654B21" w:rsidRPr="00181EF3" w:rsidRDefault="00654B21" w:rsidP="00C02928">
      <w:pPr>
        <w:pStyle w:val="Note"/>
        <w:ind w:left="0" w:firstLine="0"/>
      </w:pPr>
      <w:r w:rsidRPr="00181EF3">
        <w:t>Both the breast screening and cervical screen programmes had changes to the way the eligible population is measured resulting in the current reporting not being comparable to earlier reporting.</w:t>
      </w:r>
    </w:p>
    <w:p w14:paraId="2135671E" w14:textId="08BC5248" w:rsidR="00654B21" w:rsidRPr="00181EF3" w:rsidRDefault="00654B21" w:rsidP="00C02928">
      <w:pPr>
        <w:pStyle w:val="Note"/>
        <w:ind w:left="0" w:firstLine="0"/>
      </w:pPr>
      <w:r w:rsidRPr="00181EF3">
        <w:t xml:space="preserve">The population denominators used for calculating cervical screening coverage is </w:t>
      </w:r>
      <w:r w:rsidR="008F0248">
        <w:t>Stats NZ</w:t>
      </w:r>
      <w:r w:rsidRPr="00181EF3">
        <w:t>’s 2017 update of DHB population projections (2013 Census base) at the end of the monitoring period adjusted for the prevalence of hysterectomy (as most women who have had a hysterectomy are not eligible for screening).</w:t>
      </w:r>
    </w:p>
    <w:p w14:paraId="18C1B162" w14:textId="77777777" w:rsidR="00654B21" w:rsidRPr="00181EF3" w:rsidRDefault="00654B21" w:rsidP="00654B21">
      <w:pPr>
        <w:pStyle w:val="Note"/>
      </w:pPr>
      <w:r w:rsidRPr="00181EF3">
        <w:t>Data showing results by five-year age groups for 2003 to 2017 are provided in Excel workbooks.</w:t>
      </w:r>
    </w:p>
    <w:p w14:paraId="59BEBB04" w14:textId="77777777" w:rsidR="00654B21" w:rsidRPr="00181EF3" w:rsidRDefault="00654B21" w:rsidP="00654B21">
      <w:pPr>
        <w:pStyle w:val="Source"/>
      </w:pPr>
      <w:r w:rsidRPr="00181EF3">
        <w:t xml:space="preserve">Source: </w:t>
      </w:r>
      <w:r w:rsidRPr="00181EF3">
        <w:rPr>
          <w:noProof/>
          <w:color w:val="000000" w:themeColor="text1"/>
          <w:lang w:eastAsia="en-NZ"/>
        </w:rPr>
        <w:t>National Cervical Screening Programme</w:t>
      </w:r>
      <w:r w:rsidRPr="00181EF3">
        <w:t>, Ministry of Health, extracted 3 July 2018.</w:t>
      </w:r>
    </w:p>
    <w:p w14:paraId="05196E0F" w14:textId="77777777" w:rsidR="00654B21" w:rsidRPr="00181EF3" w:rsidRDefault="00654B21" w:rsidP="00654B21">
      <w:pPr>
        <w:rPr>
          <w:noProof/>
          <w:lang w:eastAsia="en-NZ"/>
        </w:rPr>
      </w:pPr>
    </w:p>
    <w:p w14:paraId="3B9FF49D" w14:textId="4B4191C9" w:rsidR="00654B21" w:rsidRPr="00181EF3" w:rsidRDefault="00654B21" w:rsidP="00654B21">
      <w:pPr>
        <w:rPr>
          <w:noProof/>
          <w:lang w:eastAsia="en-NZ"/>
        </w:rPr>
      </w:pPr>
      <w:r w:rsidRPr="00181EF3">
        <w:rPr>
          <w:noProof/>
          <w:lang w:eastAsia="en-NZ"/>
        </w:rPr>
        <w:t xml:space="preserve">Between 2002 and 2017, Māori women aged 25 to 69 had lower rates of cervical screening than </w:t>
      </w:r>
      <w:r w:rsidR="00EC03A3">
        <w:rPr>
          <w:noProof/>
          <w:lang w:eastAsia="en-NZ"/>
        </w:rPr>
        <w:t>non</w:t>
      </w:r>
      <w:r w:rsidR="00EC03A3">
        <w:rPr>
          <w:noProof/>
          <w:lang w:eastAsia="en-NZ"/>
        </w:rPr>
        <w:noBreakHyphen/>
        <w:t>M</w:t>
      </w:r>
      <w:r w:rsidRPr="00181EF3">
        <w:rPr>
          <w:noProof/>
          <w:lang w:eastAsia="en-NZ"/>
        </w:rPr>
        <w:t xml:space="preserve">āori women – see Figure </w:t>
      </w:r>
      <w:r>
        <w:rPr>
          <w:noProof/>
          <w:lang w:eastAsia="en-NZ"/>
        </w:rPr>
        <w:t>56</w:t>
      </w:r>
      <w:r w:rsidRPr="00181EF3">
        <w:rPr>
          <w:noProof/>
          <w:lang w:eastAsia="en-NZ"/>
        </w:rPr>
        <w:t xml:space="preserve">. </w:t>
      </w:r>
      <w:r w:rsidR="00EC03A3">
        <w:rPr>
          <w:noProof/>
          <w:lang w:eastAsia="en-NZ"/>
        </w:rPr>
        <w:t>Non</w:t>
      </w:r>
      <w:r w:rsidR="00EC03A3">
        <w:rPr>
          <w:noProof/>
          <w:lang w:eastAsia="en-NZ"/>
        </w:rPr>
        <w:noBreakHyphen/>
        <w:t>M</w:t>
      </w:r>
      <w:r w:rsidRPr="00181EF3">
        <w:rPr>
          <w:noProof/>
          <w:lang w:eastAsia="en-NZ"/>
        </w:rPr>
        <w:t xml:space="preserve">āori women had consistently higher rates of </w:t>
      </w:r>
      <w:r w:rsidR="00F27A7A">
        <w:rPr>
          <w:noProof/>
          <w:lang w:eastAsia="en-NZ"/>
        </w:rPr>
        <w:t>cervical</w:t>
      </w:r>
      <w:r w:rsidRPr="00181EF3">
        <w:rPr>
          <w:noProof/>
          <w:lang w:eastAsia="en-NZ"/>
        </w:rPr>
        <w:t xml:space="preserve"> screening across all five-year age groups between ages 25 to 69.</w:t>
      </w:r>
    </w:p>
    <w:p w14:paraId="02780999" w14:textId="77777777" w:rsidR="00654B21" w:rsidRPr="00181EF3" w:rsidRDefault="00654B21" w:rsidP="00654B21">
      <w:pPr>
        <w:rPr>
          <w:noProof/>
          <w:lang w:eastAsia="en-NZ"/>
        </w:rPr>
      </w:pPr>
    </w:p>
    <w:p w14:paraId="5214EEE6" w14:textId="09C0DDCD" w:rsidR="00654B21" w:rsidRPr="00181EF3" w:rsidRDefault="00654B21" w:rsidP="00654B21">
      <w:pPr>
        <w:rPr>
          <w:noProof/>
          <w:lang w:eastAsia="en-NZ"/>
        </w:rPr>
      </w:pPr>
      <w:r w:rsidRPr="00181EF3">
        <w:rPr>
          <w:noProof/>
          <w:lang w:eastAsia="en-NZ"/>
        </w:rPr>
        <w:t xml:space="preserve">Cervical screening rates of Māori and </w:t>
      </w:r>
      <w:r w:rsidR="00EC03A3">
        <w:rPr>
          <w:noProof/>
          <w:lang w:eastAsia="en-NZ"/>
        </w:rPr>
        <w:t>non</w:t>
      </w:r>
      <w:r w:rsidR="00EC03A3">
        <w:rPr>
          <w:noProof/>
          <w:lang w:eastAsia="en-NZ"/>
        </w:rPr>
        <w:noBreakHyphen/>
        <w:t>M</w:t>
      </w:r>
      <w:r w:rsidRPr="00181EF3">
        <w:rPr>
          <w:noProof/>
          <w:lang w:eastAsia="en-NZ"/>
        </w:rPr>
        <w:t xml:space="preserve">āori women aged 25 to 69 did not change much between 2002 and 2017. Cervical screening rates of Māori women fluctuated around 66 percent while the rates for </w:t>
      </w:r>
      <w:r w:rsidR="00EC03A3">
        <w:rPr>
          <w:noProof/>
          <w:lang w:eastAsia="en-NZ"/>
        </w:rPr>
        <w:t>non</w:t>
      </w:r>
      <w:r w:rsidR="00EC03A3">
        <w:rPr>
          <w:noProof/>
          <w:lang w:eastAsia="en-NZ"/>
        </w:rPr>
        <w:noBreakHyphen/>
        <w:t>M</w:t>
      </w:r>
      <w:r w:rsidRPr="00181EF3">
        <w:rPr>
          <w:noProof/>
          <w:lang w:eastAsia="en-NZ"/>
        </w:rPr>
        <w:t>āori women fluctuated around 76 percent.</w:t>
      </w:r>
    </w:p>
    <w:p w14:paraId="081DCFDE" w14:textId="77777777" w:rsidR="00654B21" w:rsidRPr="00181EF3" w:rsidRDefault="00654B21" w:rsidP="00654B21">
      <w:pPr>
        <w:rPr>
          <w:noProof/>
          <w:lang w:eastAsia="en-NZ"/>
        </w:rPr>
      </w:pPr>
    </w:p>
    <w:p w14:paraId="7ABC27C0" w14:textId="2AB8E13C" w:rsidR="00654B21" w:rsidRDefault="00654B21" w:rsidP="00654B21">
      <w:pPr>
        <w:rPr>
          <w:noProof/>
          <w:lang w:eastAsia="en-NZ"/>
        </w:rPr>
      </w:pPr>
      <w:r w:rsidRPr="00181EF3">
        <w:rPr>
          <w:noProof/>
          <w:lang w:eastAsia="en-NZ"/>
        </w:rPr>
        <w:t xml:space="preserve">Between 2002 and 2017, on average, cervical screening rates were 10 percentage points lower during this time for Māori women compared </w:t>
      </w:r>
      <w:r w:rsidR="00FF1892">
        <w:rPr>
          <w:noProof/>
          <w:lang w:eastAsia="en-NZ"/>
        </w:rPr>
        <w:t>with</w:t>
      </w:r>
      <w:r w:rsidR="00FF1892" w:rsidRPr="00181EF3">
        <w:rPr>
          <w:noProof/>
          <w:lang w:eastAsia="en-NZ"/>
        </w:rPr>
        <w:t xml:space="preserve"> </w:t>
      </w:r>
      <w:r w:rsidR="00EC03A3">
        <w:rPr>
          <w:noProof/>
          <w:lang w:eastAsia="en-NZ"/>
        </w:rPr>
        <w:t>non</w:t>
      </w:r>
      <w:r w:rsidR="00EC03A3">
        <w:rPr>
          <w:noProof/>
          <w:lang w:eastAsia="en-NZ"/>
        </w:rPr>
        <w:noBreakHyphen/>
        <w:t>M</w:t>
      </w:r>
      <w:r w:rsidRPr="00181EF3">
        <w:rPr>
          <w:noProof/>
          <w:lang w:eastAsia="en-NZ"/>
        </w:rPr>
        <w:t xml:space="preserve">āori women. This applied to most five-year age groups (30 to 69 years) except the rate for Māori women aged 25 to 29 was around 5 percentage point less than those of </w:t>
      </w:r>
      <w:r w:rsidR="00EC03A3">
        <w:rPr>
          <w:noProof/>
          <w:lang w:eastAsia="en-NZ"/>
        </w:rPr>
        <w:t>non</w:t>
      </w:r>
      <w:r w:rsidR="00EC03A3">
        <w:rPr>
          <w:noProof/>
          <w:lang w:eastAsia="en-NZ"/>
        </w:rPr>
        <w:noBreakHyphen/>
        <w:t>M</w:t>
      </w:r>
      <w:r w:rsidRPr="00181EF3">
        <w:rPr>
          <w:noProof/>
          <w:lang w:eastAsia="en-NZ"/>
        </w:rPr>
        <w:t>āori women the same age (see Excel workbook for five-year age group data).</w:t>
      </w:r>
    </w:p>
    <w:p w14:paraId="6E6EE892" w14:textId="77777777" w:rsidR="00C02928" w:rsidRPr="00181EF3" w:rsidRDefault="00C02928" w:rsidP="00654B21">
      <w:pPr>
        <w:rPr>
          <w:noProof/>
          <w:lang w:eastAsia="en-NZ"/>
        </w:rPr>
      </w:pPr>
    </w:p>
    <w:p w14:paraId="09E86BFF" w14:textId="77777777" w:rsidR="00A613D8" w:rsidRPr="00181EF3" w:rsidRDefault="00A613D8" w:rsidP="00C02928">
      <w:pPr>
        <w:pStyle w:val="Heading2"/>
        <w:pageBreakBefore/>
        <w:spacing w:before="0"/>
        <w:rPr>
          <w:noProof/>
          <w:lang w:eastAsia="en-NZ"/>
        </w:rPr>
      </w:pPr>
      <w:bookmarkStart w:id="181" w:name="_Toc14718640"/>
      <w:bookmarkStart w:id="182" w:name="_Toc14775063"/>
      <w:bookmarkStart w:id="183" w:name="_Toc19102351"/>
      <w:r>
        <w:rPr>
          <w:noProof/>
          <w:lang w:eastAsia="en-NZ"/>
        </w:rPr>
        <w:lastRenderedPageBreak/>
        <w:t>R</w:t>
      </w:r>
      <w:r w:rsidRPr="00181EF3">
        <w:rPr>
          <w:noProof/>
          <w:lang w:eastAsia="en-NZ"/>
        </w:rPr>
        <w:t>espiratory disease</w:t>
      </w:r>
      <w:bookmarkEnd w:id="181"/>
      <w:bookmarkEnd w:id="182"/>
      <w:bookmarkEnd w:id="183"/>
    </w:p>
    <w:p w14:paraId="3483D9F9" w14:textId="1389D956" w:rsidR="00A613D8" w:rsidRDefault="00A613D8" w:rsidP="00A613D8">
      <w:r w:rsidRPr="00181EF3">
        <w:rPr>
          <w:noProof/>
          <w:color w:val="000000" w:themeColor="text1"/>
          <w:lang w:eastAsia="en-NZ"/>
        </w:rPr>
        <w:t xml:space="preserve">This </w:t>
      </w:r>
      <w:r>
        <w:rPr>
          <w:noProof/>
          <w:color w:val="000000" w:themeColor="text1"/>
          <w:lang w:eastAsia="en-NZ"/>
        </w:rPr>
        <w:t>section</w:t>
      </w:r>
      <w:r w:rsidRPr="00181EF3">
        <w:rPr>
          <w:noProof/>
          <w:color w:val="000000" w:themeColor="text1"/>
          <w:lang w:eastAsia="en-NZ"/>
        </w:rPr>
        <w:t xml:space="preserve"> </w:t>
      </w:r>
      <w:r w:rsidR="000D102F">
        <w:rPr>
          <w:noProof/>
          <w:color w:val="000000" w:themeColor="text1"/>
          <w:lang w:eastAsia="en-NZ"/>
        </w:rPr>
        <w:t>present</w:t>
      </w:r>
      <w:r w:rsidRPr="00181EF3">
        <w:rPr>
          <w:noProof/>
          <w:color w:val="000000" w:themeColor="text1"/>
          <w:lang w:eastAsia="en-NZ"/>
        </w:rPr>
        <w:t>s the trends</w:t>
      </w:r>
      <w:r w:rsidRPr="00181EF3">
        <w:t xml:space="preserve"> in respiratory disease for Māori compared </w:t>
      </w:r>
      <w:r w:rsidR="00FF1892">
        <w:t>with</w:t>
      </w:r>
      <w:r w:rsidR="00FF1892" w:rsidRPr="00181EF3">
        <w:t xml:space="preserve"> </w:t>
      </w:r>
      <w:r w:rsidR="00EC03A3">
        <w:t>non</w:t>
      </w:r>
      <w:r w:rsidR="00EC03A3">
        <w:noBreakHyphen/>
        <w:t>M</w:t>
      </w:r>
      <w:r w:rsidRPr="00181EF3">
        <w:t>āori. Respiratory diseases presented include</w:t>
      </w:r>
      <w:r>
        <w:t>:</w:t>
      </w:r>
      <w:r w:rsidRPr="00181EF3">
        <w:t xml:space="preserve"> asthma hospitalisations, diagnosed asthma, bronchiectasis hospitalisations, bronchiolitis hospitalisations, chronic obstructive pulmonary disease mortality and hospitalisations, and pneumonia mortality and hospitalisations.</w:t>
      </w:r>
    </w:p>
    <w:p w14:paraId="414DF21C" w14:textId="77777777" w:rsidR="00A613D8" w:rsidRPr="00181EF3" w:rsidRDefault="00A613D8" w:rsidP="00A613D8"/>
    <w:p w14:paraId="664DEF0A" w14:textId="77777777" w:rsidR="00A613D8" w:rsidRPr="00181EF3" w:rsidRDefault="00A613D8" w:rsidP="00A613D8">
      <w:pPr>
        <w:pStyle w:val="Heading3"/>
      </w:pPr>
      <w:bookmarkStart w:id="184" w:name="_Toc19102352"/>
      <w:r w:rsidRPr="00181EF3">
        <w:t>What is the data telling us?</w:t>
      </w:r>
      <w:bookmarkEnd w:id="184"/>
    </w:p>
    <w:p w14:paraId="56D84ECA" w14:textId="77777777" w:rsidR="00A613D8" w:rsidRPr="00181EF3" w:rsidRDefault="00A613D8" w:rsidP="00A613D8">
      <w:pPr>
        <w:pStyle w:val="Shadedboxheading"/>
      </w:pPr>
      <w:r w:rsidRPr="00181EF3">
        <w:t>Asthma</w:t>
      </w:r>
    </w:p>
    <w:p w14:paraId="43537466" w14:textId="4461956B" w:rsidR="00A613D8" w:rsidRPr="00181EF3" w:rsidRDefault="00A613D8" w:rsidP="00A613D8">
      <w:pPr>
        <w:pStyle w:val="Shadedboxbullet"/>
        <w:ind w:left="568" w:hanging="284"/>
      </w:pPr>
      <w:r w:rsidRPr="00181EF3">
        <w:t xml:space="preserve">Māori adults aged 15–44 years were more likely than </w:t>
      </w:r>
      <w:r w:rsidR="00EC03A3">
        <w:t>non</w:t>
      </w:r>
      <w:r w:rsidR="00EC03A3">
        <w:noBreakHyphen/>
        <w:t>M</w:t>
      </w:r>
      <w:r w:rsidRPr="00181EF3">
        <w:t>āori adults aged 15–44 years to report being diagnosed with asthma in the NZHS with little change over time.</w:t>
      </w:r>
    </w:p>
    <w:p w14:paraId="73A53ECC" w14:textId="66FDF9A4" w:rsidR="00A613D8" w:rsidRPr="00181EF3" w:rsidRDefault="00A613D8" w:rsidP="00A613D8">
      <w:pPr>
        <w:pStyle w:val="Shadedboxbullet"/>
        <w:ind w:left="568" w:hanging="284"/>
      </w:pPr>
      <w:r w:rsidRPr="00181EF3">
        <w:t xml:space="preserve">Over time, </w:t>
      </w:r>
      <w:r w:rsidR="00F27A7A">
        <w:t xml:space="preserve">asthma </w:t>
      </w:r>
      <w:r w:rsidRPr="00181EF3">
        <w:t xml:space="preserve">hospitalisation rates have decreased for both Māori and </w:t>
      </w:r>
      <w:r w:rsidR="00EC03A3">
        <w:t>non</w:t>
      </w:r>
      <w:r w:rsidR="00EC03A3">
        <w:noBreakHyphen/>
        <w:t>M</w:t>
      </w:r>
      <w:r w:rsidRPr="00181EF3">
        <w:t xml:space="preserve">āori, however the decrease has been more marked for </w:t>
      </w:r>
      <w:r w:rsidR="00EC03A3">
        <w:t>non</w:t>
      </w:r>
      <w:r w:rsidR="00EC03A3">
        <w:noBreakHyphen/>
        <w:t>M</w:t>
      </w:r>
      <w:r w:rsidRPr="00181EF3">
        <w:t xml:space="preserve">āori resulting in an increased disparity between Māori and </w:t>
      </w:r>
      <w:r w:rsidR="00EC03A3">
        <w:t>non</w:t>
      </w:r>
      <w:r w:rsidR="00EC03A3">
        <w:noBreakHyphen/>
        <w:t>M</w:t>
      </w:r>
      <w:r w:rsidRPr="00181EF3">
        <w:t>āori.</w:t>
      </w:r>
    </w:p>
    <w:p w14:paraId="25671ED5" w14:textId="77777777" w:rsidR="00A613D8" w:rsidRPr="00181EF3" w:rsidRDefault="00A613D8" w:rsidP="00A613D8">
      <w:pPr>
        <w:pStyle w:val="Shadedboxheading"/>
      </w:pPr>
      <w:r w:rsidRPr="00181EF3">
        <w:t>Bronchiectasis and bronchiolitis</w:t>
      </w:r>
    </w:p>
    <w:p w14:paraId="00169BA3" w14:textId="77777777" w:rsidR="00A613D8" w:rsidRPr="00181EF3" w:rsidRDefault="00A613D8" w:rsidP="00A613D8">
      <w:pPr>
        <w:pStyle w:val="Shadedboxbullet"/>
        <w:ind w:left="568" w:hanging="284"/>
      </w:pPr>
      <w:r w:rsidRPr="00181EF3">
        <w:t>Over time, hospitalisation rates for bronchiectasis for Māori males have increased whilst for Māori females some decline was apparent until 2012–14 when rates appear to be rising again.</w:t>
      </w:r>
    </w:p>
    <w:p w14:paraId="7E5D6FE9" w14:textId="55731973" w:rsidR="00A613D8" w:rsidRPr="00181EF3" w:rsidRDefault="00A613D8" w:rsidP="00A613D8">
      <w:pPr>
        <w:pStyle w:val="Shadedboxbullet"/>
        <w:ind w:left="568" w:hanging="284"/>
      </w:pPr>
      <w:r w:rsidRPr="00181EF3">
        <w:t xml:space="preserve">The disparity between Māori and </w:t>
      </w:r>
      <w:r w:rsidR="00EC03A3">
        <w:t>non</w:t>
      </w:r>
      <w:r w:rsidR="00EC03A3">
        <w:noBreakHyphen/>
        <w:t>M</w:t>
      </w:r>
      <w:r w:rsidRPr="00181EF3">
        <w:t xml:space="preserve">āori children aged 0–14 years has increased over time, and markedly in the early 2000s. In 2014–16, Māori children aged 0–14 years were three times as likely as </w:t>
      </w:r>
      <w:r w:rsidR="00EC03A3">
        <w:t>non</w:t>
      </w:r>
      <w:r w:rsidR="00EC03A3">
        <w:noBreakHyphen/>
        <w:t>M</w:t>
      </w:r>
      <w:r w:rsidRPr="00181EF3">
        <w:t>āori children to be hospitalised for bronchiectasis.</w:t>
      </w:r>
    </w:p>
    <w:p w14:paraId="619B4A96" w14:textId="77777777" w:rsidR="00A613D8" w:rsidRPr="00181EF3" w:rsidRDefault="00A613D8" w:rsidP="00A613D8">
      <w:pPr>
        <w:pStyle w:val="Shadedboxbullet"/>
        <w:ind w:left="568" w:hanging="284"/>
      </w:pPr>
      <w:r w:rsidRPr="00181EF3">
        <w:t>Over time, rates of hospitalisation for bronchiolitis for Māori children aged</w:t>
      </w:r>
      <w:r w:rsidRPr="00181EF3">
        <w:br/>
        <w:t>0–4 years of age have increased.</w:t>
      </w:r>
    </w:p>
    <w:p w14:paraId="1D89373C" w14:textId="77777777" w:rsidR="00A613D8" w:rsidRPr="00181EF3" w:rsidRDefault="00A613D8" w:rsidP="00A613D8">
      <w:pPr>
        <w:pStyle w:val="Shadedboxbullet"/>
        <w:ind w:left="568" w:hanging="284"/>
      </w:pPr>
      <w:r w:rsidRPr="00181EF3">
        <w:t>Māori boys have the highest rates of bronchiolitis hospitalisations and this rate has increased over time.</w:t>
      </w:r>
    </w:p>
    <w:p w14:paraId="3418AB00" w14:textId="77777777" w:rsidR="00A613D8" w:rsidRPr="00181EF3" w:rsidRDefault="00A613D8" w:rsidP="00A613D8">
      <w:pPr>
        <w:pStyle w:val="Shadedboxheading"/>
      </w:pPr>
      <w:r w:rsidRPr="00181EF3">
        <w:t>Chronic obstructive pulmonary disease (COPD)</w:t>
      </w:r>
    </w:p>
    <w:p w14:paraId="3164ED4D" w14:textId="24D87781" w:rsidR="00A613D8" w:rsidRPr="00181EF3" w:rsidRDefault="00A613D8" w:rsidP="00A613D8">
      <w:pPr>
        <w:pStyle w:val="Shadedboxbullet"/>
        <w:ind w:left="568" w:hanging="284"/>
      </w:pPr>
      <w:r w:rsidRPr="00181EF3">
        <w:t xml:space="preserve">From 1996–98 to 2014–16, rates of hospitalisation for COPD have increased for Māori, whilst decreasing for </w:t>
      </w:r>
      <w:r w:rsidR="00EC03A3">
        <w:t>non</w:t>
      </w:r>
      <w:r w:rsidR="00EC03A3">
        <w:noBreakHyphen/>
        <w:t>M</w:t>
      </w:r>
      <w:r w:rsidRPr="00181EF3">
        <w:t>āori.</w:t>
      </w:r>
    </w:p>
    <w:p w14:paraId="07F075B2" w14:textId="77777777" w:rsidR="00A613D8" w:rsidRPr="00181EF3" w:rsidRDefault="00A613D8" w:rsidP="00A613D8">
      <w:pPr>
        <w:pStyle w:val="Shadedboxbullet"/>
        <w:ind w:left="568" w:hanging="284"/>
      </w:pPr>
      <w:r w:rsidRPr="00181EF3">
        <w:t>Māori females had the highest rates of COPD hospitalisations, this did not change over time.</w:t>
      </w:r>
    </w:p>
    <w:p w14:paraId="2EDFF586" w14:textId="77777777" w:rsidR="00A613D8" w:rsidRPr="00181EF3" w:rsidRDefault="00A613D8" w:rsidP="00A613D8">
      <w:pPr>
        <w:pStyle w:val="Shadedboxbullet"/>
        <w:ind w:left="568" w:hanging="284"/>
      </w:pPr>
      <w:r w:rsidRPr="00181EF3">
        <w:t>The rate of COPD hospitalisations increased over time for both male and female Māori.</w:t>
      </w:r>
    </w:p>
    <w:p w14:paraId="60DAD092" w14:textId="77777777" w:rsidR="00A613D8" w:rsidRPr="00181EF3" w:rsidRDefault="00A613D8" w:rsidP="00A613D8">
      <w:pPr>
        <w:pStyle w:val="Shadedboxbullet"/>
        <w:ind w:left="568" w:hanging="284"/>
      </w:pPr>
      <w:r w:rsidRPr="00181EF3">
        <w:t>Over time there has been a decrease in COPD mortality rates for Māori aged 45 and over.</w:t>
      </w:r>
    </w:p>
    <w:p w14:paraId="45806866" w14:textId="77777777" w:rsidR="00A613D8" w:rsidRPr="00181EF3" w:rsidRDefault="00A613D8" w:rsidP="00A613D8">
      <w:pPr>
        <w:pStyle w:val="Shadedboxheading"/>
      </w:pPr>
      <w:r w:rsidRPr="00181EF3">
        <w:lastRenderedPageBreak/>
        <w:t>Pneumonia</w:t>
      </w:r>
    </w:p>
    <w:p w14:paraId="6A31F874" w14:textId="3DF6AFB1" w:rsidR="00A613D8" w:rsidRPr="00181EF3" w:rsidRDefault="00A613D8" w:rsidP="00A613D8">
      <w:pPr>
        <w:pStyle w:val="Shadedboxbullet"/>
        <w:ind w:left="568" w:hanging="284"/>
      </w:pPr>
      <w:r w:rsidRPr="00181EF3">
        <w:t xml:space="preserve">Māori have remained around 2½ times as likely as </w:t>
      </w:r>
      <w:r w:rsidR="00EC03A3">
        <w:t>non</w:t>
      </w:r>
      <w:r w:rsidR="00EC03A3">
        <w:noBreakHyphen/>
        <w:t>M</w:t>
      </w:r>
      <w:r w:rsidRPr="00181EF3">
        <w:t>āori to be hospitalised for pneumonia over time.</w:t>
      </w:r>
    </w:p>
    <w:p w14:paraId="1A156D75" w14:textId="2696C85B" w:rsidR="00A613D8" w:rsidRPr="00181EF3" w:rsidRDefault="00A613D8" w:rsidP="00A613D8">
      <w:pPr>
        <w:pStyle w:val="Shadedboxbullet"/>
        <w:ind w:left="568" w:hanging="284"/>
      </w:pPr>
      <w:r w:rsidRPr="00181EF3">
        <w:t xml:space="preserve">There has been a decrease over time in deaths from pneumonia for Māori, however Māori are more likely than </w:t>
      </w:r>
      <w:r w:rsidR="00EC03A3">
        <w:t>non</w:t>
      </w:r>
      <w:r w:rsidR="00EC03A3">
        <w:noBreakHyphen/>
        <w:t>M</w:t>
      </w:r>
      <w:r w:rsidRPr="00181EF3">
        <w:t>āori to die from pneumonia and this disparity changed little over time.</w:t>
      </w:r>
    </w:p>
    <w:p w14:paraId="4314E9E3" w14:textId="77777777" w:rsidR="00A613D8" w:rsidRPr="00181EF3" w:rsidRDefault="00A613D8" w:rsidP="00A613D8"/>
    <w:p w14:paraId="5F6F7C71" w14:textId="77777777" w:rsidR="00A613D8" w:rsidRPr="00181EF3" w:rsidRDefault="00A613D8" w:rsidP="00C02928">
      <w:pPr>
        <w:pStyle w:val="Heading3"/>
        <w:pageBreakBefore/>
        <w:spacing w:before="0"/>
      </w:pPr>
      <w:bookmarkStart w:id="185" w:name="_Toc19102353"/>
      <w:r w:rsidRPr="00181EF3">
        <w:lastRenderedPageBreak/>
        <w:t>Asthma</w:t>
      </w:r>
      <w:bookmarkEnd w:id="185"/>
    </w:p>
    <w:p w14:paraId="5305E513" w14:textId="77777777" w:rsidR="00A613D8" w:rsidRPr="00181EF3" w:rsidRDefault="00A613D8" w:rsidP="00590045">
      <w:pPr>
        <w:pStyle w:val="Heading4"/>
        <w:spacing w:before="180"/>
      </w:pPr>
      <w:r w:rsidRPr="00181EF3">
        <w:t>Diagnosed asthma</w:t>
      </w:r>
    </w:p>
    <w:p w14:paraId="2431E491" w14:textId="1D681A79" w:rsidR="00A613D8" w:rsidRPr="00590045" w:rsidRDefault="00A613D8" w:rsidP="00A613D8">
      <w:pPr>
        <w:rPr>
          <w:spacing w:val="-2"/>
        </w:rPr>
      </w:pPr>
      <w:r w:rsidRPr="00590045">
        <w:rPr>
          <w:spacing w:val="-2"/>
        </w:rPr>
        <w:t xml:space="preserve">Māori adults aged 15–44 years were more likely than </w:t>
      </w:r>
      <w:r w:rsidR="00EC03A3">
        <w:rPr>
          <w:spacing w:val="-2"/>
        </w:rPr>
        <w:t>non</w:t>
      </w:r>
      <w:r w:rsidR="00EC03A3">
        <w:rPr>
          <w:spacing w:val="-2"/>
        </w:rPr>
        <w:noBreakHyphen/>
        <w:t>M</w:t>
      </w:r>
      <w:r w:rsidRPr="00590045">
        <w:rPr>
          <w:spacing w:val="-2"/>
        </w:rPr>
        <w:t xml:space="preserve">āori adults aged 15–44 years to report being diagnosed with asthma in the New Zealand Health Survey (NZHS). In 2016/17, 15 percent of Māori adults reported diagnosed asthma compared </w:t>
      </w:r>
      <w:r w:rsidR="00FF1892" w:rsidRPr="00590045">
        <w:rPr>
          <w:spacing w:val="-2"/>
        </w:rPr>
        <w:t xml:space="preserve">with </w:t>
      </w:r>
      <w:r w:rsidRPr="00590045">
        <w:rPr>
          <w:spacing w:val="-2"/>
        </w:rPr>
        <w:t xml:space="preserve">11 percent of </w:t>
      </w:r>
      <w:r w:rsidR="00EC03A3">
        <w:rPr>
          <w:spacing w:val="-2"/>
        </w:rPr>
        <w:t>non</w:t>
      </w:r>
      <w:r w:rsidR="00EC03A3">
        <w:rPr>
          <w:spacing w:val="-2"/>
        </w:rPr>
        <w:noBreakHyphen/>
        <w:t>M</w:t>
      </w:r>
      <w:r w:rsidRPr="00590045">
        <w:rPr>
          <w:spacing w:val="-2"/>
        </w:rPr>
        <w:t>āori adults. There was little change over time from 2006/07 to 2016/17.</w:t>
      </w:r>
    </w:p>
    <w:p w14:paraId="640E4EDD" w14:textId="77777777" w:rsidR="00C02928" w:rsidRPr="00181EF3" w:rsidRDefault="00C02928" w:rsidP="00A613D8"/>
    <w:p w14:paraId="291A6046" w14:textId="37630EA2" w:rsidR="00A613D8" w:rsidRPr="00181EF3" w:rsidRDefault="00A613D8" w:rsidP="00590045">
      <w:pPr>
        <w:pStyle w:val="Heading4"/>
        <w:spacing w:before="180"/>
      </w:pPr>
      <w:r w:rsidRPr="00181EF3">
        <w:t>Asthma hospitalisations (aged 5–34 years)</w:t>
      </w:r>
      <w:r w:rsidRPr="00181EF3">
        <w:rPr>
          <w:rStyle w:val="FootnoteReference"/>
          <w:rFonts w:eastAsia="MS Gothic"/>
        </w:rPr>
        <w:footnoteReference w:id="4"/>
      </w:r>
    </w:p>
    <w:p w14:paraId="73EC2FD9" w14:textId="60B500CE" w:rsidR="00A613D8" w:rsidRPr="00181EF3" w:rsidRDefault="00A613D8" w:rsidP="00590045">
      <w:pPr>
        <w:pStyle w:val="Figure"/>
        <w:spacing w:after="60"/>
      </w:pPr>
      <w:bookmarkStart w:id="186" w:name="_Toc19101908"/>
      <w:r w:rsidRPr="00181EF3">
        <w:t xml:space="preserve">Figure </w:t>
      </w:r>
      <w:r>
        <w:t>57</w:t>
      </w:r>
      <w:r w:rsidRPr="00181EF3">
        <w:t>: Asthma hospitalisation</w:t>
      </w:r>
      <w:r>
        <w:t xml:space="preserve"> rates</w:t>
      </w:r>
      <w:r w:rsidRPr="00181EF3">
        <w:t>, 5–34 years</w:t>
      </w:r>
      <w:r>
        <w:t xml:space="preserve">, by gender, </w:t>
      </w:r>
      <w:r w:rsidRPr="00181EF3">
        <w:t xml:space="preserve">Māori and </w:t>
      </w:r>
      <w:r w:rsidR="00EC03A3">
        <w:t>non</w:t>
      </w:r>
      <w:r w:rsidR="00EC03A3">
        <w:noBreakHyphen/>
        <w:t>M</w:t>
      </w:r>
      <w:r w:rsidRPr="00181EF3">
        <w:t>āori, 1996–98 to 2014–16</w:t>
      </w:r>
      <w:bookmarkEnd w:id="186"/>
    </w:p>
    <w:p w14:paraId="46F4908B" w14:textId="77777777" w:rsidR="00A613D8" w:rsidRPr="00181EF3" w:rsidRDefault="00A613D8" w:rsidP="00A613D8">
      <w:r w:rsidRPr="00181EF3">
        <w:rPr>
          <w:noProof/>
          <w:lang w:eastAsia="en-NZ"/>
        </w:rPr>
        <w:drawing>
          <wp:inline distT="0" distB="0" distL="0" distR="0" wp14:anchorId="06B7250C" wp14:editId="0D11F00C">
            <wp:extent cx="5130165" cy="2616603"/>
            <wp:effectExtent l="0" t="0" r="0" b="0"/>
            <wp:docPr id="459" name="Picture 459" descr="The graphs show that Māori women were hospitalised for athsma at greater rates than another group. The next highest rates were for Māori men. Non-Māori men and women have similar hospitalisation rates for athsma." title="Figure 57: Asthma hospitalisation, 5–3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130165" cy="2616603"/>
                    </a:xfrm>
                    <a:prstGeom prst="rect">
                      <a:avLst/>
                    </a:prstGeom>
                  </pic:spPr>
                </pic:pic>
              </a:graphicData>
            </a:graphic>
          </wp:inline>
        </w:drawing>
      </w:r>
    </w:p>
    <w:p w14:paraId="2F59EFF3" w14:textId="77777777" w:rsidR="00A613D8" w:rsidRDefault="00A613D8" w:rsidP="00A613D8">
      <w:pPr>
        <w:pStyle w:val="Note"/>
      </w:pPr>
      <w:r w:rsidRPr="00181EF3">
        <w:t>Note</w:t>
      </w:r>
      <w:r>
        <w:t>s</w:t>
      </w:r>
      <w:r w:rsidRPr="00181EF3">
        <w:t>:</w:t>
      </w:r>
    </w:p>
    <w:p w14:paraId="7E177EFE" w14:textId="3756B562" w:rsidR="008A5642" w:rsidRDefault="00446D86" w:rsidP="00590045">
      <w:pPr>
        <w:pStyle w:val="Note"/>
        <w:spacing w:before="40"/>
      </w:pPr>
      <w:r>
        <w:t>Figures are age-standardised to the 2001 Census total Māori population</w:t>
      </w:r>
      <w:r w:rsidR="00A613D8" w:rsidRPr="00181EF3">
        <w:t>.</w:t>
      </w:r>
    </w:p>
    <w:p w14:paraId="2F9D5164" w14:textId="4F6F5B89" w:rsidR="00A613D8" w:rsidRPr="00181EF3" w:rsidRDefault="00A613D8" w:rsidP="00590045">
      <w:pPr>
        <w:pStyle w:val="Note"/>
        <w:spacing w:before="40"/>
      </w:pPr>
      <w:r>
        <w:t>Prioritised ethnicity has been used.</w:t>
      </w:r>
    </w:p>
    <w:p w14:paraId="69928E5D" w14:textId="77777777" w:rsidR="008A5642" w:rsidRPr="00590045" w:rsidRDefault="00A613D8" w:rsidP="00590045">
      <w:pPr>
        <w:pStyle w:val="Note"/>
        <w:spacing w:before="40"/>
        <w:ind w:left="0" w:right="-284" w:firstLine="0"/>
        <w:rPr>
          <w:spacing w:val="-2"/>
        </w:rPr>
      </w:pPr>
      <w:r w:rsidRPr="00590045">
        <w:rPr>
          <w:spacing w:val="-2"/>
        </w:rPr>
        <w:t>If the confidence intervals of two rates do not overlap, the difference in rates is said to be statistically significant.</w:t>
      </w:r>
    </w:p>
    <w:p w14:paraId="0B400611" w14:textId="666FC983" w:rsidR="00A613D8" w:rsidRPr="00A613D8" w:rsidRDefault="00A613D8" w:rsidP="00590045">
      <w:pPr>
        <w:pStyle w:val="Note"/>
        <w:spacing w:before="40"/>
      </w:pPr>
      <w:r w:rsidRPr="00A613D8">
        <w:rPr>
          <w:rFonts w:eastAsia="Calibri"/>
        </w:rPr>
        <w:t>Source: National Minimum Data Set (NMDS), Ministry of Health,</w:t>
      </w:r>
      <w:r w:rsidRPr="00A613D8">
        <w:t xml:space="preserve"> 1996–98 to 2014–16</w:t>
      </w:r>
      <w:r w:rsidRPr="00A613D8">
        <w:rPr>
          <w:rFonts w:eastAsia="Calibri"/>
        </w:rPr>
        <w:t>.</w:t>
      </w:r>
    </w:p>
    <w:p w14:paraId="4560A0FD" w14:textId="5EC9F213" w:rsidR="00A613D8" w:rsidRPr="00181EF3" w:rsidRDefault="00A613D8" w:rsidP="00590045">
      <w:pPr>
        <w:spacing w:before="180"/>
      </w:pPr>
      <w:r w:rsidRPr="00181EF3">
        <w:t xml:space="preserve">Figure </w:t>
      </w:r>
      <w:r>
        <w:t>57</w:t>
      </w:r>
      <w:r w:rsidRPr="00181EF3">
        <w:t xml:space="preserve"> shows that over time Māori females had the highest rates of asthma hospitalisations and an increasing disparity between Māori and </w:t>
      </w:r>
      <w:r w:rsidR="00EC03A3">
        <w:t>non</w:t>
      </w:r>
      <w:r w:rsidR="00EC03A3">
        <w:noBreakHyphen/>
        <w:t>M</w:t>
      </w:r>
      <w:r w:rsidRPr="00181EF3">
        <w:t xml:space="preserve">āori females. By 2014–16, Māori females were nearly 2½ times as likely as </w:t>
      </w:r>
      <w:r w:rsidR="00EC03A3">
        <w:t>non</w:t>
      </w:r>
      <w:r w:rsidR="00EC03A3">
        <w:noBreakHyphen/>
        <w:t>M</w:t>
      </w:r>
      <w:r w:rsidRPr="00181EF3">
        <w:t>āori females to be hospitalised for asthma.</w:t>
      </w:r>
    </w:p>
    <w:p w14:paraId="3475EF54" w14:textId="0B46EF39" w:rsidR="00A613D8" w:rsidRPr="00181EF3" w:rsidRDefault="00A613D8" w:rsidP="00590045">
      <w:pPr>
        <w:spacing w:before="180"/>
      </w:pPr>
      <w:r w:rsidRPr="00181EF3">
        <w:t xml:space="preserve">Māori aged 5–34 years were more likely than </w:t>
      </w:r>
      <w:r w:rsidR="00EC03A3">
        <w:t>non</w:t>
      </w:r>
      <w:r w:rsidR="00EC03A3">
        <w:noBreakHyphen/>
        <w:t>M</w:t>
      </w:r>
      <w:r w:rsidRPr="00181EF3">
        <w:t xml:space="preserve">āori aged 5–34 years to be hospitalised for asthma. In 2014–16, Māori were over twice as likely as </w:t>
      </w:r>
      <w:r w:rsidR="00EC03A3">
        <w:t>non</w:t>
      </w:r>
      <w:r w:rsidR="00EC03A3">
        <w:noBreakHyphen/>
        <w:t>M</w:t>
      </w:r>
      <w:r w:rsidRPr="00181EF3">
        <w:t>āori to be hospitalised for asthma.</w:t>
      </w:r>
    </w:p>
    <w:p w14:paraId="4B857CEE" w14:textId="763E0277" w:rsidR="00A613D8" w:rsidRPr="00181EF3" w:rsidRDefault="00A613D8" w:rsidP="00590045">
      <w:pPr>
        <w:spacing w:before="180"/>
      </w:pPr>
      <w:r w:rsidRPr="00181EF3">
        <w:t xml:space="preserve">Over time, hospitalisation rates have decreased for both Māori and </w:t>
      </w:r>
      <w:r w:rsidR="00EC03A3">
        <w:t>non</w:t>
      </w:r>
      <w:r w:rsidR="00EC03A3">
        <w:noBreakHyphen/>
        <w:t>M</w:t>
      </w:r>
      <w:r w:rsidRPr="00181EF3">
        <w:t xml:space="preserve">āori adults, however the decrease has been more marked for </w:t>
      </w:r>
      <w:r w:rsidR="00EC03A3">
        <w:t>non</w:t>
      </w:r>
      <w:r w:rsidR="00EC03A3">
        <w:noBreakHyphen/>
        <w:t>M</w:t>
      </w:r>
      <w:r w:rsidRPr="00181EF3">
        <w:t xml:space="preserve">āori resulting in an increased disparity between Māori and </w:t>
      </w:r>
      <w:r w:rsidR="00EC03A3">
        <w:t>non</w:t>
      </w:r>
      <w:r w:rsidR="00EC03A3">
        <w:noBreakHyphen/>
        <w:t>M</w:t>
      </w:r>
      <w:r w:rsidRPr="00181EF3">
        <w:t xml:space="preserve">āori. From 1996–98 to 2014–16, hospitalisations for asthma (events per 100,000 people) decreased by 21 percent for Māori compared </w:t>
      </w:r>
      <w:r w:rsidR="00FF1892">
        <w:t>with</w:t>
      </w:r>
      <w:r w:rsidR="00FF1892" w:rsidRPr="00181EF3">
        <w:t xml:space="preserve"> </w:t>
      </w:r>
      <w:r w:rsidRPr="00181EF3">
        <w:t xml:space="preserve">54 percent for </w:t>
      </w:r>
      <w:r w:rsidR="00EC03A3">
        <w:t>non</w:t>
      </w:r>
      <w:r w:rsidR="00EC03A3">
        <w:noBreakHyphen/>
        <w:t>M</w:t>
      </w:r>
      <w:r w:rsidRPr="00181EF3">
        <w:t>āori.</w:t>
      </w:r>
    </w:p>
    <w:p w14:paraId="6A5004E9" w14:textId="77777777" w:rsidR="00A613D8" w:rsidRPr="00181EF3" w:rsidRDefault="00A613D8" w:rsidP="00C02928">
      <w:pPr>
        <w:pStyle w:val="Heading3"/>
        <w:pageBreakBefore/>
        <w:spacing w:before="0"/>
      </w:pPr>
      <w:bookmarkStart w:id="187" w:name="_Toc19102354"/>
      <w:r w:rsidRPr="00181EF3">
        <w:lastRenderedPageBreak/>
        <w:t>Bronchiectasis</w:t>
      </w:r>
      <w:r w:rsidR="00116847">
        <w:t xml:space="preserve"> (excludes congenital)</w:t>
      </w:r>
      <w:r w:rsidRPr="00181EF3">
        <w:t xml:space="preserve"> hospitalisation</w:t>
      </w:r>
      <w:bookmarkEnd w:id="187"/>
    </w:p>
    <w:p w14:paraId="1AD961B2" w14:textId="20E8373D" w:rsidR="00A613D8" w:rsidRPr="00181EF3" w:rsidRDefault="00A613D8" w:rsidP="00A613D8">
      <w:pPr>
        <w:pStyle w:val="Figure"/>
      </w:pPr>
      <w:bookmarkStart w:id="188" w:name="_Toc19101909"/>
      <w:r w:rsidRPr="00181EF3">
        <w:t xml:space="preserve">Figure </w:t>
      </w:r>
      <w:r>
        <w:t>58</w:t>
      </w:r>
      <w:r w:rsidRPr="00181EF3">
        <w:t>: Bronchiectasis (excludes congenital) hospitalisation</w:t>
      </w:r>
      <w:r>
        <w:t xml:space="preserve"> rates</w:t>
      </w:r>
      <w:r w:rsidRPr="00181EF3">
        <w:t>, all age</w:t>
      </w:r>
      <w:r>
        <w:t xml:space="preserve">, by gender, </w:t>
      </w:r>
      <w:r w:rsidRPr="00181EF3">
        <w:t xml:space="preserve">Māori and </w:t>
      </w:r>
      <w:r w:rsidR="00EC03A3">
        <w:t>non</w:t>
      </w:r>
      <w:r w:rsidR="00EC03A3">
        <w:noBreakHyphen/>
        <w:t>M</w:t>
      </w:r>
      <w:r w:rsidRPr="00181EF3">
        <w:t>āori, 1996–98 to 2014–16</w:t>
      </w:r>
      <w:bookmarkEnd w:id="188"/>
    </w:p>
    <w:p w14:paraId="2085B797" w14:textId="77777777" w:rsidR="00A613D8" w:rsidRPr="00181EF3" w:rsidRDefault="00A613D8" w:rsidP="00A613D8">
      <w:r w:rsidRPr="00181EF3">
        <w:rPr>
          <w:noProof/>
          <w:lang w:eastAsia="en-NZ"/>
        </w:rPr>
        <w:drawing>
          <wp:inline distT="0" distB="0" distL="0" distR="0" wp14:anchorId="2B9C367C" wp14:editId="2CA8B7DB">
            <wp:extent cx="5130165" cy="2616603"/>
            <wp:effectExtent l="0" t="0" r="0" b="0"/>
            <wp:docPr id="460" name="Picture 460" descr="Māori women have the highest rates of hospitalisation for bronchiectasis, and an inconsistent rate over time. Māori men have the next highest rates, and it is increasing, along with the lower rates for non-Māori men and women." title="Figure 58: Bronchiectasis (excludes congenital) hospitalisation, all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130165" cy="2616603"/>
                    </a:xfrm>
                    <a:prstGeom prst="rect">
                      <a:avLst/>
                    </a:prstGeom>
                  </pic:spPr>
                </pic:pic>
              </a:graphicData>
            </a:graphic>
          </wp:inline>
        </w:drawing>
      </w:r>
    </w:p>
    <w:p w14:paraId="44E0F219" w14:textId="77777777" w:rsidR="00A613D8" w:rsidRPr="00A613D8" w:rsidRDefault="00A613D8" w:rsidP="00B6364B">
      <w:pPr>
        <w:pStyle w:val="Note"/>
      </w:pPr>
      <w:r w:rsidRPr="00A613D8">
        <w:t>Notes:</w:t>
      </w:r>
    </w:p>
    <w:p w14:paraId="79E788E7" w14:textId="0CEFF9CD" w:rsidR="008A5642" w:rsidRDefault="00446D86" w:rsidP="00B6364B">
      <w:pPr>
        <w:pStyle w:val="Note"/>
      </w:pPr>
      <w:r>
        <w:t>Figures are age-standardised to the 2001 Census total Māori population</w:t>
      </w:r>
      <w:r w:rsidR="00A613D8" w:rsidRPr="00A613D8">
        <w:t>.</w:t>
      </w:r>
    </w:p>
    <w:p w14:paraId="1C7404E2" w14:textId="366C7594" w:rsidR="00A613D8" w:rsidRPr="00A613D8" w:rsidRDefault="00A613D8" w:rsidP="00B6364B">
      <w:pPr>
        <w:pStyle w:val="Note"/>
      </w:pPr>
      <w:r w:rsidRPr="00A613D8">
        <w:t>Prioritised ethnicity has been used.</w:t>
      </w:r>
    </w:p>
    <w:p w14:paraId="2837E523" w14:textId="77777777" w:rsidR="008A5642" w:rsidRDefault="00A613D8" w:rsidP="00B6364B">
      <w:pPr>
        <w:pStyle w:val="Note"/>
        <w:ind w:left="0" w:firstLine="0"/>
      </w:pPr>
      <w:r w:rsidRPr="00A613D8">
        <w:t>If the confidence intervals of two rates do not overlap, the difference in rates is said to be statistically significant.</w:t>
      </w:r>
    </w:p>
    <w:p w14:paraId="5FEF214E" w14:textId="427BF377" w:rsidR="00A613D8" w:rsidRDefault="00A613D8" w:rsidP="00B6364B">
      <w:pPr>
        <w:pStyle w:val="Note"/>
      </w:pPr>
      <w:r w:rsidRPr="00A613D8">
        <w:t>Source: National Minimum Data Set (NMDS), Ministry of Health, 1996–98 to 2014–16.</w:t>
      </w:r>
    </w:p>
    <w:p w14:paraId="73DD9748" w14:textId="77777777" w:rsidR="00A613D8" w:rsidRPr="00181EF3" w:rsidRDefault="00A613D8" w:rsidP="00A613D8"/>
    <w:p w14:paraId="17019F38" w14:textId="19434B36" w:rsidR="00A613D8" w:rsidRDefault="00A613D8" w:rsidP="00A613D8">
      <w:r w:rsidRPr="00181EF3">
        <w:t>Bronchiectasis hospitalisations for all ages show little change over time for Māori, however when looking at trends by gender some different patterns are evident. Figure </w:t>
      </w:r>
      <w:r>
        <w:t>58</w:t>
      </w:r>
      <w:r w:rsidRPr="00181EF3">
        <w:t xml:space="preserve"> shows that from 1996–98, the rate of bronchiectasis for Māori males increased over time by 52 percent (from 29.1 events per 100,000 people in 1996–98 to 44.2 per 100,000 people in 2014–16). Over time, there appeared to be a decline in bronchiectasis hospitalisation rates for Māori females, however since 2012–14 rates appear to be rising again.</w:t>
      </w:r>
    </w:p>
    <w:p w14:paraId="45A90812" w14:textId="77777777" w:rsidR="0094130D" w:rsidRPr="00181EF3" w:rsidRDefault="0094130D" w:rsidP="00A613D8"/>
    <w:p w14:paraId="764D42F1" w14:textId="003FE524" w:rsidR="00A613D8" w:rsidRPr="00181EF3" w:rsidRDefault="00A613D8" w:rsidP="00A613D8">
      <w:pPr>
        <w:pStyle w:val="Figure"/>
      </w:pPr>
      <w:bookmarkStart w:id="189" w:name="_Toc19101910"/>
      <w:r w:rsidRPr="00181EF3">
        <w:lastRenderedPageBreak/>
        <w:t xml:space="preserve">Figure </w:t>
      </w:r>
      <w:r w:rsidR="00116847">
        <w:t>59</w:t>
      </w:r>
      <w:r w:rsidRPr="00181EF3">
        <w:t>: Bronchiectasis (excludes congenital) hospitalisation</w:t>
      </w:r>
      <w:r w:rsidR="00116847">
        <w:t xml:space="preserve"> rates</w:t>
      </w:r>
      <w:r w:rsidRPr="00181EF3">
        <w:t>, 0–14 years</w:t>
      </w:r>
      <w:r w:rsidR="00116847">
        <w:t xml:space="preserve">, </w:t>
      </w:r>
      <w:r w:rsidR="00116847" w:rsidRPr="00181EF3">
        <w:t xml:space="preserve">Māori and </w:t>
      </w:r>
      <w:r w:rsidR="00EC03A3">
        <w:t>non</w:t>
      </w:r>
      <w:r w:rsidR="00EC03A3">
        <w:noBreakHyphen/>
        <w:t>M</w:t>
      </w:r>
      <w:r w:rsidR="00116847" w:rsidRPr="00181EF3">
        <w:t>āori, 1996–98 to 2014–16</w:t>
      </w:r>
      <w:bookmarkEnd w:id="189"/>
    </w:p>
    <w:p w14:paraId="0D0E0FAA" w14:textId="77777777" w:rsidR="00A613D8" w:rsidRPr="00181EF3" w:rsidRDefault="00A613D8" w:rsidP="00590045">
      <w:pPr>
        <w:keepNext/>
      </w:pPr>
      <w:r w:rsidRPr="00181EF3">
        <w:rPr>
          <w:noProof/>
          <w:lang w:eastAsia="en-NZ"/>
        </w:rPr>
        <w:drawing>
          <wp:inline distT="0" distB="0" distL="0" distR="0" wp14:anchorId="79728927" wp14:editId="312FB7AD">
            <wp:extent cx="5130165" cy="2555217"/>
            <wp:effectExtent l="0" t="0" r="0" b="0"/>
            <wp:docPr id="461" name="Picture 461" descr="Māori children are more likely than non-Māori children to be hospitalised for bronchiectasis. The rates for both groups have increased over time." title="Figure 59: Bronchiectasis (excludes congenital) hospitalisation, 0–1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130165" cy="2555217"/>
                    </a:xfrm>
                    <a:prstGeom prst="rect">
                      <a:avLst/>
                    </a:prstGeom>
                  </pic:spPr>
                </pic:pic>
              </a:graphicData>
            </a:graphic>
          </wp:inline>
        </w:drawing>
      </w:r>
    </w:p>
    <w:p w14:paraId="6F7BA6D3" w14:textId="77777777" w:rsidR="00116847" w:rsidRPr="00116847" w:rsidRDefault="00116847" w:rsidP="00B6364B">
      <w:pPr>
        <w:pStyle w:val="Note"/>
      </w:pPr>
      <w:r w:rsidRPr="00116847">
        <w:t>Notes:</w:t>
      </w:r>
    </w:p>
    <w:p w14:paraId="51B48FB7" w14:textId="096895CD" w:rsidR="008A5642" w:rsidRDefault="00446D86" w:rsidP="00B6364B">
      <w:pPr>
        <w:pStyle w:val="Note"/>
      </w:pPr>
      <w:r>
        <w:t>Figures are age-standardised to the 2001 Census total Māori population</w:t>
      </w:r>
      <w:r w:rsidR="00116847" w:rsidRPr="00116847">
        <w:t>.</w:t>
      </w:r>
    </w:p>
    <w:p w14:paraId="442A0E83" w14:textId="035E3F71" w:rsidR="00116847" w:rsidRPr="00116847" w:rsidRDefault="00116847" w:rsidP="00B6364B">
      <w:pPr>
        <w:pStyle w:val="Note"/>
      </w:pPr>
      <w:r w:rsidRPr="00116847">
        <w:t>Prioritised ethnicity has been used.</w:t>
      </w:r>
    </w:p>
    <w:p w14:paraId="1B475001" w14:textId="77777777" w:rsidR="008A5642" w:rsidRDefault="00116847" w:rsidP="00B6364B">
      <w:pPr>
        <w:pStyle w:val="Note"/>
        <w:ind w:left="0" w:firstLine="0"/>
      </w:pPr>
      <w:r w:rsidRPr="00116847">
        <w:t>If the confidence intervals of two rates do not overlap, the difference in rates is said to be statistically significant.</w:t>
      </w:r>
    </w:p>
    <w:p w14:paraId="4B13FFCE" w14:textId="16FA4C21" w:rsidR="00A613D8" w:rsidRDefault="00116847" w:rsidP="00B6364B">
      <w:pPr>
        <w:pStyle w:val="Note"/>
      </w:pPr>
      <w:r w:rsidRPr="00116847">
        <w:t>Source: National Minimum Data Set (NMDS), Ministry of Health, 1996–98 to 2014–16.</w:t>
      </w:r>
    </w:p>
    <w:p w14:paraId="5949669D" w14:textId="77777777" w:rsidR="00116847" w:rsidRPr="00181EF3" w:rsidRDefault="00116847" w:rsidP="00116847"/>
    <w:p w14:paraId="6FF27AA3" w14:textId="19212E0A" w:rsidR="00116847" w:rsidRPr="00181EF3" w:rsidRDefault="00116847" w:rsidP="00116847">
      <w:r w:rsidRPr="00181EF3">
        <w:t xml:space="preserve">Figure </w:t>
      </w:r>
      <w:r>
        <w:t>59</w:t>
      </w:r>
      <w:r w:rsidRPr="00181EF3">
        <w:t xml:space="preserve"> shows that Māori children aged 0–14 years were more likely than </w:t>
      </w:r>
      <w:r w:rsidR="00EC03A3">
        <w:t>non</w:t>
      </w:r>
      <w:r w:rsidR="00EC03A3">
        <w:noBreakHyphen/>
        <w:t>M</w:t>
      </w:r>
      <w:r w:rsidRPr="00181EF3">
        <w:t xml:space="preserve">āori children aged 0–14 years to be hospitalised for bronchiectasis over time. Rates of bronchiectasis for Māori children increased over time from 1996–98 to 2014–16. The same upward trend was not evident for </w:t>
      </w:r>
      <w:r w:rsidR="00EC03A3">
        <w:t>non</w:t>
      </w:r>
      <w:r w:rsidR="00EC03A3">
        <w:noBreakHyphen/>
        <w:t>M</w:t>
      </w:r>
      <w:r w:rsidRPr="00181EF3">
        <w:t xml:space="preserve">āori children over time and therefore the disparity between Māori and </w:t>
      </w:r>
      <w:r w:rsidR="00EC03A3">
        <w:t>non</w:t>
      </w:r>
      <w:r w:rsidR="00EC03A3">
        <w:noBreakHyphen/>
        <w:t>M</w:t>
      </w:r>
      <w:r w:rsidRPr="00181EF3">
        <w:t xml:space="preserve">āori children aged 0–14 years has increased over time, and markedly in the early 2000s. In 2014–16, Māori children aged 0–14 years were three times as likely as </w:t>
      </w:r>
      <w:r w:rsidR="00EC03A3">
        <w:t>non</w:t>
      </w:r>
      <w:r w:rsidR="00EC03A3">
        <w:noBreakHyphen/>
        <w:t>M</w:t>
      </w:r>
      <w:r w:rsidRPr="00181EF3">
        <w:t>āori children to be hospitalised for bronchiectasis.</w:t>
      </w:r>
    </w:p>
    <w:p w14:paraId="4457A4BE" w14:textId="77777777" w:rsidR="00116847" w:rsidRPr="00181EF3" w:rsidRDefault="00116847" w:rsidP="00116847"/>
    <w:p w14:paraId="7157EBA8" w14:textId="77777777" w:rsidR="00A613D8" w:rsidRPr="00181EF3" w:rsidRDefault="00A613D8" w:rsidP="00A613D8">
      <w:r w:rsidRPr="00181EF3">
        <w:t>Excel tools attached provide further data for the following age groups (including by gender): 25–44 years of age, 45–64 years of age and 65 and over.</w:t>
      </w:r>
    </w:p>
    <w:p w14:paraId="54F875AE" w14:textId="77777777" w:rsidR="00A613D8" w:rsidRPr="00181EF3" w:rsidRDefault="00A613D8" w:rsidP="00A613D8"/>
    <w:p w14:paraId="308232A3" w14:textId="77777777" w:rsidR="00A613D8" w:rsidRPr="00181EF3" w:rsidRDefault="00A613D8" w:rsidP="00590045">
      <w:pPr>
        <w:pStyle w:val="Heading3"/>
        <w:pageBreakBefore/>
        <w:spacing w:before="0"/>
      </w:pPr>
      <w:bookmarkStart w:id="190" w:name="_Toc19102355"/>
      <w:r w:rsidRPr="00181EF3">
        <w:lastRenderedPageBreak/>
        <w:t>Bronchiolitis</w:t>
      </w:r>
      <w:r w:rsidR="00116847">
        <w:t xml:space="preserve"> (acute, excludes chronic) hospitalisation</w:t>
      </w:r>
      <w:bookmarkEnd w:id="190"/>
    </w:p>
    <w:p w14:paraId="0DDD5F86" w14:textId="163C0F71" w:rsidR="00116847" w:rsidRPr="00181EF3" w:rsidRDefault="00116847" w:rsidP="00116847">
      <w:pPr>
        <w:pStyle w:val="Figure"/>
      </w:pPr>
      <w:bookmarkStart w:id="191" w:name="_Toc19101911"/>
      <w:r w:rsidRPr="00181EF3">
        <w:t xml:space="preserve">Figure </w:t>
      </w:r>
      <w:r>
        <w:t>60</w:t>
      </w:r>
      <w:r w:rsidRPr="00181EF3">
        <w:t>: Bronchiolitis (acute, excludes chronic) hospitalisation</w:t>
      </w:r>
      <w:r>
        <w:t xml:space="preserve"> rates</w:t>
      </w:r>
      <w:r w:rsidRPr="00181EF3">
        <w:t>, 0–4 years</w:t>
      </w:r>
      <w:r>
        <w:t xml:space="preserve">, by gender, </w:t>
      </w:r>
      <w:r w:rsidRPr="00181EF3">
        <w:t xml:space="preserve">Māori and </w:t>
      </w:r>
      <w:r w:rsidR="00EC03A3">
        <w:t>non</w:t>
      </w:r>
      <w:r w:rsidR="00EC03A3">
        <w:noBreakHyphen/>
        <w:t>M</w:t>
      </w:r>
      <w:r w:rsidRPr="00181EF3">
        <w:t>āori, 1996–98 to 2014–16</w:t>
      </w:r>
      <w:bookmarkEnd w:id="191"/>
    </w:p>
    <w:p w14:paraId="00A65606" w14:textId="77777777" w:rsidR="00116847" w:rsidRPr="00181EF3" w:rsidRDefault="00116847" w:rsidP="00116847">
      <w:r w:rsidRPr="00181EF3">
        <w:rPr>
          <w:noProof/>
          <w:lang w:eastAsia="en-NZ"/>
        </w:rPr>
        <w:drawing>
          <wp:inline distT="0" distB="0" distL="0" distR="0" wp14:anchorId="5EB71004" wp14:editId="2C707DA4">
            <wp:extent cx="5130165" cy="2616603"/>
            <wp:effectExtent l="0" t="0" r="0" b="0"/>
            <wp:docPr id="462" name="Picture 462" descr="Māori men are more likely to be hospitalised for bronchiolitis than any other group, followed by Māori women, non-Māori men, and non-Māori women. The rates for all groups are increasing." title="Figure 60: Bronchiolitis (acute, excludes chronic) hospitalisation, 0–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130165" cy="2616603"/>
                    </a:xfrm>
                    <a:prstGeom prst="rect">
                      <a:avLst/>
                    </a:prstGeom>
                  </pic:spPr>
                </pic:pic>
              </a:graphicData>
            </a:graphic>
          </wp:inline>
        </w:drawing>
      </w:r>
    </w:p>
    <w:p w14:paraId="083EDC74" w14:textId="77777777" w:rsidR="00116847" w:rsidRPr="00116847" w:rsidRDefault="00116847" w:rsidP="00B6364B">
      <w:pPr>
        <w:pStyle w:val="Note"/>
        <w:ind w:left="0" w:firstLine="0"/>
      </w:pPr>
      <w:r w:rsidRPr="00116847">
        <w:t>Notes:</w:t>
      </w:r>
    </w:p>
    <w:p w14:paraId="18410D19" w14:textId="31B1C409" w:rsidR="008A5642" w:rsidRDefault="00446D86" w:rsidP="00B6364B">
      <w:pPr>
        <w:pStyle w:val="Note"/>
        <w:ind w:left="0" w:firstLine="0"/>
      </w:pPr>
      <w:r>
        <w:t>Figures are age-standardised to the 2001 Census total Māori population</w:t>
      </w:r>
      <w:r w:rsidR="00116847" w:rsidRPr="00116847">
        <w:t>.</w:t>
      </w:r>
    </w:p>
    <w:p w14:paraId="74556C48" w14:textId="19D4EAD1" w:rsidR="00116847" w:rsidRPr="00116847" w:rsidRDefault="00116847" w:rsidP="00B6364B">
      <w:pPr>
        <w:pStyle w:val="Note"/>
        <w:ind w:left="0" w:firstLine="0"/>
      </w:pPr>
      <w:r w:rsidRPr="00116847">
        <w:t>Prioritised ethnicity has been used.</w:t>
      </w:r>
    </w:p>
    <w:p w14:paraId="291AD770" w14:textId="77777777" w:rsidR="008A5642" w:rsidRDefault="00116847" w:rsidP="00B6364B">
      <w:pPr>
        <w:pStyle w:val="Note"/>
        <w:ind w:left="0" w:firstLine="0"/>
      </w:pPr>
      <w:r w:rsidRPr="00116847">
        <w:t>If the confidence intervals of two rates do not overlap, the difference in rates is said to be statistically significant.</w:t>
      </w:r>
    </w:p>
    <w:p w14:paraId="74D99C91" w14:textId="12A04244" w:rsidR="00116847" w:rsidRDefault="00116847" w:rsidP="00B6364B">
      <w:pPr>
        <w:pStyle w:val="Note"/>
        <w:ind w:left="0" w:firstLine="0"/>
      </w:pPr>
      <w:r w:rsidRPr="00116847">
        <w:t>Source: National Minimum Data Set (NMDS), Ministry of Health, 1996–98 to 2014–16.</w:t>
      </w:r>
    </w:p>
    <w:p w14:paraId="5B584B61" w14:textId="77777777" w:rsidR="00116847" w:rsidRDefault="00116847" w:rsidP="00A613D8"/>
    <w:p w14:paraId="6550A6DF" w14:textId="5ADAAECE" w:rsidR="00A613D8" w:rsidRPr="00181EF3" w:rsidRDefault="00A613D8" w:rsidP="00A613D8">
      <w:r w:rsidRPr="00181EF3">
        <w:t xml:space="preserve">Over time, rates of hospitalisation for bronchiolitis for Māori children aged 0–4 years of age have increased. In 2014–16, Māori children were over twice as likely as </w:t>
      </w:r>
      <w:r w:rsidR="00EC03A3">
        <w:t>non</w:t>
      </w:r>
      <w:r w:rsidR="00EC03A3">
        <w:noBreakHyphen/>
        <w:t>M</w:t>
      </w:r>
      <w:r w:rsidRPr="00181EF3">
        <w:t>āori children to be hospitalised for bronchiolitis and this difference has not changed over time.</w:t>
      </w:r>
    </w:p>
    <w:p w14:paraId="621EA2A9" w14:textId="77777777" w:rsidR="00A613D8" w:rsidRPr="00181EF3" w:rsidRDefault="00A613D8" w:rsidP="00A613D8"/>
    <w:p w14:paraId="4C530B94" w14:textId="546E7DA0" w:rsidR="00A613D8" w:rsidRPr="00181EF3" w:rsidRDefault="00A613D8" w:rsidP="00A613D8">
      <w:r w:rsidRPr="00181EF3">
        <w:t xml:space="preserve">Figure </w:t>
      </w:r>
      <w:r w:rsidR="00116847">
        <w:t>60</w:t>
      </w:r>
      <w:r w:rsidRPr="00181EF3">
        <w:t xml:space="preserve"> shows that Māori boys have the highest rates of bronchiolitis hospitalisations and that this rate has increased over time by 57 percent (from 2,407.2 events per 100,000 people in 1996–98 to 3,782.9 in 2014–16). For Māori girls aged 0–4 years the hospitalisation rate increased by 49 percent (from 1,667.1 events per 100,000 people in 1996–98 to 2,485.1 in 2014–16). Hospitalisation rates for </w:t>
      </w:r>
      <w:r w:rsidR="00EC03A3">
        <w:t>non</w:t>
      </w:r>
      <w:r w:rsidR="00EC03A3">
        <w:noBreakHyphen/>
        <w:t>M</w:t>
      </w:r>
      <w:r w:rsidRPr="00181EF3">
        <w:t>āori children aged</w:t>
      </w:r>
      <w:r w:rsidRPr="00181EF3">
        <w:br/>
        <w:t xml:space="preserve">0–4 years also increased over time meaning the disparity between Māori and </w:t>
      </w:r>
      <w:r w:rsidR="00EC03A3">
        <w:t>non</w:t>
      </w:r>
      <w:r w:rsidR="00EC03A3">
        <w:noBreakHyphen/>
        <w:t>M</w:t>
      </w:r>
      <w:r w:rsidRPr="00181EF3">
        <w:t>āori children remained at around or just over twice.</w:t>
      </w:r>
    </w:p>
    <w:p w14:paraId="28F012F8" w14:textId="77777777" w:rsidR="00A613D8" w:rsidRPr="00181EF3" w:rsidRDefault="00A613D8" w:rsidP="00A613D8"/>
    <w:p w14:paraId="7DF72615" w14:textId="77777777" w:rsidR="00116847" w:rsidRDefault="00A613D8" w:rsidP="00590045">
      <w:pPr>
        <w:pStyle w:val="Heading3"/>
        <w:pageBreakBefore/>
        <w:spacing w:before="0"/>
      </w:pPr>
      <w:bookmarkStart w:id="192" w:name="_Toc19102356"/>
      <w:r w:rsidRPr="00181EF3">
        <w:lastRenderedPageBreak/>
        <w:t>Chronic obstructive pulmonary disease (COPD)</w:t>
      </w:r>
      <w:bookmarkEnd w:id="192"/>
    </w:p>
    <w:p w14:paraId="0D7CE021" w14:textId="719291A4" w:rsidR="00A613D8" w:rsidRPr="00181EF3" w:rsidRDefault="00116847" w:rsidP="00116847">
      <w:pPr>
        <w:pStyle w:val="Heading4"/>
      </w:pPr>
      <w:r>
        <w:t xml:space="preserve">COPD </w:t>
      </w:r>
      <w:r w:rsidR="00590045">
        <w:t>h</w:t>
      </w:r>
      <w:r w:rsidR="00A613D8" w:rsidRPr="00116847">
        <w:rPr>
          <w:rStyle w:val="Heading4Char"/>
        </w:rPr>
        <w:t>ospitalisation</w:t>
      </w:r>
    </w:p>
    <w:p w14:paraId="0AAF0611" w14:textId="0E18EAFA" w:rsidR="00A613D8" w:rsidRPr="00181EF3" w:rsidRDefault="00A613D8" w:rsidP="00A613D8">
      <w:pPr>
        <w:pStyle w:val="Figure"/>
      </w:pPr>
      <w:bookmarkStart w:id="193" w:name="_Toc19101912"/>
      <w:r w:rsidRPr="00181EF3">
        <w:t xml:space="preserve">Figure </w:t>
      </w:r>
      <w:r w:rsidR="00116847">
        <w:t>61</w:t>
      </w:r>
      <w:r w:rsidRPr="00181EF3">
        <w:t>: Chronic obstructive pulmonary disease (COPD) hospitalisation</w:t>
      </w:r>
      <w:r w:rsidR="00116847">
        <w:t xml:space="preserve"> rates</w:t>
      </w:r>
      <w:r w:rsidRPr="00181EF3">
        <w:t>, 45+</w:t>
      </w:r>
      <w:r w:rsidR="00590045">
        <w:t> </w:t>
      </w:r>
      <w:r w:rsidRPr="00181EF3">
        <w:t>years</w:t>
      </w:r>
      <w:r w:rsidR="00116847">
        <w:t xml:space="preserve">, by gender, </w:t>
      </w:r>
      <w:r w:rsidR="00116847" w:rsidRPr="00181EF3">
        <w:t xml:space="preserve">Māori and </w:t>
      </w:r>
      <w:r w:rsidR="00EC03A3">
        <w:t>non</w:t>
      </w:r>
      <w:r w:rsidR="00EC03A3">
        <w:noBreakHyphen/>
        <w:t>M</w:t>
      </w:r>
      <w:r w:rsidR="00116847" w:rsidRPr="00181EF3">
        <w:t>āori, 1996–98 to 2014–16</w:t>
      </w:r>
      <w:bookmarkEnd w:id="193"/>
    </w:p>
    <w:p w14:paraId="778876DD" w14:textId="77777777" w:rsidR="00A613D8" w:rsidRPr="00181EF3" w:rsidRDefault="00A613D8" w:rsidP="00A613D8">
      <w:r w:rsidRPr="00181EF3">
        <w:rPr>
          <w:noProof/>
          <w:lang w:eastAsia="en-NZ"/>
        </w:rPr>
        <w:drawing>
          <wp:inline distT="0" distB="0" distL="0" distR="0" wp14:anchorId="637B7BB3" wp14:editId="72A900A2">
            <wp:extent cx="5130165" cy="2616603"/>
            <wp:effectExtent l="0" t="0" r="0" b="0"/>
            <wp:docPr id="463" name="Picture 463" descr="Māori women have the highest hospitalisation rates for COPD, followed by Māori men. Rates for both are declining since a peak between 2006 and 2008. COPD hospitalisation rates for non-Māori men and women are lower and have remained steady over time." title="Figure 61: Chronic obstructive pulmonary disease (COPD) hospitalisation, 4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130165" cy="2616603"/>
                    </a:xfrm>
                    <a:prstGeom prst="rect">
                      <a:avLst/>
                    </a:prstGeom>
                  </pic:spPr>
                </pic:pic>
              </a:graphicData>
            </a:graphic>
          </wp:inline>
        </w:drawing>
      </w:r>
    </w:p>
    <w:p w14:paraId="4945016F" w14:textId="77777777" w:rsidR="00116847" w:rsidRPr="00116847" w:rsidRDefault="00116847" w:rsidP="00B6364B">
      <w:pPr>
        <w:pStyle w:val="Note"/>
        <w:ind w:left="0" w:firstLine="0"/>
      </w:pPr>
      <w:r w:rsidRPr="00116847">
        <w:t>Notes:</w:t>
      </w:r>
    </w:p>
    <w:p w14:paraId="5785BAD5" w14:textId="05E21393" w:rsidR="008A5642" w:rsidRDefault="00446D86" w:rsidP="00B6364B">
      <w:pPr>
        <w:pStyle w:val="Note"/>
        <w:ind w:left="0" w:firstLine="0"/>
      </w:pPr>
      <w:r>
        <w:t>Figures are age-standardised to the 2001 Census total Māori population</w:t>
      </w:r>
      <w:r w:rsidR="00116847" w:rsidRPr="00116847">
        <w:t>.</w:t>
      </w:r>
    </w:p>
    <w:p w14:paraId="0BD440AD" w14:textId="05C7A807" w:rsidR="00116847" w:rsidRPr="00116847" w:rsidRDefault="00116847" w:rsidP="00B6364B">
      <w:pPr>
        <w:pStyle w:val="Note"/>
        <w:ind w:left="0" w:firstLine="0"/>
      </w:pPr>
      <w:r w:rsidRPr="00116847">
        <w:t>Prioritised ethnicity has been used.</w:t>
      </w:r>
    </w:p>
    <w:p w14:paraId="56DC7D0B" w14:textId="77777777" w:rsidR="008A5642" w:rsidRDefault="00116847" w:rsidP="00B6364B">
      <w:pPr>
        <w:pStyle w:val="Note"/>
        <w:ind w:left="0" w:firstLine="0"/>
      </w:pPr>
      <w:r w:rsidRPr="00116847">
        <w:t>If the confidence intervals of two rates do not overlap, the difference in rates is said to be statistically significant.</w:t>
      </w:r>
    </w:p>
    <w:p w14:paraId="7220924D" w14:textId="405D5040" w:rsidR="00A613D8" w:rsidRPr="00181EF3" w:rsidRDefault="00116847" w:rsidP="00B6364B">
      <w:pPr>
        <w:pStyle w:val="Note"/>
        <w:ind w:left="0" w:firstLine="0"/>
      </w:pPr>
      <w:r w:rsidRPr="00116847">
        <w:t>Source: National Minimum Data Set (NMDS), Ministry of Health, 1996–98 to 2014–16.</w:t>
      </w:r>
    </w:p>
    <w:p w14:paraId="669997EB" w14:textId="77777777" w:rsidR="00116847" w:rsidRDefault="00116847" w:rsidP="00116847"/>
    <w:p w14:paraId="2D660DA1" w14:textId="5ACA72AB" w:rsidR="00116847" w:rsidRPr="00181EF3" w:rsidRDefault="00116847" w:rsidP="00116847">
      <w:r w:rsidRPr="00181EF3">
        <w:t xml:space="preserve">From 1996–98 to 2014–16, rates of hospitalisation for COPD have increased for Māori, while decreasing for </w:t>
      </w:r>
      <w:r w:rsidR="00EC03A3">
        <w:t>non</w:t>
      </w:r>
      <w:r w:rsidR="00EC03A3">
        <w:noBreakHyphen/>
        <w:t>M</w:t>
      </w:r>
      <w:r w:rsidRPr="00181EF3">
        <w:t xml:space="preserve">āori. This translates to an increase in the difference between Māori and </w:t>
      </w:r>
      <w:r w:rsidR="00EC03A3">
        <w:t>non</w:t>
      </w:r>
      <w:r w:rsidR="00EC03A3">
        <w:noBreakHyphen/>
        <w:t>M</w:t>
      </w:r>
      <w:r w:rsidRPr="00181EF3">
        <w:t>āori, from Māori being around 2½ times as likely to be hospitalised for COPD in the mid-1990s to being over 3½ times as likely in the mid-2000s.</w:t>
      </w:r>
    </w:p>
    <w:p w14:paraId="3F25AB9C" w14:textId="77777777" w:rsidR="00116847" w:rsidRPr="00181EF3" w:rsidRDefault="00116847" w:rsidP="00116847"/>
    <w:p w14:paraId="23355C83" w14:textId="77777777" w:rsidR="00116847" w:rsidRPr="00181EF3" w:rsidRDefault="00116847" w:rsidP="00116847">
      <w:r w:rsidRPr="00181EF3">
        <w:t xml:space="preserve">Figure </w:t>
      </w:r>
      <w:r>
        <w:t>61</w:t>
      </w:r>
      <w:r w:rsidRPr="00181EF3">
        <w:t xml:space="preserve"> shows that Māori females have the highest rates of COPD hospitalisations, this did not change over time, and the rates of hospitalisations for Māori, both male and female, have increased over time. From 1996–98 to 2014–16, COPD hospitalisations for Māori females increased by 33 percent (from 952.9 events per 100,000 people to 1,262.2 per 100,000 people). For Māori males the increase over time in COPD hospitalisations was 21 percent. There are signs of a decrease in hospitalisations for COPD since the mid to late 2000s for both Māori males and females.</w:t>
      </w:r>
    </w:p>
    <w:p w14:paraId="512AC317" w14:textId="77777777" w:rsidR="00116847" w:rsidRPr="00181EF3" w:rsidRDefault="00116847" w:rsidP="00116847"/>
    <w:p w14:paraId="708B175A" w14:textId="43E17D78" w:rsidR="00116847" w:rsidRDefault="00116847" w:rsidP="00116847">
      <w:r w:rsidRPr="00181EF3">
        <w:t xml:space="preserve">The disparity between Māori and </w:t>
      </w:r>
      <w:r w:rsidR="00EC03A3">
        <w:t>non</w:t>
      </w:r>
      <w:r w:rsidR="00EC03A3">
        <w:noBreakHyphen/>
        <w:t>M</w:t>
      </w:r>
      <w:r w:rsidRPr="00181EF3">
        <w:t xml:space="preserve">āori males and females has increased over the time period. In 2014–16, Māori males were over 2½ times as likely as </w:t>
      </w:r>
      <w:r w:rsidR="00EC03A3">
        <w:t>non</w:t>
      </w:r>
      <w:r w:rsidR="00EC03A3">
        <w:noBreakHyphen/>
        <w:t>M</w:t>
      </w:r>
      <w:r w:rsidRPr="00181EF3">
        <w:t>āori males to have been hospitalised for COPD.</w:t>
      </w:r>
    </w:p>
    <w:p w14:paraId="79EAB097" w14:textId="77777777" w:rsidR="00590045" w:rsidRPr="00181EF3" w:rsidRDefault="00590045" w:rsidP="00116847"/>
    <w:p w14:paraId="230BDB45" w14:textId="77777777" w:rsidR="00A613D8" w:rsidRPr="00181EF3" w:rsidRDefault="00A613D8" w:rsidP="00116847">
      <w:pPr>
        <w:pStyle w:val="Heading4"/>
      </w:pPr>
      <w:r w:rsidRPr="00181EF3">
        <w:lastRenderedPageBreak/>
        <w:t>COPD mortality</w:t>
      </w:r>
    </w:p>
    <w:p w14:paraId="18E7BE69" w14:textId="12EF46BB" w:rsidR="00A613D8" w:rsidRPr="00181EF3" w:rsidRDefault="00A613D8" w:rsidP="00A613D8">
      <w:pPr>
        <w:pStyle w:val="Figure"/>
      </w:pPr>
      <w:bookmarkStart w:id="194" w:name="_Toc19101913"/>
      <w:r w:rsidRPr="00181EF3">
        <w:t>Figure 6</w:t>
      </w:r>
      <w:r w:rsidR="00116847">
        <w:t>2</w:t>
      </w:r>
      <w:r w:rsidRPr="00181EF3">
        <w:t>: Chronic obstructive pulmonary disease (COPD) mortality</w:t>
      </w:r>
      <w:r w:rsidR="00116847">
        <w:t xml:space="preserve"> rates</w:t>
      </w:r>
      <w:r w:rsidRPr="00181EF3">
        <w:t>, 45+ years</w:t>
      </w:r>
      <w:r w:rsidR="00116847">
        <w:t xml:space="preserve">, </w:t>
      </w:r>
      <w:r w:rsidR="00116847" w:rsidRPr="00181EF3">
        <w:t xml:space="preserve">Māori and </w:t>
      </w:r>
      <w:r w:rsidR="00EC03A3">
        <w:t>non</w:t>
      </w:r>
      <w:r w:rsidR="00EC03A3">
        <w:noBreakHyphen/>
        <w:t>M</w:t>
      </w:r>
      <w:r w:rsidR="00116847" w:rsidRPr="00181EF3">
        <w:t>āori</w:t>
      </w:r>
      <w:r w:rsidR="00116847">
        <w:t>,</w:t>
      </w:r>
      <w:r w:rsidR="00116847" w:rsidRPr="00181EF3">
        <w:t xml:space="preserve"> 1996–98 to 2012–14</w:t>
      </w:r>
      <w:bookmarkEnd w:id="194"/>
    </w:p>
    <w:p w14:paraId="0D807B8B" w14:textId="77777777" w:rsidR="00A613D8" w:rsidRPr="00181EF3" w:rsidRDefault="00A613D8" w:rsidP="00A613D8">
      <w:r w:rsidRPr="00181EF3">
        <w:rPr>
          <w:noProof/>
          <w:lang w:eastAsia="en-NZ"/>
        </w:rPr>
        <w:drawing>
          <wp:inline distT="0" distB="0" distL="0" distR="0" wp14:anchorId="69C4E415" wp14:editId="1EE5DDE4">
            <wp:extent cx="5130165" cy="3058916"/>
            <wp:effectExtent l="0" t="0" r="0" b="8255"/>
            <wp:docPr id="464" name="Picture 464" descr="Māori die of COPD at a higher rate than non-Māori. The rates for both have declined over time." title="Figure 62: Chronic obstructive pulmonary disease (COPD) mortality, 4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130165" cy="3058916"/>
                    </a:xfrm>
                    <a:prstGeom prst="rect">
                      <a:avLst/>
                    </a:prstGeom>
                  </pic:spPr>
                </pic:pic>
              </a:graphicData>
            </a:graphic>
          </wp:inline>
        </w:drawing>
      </w:r>
    </w:p>
    <w:p w14:paraId="15103C38" w14:textId="77777777" w:rsidR="00116847" w:rsidRPr="00116847" w:rsidRDefault="00116847" w:rsidP="00B6364B">
      <w:pPr>
        <w:pStyle w:val="Note"/>
        <w:ind w:left="0" w:firstLine="0"/>
      </w:pPr>
      <w:r w:rsidRPr="00116847">
        <w:t>Notes:</w:t>
      </w:r>
    </w:p>
    <w:p w14:paraId="54928CD6" w14:textId="54CA258F" w:rsidR="008A5642" w:rsidRDefault="00446D86" w:rsidP="00B6364B">
      <w:pPr>
        <w:pStyle w:val="Note"/>
        <w:ind w:left="0" w:firstLine="0"/>
      </w:pPr>
      <w:r>
        <w:t>Figures are age-standardised to the 2001 Census total Māori population</w:t>
      </w:r>
      <w:r w:rsidR="00116847" w:rsidRPr="00116847">
        <w:t>.</w:t>
      </w:r>
    </w:p>
    <w:p w14:paraId="602D7FB9" w14:textId="63B5E802" w:rsidR="00116847" w:rsidRPr="00116847" w:rsidRDefault="00116847" w:rsidP="00B6364B">
      <w:pPr>
        <w:pStyle w:val="Note"/>
        <w:ind w:left="0" w:firstLine="0"/>
      </w:pPr>
      <w:r w:rsidRPr="00116847">
        <w:t>Prioritised ethnicity has been used.</w:t>
      </w:r>
    </w:p>
    <w:p w14:paraId="32BC858D" w14:textId="77777777" w:rsidR="008A5642" w:rsidRDefault="00116847" w:rsidP="00B6364B">
      <w:pPr>
        <w:pStyle w:val="Note"/>
        <w:ind w:left="0" w:firstLine="0"/>
      </w:pPr>
      <w:r w:rsidRPr="00116847">
        <w:t>If the confidence intervals of two rates do not overlap, the difference in rates is said to be statistically significant.</w:t>
      </w:r>
    </w:p>
    <w:p w14:paraId="5C4A42D0" w14:textId="1531CE1A" w:rsidR="00A613D8" w:rsidRPr="00181EF3" w:rsidRDefault="00116847" w:rsidP="00B6364B">
      <w:pPr>
        <w:pStyle w:val="Note"/>
        <w:ind w:left="0" w:firstLine="0"/>
      </w:pPr>
      <w:r w:rsidRPr="00116847">
        <w:t>Source: Mortality Collection Data Set (MORT), Ministry of Health, 1996–98 to 2012–14.</w:t>
      </w:r>
    </w:p>
    <w:p w14:paraId="27F200FA" w14:textId="77777777" w:rsidR="00116847" w:rsidRDefault="00116847" w:rsidP="00116847"/>
    <w:p w14:paraId="0A1C4161" w14:textId="15517C54" w:rsidR="00116847" w:rsidRPr="00181EF3" w:rsidRDefault="00116847" w:rsidP="00116847">
      <w:r w:rsidRPr="00181EF3">
        <w:t>Figure 6</w:t>
      </w:r>
      <w:r>
        <w:t>2</w:t>
      </w:r>
      <w:r w:rsidRPr="00181EF3">
        <w:t xml:space="preserve"> shows that overtime there has been a decrease in COPD mortality rates for Māori aged 45 and over. From 1996–98 to 2012–14 there was a decrease of 28 percent (from 129.1 deaths per 100,000 people to 93.4 deaths per 100,000 people). Over the same time period there has also been a decrease in mortality rates for </w:t>
      </w:r>
      <w:r w:rsidR="00EC03A3">
        <w:t>non</w:t>
      </w:r>
      <w:r w:rsidR="00EC03A3">
        <w:noBreakHyphen/>
        <w:t>M</w:t>
      </w:r>
      <w:r w:rsidRPr="00181EF3">
        <w:t xml:space="preserve">āori, therefore resulting in little change in the disparity between Māori and </w:t>
      </w:r>
      <w:r w:rsidR="00EC03A3">
        <w:t>non</w:t>
      </w:r>
      <w:r w:rsidR="00EC03A3">
        <w:noBreakHyphen/>
        <w:t>M</w:t>
      </w:r>
      <w:r w:rsidRPr="00181EF3">
        <w:t xml:space="preserve">āori. In 2012–14, Māori aged 45 and over were over 2½ times as likely as </w:t>
      </w:r>
      <w:r w:rsidR="00EC03A3">
        <w:t>non</w:t>
      </w:r>
      <w:r w:rsidR="00EC03A3">
        <w:noBreakHyphen/>
        <w:t>M</w:t>
      </w:r>
      <w:r w:rsidRPr="00181EF3">
        <w:t>āori aged 45 and over to die from COPD.</w:t>
      </w:r>
    </w:p>
    <w:p w14:paraId="7904CF72" w14:textId="77777777" w:rsidR="00116847" w:rsidRDefault="00116847" w:rsidP="00A613D8"/>
    <w:p w14:paraId="489744DF" w14:textId="7A78B842" w:rsidR="00A613D8" w:rsidRPr="00181EF3" w:rsidRDefault="00A613D8" w:rsidP="00A613D8">
      <w:r w:rsidRPr="00181EF3">
        <w:t xml:space="preserve">The disparity between Māori and </w:t>
      </w:r>
      <w:r w:rsidR="00EC03A3">
        <w:t>non</w:t>
      </w:r>
      <w:r w:rsidR="00EC03A3">
        <w:noBreakHyphen/>
        <w:t>M</w:t>
      </w:r>
      <w:r w:rsidRPr="00181EF3">
        <w:t xml:space="preserve">āori females is higher than that of Māori and </w:t>
      </w:r>
      <w:r w:rsidR="00EC03A3">
        <w:t>non</w:t>
      </w:r>
      <w:r w:rsidR="00EC03A3">
        <w:noBreakHyphen/>
        <w:t>M</w:t>
      </w:r>
      <w:r w:rsidRPr="00181EF3">
        <w:t xml:space="preserve">āori males. From 1996–98 to 2012–14, Māori males were generally around 2½ times </w:t>
      </w:r>
      <w:r>
        <w:t>as</w:t>
      </w:r>
      <w:r w:rsidRPr="00181EF3">
        <w:t xml:space="preserve"> likely </w:t>
      </w:r>
      <w:r>
        <w:t>as</w:t>
      </w:r>
      <w:r w:rsidRPr="00181EF3">
        <w:t xml:space="preserve"> </w:t>
      </w:r>
      <w:r w:rsidR="00EC03A3">
        <w:t>non</w:t>
      </w:r>
      <w:r w:rsidR="00EC03A3">
        <w:noBreakHyphen/>
        <w:t>M</w:t>
      </w:r>
      <w:r w:rsidRPr="00181EF3">
        <w:t xml:space="preserve">āori males to die of COPD while Māori females were consistently over three times as likely as </w:t>
      </w:r>
      <w:r w:rsidR="00EC03A3">
        <w:t>non</w:t>
      </w:r>
      <w:r w:rsidR="00EC03A3">
        <w:noBreakHyphen/>
        <w:t>M</w:t>
      </w:r>
      <w:r w:rsidRPr="00181EF3">
        <w:t>āori females to die of COPD.</w:t>
      </w:r>
    </w:p>
    <w:p w14:paraId="6E39ED9C" w14:textId="77777777" w:rsidR="00A613D8" w:rsidRPr="00181EF3" w:rsidRDefault="00A613D8" w:rsidP="00A613D8"/>
    <w:p w14:paraId="7D75D66F" w14:textId="77777777" w:rsidR="00A613D8" w:rsidRDefault="00A613D8" w:rsidP="00590045">
      <w:pPr>
        <w:pStyle w:val="Heading3"/>
        <w:pageBreakBefore/>
        <w:spacing w:before="0"/>
      </w:pPr>
      <w:bookmarkStart w:id="195" w:name="_Toc19102357"/>
      <w:r w:rsidRPr="00181EF3">
        <w:lastRenderedPageBreak/>
        <w:t>Pneumonia</w:t>
      </w:r>
      <w:r w:rsidRPr="00181EF3">
        <w:rPr>
          <w:rStyle w:val="FootnoteReference"/>
          <w:rFonts w:eastAsia="MS Gothic"/>
        </w:rPr>
        <w:footnoteReference w:id="5"/>
      </w:r>
      <w:bookmarkEnd w:id="195"/>
    </w:p>
    <w:p w14:paraId="2CB06972" w14:textId="77777777" w:rsidR="00116847" w:rsidRDefault="00116847" w:rsidP="00116847">
      <w:pPr>
        <w:pStyle w:val="Heading4"/>
      </w:pPr>
      <w:r>
        <w:t>Pneumonia hospitalisation</w:t>
      </w:r>
    </w:p>
    <w:p w14:paraId="06C9FD7B" w14:textId="666D3E72" w:rsidR="00A613D8" w:rsidRPr="00181EF3" w:rsidRDefault="00A613D8" w:rsidP="00A613D8">
      <w:pPr>
        <w:pStyle w:val="Figure"/>
      </w:pPr>
      <w:bookmarkStart w:id="196" w:name="_Toc19101914"/>
      <w:r w:rsidRPr="00181EF3">
        <w:t xml:space="preserve">Figure </w:t>
      </w:r>
      <w:r w:rsidR="00116847">
        <w:t>63</w:t>
      </w:r>
      <w:r w:rsidRPr="00181EF3">
        <w:t>: Pneumonia hospitalisation</w:t>
      </w:r>
      <w:r w:rsidR="00116847">
        <w:t xml:space="preserve"> rates</w:t>
      </w:r>
      <w:r w:rsidRPr="00181EF3">
        <w:t>, all age</w:t>
      </w:r>
      <w:r w:rsidR="00116847">
        <w:t xml:space="preserve">, </w:t>
      </w:r>
      <w:r w:rsidR="00116847" w:rsidRPr="00181EF3">
        <w:t xml:space="preserve">Māori and </w:t>
      </w:r>
      <w:r w:rsidR="00EC03A3">
        <w:t>non</w:t>
      </w:r>
      <w:r w:rsidR="00EC03A3">
        <w:noBreakHyphen/>
        <w:t>M</w:t>
      </w:r>
      <w:r w:rsidR="00116847" w:rsidRPr="00181EF3">
        <w:t>āori, 1996–98 to 2014–16</w:t>
      </w:r>
      <w:bookmarkEnd w:id="196"/>
    </w:p>
    <w:p w14:paraId="0E0DFA9B" w14:textId="77777777" w:rsidR="00A613D8" w:rsidRPr="00181EF3" w:rsidRDefault="00A613D8" w:rsidP="00A613D8">
      <w:r w:rsidRPr="00181EF3">
        <w:rPr>
          <w:noProof/>
          <w:lang w:eastAsia="en-NZ"/>
        </w:rPr>
        <w:drawing>
          <wp:inline distT="0" distB="0" distL="0" distR="0" wp14:anchorId="55E3FB0C" wp14:editId="68E8A833">
            <wp:extent cx="5130165" cy="2555217"/>
            <wp:effectExtent l="0" t="0" r="0" b="0"/>
            <wp:docPr id="465" name="Picture 465" descr="Māori are hospitalised for pneumonia at higher rates than non-Māori. The rates for both have remained relatively steady over time, with a slight increase in recent years." title="Figure 63: Pneumonia hospitalisation, all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130165" cy="2555217"/>
                    </a:xfrm>
                    <a:prstGeom prst="rect">
                      <a:avLst/>
                    </a:prstGeom>
                  </pic:spPr>
                </pic:pic>
              </a:graphicData>
            </a:graphic>
          </wp:inline>
        </w:drawing>
      </w:r>
    </w:p>
    <w:p w14:paraId="4953B226" w14:textId="77777777" w:rsidR="00116847" w:rsidRPr="00116847" w:rsidRDefault="00116847" w:rsidP="00B6364B">
      <w:pPr>
        <w:pStyle w:val="Note"/>
        <w:ind w:left="0" w:firstLine="0"/>
      </w:pPr>
      <w:r w:rsidRPr="00116847">
        <w:t>Notes:</w:t>
      </w:r>
    </w:p>
    <w:p w14:paraId="3ED0CB27" w14:textId="7C3BC07E" w:rsidR="008A5642" w:rsidRDefault="00446D86" w:rsidP="00B6364B">
      <w:pPr>
        <w:pStyle w:val="Note"/>
        <w:ind w:left="0" w:firstLine="0"/>
      </w:pPr>
      <w:r>
        <w:t>Figures are age-standardised to the 2001 Census total Māori population</w:t>
      </w:r>
      <w:r w:rsidR="00116847" w:rsidRPr="00116847">
        <w:t>.</w:t>
      </w:r>
    </w:p>
    <w:p w14:paraId="5B153E97" w14:textId="055C3E5B" w:rsidR="00116847" w:rsidRPr="00116847" w:rsidRDefault="00116847" w:rsidP="00B6364B">
      <w:pPr>
        <w:pStyle w:val="Note"/>
        <w:ind w:left="0" w:firstLine="0"/>
      </w:pPr>
      <w:r w:rsidRPr="00116847">
        <w:t>Prioritised ethnicity has been used.</w:t>
      </w:r>
    </w:p>
    <w:p w14:paraId="2209E2CF" w14:textId="77777777" w:rsidR="008A5642" w:rsidRDefault="00116847" w:rsidP="00B6364B">
      <w:pPr>
        <w:pStyle w:val="Note"/>
        <w:ind w:left="0" w:firstLine="0"/>
      </w:pPr>
      <w:r w:rsidRPr="00116847">
        <w:t>If the confidence intervals of two rates do not overlap, the difference in rates is said to be statistically significant.</w:t>
      </w:r>
    </w:p>
    <w:p w14:paraId="2F24A3A4" w14:textId="6B0E6371" w:rsidR="00A613D8" w:rsidRDefault="00116847" w:rsidP="00B6364B">
      <w:pPr>
        <w:pStyle w:val="Note"/>
        <w:ind w:left="0" w:firstLine="0"/>
      </w:pPr>
      <w:r w:rsidRPr="00116847">
        <w:t>Source: National Minimum Data Set (NMDS), Ministry of Health, 1996–98 to 2014–16.</w:t>
      </w:r>
    </w:p>
    <w:p w14:paraId="2BA68D1E" w14:textId="77777777" w:rsidR="00116847" w:rsidRDefault="00116847" w:rsidP="00116847"/>
    <w:p w14:paraId="2F8076C4" w14:textId="4AFE3CE5" w:rsidR="00116847" w:rsidRPr="00181EF3" w:rsidRDefault="00116847" w:rsidP="00116847">
      <w:r w:rsidRPr="00181EF3">
        <w:t xml:space="preserve">Figure </w:t>
      </w:r>
      <w:r>
        <w:t>63</w:t>
      </w:r>
      <w:r w:rsidRPr="00181EF3">
        <w:t xml:space="preserve"> shows that overtime there has been little change in the rates of pneumonia hospitalisations for Māori. Rates of pneumonia hospitalisations for </w:t>
      </w:r>
      <w:r w:rsidR="00EC03A3">
        <w:t>non</w:t>
      </w:r>
      <w:r w:rsidR="00EC03A3">
        <w:noBreakHyphen/>
        <w:t>M</w:t>
      </w:r>
      <w:r w:rsidRPr="00181EF3">
        <w:t xml:space="preserve">āori has increased slightly over time resulting in a slight decrease in the disparity between Māori and </w:t>
      </w:r>
      <w:r w:rsidR="00EC03A3">
        <w:t>non</w:t>
      </w:r>
      <w:r w:rsidR="00EC03A3">
        <w:noBreakHyphen/>
        <w:t>M</w:t>
      </w:r>
      <w:r w:rsidRPr="00181EF3">
        <w:t xml:space="preserve">āori hospitalisations. </w:t>
      </w:r>
      <w:r>
        <w:t>I</w:t>
      </w:r>
      <w:r w:rsidRPr="00181EF3">
        <w:t>n the mid to late 1990s, Māori were nearly three times as likely to be hospitalised for pneumonia, by the mid-2000s this difference decreased slightly to around 2½ times.</w:t>
      </w:r>
    </w:p>
    <w:p w14:paraId="6E58FFE3" w14:textId="77777777" w:rsidR="00116847" w:rsidRPr="00181EF3" w:rsidRDefault="00116847" w:rsidP="00A613D8"/>
    <w:p w14:paraId="675D9AA1" w14:textId="77777777" w:rsidR="00A613D8" w:rsidRPr="00181EF3" w:rsidRDefault="00A613D8" w:rsidP="00116847">
      <w:pPr>
        <w:pStyle w:val="Heading4"/>
      </w:pPr>
      <w:r w:rsidRPr="00181EF3">
        <w:lastRenderedPageBreak/>
        <w:t>Pneumonia mortality</w:t>
      </w:r>
    </w:p>
    <w:p w14:paraId="0D01F360" w14:textId="511D3ADD" w:rsidR="00A613D8" w:rsidRPr="00181EF3" w:rsidRDefault="00A613D8" w:rsidP="00A613D8">
      <w:pPr>
        <w:pStyle w:val="Figure"/>
      </w:pPr>
      <w:bookmarkStart w:id="197" w:name="_Toc19101915"/>
      <w:r w:rsidRPr="00181EF3">
        <w:t xml:space="preserve">Figure </w:t>
      </w:r>
      <w:r w:rsidR="00116847">
        <w:t>64</w:t>
      </w:r>
      <w:r w:rsidRPr="00181EF3">
        <w:t>: Pneumonia mortality</w:t>
      </w:r>
      <w:r w:rsidR="00116847">
        <w:t xml:space="preserve"> rates</w:t>
      </w:r>
      <w:r w:rsidRPr="00181EF3">
        <w:t>, all age</w:t>
      </w:r>
      <w:r w:rsidR="00116847">
        <w:t>,</w:t>
      </w:r>
      <w:r w:rsidR="00116847" w:rsidRPr="00116847">
        <w:t xml:space="preserve"> </w:t>
      </w:r>
      <w:r w:rsidR="00116847" w:rsidRPr="00181EF3">
        <w:t xml:space="preserve">Māori and </w:t>
      </w:r>
      <w:r w:rsidR="00EC03A3">
        <w:t>non</w:t>
      </w:r>
      <w:r w:rsidR="00EC03A3">
        <w:noBreakHyphen/>
        <w:t>M</w:t>
      </w:r>
      <w:r w:rsidR="00116847" w:rsidRPr="00181EF3">
        <w:t>āori</w:t>
      </w:r>
      <w:r w:rsidR="00116847">
        <w:t>,</w:t>
      </w:r>
      <w:r w:rsidR="00116847" w:rsidRPr="00181EF3">
        <w:t xml:space="preserve"> 1996–98 to 2012–14</w:t>
      </w:r>
      <w:bookmarkEnd w:id="197"/>
    </w:p>
    <w:p w14:paraId="1EE25808" w14:textId="77777777" w:rsidR="00A613D8" w:rsidRPr="00181EF3" w:rsidRDefault="00A613D8" w:rsidP="00590045">
      <w:pPr>
        <w:keepNext/>
      </w:pPr>
      <w:r w:rsidRPr="00181EF3">
        <w:rPr>
          <w:noProof/>
          <w:lang w:eastAsia="en-NZ"/>
        </w:rPr>
        <w:drawing>
          <wp:inline distT="0" distB="0" distL="0" distR="0" wp14:anchorId="2196347C" wp14:editId="6629B931">
            <wp:extent cx="5130165" cy="3058916"/>
            <wp:effectExtent l="0" t="0" r="0" b="8255"/>
            <wp:docPr id="466" name="Picture 466" descr="Māori die of pneumonia at higher rates than non-Māori. The rates for both dropped dramatically between 1996 and 2002, and have remained relatively steady since." title="Figure 64: Pneumonia mortality, all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130165" cy="3058916"/>
                    </a:xfrm>
                    <a:prstGeom prst="rect">
                      <a:avLst/>
                    </a:prstGeom>
                  </pic:spPr>
                </pic:pic>
              </a:graphicData>
            </a:graphic>
          </wp:inline>
        </w:drawing>
      </w:r>
    </w:p>
    <w:p w14:paraId="6C58008C" w14:textId="77777777" w:rsidR="00116847" w:rsidRPr="00116847" w:rsidRDefault="00116847" w:rsidP="00B6364B">
      <w:pPr>
        <w:pStyle w:val="Note"/>
        <w:ind w:left="0" w:firstLine="0"/>
      </w:pPr>
      <w:r w:rsidRPr="00116847">
        <w:t>Notes:</w:t>
      </w:r>
    </w:p>
    <w:p w14:paraId="1D732BD0" w14:textId="1AA8709E" w:rsidR="008A5642" w:rsidRDefault="00446D86" w:rsidP="00B6364B">
      <w:pPr>
        <w:pStyle w:val="Note"/>
        <w:ind w:left="0" w:firstLine="0"/>
      </w:pPr>
      <w:r>
        <w:t>Figures are age-standardised to the 2001 Census total Māori population</w:t>
      </w:r>
      <w:r w:rsidR="00116847" w:rsidRPr="00116847">
        <w:t>.</w:t>
      </w:r>
    </w:p>
    <w:p w14:paraId="088B201D" w14:textId="704EE34E" w:rsidR="00116847" w:rsidRPr="00116847" w:rsidRDefault="00116847" w:rsidP="00B6364B">
      <w:pPr>
        <w:pStyle w:val="Note"/>
        <w:ind w:left="0" w:firstLine="0"/>
      </w:pPr>
      <w:r w:rsidRPr="00116847">
        <w:t>Prioritised ethnicity has been used.</w:t>
      </w:r>
    </w:p>
    <w:p w14:paraId="39130DFE" w14:textId="77777777" w:rsidR="008A5642" w:rsidRDefault="00116847" w:rsidP="00B6364B">
      <w:pPr>
        <w:pStyle w:val="Note"/>
        <w:ind w:left="0" w:firstLine="0"/>
      </w:pPr>
      <w:r w:rsidRPr="00116847">
        <w:t>If the confidence intervals of two rates do not overlap, the difference in rates is said to be statistically significant.</w:t>
      </w:r>
    </w:p>
    <w:p w14:paraId="46D6BEC0" w14:textId="6664836E" w:rsidR="00654B21" w:rsidRPr="00181EF3" w:rsidRDefault="00116847" w:rsidP="00B6364B">
      <w:pPr>
        <w:pStyle w:val="Note"/>
        <w:ind w:left="0" w:firstLine="0"/>
        <w:rPr>
          <w:noProof/>
          <w:lang w:eastAsia="en-NZ"/>
        </w:rPr>
      </w:pPr>
      <w:r w:rsidRPr="00116847">
        <w:t>Source: Mortality Collection Data Set (MORT), Ministry of Health, 1996–98 to 2012–14.</w:t>
      </w:r>
    </w:p>
    <w:p w14:paraId="37609B79" w14:textId="77777777" w:rsidR="00116847" w:rsidRDefault="00116847" w:rsidP="00116847"/>
    <w:p w14:paraId="103954FD" w14:textId="565B6227" w:rsidR="00116847" w:rsidRPr="00181EF3" w:rsidRDefault="00116847" w:rsidP="00116847">
      <w:r w:rsidRPr="00181EF3">
        <w:t xml:space="preserve">Figure </w:t>
      </w:r>
      <w:r>
        <w:t>64</w:t>
      </w:r>
      <w:r w:rsidRPr="00181EF3">
        <w:t xml:space="preserve"> shows that there has been a decrease over time in deaths from pneumonia for Māori. From 1996–98 to 2012–14 there was a decrease of 54 percent (from 7.8</w:t>
      </w:r>
      <w:r w:rsidR="00590045">
        <w:t> </w:t>
      </w:r>
      <w:r w:rsidRPr="00181EF3">
        <w:t xml:space="preserve">deaths per 100,000 people to 3.6 deaths per 100,000 people). Māori are more likely than </w:t>
      </w:r>
      <w:r w:rsidR="00EC03A3">
        <w:t>non</w:t>
      </w:r>
      <w:r w:rsidR="00EC03A3">
        <w:noBreakHyphen/>
        <w:t>M</w:t>
      </w:r>
      <w:r w:rsidRPr="00181EF3">
        <w:t xml:space="preserve">āori to die from pneumonia and this disparity changed little over time. In 2012–14, Māori were over 1½ times as likely as </w:t>
      </w:r>
      <w:r w:rsidR="00EC03A3">
        <w:t>non</w:t>
      </w:r>
      <w:r w:rsidR="00EC03A3">
        <w:noBreakHyphen/>
        <w:t>M</w:t>
      </w:r>
      <w:r w:rsidRPr="00181EF3">
        <w:t>āori to die from pneumonia.</w:t>
      </w:r>
    </w:p>
    <w:p w14:paraId="027E3432" w14:textId="77777777" w:rsidR="00DC0539" w:rsidRPr="00181EF3" w:rsidRDefault="00DC0539" w:rsidP="00DC0539"/>
    <w:p w14:paraId="6069AD29" w14:textId="77777777" w:rsidR="00764DE1" w:rsidRPr="00181EF3" w:rsidRDefault="00764DE1" w:rsidP="00590045">
      <w:pPr>
        <w:pStyle w:val="Heading2"/>
        <w:pageBreakBefore/>
        <w:spacing w:before="0"/>
        <w:rPr>
          <w:noProof/>
          <w:lang w:eastAsia="en-NZ"/>
        </w:rPr>
      </w:pPr>
      <w:bookmarkStart w:id="198" w:name="_Toc14718624"/>
      <w:bookmarkStart w:id="199" w:name="_Toc14775047"/>
      <w:bookmarkStart w:id="200" w:name="_Toc19102358"/>
      <w:bookmarkStart w:id="201" w:name="_Toc311786223"/>
      <w:r w:rsidRPr="00181EF3">
        <w:rPr>
          <w:noProof/>
          <w:lang w:eastAsia="en-NZ"/>
        </w:rPr>
        <w:lastRenderedPageBreak/>
        <w:t>Diabetes</w:t>
      </w:r>
      <w:bookmarkEnd w:id="198"/>
      <w:bookmarkEnd w:id="199"/>
      <w:bookmarkEnd w:id="200"/>
    </w:p>
    <w:p w14:paraId="5124F46E" w14:textId="19AE624A" w:rsidR="00764DE1" w:rsidRPr="00181EF3" w:rsidRDefault="00764DE1" w:rsidP="00764DE1">
      <w:r w:rsidRPr="00181EF3">
        <w:rPr>
          <w:noProof/>
          <w:lang w:eastAsia="en-NZ"/>
        </w:rPr>
        <w:t xml:space="preserve">This </w:t>
      </w:r>
      <w:r>
        <w:rPr>
          <w:noProof/>
          <w:lang w:eastAsia="en-NZ"/>
        </w:rPr>
        <w:t>section</w:t>
      </w:r>
      <w:r w:rsidRPr="00181EF3">
        <w:rPr>
          <w:noProof/>
          <w:lang w:eastAsia="en-NZ"/>
        </w:rPr>
        <w:t xml:space="preserve"> presents diabetes prevalence and age-standardised rates of diabetes complications over time</w:t>
      </w:r>
      <w:r w:rsidRPr="00181EF3">
        <w:t xml:space="preserve">, for Māori and </w:t>
      </w:r>
      <w:r w:rsidR="00EC03A3">
        <w:t>non</w:t>
      </w:r>
      <w:r w:rsidR="00EC03A3">
        <w:noBreakHyphen/>
        <w:t>M</w:t>
      </w:r>
      <w:r w:rsidRPr="00181EF3">
        <w:t>āori adults aged 15 years and over.</w:t>
      </w:r>
    </w:p>
    <w:p w14:paraId="11C20771" w14:textId="77777777" w:rsidR="00764DE1" w:rsidRPr="00181EF3" w:rsidRDefault="00764DE1" w:rsidP="00764DE1"/>
    <w:p w14:paraId="5BA4279B" w14:textId="77777777" w:rsidR="00764DE1" w:rsidRPr="00181EF3" w:rsidRDefault="00764DE1" w:rsidP="00892068">
      <w:pPr>
        <w:pStyle w:val="Heading3"/>
      </w:pPr>
      <w:bookmarkStart w:id="202" w:name="_Toc19102359"/>
      <w:r w:rsidRPr="00181EF3">
        <w:t>What is the data telling us?</w:t>
      </w:r>
      <w:bookmarkEnd w:id="202"/>
    </w:p>
    <w:p w14:paraId="43904FEF" w14:textId="77777777" w:rsidR="00764DE1" w:rsidRPr="00181EF3" w:rsidRDefault="00764DE1" w:rsidP="00764DE1">
      <w:pPr>
        <w:pStyle w:val="Shadedboxheading"/>
      </w:pPr>
      <w:r w:rsidRPr="00181EF3">
        <w:t>Diabetes prevalence</w:t>
      </w:r>
    </w:p>
    <w:p w14:paraId="12574983" w14:textId="33D30923" w:rsidR="00764DE1" w:rsidRPr="00181EF3" w:rsidRDefault="00764DE1" w:rsidP="00764DE1">
      <w:pPr>
        <w:pStyle w:val="Shadedboxbullet"/>
        <w:ind w:left="568" w:hanging="284"/>
      </w:pPr>
      <w:r w:rsidRPr="00181EF3">
        <w:t xml:space="preserve">Māori adults aged 15 years and over have higher prevalence of reporting they have been diagnosed with diabetes than </w:t>
      </w:r>
      <w:r w:rsidR="00EC03A3">
        <w:t>non</w:t>
      </w:r>
      <w:r w:rsidR="00EC03A3">
        <w:noBreakHyphen/>
        <w:t>M</w:t>
      </w:r>
      <w:r w:rsidRPr="00181EF3">
        <w:t>āori adults.</w:t>
      </w:r>
    </w:p>
    <w:p w14:paraId="39ABD738" w14:textId="7FEED98F" w:rsidR="00764DE1" w:rsidRPr="00181EF3" w:rsidRDefault="00764DE1" w:rsidP="00764DE1">
      <w:pPr>
        <w:pStyle w:val="Shadedboxbullet"/>
        <w:ind w:left="568" w:hanging="284"/>
      </w:pPr>
      <w:r w:rsidRPr="00181EF3">
        <w:t xml:space="preserve">Males have a higher prevalence of diabetes than females among both Māori and </w:t>
      </w:r>
      <w:r w:rsidR="00EC03A3">
        <w:t>non</w:t>
      </w:r>
      <w:r w:rsidR="00EC03A3">
        <w:noBreakHyphen/>
        <w:t>M</w:t>
      </w:r>
      <w:r w:rsidRPr="00181EF3">
        <w:t>āori.</w:t>
      </w:r>
    </w:p>
    <w:p w14:paraId="106C54C4" w14:textId="43D3D343" w:rsidR="00764DE1" w:rsidRPr="00181EF3" w:rsidRDefault="00764DE1" w:rsidP="00764DE1">
      <w:pPr>
        <w:pStyle w:val="Shadedboxbullet"/>
        <w:ind w:left="568" w:hanging="284"/>
      </w:pPr>
      <w:r w:rsidRPr="00181EF3">
        <w:t xml:space="preserve">Self-reported diabetes prevalence has not changed significantly for both Māori and </w:t>
      </w:r>
      <w:r w:rsidR="00EC03A3">
        <w:t>non</w:t>
      </w:r>
      <w:r w:rsidR="00EC03A3">
        <w:noBreakHyphen/>
        <w:t>M</w:t>
      </w:r>
      <w:r w:rsidRPr="00181EF3">
        <w:t>āori adults between 2006/07 and 2016/17.</w:t>
      </w:r>
    </w:p>
    <w:p w14:paraId="26FC9961" w14:textId="67A7E8A6" w:rsidR="00764DE1" w:rsidRPr="00181EF3" w:rsidRDefault="00764DE1" w:rsidP="00764DE1">
      <w:pPr>
        <w:pStyle w:val="Shadedboxbullet"/>
        <w:ind w:left="568" w:hanging="284"/>
      </w:pPr>
      <w:r w:rsidRPr="00181EF3">
        <w:t xml:space="preserve">The self-reported diabetes prevalence among Māori adults was about twice that of </w:t>
      </w:r>
      <w:r w:rsidR="00EC03A3">
        <w:t>non</w:t>
      </w:r>
      <w:r w:rsidR="00EC03A3">
        <w:noBreakHyphen/>
        <w:t>M</w:t>
      </w:r>
      <w:r w:rsidRPr="00181EF3">
        <w:t>āori adults during this period.</w:t>
      </w:r>
    </w:p>
    <w:p w14:paraId="4394DE3A" w14:textId="77777777" w:rsidR="00764DE1" w:rsidRPr="00181EF3" w:rsidRDefault="00764DE1" w:rsidP="00764DE1">
      <w:pPr>
        <w:pStyle w:val="Shadedboxheading"/>
      </w:pPr>
      <w:r w:rsidRPr="00181EF3">
        <w:t>Diabetes complications</w:t>
      </w:r>
    </w:p>
    <w:p w14:paraId="411E358E" w14:textId="0837354A" w:rsidR="00764DE1" w:rsidRPr="00181EF3" w:rsidRDefault="00764DE1" w:rsidP="00764DE1">
      <w:pPr>
        <w:pStyle w:val="Shadedboxbullet"/>
        <w:ind w:left="568" w:hanging="284"/>
      </w:pPr>
      <w:r w:rsidRPr="00181EF3">
        <w:t xml:space="preserve">Māori adults aged 15 years and over had higher rates of diabetes complications than </w:t>
      </w:r>
      <w:r w:rsidR="00EC03A3">
        <w:t>non</w:t>
      </w:r>
      <w:r w:rsidR="00EC03A3">
        <w:noBreakHyphen/>
        <w:t>M</w:t>
      </w:r>
      <w:r w:rsidRPr="00181EF3">
        <w:t>āori adults over time.</w:t>
      </w:r>
    </w:p>
    <w:p w14:paraId="3EF9644C" w14:textId="3CFDA588" w:rsidR="00764DE1" w:rsidRPr="00181EF3" w:rsidRDefault="00764DE1" w:rsidP="00764DE1">
      <w:pPr>
        <w:pStyle w:val="Shadedboxbullet"/>
        <w:ind w:left="568" w:hanging="284"/>
      </w:pPr>
      <w:r w:rsidRPr="00181EF3">
        <w:t xml:space="preserve">Males have higher rates of diabetes complications than females among both Māori and </w:t>
      </w:r>
      <w:r w:rsidR="00EC03A3">
        <w:t>non</w:t>
      </w:r>
      <w:r w:rsidR="00EC03A3">
        <w:noBreakHyphen/>
        <w:t>M</w:t>
      </w:r>
      <w:r w:rsidRPr="00181EF3">
        <w:t>āori.</w:t>
      </w:r>
    </w:p>
    <w:p w14:paraId="00899E0A" w14:textId="77777777" w:rsidR="00764DE1" w:rsidRPr="00181EF3" w:rsidRDefault="00764DE1" w:rsidP="00C12AA5"/>
    <w:p w14:paraId="3A80A4B9" w14:textId="77777777" w:rsidR="00764DE1" w:rsidRPr="00181EF3" w:rsidRDefault="00764DE1" w:rsidP="00892068">
      <w:pPr>
        <w:pStyle w:val="Heading3"/>
      </w:pPr>
      <w:bookmarkStart w:id="203" w:name="_Toc19102360"/>
      <w:r w:rsidRPr="00181EF3">
        <w:lastRenderedPageBreak/>
        <w:t>Prevalence of diagnosed diabetes</w:t>
      </w:r>
      <w:bookmarkEnd w:id="203"/>
    </w:p>
    <w:p w14:paraId="743C24CC" w14:textId="255B24A4" w:rsidR="00764DE1" w:rsidRPr="00181EF3" w:rsidRDefault="00764DE1" w:rsidP="00764DE1">
      <w:pPr>
        <w:pStyle w:val="Figure"/>
      </w:pPr>
      <w:bookmarkStart w:id="204" w:name="_Toc19101916"/>
      <w:r w:rsidRPr="00181EF3">
        <w:t xml:space="preserve">Figure </w:t>
      </w:r>
      <w:r w:rsidR="00892068">
        <w:t>65</w:t>
      </w:r>
      <w:r w:rsidRPr="00181EF3">
        <w:t xml:space="preserve">: Diabetes diagnosed by doctors, </w:t>
      </w:r>
      <w:r w:rsidR="00892068">
        <w:t>15+ years</w:t>
      </w:r>
      <w:r w:rsidRPr="00181EF3">
        <w:t xml:space="preserve">, </w:t>
      </w:r>
      <w:r w:rsidR="00892068" w:rsidRPr="00181EF3">
        <w:t xml:space="preserve">by </w:t>
      </w:r>
      <w:r w:rsidR="00892068">
        <w:t>gender</w:t>
      </w:r>
      <w:r w:rsidR="00892068" w:rsidRPr="00181EF3">
        <w:t xml:space="preserve">, </w:t>
      </w:r>
      <w:r w:rsidR="00892068">
        <w:t xml:space="preserve">Māori and </w:t>
      </w:r>
      <w:r w:rsidR="00EC03A3">
        <w:t>non</w:t>
      </w:r>
      <w:r w:rsidR="00EC03A3">
        <w:noBreakHyphen/>
        <w:t>M</w:t>
      </w:r>
      <w:r w:rsidR="00892068">
        <w:t>āori</w:t>
      </w:r>
      <w:r w:rsidR="00892068" w:rsidRPr="00181EF3">
        <w:t>,</w:t>
      </w:r>
      <w:r w:rsidR="00892068">
        <w:t xml:space="preserve"> </w:t>
      </w:r>
      <w:r w:rsidR="00892068" w:rsidRPr="00181EF3">
        <w:t>2006/07–2016/17</w:t>
      </w:r>
      <w:bookmarkEnd w:id="204"/>
    </w:p>
    <w:p w14:paraId="425C9860" w14:textId="77777777" w:rsidR="00764DE1" w:rsidRPr="00181EF3" w:rsidRDefault="00764DE1" w:rsidP="00C12AA5">
      <w:pPr>
        <w:keepNext/>
      </w:pPr>
      <w:r w:rsidRPr="00181EF3">
        <w:rPr>
          <w:noProof/>
          <w:lang w:eastAsia="en-NZ"/>
        </w:rPr>
        <w:drawing>
          <wp:inline distT="0" distB="0" distL="0" distR="0" wp14:anchorId="2DB6D1DB" wp14:editId="63858D6B">
            <wp:extent cx="5130165" cy="2613315"/>
            <wp:effectExtent l="0" t="0" r="0" b="0"/>
            <wp:docPr id="21" name="Picture 21" descr="Māori of both genders are more likely to be diagnosed with diabetes than non-Māori. Rates for all groups have fluctuated over time." title="Figure 65: Diabetes diagnosed by doctors, age-standardised percentages (%), by sex, 2006/07–2016/17 –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130165" cy="2613315"/>
                    </a:xfrm>
                    <a:prstGeom prst="rect">
                      <a:avLst/>
                    </a:prstGeom>
                  </pic:spPr>
                </pic:pic>
              </a:graphicData>
            </a:graphic>
          </wp:inline>
        </w:drawing>
      </w:r>
    </w:p>
    <w:p w14:paraId="20501066" w14:textId="77777777" w:rsidR="008A5642" w:rsidRDefault="00892068" w:rsidP="00B6364B">
      <w:pPr>
        <w:pStyle w:val="Note"/>
        <w:ind w:left="0" w:firstLine="0"/>
        <w:rPr>
          <w:rFonts w:eastAsia="Calibri"/>
        </w:rPr>
      </w:pPr>
      <w:bookmarkStart w:id="205" w:name="_Hlk17023069"/>
      <w:r w:rsidRPr="00892068">
        <w:rPr>
          <w:rFonts w:eastAsia="Calibri"/>
        </w:rPr>
        <w:t>Notes:</w:t>
      </w:r>
    </w:p>
    <w:p w14:paraId="0682CD88" w14:textId="3AFEE039" w:rsidR="008A5642" w:rsidRDefault="00446D86" w:rsidP="00B6364B">
      <w:pPr>
        <w:pStyle w:val="Note"/>
        <w:ind w:left="0" w:firstLine="0"/>
        <w:rPr>
          <w:rFonts w:eastAsia="Calibri"/>
        </w:rPr>
      </w:pPr>
      <w:r>
        <w:rPr>
          <w:rFonts w:eastAsia="Calibri"/>
        </w:rPr>
        <w:t>Figures are age-standardised to the 2001 Census total Māori population</w:t>
      </w:r>
      <w:r w:rsidR="00892068" w:rsidRPr="00892068">
        <w:rPr>
          <w:rFonts w:eastAsia="Calibri"/>
        </w:rPr>
        <w:t>.</w:t>
      </w:r>
    </w:p>
    <w:p w14:paraId="60AF1F56" w14:textId="3A91CD6E" w:rsidR="00892068" w:rsidRPr="00892068" w:rsidRDefault="00892068" w:rsidP="00B6364B">
      <w:pPr>
        <w:pStyle w:val="Note"/>
        <w:ind w:left="0" w:firstLine="0"/>
        <w:rPr>
          <w:rFonts w:eastAsia="Calibri"/>
        </w:rPr>
      </w:pPr>
      <w:r w:rsidRPr="00892068">
        <w:rPr>
          <w:rFonts w:eastAsia="Calibri"/>
        </w:rPr>
        <w:t>Prioritised ethnicity has been used.</w:t>
      </w:r>
    </w:p>
    <w:p w14:paraId="7E7C3CB0" w14:textId="77777777" w:rsidR="008A5642" w:rsidRDefault="00892068" w:rsidP="00B6364B">
      <w:pPr>
        <w:pStyle w:val="Note"/>
        <w:ind w:left="0" w:firstLine="0"/>
        <w:rPr>
          <w:rFonts w:eastAsia="Calibri"/>
        </w:rPr>
      </w:pPr>
      <w:r w:rsidRPr="00892068">
        <w:rPr>
          <w:rFonts w:eastAsia="Calibri"/>
        </w:rPr>
        <w:t>If the confidence intervals of two rates do not overlap, the difference in rates is said to be statistically significant.</w:t>
      </w:r>
    </w:p>
    <w:p w14:paraId="1DF8E7D7" w14:textId="63138257" w:rsidR="00764DE1" w:rsidRPr="00181EF3" w:rsidRDefault="00892068" w:rsidP="00B6364B">
      <w:pPr>
        <w:pStyle w:val="Note"/>
        <w:ind w:left="0" w:firstLine="0"/>
      </w:pPr>
      <w:r w:rsidRPr="00892068">
        <w:rPr>
          <w:rFonts w:eastAsia="Calibri"/>
        </w:rPr>
        <w:t xml:space="preserve">Source: </w:t>
      </w:r>
      <w:r w:rsidR="009116B8">
        <w:rPr>
          <w:rFonts w:eastAsia="Calibri"/>
        </w:rPr>
        <w:t>New Zealand Health Survey (NZHS), Ministry of Health, 2006/07–2016/17.</w:t>
      </w:r>
      <w:bookmarkEnd w:id="205"/>
    </w:p>
    <w:p w14:paraId="70E2EC3C" w14:textId="77777777" w:rsidR="00892068" w:rsidRDefault="00892068" w:rsidP="00892068"/>
    <w:p w14:paraId="4C8D9E6D" w14:textId="7A7D974C" w:rsidR="00892068" w:rsidRPr="00181EF3" w:rsidRDefault="00892068" w:rsidP="00892068">
      <w:r w:rsidRPr="00181EF3">
        <w:t xml:space="preserve">Māori adults are more likely than </w:t>
      </w:r>
      <w:r w:rsidR="00EC03A3">
        <w:t>non</w:t>
      </w:r>
      <w:r w:rsidR="00EC03A3">
        <w:noBreakHyphen/>
        <w:t>M</w:t>
      </w:r>
      <w:r w:rsidRPr="00181EF3">
        <w:t>āori adults to report being diagnosed with diabetes by a doctor, after adjusting for age.</w:t>
      </w:r>
    </w:p>
    <w:p w14:paraId="70039356" w14:textId="77777777" w:rsidR="00892068" w:rsidRPr="00181EF3" w:rsidRDefault="00892068" w:rsidP="00892068"/>
    <w:p w14:paraId="54383EFB" w14:textId="1F82E6BA" w:rsidR="00892068" w:rsidRPr="00181EF3" w:rsidRDefault="00892068" w:rsidP="00892068">
      <w:r w:rsidRPr="00181EF3">
        <w:t xml:space="preserve">Males have a higher prevalence of diabetes than females among both Māori and </w:t>
      </w:r>
      <w:r w:rsidR="00EC03A3">
        <w:t>non</w:t>
      </w:r>
      <w:r w:rsidR="00EC03A3">
        <w:noBreakHyphen/>
        <w:t>M</w:t>
      </w:r>
      <w:r w:rsidRPr="00181EF3">
        <w:t xml:space="preserve">āori (Figure </w:t>
      </w:r>
      <w:r>
        <w:t>65</w:t>
      </w:r>
      <w:r w:rsidRPr="00181EF3">
        <w:t>), although the difference is not statistically significant.</w:t>
      </w:r>
    </w:p>
    <w:p w14:paraId="0CD4FD07" w14:textId="77777777" w:rsidR="00892068" w:rsidRPr="00181EF3" w:rsidRDefault="00892068" w:rsidP="00892068"/>
    <w:p w14:paraId="61FBA0DA" w14:textId="54CAAD0A" w:rsidR="00764DE1" w:rsidRPr="00181EF3" w:rsidRDefault="00764DE1" w:rsidP="00764DE1">
      <w:r w:rsidRPr="00181EF3">
        <w:t xml:space="preserve">There has been no significant change in the prevalence of diabetes over time among Māori and </w:t>
      </w:r>
      <w:r w:rsidR="00EC03A3">
        <w:t>non</w:t>
      </w:r>
      <w:r w:rsidR="00EC03A3">
        <w:noBreakHyphen/>
        <w:t>M</w:t>
      </w:r>
      <w:r w:rsidRPr="00181EF3">
        <w:t xml:space="preserve">āori males and females. The self-reported prevalence of diabetes among Māori remained about twice that of </w:t>
      </w:r>
      <w:r w:rsidR="00EC03A3">
        <w:t>non</w:t>
      </w:r>
      <w:r w:rsidR="00EC03A3">
        <w:noBreakHyphen/>
        <w:t>M</w:t>
      </w:r>
      <w:r w:rsidRPr="00181EF3">
        <w:t>āori between 2006/07 and 2016/17.</w:t>
      </w:r>
    </w:p>
    <w:p w14:paraId="0D56A497" w14:textId="77777777" w:rsidR="00764DE1" w:rsidRPr="00181EF3" w:rsidRDefault="00764DE1" w:rsidP="00764DE1"/>
    <w:p w14:paraId="4FF4DCB7" w14:textId="77777777" w:rsidR="00764DE1" w:rsidRPr="00181EF3" w:rsidRDefault="00764DE1" w:rsidP="00892068">
      <w:pPr>
        <w:pStyle w:val="Heading3"/>
      </w:pPr>
      <w:bookmarkStart w:id="206" w:name="_Toc19102361"/>
      <w:r w:rsidRPr="00181EF3">
        <w:lastRenderedPageBreak/>
        <w:t>Type 2 diabetes (diagnosed after 25 years of age)</w:t>
      </w:r>
      <w:bookmarkEnd w:id="206"/>
    </w:p>
    <w:p w14:paraId="7FC44A98" w14:textId="580D0D1A" w:rsidR="00764DE1" w:rsidRPr="00181EF3" w:rsidRDefault="00764DE1" w:rsidP="00764DE1">
      <w:pPr>
        <w:pStyle w:val="Figure"/>
        <w:rPr>
          <w:noProof/>
          <w:lang w:eastAsia="en-NZ"/>
        </w:rPr>
      </w:pPr>
      <w:bookmarkStart w:id="207" w:name="_Toc19101917"/>
      <w:r w:rsidRPr="00181EF3">
        <w:rPr>
          <w:noProof/>
          <w:lang w:eastAsia="en-NZ"/>
        </w:rPr>
        <w:t xml:space="preserve">Figure </w:t>
      </w:r>
      <w:r w:rsidR="00892068">
        <w:rPr>
          <w:noProof/>
          <w:lang w:eastAsia="en-NZ"/>
        </w:rPr>
        <w:t>66</w:t>
      </w:r>
      <w:r w:rsidRPr="00181EF3">
        <w:rPr>
          <w:noProof/>
          <w:lang w:eastAsia="en-NZ"/>
        </w:rPr>
        <w:t>: Type 2 diabetes (diagnosed after 25 years of age)</w:t>
      </w:r>
      <w:r w:rsidR="00892068" w:rsidRPr="00181EF3">
        <w:t xml:space="preserve">, </w:t>
      </w:r>
      <w:r w:rsidR="00892068">
        <w:t>15+ years</w:t>
      </w:r>
      <w:r w:rsidR="00892068" w:rsidRPr="00181EF3">
        <w:t xml:space="preserve">, by </w:t>
      </w:r>
      <w:r w:rsidR="00892068">
        <w:t>gender</w:t>
      </w:r>
      <w:r w:rsidR="00892068" w:rsidRPr="00181EF3">
        <w:t xml:space="preserve">, </w:t>
      </w:r>
      <w:r w:rsidR="00892068">
        <w:t xml:space="preserve">Māori and </w:t>
      </w:r>
      <w:r w:rsidR="00EC03A3">
        <w:t>non</w:t>
      </w:r>
      <w:r w:rsidR="00EC03A3">
        <w:noBreakHyphen/>
        <w:t>M</w:t>
      </w:r>
      <w:r w:rsidR="00892068">
        <w:t>āori</w:t>
      </w:r>
      <w:r w:rsidR="00892068" w:rsidRPr="00181EF3">
        <w:t>,</w:t>
      </w:r>
      <w:r w:rsidR="00892068">
        <w:t xml:space="preserve"> </w:t>
      </w:r>
      <w:r w:rsidR="00892068" w:rsidRPr="00181EF3">
        <w:t>2006/07–2016/17</w:t>
      </w:r>
      <w:bookmarkEnd w:id="207"/>
    </w:p>
    <w:p w14:paraId="286E9B90" w14:textId="77777777" w:rsidR="00764DE1" w:rsidRPr="00181EF3" w:rsidRDefault="00764DE1" w:rsidP="00C12AA5">
      <w:pPr>
        <w:keepNext/>
        <w:rPr>
          <w:lang w:eastAsia="en-NZ"/>
        </w:rPr>
      </w:pPr>
      <w:r w:rsidRPr="00181EF3">
        <w:rPr>
          <w:noProof/>
          <w:lang w:eastAsia="en-NZ"/>
        </w:rPr>
        <w:drawing>
          <wp:inline distT="0" distB="0" distL="0" distR="0" wp14:anchorId="0C3A4642" wp14:editId="0092F7F5">
            <wp:extent cx="5130165" cy="2613315"/>
            <wp:effectExtent l="0" t="0" r="0" b="0"/>
            <wp:docPr id="22" name="Picture 22" descr="Māori men are diagnosed with type 2 diabetes at a higher rate than any other group, followed by Māori women, non-Māori men and non-Māori women. Rates for all groups have fluctuated over time." title="Figure 66: Type 2 diabetes (diagnosed after 25 years of age), age-standardised percentages (%), by sex, 2006–07–2016/17 –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130165" cy="2613315"/>
                    </a:xfrm>
                    <a:prstGeom prst="rect">
                      <a:avLst/>
                    </a:prstGeom>
                  </pic:spPr>
                </pic:pic>
              </a:graphicData>
            </a:graphic>
          </wp:inline>
        </w:drawing>
      </w:r>
    </w:p>
    <w:p w14:paraId="19C551DE" w14:textId="77777777" w:rsidR="008A5642" w:rsidRDefault="00892068" w:rsidP="00B6364B">
      <w:pPr>
        <w:pStyle w:val="Note"/>
        <w:ind w:left="0" w:firstLine="0"/>
        <w:rPr>
          <w:rFonts w:eastAsia="Calibri"/>
        </w:rPr>
      </w:pPr>
      <w:r w:rsidRPr="00892068">
        <w:rPr>
          <w:rFonts w:eastAsia="Calibri"/>
        </w:rPr>
        <w:t>Notes:</w:t>
      </w:r>
    </w:p>
    <w:p w14:paraId="25095167" w14:textId="3AECAFAA" w:rsidR="008A5642" w:rsidRDefault="00446D86" w:rsidP="00B6364B">
      <w:pPr>
        <w:pStyle w:val="Note"/>
        <w:ind w:left="0" w:firstLine="0"/>
        <w:rPr>
          <w:rFonts w:eastAsia="Calibri"/>
        </w:rPr>
      </w:pPr>
      <w:r>
        <w:rPr>
          <w:rFonts w:eastAsia="Calibri"/>
        </w:rPr>
        <w:t>Figures are age-standardised to the 2001 Census total Māori population</w:t>
      </w:r>
      <w:r w:rsidR="00892068" w:rsidRPr="00892068">
        <w:rPr>
          <w:rFonts w:eastAsia="Calibri"/>
        </w:rPr>
        <w:t>.</w:t>
      </w:r>
    </w:p>
    <w:p w14:paraId="431DC8FB" w14:textId="41E26353" w:rsidR="00892068" w:rsidRPr="00892068" w:rsidRDefault="00892068" w:rsidP="00B6364B">
      <w:pPr>
        <w:pStyle w:val="Note"/>
        <w:ind w:left="0" w:firstLine="0"/>
        <w:rPr>
          <w:rFonts w:eastAsia="Calibri"/>
        </w:rPr>
      </w:pPr>
      <w:r w:rsidRPr="00892068">
        <w:rPr>
          <w:rFonts w:eastAsia="Calibri"/>
        </w:rPr>
        <w:t>Prioritised ethnicity has been used.</w:t>
      </w:r>
    </w:p>
    <w:p w14:paraId="08D2B05D" w14:textId="77777777" w:rsidR="008A5642" w:rsidRDefault="00892068" w:rsidP="00B6364B">
      <w:pPr>
        <w:pStyle w:val="Note"/>
        <w:ind w:left="0" w:firstLine="0"/>
        <w:rPr>
          <w:rFonts w:eastAsia="Calibri"/>
        </w:rPr>
      </w:pPr>
      <w:r w:rsidRPr="00892068">
        <w:rPr>
          <w:rFonts w:eastAsia="Calibri"/>
        </w:rPr>
        <w:t>If the confidence intervals of two rates do not overlap, the difference in rates is said to be statistically significant.</w:t>
      </w:r>
    </w:p>
    <w:p w14:paraId="5EFD7309" w14:textId="7184A59F" w:rsidR="00892068" w:rsidRPr="00181EF3" w:rsidRDefault="00892068" w:rsidP="00B6364B">
      <w:pPr>
        <w:pStyle w:val="Note"/>
        <w:ind w:left="0" w:firstLine="0"/>
      </w:pPr>
      <w:r w:rsidRPr="00892068">
        <w:rPr>
          <w:rFonts w:eastAsia="Calibri"/>
        </w:rPr>
        <w:t xml:space="preserve">Source: </w:t>
      </w:r>
      <w:r w:rsidR="009116B8">
        <w:rPr>
          <w:rFonts w:eastAsia="Calibri"/>
        </w:rPr>
        <w:t>New Zealand Health Survey (NZHS), Ministry of Health, 2006/07–2016/17.</w:t>
      </w:r>
    </w:p>
    <w:p w14:paraId="3C32FD08" w14:textId="77777777" w:rsidR="00764DE1" w:rsidRPr="00181EF3" w:rsidRDefault="00764DE1" w:rsidP="00764DE1">
      <w:pPr>
        <w:rPr>
          <w:noProof/>
          <w:lang w:eastAsia="en-NZ"/>
        </w:rPr>
      </w:pPr>
    </w:p>
    <w:p w14:paraId="0B21F0CE" w14:textId="650052F2" w:rsidR="00892068" w:rsidRPr="00181EF3" w:rsidRDefault="00892068" w:rsidP="00C12AA5">
      <w:pPr>
        <w:rPr>
          <w:noProof/>
          <w:color w:val="000000" w:themeColor="text1"/>
          <w:lang w:eastAsia="en-NZ"/>
        </w:rPr>
      </w:pPr>
      <w:r w:rsidRPr="00181EF3">
        <w:t xml:space="preserve">Type 2 diabetes is defined as diabetes diagnosed after 25 years of age. Māori adults have a higher self-reported prevalence of type 2 diabetes than </w:t>
      </w:r>
      <w:r w:rsidR="00EC03A3">
        <w:t>non</w:t>
      </w:r>
      <w:r w:rsidR="00EC03A3">
        <w:noBreakHyphen/>
        <w:t>M</w:t>
      </w:r>
      <w:r w:rsidRPr="00181EF3">
        <w:t xml:space="preserve">āori after adjusting for age. </w:t>
      </w:r>
      <w:r w:rsidRPr="00181EF3">
        <w:rPr>
          <w:noProof/>
          <w:color w:val="000000" w:themeColor="text1"/>
          <w:lang w:eastAsia="en-NZ"/>
        </w:rPr>
        <w:t>Using self-reported diabetes as a measure underestimates the true prevalence, because some people living with type 2 diabetes have not yet been diagnosed.</w:t>
      </w:r>
    </w:p>
    <w:p w14:paraId="301FBA98" w14:textId="77777777" w:rsidR="00892068" w:rsidRPr="00181EF3" w:rsidRDefault="00892068" w:rsidP="00C12AA5">
      <w:pPr>
        <w:rPr>
          <w:noProof/>
          <w:color w:val="000000" w:themeColor="text1"/>
          <w:lang w:eastAsia="en-NZ"/>
        </w:rPr>
      </w:pPr>
    </w:p>
    <w:p w14:paraId="4C46360E" w14:textId="03B12863" w:rsidR="00892068" w:rsidRPr="00181EF3" w:rsidRDefault="00892068" w:rsidP="00C12AA5">
      <w:r w:rsidRPr="00181EF3">
        <w:t xml:space="preserve">Males have a higher prevalence of type 2 diabetes than females among both Māori and </w:t>
      </w:r>
      <w:r w:rsidR="00EC03A3">
        <w:t>non</w:t>
      </w:r>
      <w:r w:rsidR="00EC03A3">
        <w:noBreakHyphen/>
        <w:t>M</w:t>
      </w:r>
      <w:r w:rsidRPr="00181EF3">
        <w:t xml:space="preserve">āori (Figure </w:t>
      </w:r>
      <w:r>
        <w:t>66</w:t>
      </w:r>
      <w:r w:rsidRPr="00181EF3">
        <w:t>).</w:t>
      </w:r>
    </w:p>
    <w:p w14:paraId="3C9492F3" w14:textId="77777777" w:rsidR="00892068" w:rsidRDefault="00892068" w:rsidP="00764DE1">
      <w:pPr>
        <w:rPr>
          <w:rFonts w:cs="Arial Mäori"/>
          <w:color w:val="000000"/>
        </w:rPr>
      </w:pPr>
    </w:p>
    <w:p w14:paraId="2AD64248" w14:textId="578822F1" w:rsidR="00764DE1" w:rsidRPr="00181EF3" w:rsidRDefault="00764DE1" w:rsidP="00764DE1">
      <w:pPr>
        <w:rPr>
          <w:noProof/>
          <w:lang w:eastAsia="en-NZ"/>
        </w:rPr>
      </w:pPr>
      <w:r w:rsidRPr="00181EF3">
        <w:rPr>
          <w:rFonts w:cs="Arial Mäori"/>
          <w:color w:val="000000"/>
        </w:rPr>
        <w:t xml:space="preserve">The prevalence of type 2 diabetes has not changed significantly over time for both Māori and </w:t>
      </w:r>
      <w:r w:rsidR="00EC03A3">
        <w:rPr>
          <w:rFonts w:cs="Arial Mäori"/>
          <w:color w:val="000000"/>
        </w:rPr>
        <w:t>non</w:t>
      </w:r>
      <w:r w:rsidR="00EC03A3">
        <w:rPr>
          <w:rFonts w:cs="Arial Mäori"/>
          <w:color w:val="000000"/>
        </w:rPr>
        <w:noBreakHyphen/>
        <w:t>M</w:t>
      </w:r>
      <w:r w:rsidRPr="00181EF3">
        <w:rPr>
          <w:rFonts w:cs="Arial Mäori"/>
          <w:color w:val="000000"/>
        </w:rPr>
        <w:t xml:space="preserve">āori </w:t>
      </w:r>
      <w:r w:rsidRPr="00181EF3">
        <w:rPr>
          <w:noProof/>
          <w:lang w:eastAsia="en-NZ"/>
        </w:rPr>
        <w:t xml:space="preserve">adults, and the difference between Māori and </w:t>
      </w:r>
      <w:r w:rsidR="00EC03A3">
        <w:rPr>
          <w:noProof/>
          <w:lang w:eastAsia="en-NZ"/>
        </w:rPr>
        <w:t>non</w:t>
      </w:r>
      <w:r w:rsidR="00EC03A3">
        <w:rPr>
          <w:noProof/>
          <w:lang w:eastAsia="en-NZ"/>
        </w:rPr>
        <w:noBreakHyphen/>
        <w:t>M</w:t>
      </w:r>
      <w:r w:rsidRPr="00181EF3">
        <w:rPr>
          <w:noProof/>
          <w:lang w:eastAsia="en-NZ"/>
        </w:rPr>
        <w:t xml:space="preserve">āori has also remained steady. The prevalence for Māori is about 3 percentage points higher, around twice the prevalence of </w:t>
      </w:r>
      <w:r w:rsidR="00EC03A3">
        <w:rPr>
          <w:noProof/>
          <w:lang w:eastAsia="en-NZ"/>
        </w:rPr>
        <w:t>non</w:t>
      </w:r>
      <w:r w:rsidR="00EC03A3">
        <w:rPr>
          <w:noProof/>
          <w:lang w:eastAsia="en-NZ"/>
        </w:rPr>
        <w:noBreakHyphen/>
        <w:t>M</w:t>
      </w:r>
      <w:r w:rsidRPr="00181EF3">
        <w:rPr>
          <w:noProof/>
          <w:lang w:eastAsia="en-NZ"/>
        </w:rPr>
        <w:t>āori.</w:t>
      </w:r>
    </w:p>
    <w:p w14:paraId="78B97B00" w14:textId="77777777" w:rsidR="00764DE1" w:rsidRPr="00181EF3" w:rsidRDefault="00764DE1" w:rsidP="00764DE1">
      <w:pPr>
        <w:rPr>
          <w:noProof/>
          <w:lang w:eastAsia="en-NZ"/>
        </w:rPr>
      </w:pPr>
    </w:p>
    <w:p w14:paraId="7EB0ADB3" w14:textId="77777777" w:rsidR="00764DE1" w:rsidRPr="00181EF3" w:rsidRDefault="00764DE1" w:rsidP="00C12AA5">
      <w:pPr>
        <w:pStyle w:val="Heading3"/>
        <w:pageBreakBefore/>
        <w:spacing w:before="0"/>
      </w:pPr>
      <w:bookmarkStart w:id="208" w:name="_Toc19102362"/>
      <w:r w:rsidRPr="00181EF3">
        <w:lastRenderedPageBreak/>
        <w:t>Diabetes complications – renal failure with concurrent diabetes</w:t>
      </w:r>
      <w:bookmarkEnd w:id="208"/>
    </w:p>
    <w:p w14:paraId="5B04B239" w14:textId="5C5ADAAB" w:rsidR="00892068" w:rsidRPr="00181EF3" w:rsidRDefault="00764DE1" w:rsidP="00892068">
      <w:pPr>
        <w:pStyle w:val="Figure"/>
      </w:pPr>
      <w:bookmarkStart w:id="209" w:name="_Toc19101918"/>
      <w:r w:rsidRPr="00181EF3">
        <w:t xml:space="preserve">Figure </w:t>
      </w:r>
      <w:r w:rsidR="00892068">
        <w:t>67</w:t>
      </w:r>
      <w:r w:rsidRPr="00181EF3">
        <w:t xml:space="preserve">: </w:t>
      </w:r>
      <w:r w:rsidR="00826BF4">
        <w:t>Rates of r</w:t>
      </w:r>
      <w:r w:rsidRPr="00181EF3">
        <w:t>enal failure with concurrent diabetes, 15+ years</w:t>
      </w:r>
      <w:r w:rsidR="00892068">
        <w:t>,</w:t>
      </w:r>
      <w:r w:rsidR="00892068" w:rsidRPr="00892068">
        <w:t xml:space="preserve"> </w:t>
      </w:r>
      <w:r w:rsidR="00892068">
        <w:t xml:space="preserve">by gender, </w:t>
      </w:r>
      <w:r w:rsidR="00892068" w:rsidRPr="00181EF3">
        <w:t xml:space="preserve">Māori and </w:t>
      </w:r>
      <w:r w:rsidR="00EC03A3">
        <w:t>non</w:t>
      </w:r>
      <w:r w:rsidR="00EC03A3">
        <w:noBreakHyphen/>
        <w:t>M</w:t>
      </w:r>
      <w:r w:rsidR="00892068" w:rsidRPr="00181EF3">
        <w:t>āori, 1996–98 to 2014–16</w:t>
      </w:r>
      <w:bookmarkEnd w:id="209"/>
    </w:p>
    <w:p w14:paraId="5E361AD5" w14:textId="77777777" w:rsidR="00764DE1" w:rsidRPr="00181EF3" w:rsidRDefault="00764DE1" w:rsidP="00764DE1">
      <w:r w:rsidRPr="00181EF3">
        <w:rPr>
          <w:noProof/>
          <w:lang w:eastAsia="en-NZ"/>
        </w:rPr>
        <w:drawing>
          <wp:inline distT="0" distB="0" distL="0" distR="0" wp14:anchorId="275F96FA" wp14:editId="38D978D2">
            <wp:extent cx="5130165" cy="2616603"/>
            <wp:effectExtent l="0" t="0" r="0" b="0"/>
            <wp:docPr id="23" name="Picture 23" descr="Māori men are most likely to have renal failure with concurrent diabetes, followed by Māori women, non-Māori men, and non-Māori women. The rates for all groups have increased over time." title="Figure 67: Rates of renal failure with concurrent diabetes, 15+ years, by gender, Māori and non-Māori, 1996-98 to 20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130165" cy="2616603"/>
                    </a:xfrm>
                    <a:prstGeom prst="rect">
                      <a:avLst/>
                    </a:prstGeom>
                  </pic:spPr>
                </pic:pic>
              </a:graphicData>
            </a:graphic>
          </wp:inline>
        </w:drawing>
      </w:r>
    </w:p>
    <w:p w14:paraId="5CB04D52" w14:textId="77777777" w:rsidR="00892068" w:rsidRPr="00892068" w:rsidRDefault="00892068" w:rsidP="00B6364B">
      <w:pPr>
        <w:pStyle w:val="Note"/>
        <w:ind w:left="0" w:firstLine="0"/>
        <w:rPr>
          <w:rFonts w:eastAsia="Calibri"/>
        </w:rPr>
      </w:pPr>
      <w:r w:rsidRPr="00892068">
        <w:rPr>
          <w:rFonts w:eastAsia="Calibri"/>
        </w:rPr>
        <w:t>Notes:</w:t>
      </w:r>
    </w:p>
    <w:p w14:paraId="3060CDE0" w14:textId="37DDCA9D" w:rsidR="008A5642" w:rsidRDefault="00446D86" w:rsidP="00B6364B">
      <w:pPr>
        <w:pStyle w:val="Note"/>
        <w:ind w:left="0" w:firstLine="0"/>
        <w:rPr>
          <w:rFonts w:eastAsia="Calibri"/>
        </w:rPr>
      </w:pPr>
      <w:r>
        <w:rPr>
          <w:rFonts w:eastAsia="Calibri"/>
        </w:rPr>
        <w:t>Figures are age-standardised to the 2001 Census total Māori population</w:t>
      </w:r>
      <w:r w:rsidR="00892068" w:rsidRPr="00892068">
        <w:rPr>
          <w:rFonts w:eastAsia="Calibri"/>
        </w:rPr>
        <w:t>.</w:t>
      </w:r>
    </w:p>
    <w:p w14:paraId="12E04597" w14:textId="15C48CF8" w:rsidR="00892068" w:rsidRPr="00892068" w:rsidRDefault="00892068" w:rsidP="00B6364B">
      <w:pPr>
        <w:pStyle w:val="Note"/>
        <w:ind w:left="0" w:firstLine="0"/>
        <w:rPr>
          <w:rFonts w:eastAsia="Calibri"/>
        </w:rPr>
      </w:pPr>
      <w:r w:rsidRPr="00892068">
        <w:rPr>
          <w:rFonts w:eastAsia="Calibri"/>
        </w:rPr>
        <w:t>Prioritised ethnicity has been used.</w:t>
      </w:r>
    </w:p>
    <w:p w14:paraId="453F22E0" w14:textId="77777777" w:rsidR="008A5642" w:rsidRDefault="00892068" w:rsidP="00B6364B">
      <w:pPr>
        <w:pStyle w:val="Note"/>
        <w:ind w:left="0" w:firstLine="0"/>
        <w:rPr>
          <w:rFonts w:eastAsia="Calibri"/>
        </w:rPr>
      </w:pPr>
      <w:r w:rsidRPr="00892068">
        <w:rPr>
          <w:rFonts w:eastAsia="Calibri"/>
        </w:rPr>
        <w:t>If the confidence intervals of two rates do not overlap, the difference in rates is said to be statistically significant.</w:t>
      </w:r>
    </w:p>
    <w:p w14:paraId="18C11946" w14:textId="0CC6E4AB" w:rsidR="00764DE1" w:rsidRDefault="00892068" w:rsidP="00B6364B">
      <w:pPr>
        <w:pStyle w:val="Note"/>
        <w:ind w:left="0" w:firstLine="0"/>
        <w:rPr>
          <w:rFonts w:eastAsia="Calibri"/>
        </w:rPr>
      </w:pPr>
      <w:r w:rsidRPr="00892068">
        <w:rPr>
          <w:rFonts w:eastAsia="Calibri"/>
        </w:rPr>
        <w:t>Source: National Minimum Data Set (NMDS), Ministry of Health, 1996–98 to 2014–16.</w:t>
      </w:r>
    </w:p>
    <w:p w14:paraId="42F34D40" w14:textId="77777777" w:rsidR="00892068" w:rsidRPr="00181EF3" w:rsidRDefault="00892068" w:rsidP="00892068">
      <w:pPr>
        <w:rPr>
          <w:noProof/>
          <w:lang w:eastAsia="en-NZ"/>
        </w:rPr>
      </w:pPr>
    </w:p>
    <w:p w14:paraId="0AE75A48" w14:textId="0F1F1545" w:rsidR="00892068" w:rsidRPr="00181EF3" w:rsidRDefault="00892068" w:rsidP="00C12AA5">
      <w:r w:rsidRPr="00181EF3">
        <w:t xml:space="preserve">Renal failure is one of the complications of diabetes. Figure </w:t>
      </w:r>
      <w:r>
        <w:t>67</w:t>
      </w:r>
      <w:r w:rsidRPr="00181EF3">
        <w:t xml:space="preserve"> shows that Māori adults aged 15 years and over have higher age-standardised hospitalisation rates for renal failure with concurrent diabetes than </w:t>
      </w:r>
      <w:r w:rsidR="00EC03A3">
        <w:t>non</w:t>
      </w:r>
      <w:r w:rsidR="00EC03A3">
        <w:noBreakHyphen/>
        <w:t>M</w:t>
      </w:r>
      <w:r w:rsidRPr="00181EF3">
        <w:t xml:space="preserve">āori over time. Generally, males have higher rates than females, for both Māori and </w:t>
      </w:r>
      <w:r w:rsidR="00EC03A3">
        <w:t>non</w:t>
      </w:r>
      <w:r w:rsidR="00EC03A3">
        <w:noBreakHyphen/>
        <w:t>M</w:t>
      </w:r>
      <w:r w:rsidRPr="00181EF3">
        <w:t>āori.</w:t>
      </w:r>
    </w:p>
    <w:p w14:paraId="687F4150" w14:textId="77777777" w:rsidR="00892068" w:rsidRPr="00181EF3" w:rsidRDefault="00892068" w:rsidP="00892068"/>
    <w:p w14:paraId="74F98D00" w14:textId="77777777" w:rsidR="00892068" w:rsidRPr="00181EF3" w:rsidRDefault="00892068" w:rsidP="00892068">
      <w:r w:rsidRPr="00181EF3">
        <w:t xml:space="preserve">Rates after 2012–14 are not presented as they are not comparable due to coding changes. As of 1 July 2014 diabetes mellitus and impaired glucose regulation do not need to be recorded as the primary diagnosis. This was previously required in some cases before 1 July 2014. Please refer to </w:t>
      </w:r>
      <w:r>
        <w:t>A</w:t>
      </w:r>
      <w:r w:rsidRPr="00181EF3">
        <w:t xml:space="preserve">ppendix </w:t>
      </w:r>
      <w:r>
        <w:t xml:space="preserve">5 </w:t>
      </w:r>
      <w:r w:rsidRPr="00181EF3">
        <w:t>for more details.</w:t>
      </w:r>
    </w:p>
    <w:p w14:paraId="24A32B45" w14:textId="77777777" w:rsidR="00892068" w:rsidRDefault="00892068" w:rsidP="00764DE1">
      <w:pPr>
        <w:rPr>
          <w:noProof/>
          <w:lang w:eastAsia="en-NZ"/>
        </w:rPr>
      </w:pPr>
    </w:p>
    <w:p w14:paraId="22BFA9B2" w14:textId="540C6C46" w:rsidR="00764DE1" w:rsidRPr="00181EF3" w:rsidRDefault="00764DE1" w:rsidP="00764DE1">
      <w:pPr>
        <w:rPr>
          <w:noProof/>
          <w:lang w:eastAsia="en-NZ"/>
        </w:rPr>
      </w:pPr>
      <w:r w:rsidRPr="00181EF3">
        <w:rPr>
          <w:noProof/>
          <w:lang w:eastAsia="en-NZ"/>
        </w:rPr>
        <w:t xml:space="preserve">The difference between Māori and </w:t>
      </w:r>
      <w:r w:rsidR="00EC03A3">
        <w:rPr>
          <w:noProof/>
          <w:lang w:eastAsia="en-NZ"/>
        </w:rPr>
        <w:t>non</w:t>
      </w:r>
      <w:r w:rsidR="00EC03A3">
        <w:rPr>
          <w:noProof/>
          <w:lang w:eastAsia="en-NZ"/>
        </w:rPr>
        <w:noBreakHyphen/>
        <w:t>M</w:t>
      </w:r>
      <w:r w:rsidRPr="00181EF3">
        <w:rPr>
          <w:noProof/>
          <w:lang w:eastAsia="en-NZ"/>
        </w:rPr>
        <w:t xml:space="preserve">āori decreased over time: age-standardised rate of renal failure with concurrent diabetes for Māori aged 15 years and over was more than 8½ (8.65) times in 1996–98, and about 5½ (5.33) times that of </w:t>
      </w:r>
      <w:r w:rsidR="00EC03A3">
        <w:rPr>
          <w:noProof/>
          <w:lang w:eastAsia="en-NZ"/>
        </w:rPr>
        <w:t>non</w:t>
      </w:r>
      <w:r w:rsidR="00EC03A3">
        <w:rPr>
          <w:noProof/>
          <w:lang w:eastAsia="en-NZ"/>
        </w:rPr>
        <w:noBreakHyphen/>
        <w:t>M</w:t>
      </w:r>
      <w:r w:rsidRPr="00181EF3">
        <w:rPr>
          <w:noProof/>
          <w:lang w:eastAsia="en-NZ"/>
        </w:rPr>
        <w:t xml:space="preserve">āori in 2011–13. This was due to a higher percentage increase in renal failure rate for </w:t>
      </w:r>
      <w:r w:rsidR="00EC03A3">
        <w:rPr>
          <w:noProof/>
          <w:lang w:eastAsia="en-NZ"/>
        </w:rPr>
        <w:t>non</w:t>
      </w:r>
      <w:r w:rsidR="00EC03A3">
        <w:rPr>
          <w:noProof/>
          <w:lang w:eastAsia="en-NZ"/>
        </w:rPr>
        <w:noBreakHyphen/>
        <w:t>M</w:t>
      </w:r>
      <w:r w:rsidRPr="00181EF3">
        <w:rPr>
          <w:noProof/>
          <w:lang w:eastAsia="en-NZ"/>
        </w:rPr>
        <w:t>āori than for Māori.</w:t>
      </w:r>
    </w:p>
    <w:p w14:paraId="2DDDCAE9" w14:textId="77777777" w:rsidR="00764DE1" w:rsidRPr="00181EF3" w:rsidRDefault="00764DE1" w:rsidP="00764DE1">
      <w:pPr>
        <w:rPr>
          <w:noProof/>
          <w:lang w:eastAsia="en-NZ"/>
        </w:rPr>
      </w:pPr>
    </w:p>
    <w:p w14:paraId="30BE1DCB" w14:textId="29CA0F47" w:rsidR="00764DE1" w:rsidRPr="00181EF3" w:rsidRDefault="00764DE1" w:rsidP="00C12AA5">
      <w:pPr>
        <w:keepNext/>
        <w:keepLines/>
        <w:rPr>
          <w:noProof/>
          <w:lang w:eastAsia="en-NZ"/>
        </w:rPr>
      </w:pPr>
      <w:r w:rsidRPr="00181EF3">
        <w:rPr>
          <w:noProof/>
          <w:lang w:eastAsia="en-NZ"/>
        </w:rPr>
        <w:lastRenderedPageBreak/>
        <w:t xml:space="preserve">Some of this difference can be attributed to the higher prevalence of diabetes among Māori, to take this into account, the relative risk of renal failure among people with diabetes can be estimated by dividing the relative risk of renal failure by the relative risk of prevalence. This suggests that among people with diabetes, Māori were 4.8 times as likely as </w:t>
      </w:r>
      <w:r w:rsidR="00EC03A3">
        <w:rPr>
          <w:noProof/>
          <w:lang w:eastAsia="en-NZ"/>
        </w:rPr>
        <w:t>non</w:t>
      </w:r>
      <w:r w:rsidR="00EC03A3">
        <w:rPr>
          <w:noProof/>
          <w:lang w:eastAsia="en-NZ"/>
        </w:rPr>
        <w:noBreakHyphen/>
        <w:t>M</w:t>
      </w:r>
      <w:r w:rsidRPr="00181EF3">
        <w:rPr>
          <w:noProof/>
          <w:lang w:eastAsia="en-NZ"/>
        </w:rPr>
        <w:t>āori to have renal failure in 1996–98 (ie, 8.65 ÷ 1.80, which is the rate ratio (RR) of diabetes prevalence in 2006/07), and 2.6 times in 2011–13 (ie, 5.33 ÷ 2.05, average RR of diabetes prevalence in 2011/12 and 2012/13).</w:t>
      </w:r>
    </w:p>
    <w:p w14:paraId="0889C3B9" w14:textId="77777777" w:rsidR="00764DE1" w:rsidRPr="00181EF3" w:rsidRDefault="00764DE1" w:rsidP="00764DE1">
      <w:pPr>
        <w:rPr>
          <w:noProof/>
          <w:lang w:eastAsia="en-NZ"/>
        </w:rPr>
      </w:pPr>
    </w:p>
    <w:p w14:paraId="282654EB" w14:textId="1D1C86B7" w:rsidR="00764DE1" w:rsidRPr="00181EF3" w:rsidRDefault="00764DE1" w:rsidP="00764DE1">
      <w:pPr>
        <w:rPr>
          <w:noProof/>
          <w:lang w:eastAsia="en-NZ"/>
        </w:rPr>
      </w:pPr>
      <w:r w:rsidRPr="00181EF3">
        <w:rPr>
          <w:noProof/>
          <w:lang w:eastAsia="en-NZ"/>
        </w:rPr>
        <w:t xml:space="preserve">The difference between Māori and </w:t>
      </w:r>
      <w:r w:rsidR="00EC03A3">
        <w:rPr>
          <w:noProof/>
          <w:lang w:eastAsia="en-NZ"/>
        </w:rPr>
        <w:t>non</w:t>
      </w:r>
      <w:r w:rsidR="00EC03A3">
        <w:rPr>
          <w:noProof/>
          <w:lang w:eastAsia="en-NZ"/>
        </w:rPr>
        <w:noBreakHyphen/>
        <w:t>M</w:t>
      </w:r>
      <w:r w:rsidRPr="00181EF3">
        <w:rPr>
          <w:noProof/>
          <w:lang w:eastAsia="en-NZ"/>
        </w:rPr>
        <w:t xml:space="preserve">āori males was higher in the time periods 2003–05 and 2009–11 (Figure </w:t>
      </w:r>
      <w:r w:rsidR="00892068">
        <w:rPr>
          <w:noProof/>
          <w:lang w:eastAsia="en-NZ"/>
        </w:rPr>
        <w:t>68</w:t>
      </w:r>
      <w:r w:rsidRPr="00181EF3">
        <w:rPr>
          <w:noProof/>
          <w:lang w:eastAsia="en-NZ"/>
        </w:rPr>
        <w:t>).</w:t>
      </w:r>
    </w:p>
    <w:p w14:paraId="61948480" w14:textId="77777777" w:rsidR="00764DE1" w:rsidRPr="00181EF3" w:rsidRDefault="00764DE1" w:rsidP="00764DE1">
      <w:pPr>
        <w:rPr>
          <w:noProof/>
          <w:lang w:eastAsia="en-NZ"/>
        </w:rPr>
      </w:pPr>
    </w:p>
    <w:p w14:paraId="19AC0722" w14:textId="547AE19A" w:rsidR="00764DE1" w:rsidRDefault="00764DE1" w:rsidP="00764DE1">
      <w:pPr>
        <w:pStyle w:val="Figure"/>
        <w:rPr>
          <w:noProof/>
          <w:lang w:eastAsia="en-NZ"/>
        </w:rPr>
      </w:pPr>
      <w:bookmarkStart w:id="210" w:name="_Toc19101919"/>
      <w:r w:rsidRPr="00181EF3">
        <w:rPr>
          <w:noProof/>
          <w:lang w:eastAsia="en-NZ"/>
        </w:rPr>
        <w:t xml:space="preserve">Figure </w:t>
      </w:r>
      <w:r w:rsidR="00892068">
        <w:rPr>
          <w:noProof/>
          <w:lang w:eastAsia="en-NZ"/>
        </w:rPr>
        <w:t>68</w:t>
      </w:r>
      <w:r w:rsidRPr="00181EF3">
        <w:rPr>
          <w:noProof/>
          <w:lang w:eastAsia="en-NZ"/>
        </w:rPr>
        <w:t xml:space="preserve">: </w:t>
      </w:r>
      <w:r w:rsidR="00826BF4">
        <w:rPr>
          <w:noProof/>
          <w:lang w:eastAsia="en-NZ"/>
        </w:rPr>
        <w:t>Rate ratios of r</w:t>
      </w:r>
      <w:r w:rsidRPr="00181EF3">
        <w:rPr>
          <w:noProof/>
          <w:lang w:eastAsia="en-NZ"/>
        </w:rPr>
        <w:t>enal failure with concurrent diabetes, 15+ years</w:t>
      </w:r>
      <w:r w:rsidR="00892068">
        <w:rPr>
          <w:noProof/>
          <w:lang w:eastAsia="en-NZ"/>
        </w:rPr>
        <w:t>,</w:t>
      </w:r>
      <w:r w:rsidR="00892068" w:rsidRPr="00892068">
        <w:t xml:space="preserve"> </w:t>
      </w:r>
      <w:r w:rsidR="00892068">
        <w:t xml:space="preserve">by gender, </w:t>
      </w:r>
      <w:r w:rsidR="00892068" w:rsidRPr="00181EF3">
        <w:t xml:space="preserve">Māori and </w:t>
      </w:r>
      <w:r w:rsidR="00EC03A3">
        <w:t>non</w:t>
      </w:r>
      <w:r w:rsidR="00EC03A3">
        <w:noBreakHyphen/>
        <w:t>M</w:t>
      </w:r>
      <w:r w:rsidR="00892068" w:rsidRPr="00181EF3">
        <w:t>āori, 1996–98 to 2014–16</w:t>
      </w:r>
      <w:bookmarkEnd w:id="210"/>
    </w:p>
    <w:p w14:paraId="779A54A7" w14:textId="77777777" w:rsidR="00764DE1" w:rsidRPr="0081271F" w:rsidRDefault="00764DE1" w:rsidP="00764DE1">
      <w:pPr>
        <w:rPr>
          <w:lang w:eastAsia="en-NZ"/>
        </w:rPr>
      </w:pPr>
      <w:r w:rsidRPr="0081271F">
        <w:rPr>
          <w:noProof/>
          <w:lang w:eastAsia="en-NZ"/>
        </w:rPr>
        <w:drawing>
          <wp:inline distT="0" distB="0" distL="0" distR="0" wp14:anchorId="572F7C90" wp14:editId="0B829FDB">
            <wp:extent cx="5130165" cy="2389692"/>
            <wp:effectExtent l="0" t="0" r="0" b="0"/>
            <wp:docPr id="448" name="Picture 448" descr="This graph shows the disparity of renal failure with concurrent diabetes between Māori and non-Māori. The biggest gaps were in the 1999-2001 period, when renal failure also peaked. The disparity has decreased, as has the incidence of renal failure for all groups." title="Figure 68: Renal failure with concurrent diabetes, 1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130165" cy="2389692"/>
                    </a:xfrm>
                    <a:prstGeom prst="rect">
                      <a:avLst/>
                    </a:prstGeom>
                  </pic:spPr>
                </pic:pic>
              </a:graphicData>
            </a:graphic>
          </wp:inline>
        </w:drawing>
      </w:r>
    </w:p>
    <w:p w14:paraId="397989E4" w14:textId="77777777" w:rsidR="008A5642" w:rsidRDefault="00764DE1" w:rsidP="00764DE1">
      <w:pPr>
        <w:pStyle w:val="Note"/>
        <w:rPr>
          <w:rFonts w:eastAsia="Calibri"/>
        </w:rPr>
      </w:pPr>
      <w:r w:rsidRPr="00181EF3">
        <w:rPr>
          <w:rFonts w:eastAsia="Calibri"/>
        </w:rPr>
        <w:t>Notes:</w:t>
      </w:r>
    </w:p>
    <w:p w14:paraId="07DD315D" w14:textId="2B502690" w:rsidR="008A5642" w:rsidRDefault="00446D86" w:rsidP="00892068">
      <w:pPr>
        <w:pStyle w:val="Note"/>
      </w:pPr>
      <w:r>
        <w:t>Figures are age-standardised to the 2001 Census total Māori population</w:t>
      </w:r>
      <w:r w:rsidR="00892068" w:rsidRPr="00181EF3">
        <w:t>.</w:t>
      </w:r>
    </w:p>
    <w:p w14:paraId="612057CE" w14:textId="06ABCCD1" w:rsidR="00892068" w:rsidRPr="00181EF3" w:rsidRDefault="00892068" w:rsidP="00892068">
      <w:pPr>
        <w:pStyle w:val="Note"/>
      </w:pPr>
      <w:r>
        <w:t>Prioritised ethnicity has been used.</w:t>
      </w:r>
    </w:p>
    <w:p w14:paraId="30D561D6" w14:textId="77777777" w:rsidR="00764DE1" w:rsidRPr="00181EF3" w:rsidRDefault="00764DE1" w:rsidP="00B6364B">
      <w:pPr>
        <w:pStyle w:val="Note"/>
        <w:ind w:left="0" w:firstLine="0"/>
        <w:rPr>
          <w:rFonts w:eastAsia="Calibri"/>
        </w:rPr>
      </w:pPr>
      <w:r w:rsidRPr="00181EF3">
        <w:rPr>
          <w:rFonts w:eastAsia="Calibri"/>
        </w:rPr>
        <w:t>If the confidence interval of the rate ratio does not include the number 1, the ratio is said to be statistically significant.</w:t>
      </w:r>
    </w:p>
    <w:p w14:paraId="05172D15" w14:textId="77777777" w:rsidR="00892068" w:rsidRPr="00181EF3" w:rsidRDefault="00892068" w:rsidP="00892068">
      <w:pPr>
        <w:pStyle w:val="Source"/>
        <w:rPr>
          <w:rFonts w:eastAsia="Calibri"/>
        </w:rPr>
      </w:pPr>
      <w:r w:rsidRPr="00181EF3">
        <w:rPr>
          <w:rFonts w:eastAsia="Calibri"/>
        </w:rPr>
        <w:t>Source: National Minimum Data Set (NMDS), Ministry of Health</w:t>
      </w:r>
      <w:r>
        <w:rPr>
          <w:rFonts w:eastAsia="Calibri"/>
        </w:rPr>
        <w:t>,</w:t>
      </w:r>
      <w:r w:rsidRPr="00507AA7">
        <w:t xml:space="preserve"> </w:t>
      </w:r>
      <w:r w:rsidRPr="00181EF3">
        <w:t>1996–98 to 201</w:t>
      </w:r>
      <w:r>
        <w:t>4</w:t>
      </w:r>
      <w:r w:rsidRPr="00181EF3">
        <w:t>–1</w:t>
      </w:r>
      <w:r>
        <w:t>6</w:t>
      </w:r>
      <w:r w:rsidRPr="00181EF3">
        <w:rPr>
          <w:rFonts w:eastAsia="Calibri"/>
        </w:rPr>
        <w:t>.</w:t>
      </w:r>
    </w:p>
    <w:p w14:paraId="6529260A" w14:textId="77777777" w:rsidR="00892068" w:rsidRDefault="00892068" w:rsidP="00892068"/>
    <w:p w14:paraId="3C073AAD" w14:textId="77777777" w:rsidR="00764DE1" w:rsidRPr="00181EF3" w:rsidRDefault="00764DE1" w:rsidP="00C12AA5">
      <w:pPr>
        <w:pStyle w:val="Heading3"/>
        <w:pageBreakBefore/>
        <w:spacing w:before="0"/>
      </w:pPr>
      <w:bookmarkStart w:id="211" w:name="_Toc19102363"/>
      <w:r w:rsidRPr="00181EF3">
        <w:lastRenderedPageBreak/>
        <w:t>Diabetes complications – lower limb amputation with concurrent diabetes</w:t>
      </w:r>
      <w:bookmarkEnd w:id="211"/>
    </w:p>
    <w:p w14:paraId="7C62DD7B" w14:textId="39FD5BAC" w:rsidR="00764DE1" w:rsidRPr="00181EF3" w:rsidRDefault="00764DE1" w:rsidP="00764DE1">
      <w:pPr>
        <w:pStyle w:val="Figure"/>
        <w:rPr>
          <w:noProof/>
          <w:lang w:eastAsia="en-NZ"/>
        </w:rPr>
      </w:pPr>
      <w:bookmarkStart w:id="212" w:name="_Toc19101920"/>
      <w:r w:rsidRPr="00181EF3">
        <w:rPr>
          <w:noProof/>
          <w:lang w:eastAsia="en-NZ"/>
        </w:rPr>
        <w:t xml:space="preserve">Figure </w:t>
      </w:r>
      <w:r w:rsidR="000E7A1C">
        <w:rPr>
          <w:noProof/>
          <w:lang w:eastAsia="en-NZ"/>
        </w:rPr>
        <w:t>69</w:t>
      </w:r>
      <w:r w:rsidRPr="00181EF3">
        <w:rPr>
          <w:noProof/>
          <w:lang w:eastAsia="en-NZ"/>
        </w:rPr>
        <w:t xml:space="preserve">: </w:t>
      </w:r>
      <w:r w:rsidR="00826BF4">
        <w:rPr>
          <w:noProof/>
          <w:lang w:eastAsia="en-NZ"/>
        </w:rPr>
        <w:t>Rates of l</w:t>
      </w:r>
      <w:r w:rsidRPr="00181EF3">
        <w:rPr>
          <w:noProof/>
          <w:lang w:eastAsia="en-NZ"/>
        </w:rPr>
        <w:t>ower limb amputation with concurrent diabetes, 15+ years</w:t>
      </w:r>
      <w:r w:rsidR="000E7A1C">
        <w:t>,</w:t>
      </w:r>
      <w:r w:rsidR="000E7A1C" w:rsidRPr="00892068">
        <w:t xml:space="preserve"> </w:t>
      </w:r>
      <w:r w:rsidR="000E7A1C">
        <w:t xml:space="preserve">by gender, </w:t>
      </w:r>
      <w:r w:rsidR="000E7A1C" w:rsidRPr="00181EF3">
        <w:t xml:space="preserve">Māori and </w:t>
      </w:r>
      <w:r w:rsidR="00EC03A3">
        <w:t>non</w:t>
      </w:r>
      <w:r w:rsidR="00EC03A3">
        <w:noBreakHyphen/>
        <w:t>M</w:t>
      </w:r>
      <w:r w:rsidR="000E7A1C" w:rsidRPr="00181EF3">
        <w:t>āori, 1996–98 to 2014–16</w:t>
      </w:r>
      <w:bookmarkEnd w:id="212"/>
    </w:p>
    <w:p w14:paraId="77D7A154" w14:textId="77777777" w:rsidR="00764DE1" w:rsidRPr="00181EF3" w:rsidRDefault="00764DE1" w:rsidP="00764DE1">
      <w:pPr>
        <w:rPr>
          <w:lang w:eastAsia="en-NZ"/>
        </w:rPr>
      </w:pPr>
      <w:r w:rsidRPr="00181EF3">
        <w:rPr>
          <w:noProof/>
          <w:lang w:eastAsia="en-NZ"/>
        </w:rPr>
        <w:drawing>
          <wp:inline distT="0" distB="0" distL="0" distR="0" wp14:anchorId="18A62863" wp14:editId="6BF673E0">
            <wp:extent cx="5130165" cy="2616603"/>
            <wp:effectExtent l="0" t="0" r="0" b="0"/>
            <wp:docPr id="324" name="Picture 324" descr="The graph shows that Māori men have a higher rate of lower limb amputation related to diabetes than all other groups, but have seen the rate decline over the years. Rates for all other groups are lower, but mostly steady." title="Figure 69: Lower limb amputation with concurrent diabetes, 1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130165" cy="2616603"/>
                    </a:xfrm>
                    <a:prstGeom prst="rect">
                      <a:avLst/>
                    </a:prstGeom>
                  </pic:spPr>
                </pic:pic>
              </a:graphicData>
            </a:graphic>
          </wp:inline>
        </w:drawing>
      </w:r>
    </w:p>
    <w:p w14:paraId="26551837" w14:textId="77777777" w:rsidR="000E7A1C" w:rsidRPr="00892068" w:rsidRDefault="000E7A1C" w:rsidP="00B6364B">
      <w:pPr>
        <w:pStyle w:val="Note"/>
        <w:ind w:left="0" w:firstLine="0"/>
        <w:rPr>
          <w:rFonts w:eastAsia="Calibri"/>
        </w:rPr>
      </w:pPr>
      <w:r w:rsidRPr="00892068">
        <w:rPr>
          <w:rFonts w:eastAsia="Calibri"/>
        </w:rPr>
        <w:t>Notes:</w:t>
      </w:r>
    </w:p>
    <w:p w14:paraId="738BEC74" w14:textId="17D978E4" w:rsidR="008A5642" w:rsidRDefault="00446D86" w:rsidP="00B6364B">
      <w:pPr>
        <w:pStyle w:val="Note"/>
        <w:ind w:left="0" w:firstLine="0"/>
        <w:rPr>
          <w:rFonts w:eastAsia="Calibri"/>
        </w:rPr>
      </w:pPr>
      <w:r>
        <w:rPr>
          <w:rFonts w:eastAsia="Calibri"/>
        </w:rPr>
        <w:t>Figures are age-standardised to the 2001 Census total Māori population</w:t>
      </w:r>
      <w:r w:rsidR="000E7A1C" w:rsidRPr="00892068">
        <w:rPr>
          <w:rFonts w:eastAsia="Calibri"/>
        </w:rPr>
        <w:t>.</w:t>
      </w:r>
    </w:p>
    <w:p w14:paraId="64FB91A7" w14:textId="4BBB828B" w:rsidR="000E7A1C" w:rsidRPr="00892068" w:rsidRDefault="000E7A1C" w:rsidP="00B6364B">
      <w:pPr>
        <w:pStyle w:val="Note"/>
        <w:ind w:left="0" w:firstLine="0"/>
        <w:rPr>
          <w:rFonts w:eastAsia="Calibri"/>
        </w:rPr>
      </w:pPr>
      <w:r w:rsidRPr="00892068">
        <w:rPr>
          <w:rFonts w:eastAsia="Calibri"/>
        </w:rPr>
        <w:t>Prioritised ethnicity has been used.</w:t>
      </w:r>
    </w:p>
    <w:p w14:paraId="10803676" w14:textId="77777777" w:rsidR="008A5642" w:rsidRDefault="000E7A1C" w:rsidP="00B6364B">
      <w:pPr>
        <w:pStyle w:val="Note"/>
        <w:ind w:left="0" w:firstLine="0"/>
        <w:rPr>
          <w:rFonts w:eastAsia="Calibri"/>
        </w:rPr>
      </w:pPr>
      <w:r w:rsidRPr="00892068">
        <w:rPr>
          <w:rFonts w:eastAsia="Calibri"/>
        </w:rPr>
        <w:t>If the confidence intervals of two rates do not overlap, the difference in rates is said to be statistically significant.</w:t>
      </w:r>
    </w:p>
    <w:p w14:paraId="4AB73A42" w14:textId="59FB15CD" w:rsidR="000E7A1C" w:rsidRDefault="000E7A1C" w:rsidP="00B6364B">
      <w:pPr>
        <w:pStyle w:val="Note"/>
        <w:ind w:left="0" w:firstLine="0"/>
        <w:rPr>
          <w:rFonts w:eastAsia="Calibri"/>
        </w:rPr>
      </w:pPr>
      <w:r w:rsidRPr="00892068">
        <w:rPr>
          <w:rFonts w:eastAsia="Calibri"/>
        </w:rPr>
        <w:t>Source: National Minimum Data Set (NMDS), Ministry of Health, 1996–98 to 2014–16.</w:t>
      </w:r>
    </w:p>
    <w:p w14:paraId="7242DC1A" w14:textId="77777777" w:rsidR="00764DE1" w:rsidRPr="00181EF3" w:rsidRDefault="00764DE1" w:rsidP="00764DE1">
      <w:pPr>
        <w:rPr>
          <w:noProof/>
          <w:lang w:eastAsia="en-NZ"/>
        </w:rPr>
      </w:pPr>
    </w:p>
    <w:p w14:paraId="0A02C164" w14:textId="5AC7326F" w:rsidR="000E7A1C" w:rsidRPr="00181EF3" w:rsidRDefault="000E7A1C" w:rsidP="00C12AA5">
      <w:r w:rsidRPr="00181EF3">
        <w:rPr>
          <w:noProof/>
          <w:color w:val="000000" w:themeColor="text1"/>
          <w:lang w:eastAsia="en-NZ"/>
        </w:rPr>
        <w:t xml:space="preserve">Lower limb amputation is another complication of diabetes. Figure </w:t>
      </w:r>
      <w:r>
        <w:rPr>
          <w:noProof/>
          <w:color w:val="000000" w:themeColor="text1"/>
          <w:lang w:eastAsia="en-NZ"/>
        </w:rPr>
        <w:t>69</w:t>
      </w:r>
      <w:r w:rsidRPr="00181EF3">
        <w:rPr>
          <w:noProof/>
          <w:color w:val="000000" w:themeColor="text1"/>
          <w:lang w:eastAsia="en-NZ"/>
        </w:rPr>
        <w:t xml:space="preserve"> shows that Māori adults</w:t>
      </w:r>
      <w:r w:rsidRPr="00181EF3">
        <w:t xml:space="preserve"> aged 15 years and over have a higher age-standardised hospitalisation rates of lower limb amputation with concurrent diabetes than </w:t>
      </w:r>
      <w:r w:rsidR="00EC03A3">
        <w:t>non</w:t>
      </w:r>
      <w:r w:rsidR="00EC03A3">
        <w:noBreakHyphen/>
        <w:t>M</w:t>
      </w:r>
      <w:r w:rsidRPr="00181EF3">
        <w:t xml:space="preserve">āori at the same age group over time. Generally, males have higher rates than females, for both Māori and </w:t>
      </w:r>
      <w:r w:rsidR="00EC03A3">
        <w:t>non</w:t>
      </w:r>
      <w:r w:rsidR="00EC03A3">
        <w:noBreakHyphen/>
        <w:t>M</w:t>
      </w:r>
      <w:r w:rsidRPr="00181EF3">
        <w:t>āori.</w:t>
      </w:r>
    </w:p>
    <w:p w14:paraId="26C1DB31" w14:textId="77777777" w:rsidR="000E7A1C" w:rsidRPr="00181EF3" w:rsidRDefault="000E7A1C" w:rsidP="00C12AA5"/>
    <w:p w14:paraId="7602B3AD" w14:textId="78C97334" w:rsidR="000E7A1C" w:rsidRPr="00181EF3" w:rsidRDefault="000E7A1C" w:rsidP="00C12AA5">
      <w:pPr>
        <w:rPr>
          <w:noProof/>
          <w:lang w:eastAsia="en-NZ"/>
        </w:rPr>
      </w:pPr>
      <w:r w:rsidRPr="00181EF3">
        <w:rPr>
          <w:noProof/>
          <w:lang w:eastAsia="en-NZ"/>
        </w:rPr>
        <w:t xml:space="preserve">For Māori adults, the rates decreased over time by 26 percent, from 28.2 hospitalisations per 100,000 population in 1996–98 to 20.9 hospitalisations in 2014–16. The rates for </w:t>
      </w:r>
      <w:r w:rsidR="00EC03A3">
        <w:rPr>
          <w:noProof/>
          <w:lang w:eastAsia="en-NZ"/>
        </w:rPr>
        <w:t>non</w:t>
      </w:r>
      <w:r w:rsidR="00EC03A3">
        <w:rPr>
          <w:noProof/>
          <w:lang w:eastAsia="en-NZ"/>
        </w:rPr>
        <w:noBreakHyphen/>
        <w:t>M</w:t>
      </w:r>
      <w:r w:rsidRPr="00181EF3">
        <w:rPr>
          <w:noProof/>
          <w:lang w:eastAsia="en-NZ"/>
        </w:rPr>
        <w:t>āori have not changed much over time.</w:t>
      </w:r>
    </w:p>
    <w:p w14:paraId="60B3DB9F" w14:textId="77777777" w:rsidR="000E7A1C" w:rsidRDefault="000E7A1C" w:rsidP="00764DE1">
      <w:pPr>
        <w:rPr>
          <w:noProof/>
          <w:lang w:eastAsia="en-NZ"/>
        </w:rPr>
      </w:pPr>
    </w:p>
    <w:p w14:paraId="6EFD52A1" w14:textId="322C51C4" w:rsidR="00764DE1" w:rsidRPr="00181EF3" w:rsidRDefault="00764DE1" w:rsidP="00764DE1">
      <w:pPr>
        <w:rPr>
          <w:noProof/>
          <w:lang w:eastAsia="en-NZ"/>
        </w:rPr>
      </w:pPr>
      <w:r w:rsidRPr="00181EF3">
        <w:rPr>
          <w:noProof/>
          <w:lang w:eastAsia="en-NZ"/>
        </w:rPr>
        <w:t xml:space="preserve">The difference between Māori and </w:t>
      </w:r>
      <w:r w:rsidR="00EC03A3">
        <w:rPr>
          <w:noProof/>
          <w:lang w:eastAsia="en-NZ"/>
        </w:rPr>
        <w:t>non</w:t>
      </w:r>
      <w:r w:rsidR="00EC03A3">
        <w:rPr>
          <w:noProof/>
          <w:lang w:eastAsia="en-NZ"/>
        </w:rPr>
        <w:noBreakHyphen/>
        <w:t>M</w:t>
      </w:r>
      <w:r w:rsidRPr="00181EF3">
        <w:rPr>
          <w:noProof/>
          <w:lang w:eastAsia="en-NZ"/>
        </w:rPr>
        <w:t xml:space="preserve">āori adults decreased over time: Māori had 21.6 more hospitalisations per 100,000 than </w:t>
      </w:r>
      <w:r w:rsidR="00EC03A3">
        <w:rPr>
          <w:noProof/>
          <w:lang w:eastAsia="en-NZ"/>
        </w:rPr>
        <w:t>non</w:t>
      </w:r>
      <w:r w:rsidR="00EC03A3">
        <w:rPr>
          <w:noProof/>
          <w:lang w:eastAsia="en-NZ"/>
        </w:rPr>
        <w:noBreakHyphen/>
        <w:t>M</w:t>
      </w:r>
      <w:r w:rsidRPr="00181EF3">
        <w:rPr>
          <w:noProof/>
          <w:lang w:eastAsia="en-NZ"/>
        </w:rPr>
        <w:t>āori in 1996–98 and 14.3 more hospitalisations in 2014–16.</w:t>
      </w:r>
    </w:p>
    <w:p w14:paraId="0757CB99" w14:textId="77777777" w:rsidR="00764DE1" w:rsidRPr="00181EF3" w:rsidRDefault="00764DE1" w:rsidP="00764DE1">
      <w:pPr>
        <w:rPr>
          <w:noProof/>
          <w:lang w:eastAsia="en-NZ"/>
        </w:rPr>
      </w:pPr>
    </w:p>
    <w:p w14:paraId="4E2A6FA4" w14:textId="49D86124" w:rsidR="00764DE1" w:rsidRPr="00181EF3" w:rsidRDefault="00764DE1" w:rsidP="00764DE1">
      <w:pPr>
        <w:rPr>
          <w:noProof/>
          <w:lang w:eastAsia="en-NZ"/>
        </w:rPr>
      </w:pPr>
      <w:r w:rsidRPr="00181EF3">
        <w:rPr>
          <w:noProof/>
          <w:lang w:eastAsia="en-NZ"/>
        </w:rPr>
        <w:t xml:space="preserve">The age-standardised rate ratios shows a similar story: the rate of lower limb amputation with concurrent diabetes for Māori aged 15 years and over was more than four times (4.27) that of </w:t>
      </w:r>
      <w:r w:rsidR="00EC03A3">
        <w:rPr>
          <w:noProof/>
          <w:lang w:eastAsia="en-NZ"/>
        </w:rPr>
        <w:t>non</w:t>
      </w:r>
      <w:r w:rsidR="00EC03A3">
        <w:rPr>
          <w:noProof/>
          <w:lang w:eastAsia="en-NZ"/>
        </w:rPr>
        <w:noBreakHyphen/>
        <w:t>M</w:t>
      </w:r>
      <w:r w:rsidRPr="00181EF3">
        <w:rPr>
          <w:noProof/>
          <w:lang w:eastAsia="en-NZ"/>
        </w:rPr>
        <w:t>āori at the same age group in in 1996–98, decreasing to just over three times (3.18) in 2014–16.</w:t>
      </w:r>
    </w:p>
    <w:p w14:paraId="4D09D639" w14:textId="77777777" w:rsidR="00764DE1" w:rsidRPr="00181EF3" w:rsidRDefault="00764DE1" w:rsidP="00764DE1">
      <w:pPr>
        <w:rPr>
          <w:noProof/>
          <w:lang w:eastAsia="en-NZ"/>
        </w:rPr>
      </w:pPr>
    </w:p>
    <w:p w14:paraId="0D6C14EA" w14:textId="40D608E9" w:rsidR="00764DE1" w:rsidRPr="00181EF3" w:rsidRDefault="00764DE1" w:rsidP="00C12AA5">
      <w:pPr>
        <w:keepNext/>
        <w:keepLines/>
        <w:rPr>
          <w:noProof/>
          <w:lang w:eastAsia="en-NZ"/>
        </w:rPr>
      </w:pPr>
      <w:r w:rsidRPr="00181EF3">
        <w:rPr>
          <w:noProof/>
          <w:lang w:eastAsia="en-NZ"/>
        </w:rPr>
        <w:lastRenderedPageBreak/>
        <w:t xml:space="preserve">Similarly, some of this difference can be attributed to the higher prevalence of diabetes among Māori. To take this into account, the relative risk of lower limb amputation among people with diabetes can be estimated by dividing the relative risk of lower limb amputation by the relative risk of prevalence. Therefore, among people with diabetes, lower limb amputations among Māori can be estimated as 2.4 times that of </w:t>
      </w:r>
      <w:r w:rsidR="00EC03A3">
        <w:rPr>
          <w:noProof/>
          <w:lang w:eastAsia="en-NZ"/>
        </w:rPr>
        <w:t>non</w:t>
      </w:r>
      <w:r w:rsidR="00EC03A3">
        <w:rPr>
          <w:noProof/>
          <w:lang w:eastAsia="en-NZ"/>
        </w:rPr>
        <w:noBreakHyphen/>
        <w:t>M</w:t>
      </w:r>
      <w:r w:rsidRPr="00181EF3">
        <w:rPr>
          <w:noProof/>
          <w:lang w:eastAsia="en-NZ"/>
        </w:rPr>
        <w:t>āori in 1996–98 (ie, 4.27 ÷ 1.80, RR of diabetes prevalence in 2006/07), and 1.7 times in 2014–16 (ie, 3.18 ÷ 1.89, average RR of diabetes prevalence in 2014/15 and 2015/16).</w:t>
      </w:r>
    </w:p>
    <w:p w14:paraId="066AFE13" w14:textId="77777777" w:rsidR="00764DE1" w:rsidRPr="00181EF3" w:rsidRDefault="00764DE1" w:rsidP="00764DE1">
      <w:pPr>
        <w:rPr>
          <w:noProof/>
          <w:lang w:eastAsia="en-NZ"/>
        </w:rPr>
      </w:pPr>
    </w:p>
    <w:p w14:paraId="51A1C0B2" w14:textId="42DFB590" w:rsidR="00764DE1" w:rsidRPr="00181EF3" w:rsidRDefault="00764DE1" w:rsidP="00764DE1">
      <w:pPr>
        <w:rPr>
          <w:noProof/>
          <w:lang w:eastAsia="en-NZ"/>
        </w:rPr>
      </w:pPr>
      <w:r w:rsidRPr="00181EF3">
        <w:rPr>
          <w:noProof/>
          <w:lang w:eastAsia="en-NZ"/>
        </w:rPr>
        <w:t xml:space="preserve">The difference between Māori and </w:t>
      </w:r>
      <w:r w:rsidR="00EC03A3">
        <w:rPr>
          <w:noProof/>
          <w:lang w:eastAsia="en-NZ"/>
        </w:rPr>
        <w:t>non</w:t>
      </w:r>
      <w:r w:rsidR="00EC03A3">
        <w:rPr>
          <w:noProof/>
          <w:lang w:eastAsia="en-NZ"/>
        </w:rPr>
        <w:noBreakHyphen/>
        <w:t>M</w:t>
      </w:r>
      <w:r w:rsidRPr="00181EF3">
        <w:rPr>
          <w:noProof/>
          <w:lang w:eastAsia="en-NZ"/>
        </w:rPr>
        <w:t xml:space="preserve">āori females was greater than the difference between Māori and </w:t>
      </w:r>
      <w:r w:rsidR="00EC03A3">
        <w:rPr>
          <w:noProof/>
          <w:lang w:eastAsia="en-NZ"/>
        </w:rPr>
        <w:t>non</w:t>
      </w:r>
      <w:r w:rsidR="00EC03A3">
        <w:rPr>
          <w:noProof/>
          <w:lang w:eastAsia="en-NZ"/>
        </w:rPr>
        <w:noBreakHyphen/>
        <w:t>M</w:t>
      </w:r>
      <w:r w:rsidRPr="00181EF3">
        <w:rPr>
          <w:noProof/>
          <w:lang w:eastAsia="en-NZ"/>
        </w:rPr>
        <w:t xml:space="preserve">āori males over time, even though females had lower rates of lower limb amputation with concurrent diabetes than males (Figure </w:t>
      </w:r>
      <w:r w:rsidR="000E7A1C">
        <w:rPr>
          <w:noProof/>
          <w:lang w:eastAsia="en-NZ"/>
        </w:rPr>
        <w:t>70</w:t>
      </w:r>
      <w:r w:rsidRPr="00181EF3">
        <w:rPr>
          <w:noProof/>
          <w:lang w:eastAsia="en-NZ"/>
        </w:rPr>
        <w:t>).</w:t>
      </w:r>
    </w:p>
    <w:p w14:paraId="456A436E" w14:textId="77777777" w:rsidR="00764DE1" w:rsidRPr="00181EF3" w:rsidRDefault="00764DE1" w:rsidP="00764DE1">
      <w:pPr>
        <w:rPr>
          <w:noProof/>
          <w:lang w:eastAsia="en-NZ"/>
        </w:rPr>
      </w:pPr>
    </w:p>
    <w:p w14:paraId="18A9B9D7" w14:textId="48039EC8" w:rsidR="00764DE1" w:rsidRDefault="00764DE1" w:rsidP="00764DE1">
      <w:pPr>
        <w:pStyle w:val="Figure"/>
        <w:rPr>
          <w:noProof/>
          <w:lang w:eastAsia="en-NZ"/>
        </w:rPr>
      </w:pPr>
      <w:bookmarkStart w:id="213" w:name="_Toc19101921"/>
      <w:r w:rsidRPr="00181EF3">
        <w:rPr>
          <w:noProof/>
          <w:lang w:eastAsia="en-NZ"/>
        </w:rPr>
        <w:t xml:space="preserve">Figure </w:t>
      </w:r>
      <w:r w:rsidR="000E7A1C">
        <w:rPr>
          <w:noProof/>
          <w:lang w:eastAsia="en-NZ"/>
        </w:rPr>
        <w:t>70</w:t>
      </w:r>
      <w:r w:rsidRPr="00181EF3">
        <w:rPr>
          <w:noProof/>
          <w:lang w:eastAsia="en-NZ"/>
        </w:rPr>
        <w:t xml:space="preserve">: </w:t>
      </w:r>
      <w:r w:rsidR="00826BF4">
        <w:rPr>
          <w:noProof/>
          <w:lang w:eastAsia="en-NZ"/>
        </w:rPr>
        <w:t>Rate ratios of l</w:t>
      </w:r>
      <w:r w:rsidRPr="00181EF3">
        <w:rPr>
          <w:noProof/>
          <w:lang w:eastAsia="en-NZ"/>
        </w:rPr>
        <w:t>ower limb amputation with concurrent diabetes, 15+ years</w:t>
      </w:r>
      <w:r w:rsidR="000E7A1C">
        <w:rPr>
          <w:noProof/>
          <w:lang w:eastAsia="en-NZ"/>
        </w:rPr>
        <w:t>,</w:t>
      </w:r>
      <w:r w:rsidR="000E7A1C" w:rsidRPr="00892068">
        <w:t xml:space="preserve"> </w:t>
      </w:r>
      <w:r w:rsidR="000E7A1C">
        <w:t xml:space="preserve">by gender, </w:t>
      </w:r>
      <w:r w:rsidR="000E7A1C" w:rsidRPr="00181EF3">
        <w:t xml:space="preserve">Māori and </w:t>
      </w:r>
      <w:r w:rsidR="00EC03A3">
        <w:t>non</w:t>
      </w:r>
      <w:r w:rsidR="00EC03A3">
        <w:noBreakHyphen/>
        <w:t>M</w:t>
      </w:r>
      <w:r w:rsidR="000E7A1C" w:rsidRPr="00181EF3">
        <w:t>āori, 1996–98 to 2014–16</w:t>
      </w:r>
      <w:bookmarkEnd w:id="213"/>
    </w:p>
    <w:p w14:paraId="424B2FA4" w14:textId="77777777" w:rsidR="00764DE1" w:rsidRPr="00205673" w:rsidRDefault="00764DE1" w:rsidP="00764DE1">
      <w:pPr>
        <w:rPr>
          <w:lang w:eastAsia="en-NZ"/>
        </w:rPr>
      </w:pPr>
      <w:r w:rsidRPr="00205673">
        <w:rPr>
          <w:noProof/>
          <w:lang w:eastAsia="en-NZ"/>
        </w:rPr>
        <w:drawing>
          <wp:inline distT="0" distB="0" distL="0" distR="0" wp14:anchorId="6ACAB2B1" wp14:editId="454FBA0F">
            <wp:extent cx="5130165" cy="2389692"/>
            <wp:effectExtent l="0" t="0" r="0" b="0"/>
            <wp:docPr id="449" name="Picture 449" descr="The graph shows that the disparity between non-Māori women and Māori women with diabetes-related lower limb amputation is consistently greater than the gap between Māori and non-Māori men." title="Figure 70: Lower limb amputation with concurrent diabetes, 1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130165" cy="2389692"/>
                    </a:xfrm>
                    <a:prstGeom prst="rect">
                      <a:avLst/>
                    </a:prstGeom>
                  </pic:spPr>
                </pic:pic>
              </a:graphicData>
            </a:graphic>
          </wp:inline>
        </w:drawing>
      </w:r>
    </w:p>
    <w:p w14:paraId="609C4618" w14:textId="77777777" w:rsidR="008A5642" w:rsidRDefault="000E7A1C" w:rsidP="000E7A1C">
      <w:pPr>
        <w:pStyle w:val="Note"/>
        <w:rPr>
          <w:rFonts w:eastAsia="Calibri"/>
        </w:rPr>
      </w:pPr>
      <w:r w:rsidRPr="00181EF3">
        <w:rPr>
          <w:rFonts w:eastAsia="Calibri"/>
        </w:rPr>
        <w:t>Notes:</w:t>
      </w:r>
    </w:p>
    <w:p w14:paraId="5606B882" w14:textId="3FFCF96A" w:rsidR="008A5642" w:rsidRDefault="00446D86" w:rsidP="000E7A1C">
      <w:pPr>
        <w:pStyle w:val="Note"/>
      </w:pPr>
      <w:r>
        <w:t>Figures are age-standardised to the 2001 Census total Māori population</w:t>
      </w:r>
      <w:r w:rsidR="000E7A1C" w:rsidRPr="00181EF3">
        <w:t>.</w:t>
      </w:r>
    </w:p>
    <w:p w14:paraId="40D33F44" w14:textId="6639E4AD" w:rsidR="000E7A1C" w:rsidRPr="00181EF3" w:rsidRDefault="000E7A1C" w:rsidP="000E7A1C">
      <w:pPr>
        <w:pStyle w:val="Note"/>
      </w:pPr>
      <w:r>
        <w:t>Prioritised ethnicity has been used.</w:t>
      </w:r>
    </w:p>
    <w:p w14:paraId="032EF484" w14:textId="77777777" w:rsidR="000E7A1C" w:rsidRPr="00181EF3" w:rsidRDefault="000E7A1C" w:rsidP="00B6364B">
      <w:pPr>
        <w:pStyle w:val="Note"/>
        <w:ind w:left="0" w:firstLine="0"/>
        <w:rPr>
          <w:rFonts w:eastAsia="Calibri"/>
        </w:rPr>
      </w:pPr>
      <w:r w:rsidRPr="00181EF3">
        <w:rPr>
          <w:rFonts w:eastAsia="Calibri"/>
        </w:rPr>
        <w:t>If the confidence interval of the rate ratio does not include the number 1, the ratio is said to be statistically significant.</w:t>
      </w:r>
    </w:p>
    <w:p w14:paraId="3B671324" w14:textId="77777777" w:rsidR="000E7A1C" w:rsidRPr="00181EF3" w:rsidRDefault="000E7A1C" w:rsidP="000E7A1C">
      <w:pPr>
        <w:pStyle w:val="Source"/>
        <w:rPr>
          <w:rFonts w:eastAsia="Calibri"/>
        </w:rPr>
      </w:pPr>
      <w:r w:rsidRPr="00181EF3">
        <w:rPr>
          <w:rFonts w:eastAsia="Calibri"/>
        </w:rPr>
        <w:t>Source: National Minimum Data Set (NMDS), Ministry of Health</w:t>
      </w:r>
      <w:r>
        <w:rPr>
          <w:rFonts w:eastAsia="Calibri"/>
        </w:rPr>
        <w:t>,</w:t>
      </w:r>
      <w:r w:rsidRPr="00507AA7">
        <w:t xml:space="preserve"> </w:t>
      </w:r>
      <w:r w:rsidRPr="00181EF3">
        <w:t>1996–98 to 201</w:t>
      </w:r>
      <w:r>
        <w:t>4</w:t>
      </w:r>
      <w:r w:rsidRPr="00181EF3">
        <w:t>–1</w:t>
      </w:r>
      <w:r>
        <w:t>6</w:t>
      </w:r>
      <w:r w:rsidRPr="00181EF3">
        <w:rPr>
          <w:rFonts w:eastAsia="Calibri"/>
        </w:rPr>
        <w:t>.</w:t>
      </w:r>
    </w:p>
    <w:p w14:paraId="7C5625D7" w14:textId="77777777" w:rsidR="00764DE1" w:rsidRPr="00181EF3" w:rsidRDefault="00764DE1" w:rsidP="00764DE1"/>
    <w:p w14:paraId="05F7DFCC" w14:textId="77777777" w:rsidR="00103328" w:rsidRPr="00181EF3" w:rsidRDefault="00103328" w:rsidP="00C12AA5">
      <w:pPr>
        <w:pStyle w:val="Heading2"/>
        <w:pageBreakBefore/>
        <w:spacing w:before="120"/>
        <w:rPr>
          <w:noProof/>
          <w:lang w:eastAsia="en-NZ"/>
        </w:rPr>
      </w:pPr>
      <w:bookmarkStart w:id="214" w:name="_Toc14718647"/>
      <w:bookmarkStart w:id="215" w:name="_Toc14775070"/>
      <w:bookmarkStart w:id="216" w:name="_Toc19102364"/>
      <w:r w:rsidRPr="00181EF3">
        <w:rPr>
          <w:noProof/>
          <w:lang w:eastAsia="en-NZ"/>
        </w:rPr>
        <w:lastRenderedPageBreak/>
        <w:t>Chronic conditions: arthritis, osteoporosis, and chronic pain</w:t>
      </w:r>
      <w:bookmarkEnd w:id="214"/>
      <w:bookmarkEnd w:id="215"/>
      <w:bookmarkEnd w:id="216"/>
    </w:p>
    <w:p w14:paraId="11513D6D" w14:textId="3B643199" w:rsidR="00103328" w:rsidRPr="00181EF3" w:rsidRDefault="00103328" w:rsidP="00103328">
      <w:pPr>
        <w:rPr>
          <w:noProof/>
          <w:color w:val="000000" w:themeColor="text1"/>
          <w:lang w:eastAsia="en-NZ"/>
        </w:rPr>
      </w:pPr>
      <w:r w:rsidRPr="00181EF3">
        <w:t>Chronic conditions can be defined as any ongoing, long term or recurring conditions that can have a significant impact on people’s lives. They are also sometimes referred to as long-term conditions and non-communicable diseases</w:t>
      </w:r>
      <w:r w:rsidR="00E63739">
        <w:t xml:space="preserve"> (Ministry of Health 2018</w:t>
      </w:r>
      <w:r w:rsidR="00A23AFA">
        <w:t>d</w:t>
      </w:r>
      <w:r w:rsidR="00E63739">
        <w:t>)</w:t>
      </w:r>
      <w:r w:rsidRPr="00181EF3">
        <w:t xml:space="preserve">. This </w:t>
      </w:r>
      <w:r>
        <w:t>section</w:t>
      </w:r>
      <w:r w:rsidRPr="00181EF3">
        <w:t xml:space="preserve"> presents results over time focusing on three chronic conditions: </w:t>
      </w:r>
      <w:r w:rsidRPr="00181EF3">
        <w:rPr>
          <w:noProof/>
          <w:color w:val="000000" w:themeColor="text1"/>
          <w:lang w:eastAsia="en-NZ"/>
        </w:rPr>
        <w:t>arthritis, osteoporosis, and chronic pain.</w:t>
      </w:r>
    </w:p>
    <w:p w14:paraId="74AE276E" w14:textId="77777777" w:rsidR="00103328" w:rsidRPr="00181EF3" w:rsidRDefault="00103328" w:rsidP="00103328">
      <w:pPr>
        <w:rPr>
          <w:noProof/>
          <w:lang w:eastAsia="en-NZ"/>
        </w:rPr>
      </w:pPr>
    </w:p>
    <w:p w14:paraId="582BA6F0" w14:textId="50C76FEE" w:rsidR="00103328" w:rsidRPr="00181EF3" w:rsidRDefault="00103328" w:rsidP="00103328">
      <w:r w:rsidRPr="00181EF3">
        <w:t>The chronic conditions data was sourced from the New Zealand Health Survey</w:t>
      </w:r>
      <w:r>
        <w:t xml:space="preserve"> (NZHS)</w:t>
      </w:r>
      <w:r w:rsidRPr="00181EF3">
        <w:t xml:space="preserve">, covering the period from 2006/07 to 2016/17. It is important to note the data was self-reported, which </w:t>
      </w:r>
      <w:r w:rsidR="00251A8D">
        <w:t xml:space="preserve">may </w:t>
      </w:r>
      <w:r w:rsidRPr="00181EF3">
        <w:t xml:space="preserve">not be an accurate representation of the true prevalence of these conditions. Therefore, caution should be taken when comparing results from this </w:t>
      </w:r>
      <w:r w:rsidR="00251A8D">
        <w:t>report</w:t>
      </w:r>
      <w:r w:rsidRPr="00181EF3">
        <w:t xml:space="preserve"> with reports that use a different data source.</w:t>
      </w:r>
    </w:p>
    <w:p w14:paraId="1DB02852" w14:textId="77777777" w:rsidR="00103328" w:rsidRPr="00181EF3" w:rsidRDefault="00103328" w:rsidP="00103328"/>
    <w:p w14:paraId="0A07912F" w14:textId="77777777" w:rsidR="00103328" w:rsidRPr="00181EF3" w:rsidRDefault="00103328" w:rsidP="00103328">
      <w:pPr>
        <w:pStyle w:val="Heading3"/>
      </w:pPr>
      <w:bookmarkStart w:id="217" w:name="_Toc19102365"/>
      <w:r w:rsidRPr="00181EF3">
        <w:t>What is the data telling us?</w:t>
      </w:r>
      <w:bookmarkEnd w:id="217"/>
    </w:p>
    <w:p w14:paraId="5F595ED0" w14:textId="77777777" w:rsidR="00103328" w:rsidRPr="00181EF3" w:rsidRDefault="00103328" w:rsidP="00103328">
      <w:pPr>
        <w:pStyle w:val="Shadedboxheading"/>
      </w:pPr>
      <w:r w:rsidRPr="00181EF3">
        <w:t>Arthritis</w:t>
      </w:r>
    </w:p>
    <w:p w14:paraId="029727E2" w14:textId="6B09EC51" w:rsidR="00103328" w:rsidRPr="00181EF3" w:rsidRDefault="00103328" w:rsidP="00103328">
      <w:pPr>
        <w:pStyle w:val="Shadedboxbullet"/>
        <w:ind w:left="568" w:hanging="284"/>
      </w:pPr>
      <w:r w:rsidRPr="00181EF3">
        <w:t xml:space="preserve">Māori have been more likely to report an arthritis diagnosis than </w:t>
      </w:r>
      <w:r w:rsidR="00EC03A3">
        <w:t>non</w:t>
      </w:r>
      <w:r w:rsidR="00EC03A3">
        <w:noBreakHyphen/>
        <w:t>M</w:t>
      </w:r>
      <w:r w:rsidRPr="00181EF3">
        <w:t>āori, and the difference between diagnosis rates by ethnicity has been consistent over time.</w:t>
      </w:r>
    </w:p>
    <w:p w14:paraId="7BE1C62A" w14:textId="5CC1D2A1" w:rsidR="00103328" w:rsidRPr="00181EF3" w:rsidRDefault="00103328" w:rsidP="00103328">
      <w:pPr>
        <w:pStyle w:val="Shadedboxbullet"/>
        <w:ind w:left="568" w:hanging="284"/>
      </w:pPr>
      <w:r w:rsidRPr="00181EF3">
        <w:t xml:space="preserve">Māori males are more likely than </w:t>
      </w:r>
      <w:r w:rsidR="00EC03A3">
        <w:t>non</w:t>
      </w:r>
      <w:r w:rsidR="00EC03A3">
        <w:noBreakHyphen/>
        <w:t>M</w:t>
      </w:r>
      <w:r w:rsidRPr="00181EF3">
        <w:t xml:space="preserve">āori males to report an arthritis diagnosis, but there was no significant difference for diagnosis rates between Māori females and </w:t>
      </w:r>
      <w:r w:rsidR="00EC03A3">
        <w:t>non</w:t>
      </w:r>
      <w:r w:rsidR="00EC03A3">
        <w:noBreakHyphen/>
        <w:t>M</w:t>
      </w:r>
      <w:r w:rsidRPr="00181EF3">
        <w:t>āori females.</w:t>
      </w:r>
    </w:p>
    <w:p w14:paraId="1F7C3AE3" w14:textId="77777777" w:rsidR="00103328" w:rsidRPr="00181EF3" w:rsidRDefault="00103328" w:rsidP="00103328">
      <w:pPr>
        <w:pStyle w:val="Shadedboxheading"/>
      </w:pPr>
      <w:r w:rsidRPr="00181EF3">
        <w:t>Osteoporosis</w:t>
      </w:r>
    </w:p>
    <w:p w14:paraId="7BEBEA28" w14:textId="77777777" w:rsidR="00103328" w:rsidRPr="00181EF3" w:rsidRDefault="00103328" w:rsidP="00103328">
      <w:pPr>
        <w:pStyle w:val="Shadedboxbullet"/>
        <w:ind w:left="568" w:hanging="284"/>
      </w:pPr>
      <w:r w:rsidRPr="00181EF3">
        <w:t xml:space="preserve">There were no significant differences over time in the </w:t>
      </w:r>
      <w:r>
        <w:t>rates</w:t>
      </w:r>
      <w:r w:rsidRPr="00181EF3">
        <w:t xml:space="preserve"> of reported osteoporosis diagnosis by ethnicity or sex.</w:t>
      </w:r>
    </w:p>
    <w:p w14:paraId="2482FC9D" w14:textId="77777777" w:rsidR="00103328" w:rsidRPr="00181EF3" w:rsidRDefault="00103328" w:rsidP="00103328">
      <w:pPr>
        <w:pStyle w:val="Shadedboxheading"/>
      </w:pPr>
      <w:r w:rsidRPr="00181EF3">
        <w:t>Chronic pain</w:t>
      </w:r>
    </w:p>
    <w:p w14:paraId="5021E515" w14:textId="0F3DD7CB" w:rsidR="00103328" w:rsidRPr="00181EF3" w:rsidRDefault="00103328" w:rsidP="00C12AA5">
      <w:pPr>
        <w:pStyle w:val="Shadedboxbullet"/>
        <w:ind w:left="568" w:hanging="284"/>
      </w:pPr>
      <w:r w:rsidRPr="00181EF3">
        <w:t xml:space="preserve">In general, Māori were more likely to report having experienced chronic pain than </w:t>
      </w:r>
      <w:r w:rsidR="00EC03A3">
        <w:t>non</w:t>
      </w:r>
      <w:r w:rsidR="00EC03A3">
        <w:noBreakHyphen/>
        <w:t>M</w:t>
      </w:r>
      <w:r w:rsidRPr="00181EF3">
        <w:t>āori, and the difference has increased over time.</w:t>
      </w:r>
    </w:p>
    <w:p w14:paraId="3F5E2C7F" w14:textId="60A7C996" w:rsidR="00103328" w:rsidRPr="00181EF3" w:rsidRDefault="00103328" w:rsidP="00103328">
      <w:pPr>
        <w:pStyle w:val="Shadedboxbullet"/>
        <w:ind w:left="568" w:hanging="284"/>
      </w:pPr>
      <w:r w:rsidRPr="00181EF3">
        <w:t xml:space="preserve">The difference in the rate of Māori males reporting having experienced chronic pain compared </w:t>
      </w:r>
      <w:r w:rsidR="00FF1892">
        <w:t>with</w:t>
      </w:r>
      <w:r w:rsidR="00FF1892" w:rsidRPr="00181EF3">
        <w:t xml:space="preserve"> </w:t>
      </w:r>
      <w:r w:rsidR="00EC03A3">
        <w:t>non</w:t>
      </w:r>
      <w:r w:rsidR="00EC03A3">
        <w:noBreakHyphen/>
        <w:t>M</w:t>
      </w:r>
      <w:r w:rsidRPr="00181EF3">
        <w:t xml:space="preserve">āori males has been fairly consistent over time, but the difference between Māori and </w:t>
      </w:r>
      <w:r w:rsidR="00EC03A3">
        <w:t>non</w:t>
      </w:r>
      <w:r w:rsidR="00EC03A3">
        <w:noBreakHyphen/>
        <w:t>M</w:t>
      </w:r>
      <w:r w:rsidRPr="00181EF3">
        <w:t>āori females has increased.</w:t>
      </w:r>
    </w:p>
    <w:p w14:paraId="1ADDE41F" w14:textId="77777777" w:rsidR="00103328" w:rsidRPr="00181EF3" w:rsidRDefault="00103328" w:rsidP="00103328"/>
    <w:p w14:paraId="4D8546E3" w14:textId="0680A404" w:rsidR="00103328" w:rsidRPr="00181EF3" w:rsidRDefault="00103328" w:rsidP="00C12AA5">
      <w:pPr>
        <w:pStyle w:val="Heading3"/>
        <w:pageBreakBefore/>
        <w:spacing w:before="0"/>
      </w:pPr>
      <w:bookmarkStart w:id="218" w:name="_Toc19102366"/>
      <w:r w:rsidRPr="00181EF3">
        <w:lastRenderedPageBreak/>
        <w:t>Arthritis</w:t>
      </w:r>
      <w:bookmarkEnd w:id="218"/>
    </w:p>
    <w:p w14:paraId="0CFD5333" w14:textId="67347AE6" w:rsidR="00103328" w:rsidRPr="00181EF3" w:rsidRDefault="00103328" w:rsidP="00103328">
      <w:pPr>
        <w:rPr>
          <w:noProof/>
          <w:lang w:eastAsia="en-NZ"/>
        </w:rPr>
      </w:pPr>
      <w:r w:rsidRPr="00181EF3">
        <w:rPr>
          <w:noProof/>
          <w:lang w:eastAsia="en-NZ"/>
        </w:rPr>
        <w:t>Arthritis is a condition which affects the joints, making them stiff, painful and swollen. There are many different kinds of arthritis and they can affect people of any age</w:t>
      </w:r>
      <w:r w:rsidR="00F76C67">
        <w:rPr>
          <w:noProof/>
          <w:lang w:eastAsia="en-NZ"/>
        </w:rPr>
        <w:t xml:space="preserve"> (Ministry of Health 2018a)</w:t>
      </w:r>
      <w:r w:rsidRPr="00181EF3">
        <w:rPr>
          <w:noProof/>
          <w:lang w:eastAsia="en-NZ"/>
        </w:rPr>
        <w:t>. The most common types of arthritis in New Zealand are osteoarthritis, gout arthritis, and rheumatoid arthritis</w:t>
      </w:r>
      <w:r w:rsidR="00F76C67">
        <w:rPr>
          <w:noProof/>
          <w:lang w:eastAsia="en-NZ"/>
        </w:rPr>
        <w:t xml:space="preserve"> (Arthritis New Zealand n.d.)</w:t>
      </w:r>
      <w:r w:rsidRPr="00181EF3">
        <w:rPr>
          <w:noProof/>
          <w:lang w:eastAsia="en-NZ"/>
        </w:rPr>
        <w:t>.</w:t>
      </w:r>
    </w:p>
    <w:p w14:paraId="6D6D921B" w14:textId="77777777" w:rsidR="00103328" w:rsidRPr="00181EF3" w:rsidRDefault="00103328" w:rsidP="00103328">
      <w:pPr>
        <w:rPr>
          <w:noProof/>
          <w:lang w:eastAsia="en-NZ"/>
        </w:rPr>
      </w:pPr>
    </w:p>
    <w:p w14:paraId="1F8B1A0F" w14:textId="1A773976" w:rsidR="00103328" w:rsidRPr="00181EF3" w:rsidRDefault="00103328" w:rsidP="00103328">
      <w:r w:rsidRPr="00181EF3">
        <w:t xml:space="preserve">Māori were more likely to self-report an arthritis diagnosis than </w:t>
      </w:r>
      <w:r w:rsidR="00EC03A3">
        <w:t>non</w:t>
      </w:r>
      <w:r w:rsidR="00EC03A3">
        <w:noBreakHyphen/>
        <w:t>M</w:t>
      </w:r>
      <w:r w:rsidRPr="00181EF3">
        <w:t>āori, and the difference between reported rates of diagnosis by ethnicity has been fairly consistent over time.</w:t>
      </w:r>
      <w:r w:rsidRPr="00181EF3">
        <w:rPr>
          <w:rStyle w:val="FootnoteReference"/>
        </w:rPr>
        <w:footnoteReference w:id="6"/>
      </w:r>
      <w:r w:rsidRPr="00181EF3">
        <w:t xml:space="preserve"> Māori males were more likely than </w:t>
      </w:r>
      <w:r w:rsidR="00EC03A3">
        <w:t>non</w:t>
      </w:r>
      <w:r w:rsidR="00EC03A3">
        <w:noBreakHyphen/>
        <w:t>M</w:t>
      </w:r>
      <w:r w:rsidRPr="00181EF3">
        <w:t xml:space="preserve">āori males to report an arthritis diagnosis, but there was no significant difference in reported diagnosis rates between Māori and </w:t>
      </w:r>
      <w:r w:rsidR="00EC03A3">
        <w:t>non</w:t>
      </w:r>
      <w:r w:rsidR="00EC03A3">
        <w:noBreakHyphen/>
        <w:t>M</w:t>
      </w:r>
      <w:r w:rsidRPr="00181EF3">
        <w:t>āori females.</w:t>
      </w:r>
    </w:p>
    <w:p w14:paraId="36737BDB" w14:textId="77777777" w:rsidR="00103328" w:rsidRPr="00181EF3" w:rsidRDefault="00103328" w:rsidP="00103328"/>
    <w:p w14:paraId="07634233" w14:textId="2F8E6288" w:rsidR="00103328" w:rsidRPr="00EB3D06" w:rsidRDefault="00103328" w:rsidP="00D94778">
      <w:bookmarkStart w:id="220" w:name="_Toc19101922"/>
      <w:r w:rsidRPr="00D94778">
        <w:rPr>
          <w:rStyle w:val="FigureChar"/>
        </w:rPr>
        <w:t xml:space="preserve">Figure </w:t>
      </w:r>
      <w:r w:rsidR="00760E5A" w:rsidRPr="00D94778">
        <w:rPr>
          <w:rStyle w:val="FigureChar"/>
        </w:rPr>
        <w:t>7</w:t>
      </w:r>
      <w:r w:rsidRPr="00D94778">
        <w:rPr>
          <w:rStyle w:val="FigureChar"/>
        </w:rPr>
        <w:t>1: Diagnosed arthritis</w:t>
      </w:r>
      <w:r w:rsidR="00760E5A" w:rsidRPr="00D94778">
        <w:rPr>
          <w:rStyle w:val="FigureChar"/>
        </w:rPr>
        <w:t xml:space="preserve">, 15+ years, Māori and </w:t>
      </w:r>
      <w:r w:rsidR="00EC03A3">
        <w:rPr>
          <w:rStyle w:val="FigureChar"/>
        </w:rPr>
        <w:t>non</w:t>
      </w:r>
      <w:r w:rsidR="00EC03A3">
        <w:rPr>
          <w:rStyle w:val="FigureChar"/>
        </w:rPr>
        <w:noBreakHyphen/>
        <w:t>M</w:t>
      </w:r>
      <w:r w:rsidR="00760E5A" w:rsidRPr="00D94778">
        <w:rPr>
          <w:rStyle w:val="FigureChar"/>
        </w:rPr>
        <w:t>āori,</w:t>
      </w:r>
      <w:r w:rsidR="00C12AA5">
        <w:rPr>
          <w:rStyle w:val="FigureChar"/>
        </w:rPr>
        <w:br/>
      </w:r>
      <w:r w:rsidR="00760E5A" w:rsidRPr="00D94778">
        <w:rPr>
          <w:rStyle w:val="FigureChar"/>
        </w:rPr>
        <w:t>2006/07–2016/17</w:t>
      </w:r>
      <w:bookmarkEnd w:id="220"/>
      <w:r w:rsidRPr="00D94778">
        <w:rPr>
          <w:noProof/>
          <w:lang w:eastAsia="en-NZ"/>
        </w:rPr>
        <w:drawing>
          <wp:inline distT="0" distB="0" distL="0" distR="0" wp14:anchorId="20465556" wp14:editId="0B4F30BF">
            <wp:extent cx="5029200" cy="2998714"/>
            <wp:effectExtent l="0" t="0" r="0" b="0"/>
            <wp:docPr id="450" name="Picture 450" descr="The graph shows that arthritis diagnoses are increasing for all groups, but Māori have a higher rate than non-Māori." title="Figure 71: Diagnosed arthritis – adults, age-standardised percent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030388" cy="2999423"/>
                    </a:xfrm>
                    <a:prstGeom prst="rect">
                      <a:avLst/>
                    </a:prstGeom>
                  </pic:spPr>
                </pic:pic>
              </a:graphicData>
            </a:graphic>
          </wp:inline>
        </w:drawing>
      </w:r>
    </w:p>
    <w:p w14:paraId="0C00918C" w14:textId="77777777" w:rsidR="008A5642" w:rsidRDefault="00760E5A" w:rsidP="00B6364B">
      <w:pPr>
        <w:pStyle w:val="Note"/>
        <w:ind w:left="0" w:firstLine="0"/>
        <w:rPr>
          <w:rFonts w:eastAsia="Calibri"/>
        </w:rPr>
      </w:pPr>
      <w:r w:rsidRPr="00892068">
        <w:rPr>
          <w:rFonts w:eastAsia="Calibri"/>
        </w:rPr>
        <w:t>Notes:</w:t>
      </w:r>
    </w:p>
    <w:p w14:paraId="00043D40" w14:textId="7E157576" w:rsidR="008A5642" w:rsidRDefault="00446D86" w:rsidP="00B6364B">
      <w:pPr>
        <w:pStyle w:val="Note"/>
        <w:ind w:left="0" w:firstLine="0"/>
        <w:rPr>
          <w:rFonts w:eastAsia="Calibri"/>
        </w:rPr>
      </w:pPr>
      <w:r>
        <w:rPr>
          <w:rFonts w:eastAsia="Calibri"/>
        </w:rPr>
        <w:t>Figures are age-standardised to the 2001 Census total Māori population</w:t>
      </w:r>
      <w:r w:rsidR="00760E5A" w:rsidRPr="00892068">
        <w:rPr>
          <w:rFonts w:eastAsia="Calibri"/>
        </w:rPr>
        <w:t>.</w:t>
      </w:r>
    </w:p>
    <w:p w14:paraId="3A867E19" w14:textId="0CDC71BE" w:rsidR="00760E5A" w:rsidRPr="00892068" w:rsidRDefault="00760E5A" w:rsidP="00B6364B">
      <w:pPr>
        <w:pStyle w:val="Note"/>
        <w:ind w:left="0" w:firstLine="0"/>
        <w:rPr>
          <w:rFonts w:eastAsia="Calibri"/>
        </w:rPr>
      </w:pPr>
      <w:r w:rsidRPr="00892068">
        <w:rPr>
          <w:rFonts w:eastAsia="Calibri"/>
        </w:rPr>
        <w:t>Prioritised ethnicity has been used.</w:t>
      </w:r>
    </w:p>
    <w:p w14:paraId="67D9E0E8" w14:textId="77777777" w:rsidR="008A5642" w:rsidRDefault="00760E5A" w:rsidP="00B6364B">
      <w:pPr>
        <w:pStyle w:val="Note"/>
        <w:ind w:left="0" w:firstLine="0"/>
        <w:rPr>
          <w:rFonts w:eastAsia="Calibri"/>
        </w:rPr>
      </w:pPr>
      <w:r w:rsidRPr="00892068">
        <w:rPr>
          <w:rFonts w:eastAsia="Calibri"/>
        </w:rPr>
        <w:t>If the confidence intervals of two rates do not overlap, the difference in rates is said to be statistically significant.</w:t>
      </w:r>
    </w:p>
    <w:p w14:paraId="290722A8" w14:textId="3DAE6EB5" w:rsidR="00760E5A" w:rsidRDefault="00760E5A" w:rsidP="00B6364B">
      <w:pPr>
        <w:pStyle w:val="Note"/>
        <w:ind w:left="0" w:firstLine="0"/>
      </w:pPr>
      <w:r w:rsidRPr="00892068">
        <w:rPr>
          <w:rFonts w:eastAsia="Calibri"/>
        </w:rPr>
        <w:t xml:space="preserve">Source: </w:t>
      </w:r>
      <w:r w:rsidR="009116B8">
        <w:rPr>
          <w:rFonts w:eastAsia="Calibri"/>
        </w:rPr>
        <w:t>New Zealand Health Survey (NZHS), Ministry of Health, 2006/07–2016/17.</w:t>
      </w:r>
    </w:p>
    <w:p w14:paraId="11C94A52" w14:textId="77777777" w:rsidR="00103328" w:rsidRPr="00181EF3" w:rsidRDefault="00103328" w:rsidP="00103328"/>
    <w:p w14:paraId="7234E39C" w14:textId="5F7DC673" w:rsidR="00103328" w:rsidRPr="00181EF3" w:rsidRDefault="00103328" w:rsidP="00103328">
      <w:r w:rsidRPr="00181EF3">
        <w:t xml:space="preserve">Figure </w:t>
      </w:r>
      <w:r w:rsidR="00760E5A">
        <w:t>7</w:t>
      </w:r>
      <w:r w:rsidRPr="00181EF3">
        <w:t xml:space="preserve">1 shows that since 2011/12, the percentage of Māori who reported an arthritis diagnosis was higher than the percentage of </w:t>
      </w:r>
      <w:r w:rsidR="00EC03A3">
        <w:t>non</w:t>
      </w:r>
      <w:r w:rsidR="00EC03A3">
        <w:noBreakHyphen/>
        <w:t>M</w:t>
      </w:r>
      <w:r w:rsidRPr="00181EF3">
        <w:t xml:space="preserve">āori who reported an arthritis diagnosis. There were no significant differences in 2006/07. The prevalence of reported arthritis diagnosis has not changed much over time for Māori or </w:t>
      </w:r>
      <w:r w:rsidR="00EC03A3">
        <w:t>non</w:t>
      </w:r>
      <w:r w:rsidR="00EC03A3">
        <w:noBreakHyphen/>
        <w:t>M</w:t>
      </w:r>
      <w:r w:rsidRPr="00181EF3">
        <w:t xml:space="preserve">āori, meaning the rate ratio of reported diagnosis by ethnicity has stayed fairly similar. Māori are about 1.2 times as likely to report an arthritis diagnosis as </w:t>
      </w:r>
      <w:r w:rsidR="00EC03A3">
        <w:t>non</w:t>
      </w:r>
      <w:r w:rsidR="00EC03A3">
        <w:noBreakHyphen/>
        <w:t>M</w:t>
      </w:r>
      <w:r w:rsidRPr="00181EF3">
        <w:t>āori.</w:t>
      </w:r>
    </w:p>
    <w:p w14:paraId="720CBDDF" w14:textId="77777777" w:rsidR="00103328" w:rsidRPr="00181EF3" w:rsidRDefault="00103328" w:rsidP="00103328"/>
    <w:p w14:paraId="6DDD0AEC" w14:textId="7B8051AB" w:rsidR="00103328" w:rsidRDefault="00103328" w:rsidP="00103328">
      <w:pPr>
        <w:pStyle w:val="Figure"/>
      </w:pPr>
      <w:bookmarkStart w:id="221" w:name="_Toc19101923"/>
      <w:r w:rsidRPr="00181EF3">
        <w:lastRenderedPageBreak/>
        <w:t xml:space="preserve">Figure </w:t>
      </w:r>
      <w:r w:rsidR="00760E5A">
        <w:t>7</w:t>
      </w:r>
      <w:r w:rsidRPr="00181EF3">
        <w:t>2: Diagnosed arthritis</w:t>
      </w:r>
      <w:r w:rsidR="00760E5A">
        <w:t>,</w:t>
      </w:r>
      <w:r w:rsidR="00760E5A" w:rsidRPr="00181EF3">
        <w:t xml:space="preserve"> </w:t>
      </w:r>
      <w:r w:rsidR="00760E5A">
        <w:t>15+ years</w:t>
      </w:r>
      <w:r w:rsidR="00760E5A" w:rsidRPr="00181EF3">
        <w:t xml:space="preserve">, by </w:t>
      </w:r>
      <w:r w:rsidR="00760E5A">
        <w:t>gender</w:t>
      </w:r>
      <w:r w:rsidR="00760E5A" w:rsidRPr="00181EF3">
        <w:t xml:space="preserve">, </w:t>
      </w:r>
      <w:r w:rsidR="00760E5A">
        <w:t xml:space="preserve">Māori and </w:t>
      </w:r>
      <w:r w:rsidR="00EC03A3">
        <w:t>non</w:t>
      </w:r>
      <w:r w:rsidR="00EC03A3">
        <w:noBreakHyphen/>
        <w:t>M</w:t>
      </w:r>
      <w:r w:rsidR="00760E5A">
        <w:t>āori</w:t>
      </w:r>
      <w:r w:rsidR="00760E5A" w:rsidRPr="00181EF3">
        <w:t>,</w:t>
      </w:r>
      <w:r w:rsidR="00C12AA5">
        <w:br/>
      </w:r>
      <w:r w:rsidR="00760E5A" w:rsidRPr="00181EF3">
        <w:t>2006/07–2016/17</w:t>
      </w:r>
      <w:bookmarkEnd w:id="221"/>
    </w:p>
    <w:p w14:paraId="53F8E3C3" w14:textId="77777777" w:rsidR="00103328" w:rsidRPr="00EB3D06" w:rsidRDefault="00103328" w:rsidP="00103328">
      <w:r w:rsidRPr="00EB3D06">
        <w:rPr>
          <w:noProof/>
          <w:lang w:eastAsia="en-NZ"/>
        </w:rPr>
        <w:drawing>
          <wp:inline distT="0" distB="0" distL="0" distR="0" wp14:anchorId="735D69B7" wp14:editId="3FB59E8B">
            <wp:extent cx="5029200" cy="2561883"/>
            <wp:effectExtent l="0" t="0" r="0" b="0"/>
            <wp:docPr id="451" name="Picture 451" descr="Māori men are diagnosed with arthritis at a higher rate than non-Māori men. Non-Māori men and women are diagnosed with arthritis at about the same rates, and Māori women are usually diagnosed a little more frequently than non-Māori people, but less than Māori men." title="Figure 72: Diagnosed arthritis – adults, age-standardised percentages (%), by sex, 2006/07–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035210" cy="2564944"/>
                    </a:xfrm>
                    <a:prstGeom prst="rect">
                      <a:avLst/>
                    </a:prstGeom>
                  </pic:spPr>
                </pic:pic>
              </a:graphicData>
            </a:graphic>
          </wp:inline>
        </w:drawing>
      </w:r>
    </w:p>
    <w:p w14:paraId="146798BA" w14:textId="77777777" w:rsidR="008A5642" w:rsidRDefault="00760E5A" w:rsidP="00B6364B">
      <w:pPr>
        <w:pStyle w:val="Note"/>
        <w:ind w:left="0" w:firstLine="0"/>
        <w:rPr>
          <w:rFonts w:eastAsia="Calibri"/>
        </w:rPr>
      </w:pPr>
      <w:r w:rsidRPr="00892068">
        <w:rPr>
          <w:rFonts w:eastAsia="Calibri"/>
        </w:rPr>
        <w:t>Notes:</w:t>
      </w:r>
    </w:p>
    <w:p w14:paraId="66A822FA" w14:textId="24211799" w:rsidR="008A5642" w:rsidRDefault="00446D86" w:rsidP="00B6364B">
      <w:pPr>
        <w:pStyle w:val="Note"/>
        <w:ind w:left="0" w:firstLine="0"/>
        <w:rPr>
          <w:rFonts w:eastAsia="Calibri"/>
        </w:rPr>
      </w:pPr>
      <w:r>
        <w:rPr>
          <w:rFonts w:eastAsia="Calibri"/>
        </w:rPr>
        <w:t>Figures are age-standardised to the 2001 Census total Māori population</w:t>
      </w:r>
      <w:r w:rsidR="00760E5A" w:rsidRPr="00892068">
        <w:rPr>
          <w:rFonts w:eastAsia="Calibri"/>
        </w:rPr>
        <w:t>.</w:t>
      </w:r>
    </w:p>
    <w:p w14:paraId="4AFE58F0" w14:textId="655AC799" w:rsidR="00760E5A" w:rsidRPr="00892068" w:rsidRDefault="00760E5A" w:rsidP="00B6364B">
      <w:pPr>
        <w:pStyle w:val="Note"/>
        <w:ind w:left="0" w:firstLine="0"/>
        <w:rPr>
          <w:rFonts w:eastAsia="Calibri"/>
        </w:rPr>
      </w:pPr>
      <w:r w:rsidRPr="00892068">
        <w:rPr>
          <w:rFonts w:eastAsia="Calibri"/>
        </w:rPr>
        <w:t>Prioritised ethnicity has been used.</w:t>
      </w:r>
    </w:p>
    <w:p w14:paraId="12C22983" w14:textId="77777777" w:rsidR="008A5642" w:rsidRDefault="00760E5A" w:rsidP="00B6364B">
      <w:pPr>
        <w:pStyle w:val="Note"/>
        <w:ind w:left="0" w:firstLine="0"/>
        <w:rPr>
          <w:rFonts w:eastAsia="Calibri"/>
        </w:rPr>
      </w:pPr>
      <w:r w:rsidRPr="00892068">
        <w:rPr>
          <w:rFonts w:eastAsia="Calibri"/>
        </w:rPr>
        <w:t>If the confidence intervals of two rates do not overlap, the difference in rates is said to be statistically significant.</w:t>
      </w:r>
    </w:p>
    <w:p w14:paraId="0C63B8BE" w14:textId="5B52CE53" w:rsidR="00760E5A" w:rsidRDefault="00760E5A" w:rsidP="00B6364B">
      <w:pPr>
        <w:pStyle w:val="Note"/>
        <w:ind w:left="0" w:firstLine="0"/>
      </w:pPr>
      <w:r w:rsidRPr="00892068">
        <w:rPr>
          <w:rFonts w:eastAsia="Calibri"/>
        </w:rPr>
        <w:t xml:space="preserve">Source: </w:t>
      </w:r>
      <w:r w:rsidR="009116B8">
        <w:rPr>
          <w:rFonts w:eastAsia="Calibri"/>
        </w:rPr>
        <w:t>New Zealand Health Survey (NZHS), Ministry of Health, 2006/07–2016/17.</w:t>
      </w:r>
    </w:p>
    <w:p w14:paraId="68B30F83" w14:textId="77777777" w:rsidR="00103328" w:rsidRPr="00181EF3" w:rsidRDefault="00103328" w:rsidP="00103328">
      <w:pPr>
        <w:rPr>
          <w:noProof/>
          <w:lang w:eastAsia="en-NZ"/>
        </w:rPr>
      </w:pPr>
    </w:p>
    <w:p w14:paraId="38670129" w14:textId="7A09216B" w:rsidR="00103328" w:rsidRPr="00181EF3" w:rsidRDefault="00103328" w:rsidP="00103328">
      <w:pPr>
        <w:rPr>
          <w:noProof/>
          <w:lang w:eastAsia="en-NZ"/>
        </w:rPr>
      </w:pPr>
      <w:r w:rsidRPr="00181EF3">
        <w:rPr>
          <w:noProof/>
          <w:lang w:eastAsia="en-NZ"/>
        </w:rPr>
        <w:t xml:space="preserve">Figure </w:t>
      </w:r>
      <w:r w:rsidR="00760E5A">
        <w:rPr>
          <w:noProof/>
          <w:lang w:eastAsia="en-NZ"/>
        </w:rPr>
        <w:t>7</w:t>
      </w:r>
      <w:r w:rsidRPr="00181EF3">
        <w:rPr>
          <w:noProof/>
          <w:lang w:eastAsia="en-NZ"/>
        </w:rPr>
        <w:t xml:space="preserve">2 shows that Māori males have been more likely to report an arthritis diagnosis than </w:t>
      </w:r>
      <w:r w:rsidR="00EC03A3">
        <w:rPr>
          <w:noProof/>
          <w:lang w:eastAsia="en-NZ"/>
        </w:rPr>
        <w:t>non</w:t>
      </w:r>
      <w:r w:rsidR="00EC03A3">
        <w:rPr>
          <w:noProof/>
          <w:lang w:eastAsia="en-NZ"/>
        </w:rPr>
        <w:noBreakHyphen/>
        <w:t>M</w:t>
      </w:r>
      <w:r w:rsidRPr="00181EF3">
        <w:rPr>
          <w:noProof/>
          <w:lang w:eastAsia="en-NZ"/>
        </w:rPr>
        <w:t xml:space="preserve">āori males from 2011/12 onwards. The prevalance of reported arthritis diagnosis has not changed much over time for either Māori or </w:t>
      </w:r>
      <w:r w:rsidR="00EC03A3">
        <w:rPr>
          <w:noProof/>
          <w:lang w:eastAsia="en-NZ"/>
        </w:rPr>
        <w:t>non</w:t>
      </w:r>
      <w:r w:rsidR="00EC03A3">
        <w:rPr>
          <w:noProof/>
          <w:lang w:eastAsia="en-NZ"/>
        </w:rPr>
        <w:noBreakHyphen/>
        <w:t>M</w:t>
      </w:r>
      <w:r w:rsidRPr="00181EF3">
        <w:rPr>
          <w:noProof/>
          <w:lang w:eastAsia="en-NZ"/>
        </w:rPr>
        <w:t xml:space="preserve">āori males, so the difference in rates of reported diagnosis between Māori and </w:t>
      </w:r>
      <w:r w:rsidR="00EC03A3">
        <w:rPr>
          <w:noProof/>
          <w:lang w:eastAsia="en-NZ"/>
        </w:rPr>
        <w:t>non</w:t>
      </w:r>
      <w:r w:rsidR="00EC03A3">
        <w:rPr>
          <w:noProof/>
          <w:lang w:eastAsia="en-NZ"/>
        </w:rPr>
        <w:noBreakHyphen/>
        <w:t>M</w:t>
      </w:r>
      <w:r w:rsidRPr="00181EF3">
        <w:rPr>
          <w:noProof/>
          <w:lang w:eastAsia="en-NZ"/>
        </w:rPr>
        <w:t xml:space="preserve">āori males has stayed fairly similar. Māori males are about 1.5 times as likely to report an arthritis diagnosis as </w:t>
      </w:r>
      <w:r w:rsidR="00EC03A3">
        <w:rPr>
          <w:noProof/>
          <w:lang w:eastAsia="en-NZ"/>
        </w:rPr>
        <w:t>non</w:t>
      </w:r>
      <w:r w:rsidR="00EC03A3">
        <w:rPr>
          <w:noProof/>
          <w:lang w:eastAsia="en-NZ"/>
        </w:rPr>
        <w:noBreakHyphen/>
        <w:t>M</w:t>
      </w:r>
      <w:r w:rsidRPr="00181EF3">
        <w:rPr>
          <w:noProof/>
          <w:lang w:eastAsia="en-NZ"/>
        </w:rPr>
        <w:t>āori males.</w:t>
      </w:r>
    </w:p>
    <w:p w14:paraId="62A4634D" w14:textId="77777777" w:rsidR="00103328" w:rsidRPr="00181EF3" w:rsidRDefault="00103328" w:rsidP="00103328">
      <w:pPr>
        <w:rPr>
          <w:noProof/>
          <w:lang w:eastAsia="en-NZ"/>
        </w:rPr>
      </w:pPr>
    </w:p>
    <w:p w14:paraId="57825FE8" w14:textId="6F381291" w:rsidR="00103328" w:rsidRPr="00181EF3" w:rsidRDefault="00103328" w:rsidP="00103328">
      <w:pPr>
        <w:rPr>
          <w:noProof/>
          <w:lang w:eastAsia="en-NZ"/>
        </w:rPr>
      </w:pPr>
      <w:r w:rsidRPr="00181EF3">
        <w:rPr>
          <w:noProof/>
          <w:lang w:eastAsia="en-NZ"/>
        </w:rPr>
        <w:t xml:space="preserve">In general, there were no significant differences between the percentage of Māori females who reported an arthritis diagnosis compared </w:t>
      </w:r>
      <w:r w:rsidR="00FF1892">
        <w:rPr>
          <w:noProof/>
          <w:lang w:eastAsia="en-NZ"/>
        </w:rPr>
        <w:t>with</w:t>
      </w:r>
      <w:r w:rsidR="00FF1892" w:rsidRPr="00181EF3">
        <w:rPr>
          <w:noProof/>
          <w:lang w:eastAsia="en-NZ"/>
        </w:rPr>
        <w:t xml:space="preserve"> </w:t>
      </w:r>
      <w:r w:rsidR="00EC03A3">
        <w:rPr>
          <w:noProof/>
          <w:lang w:eastAsia="en-NZ"/>
        </w:rPr>
        <w:t>non</w:t>
      </w:r>
      <w:r w:rsidR="00EC03A3">
        <w:rPr>
          <w:noProof/>
          <w:lang w:eastAsia="en-NZ"/>
        </w:rPr>
        <w:noBreakHyphen/>
        <w:t>M</w:t>
      </w:r>
      <w:r w:rsidRPr="00181EF3">
        <w:rPr>
          <w:noProof/>
          <w:lang w:eastAsia="en-NZ"/>
        </w:rPr>
        <w:t>āori females.</w:t>
      </w:r>
    </w:p>
    <w:p w14:paraId="3FA62671" w14:textId="77777777" w:rsidR="00103328" w:rsidRPr="00181EF3" w:rsidRDefault="00103328" w:rsidP="00103328"/>
    <w:p w14:paraId="5C60CF73" w14:textId="77777777" w:rsidR="00103328" w:rsidRPr="00181EF3" w:rsidRDefault="00103328" w:rsidP="00C12AA5">
      <w:pPr>
        <w:pStyle w:val="Heading3"/>
        <w:pageBreakBefore/>
        <w:spacing w:before="0"/>
      </w:pPr>
      <w:bookmarkStart w:id="222" w:name="_Toc19102367"/>
      <w:r w:rsidRPr="00181EF3">
        <w:lastRenderedPageBreak/>
        <w:t>Osteoporosis</w:t>
      </w:r>
      <w:bookmarkEnd w:id="222"/>
    </w:p>
    <w:p w14:paraId="0903579B" w14:textId="7356BDC3" w:rsidR="00103328" w:rsidRPr="00181EF3" w:rsidRDefault="00103328" w:rsidP="00103328">
      <w:pPr>
        <w:rPr>
          <w:noProof/>
          <w:lang w:eastAsia="en-NZ"/>
        </w:rPr>
      </w:pPr>
      <w:r w:rsidRPr="00181EF3">
        <w:rPr>
          <w:noProof/>
          <w:lang w:eastAsia="en-NZ"/>
        </w:rPr>
        <w:t>Osteoporosis is when a person’s bones become thin and brittle. It means a person is more at risk of breaks and fractures. It’s most common in older people, although young people can suffer from it as well</w:t>
      </w:r>
      <w:r w:rsidR="00FF6849">
        <w:rPr>
          <w:noProof/>
          <w:lang w:eastAsia="en-NZ"/>
        </w:rPr>
        <w:t xml:space="preserve"> (Ministry of Health 2018</w:t>
      </w:r>
      <w:r w:rsidR="00A23AFA">
        <w:rPr>
          <w:noProof/>
          <w:lang w:eastAsia="en-NZ"/>
        </w:rPr>
        <w:t>f</w:t>
      </w:r>
      <w:r w:rsidR="00FF6849">
        <w:rPr>
          <w:noProof/>
          <w:lang w:eastAsia="en-NZ"/>
        </w:rPr>
        <w:t>)</w:t>
      </w:r>
      <w:r w:rsidRPr="00181EF3">
        <w:rPr>
          <w:noProof/>
          <w:lang w:eastAsia="en-NZ"/>
        </w:rPr>
        <w:t>.</w:t>
      </w:r>
    </w:p>
    <w:p w14:paraId="60448D34" w14:textId="77777777" w:rsidR="00103328" w:rsidRPr="00181EF3" w:rsidRDefault="00103328" w:rsidP="00103328">
      <w:pPr>
        <w:rPr>
          <w:noProof/>
          <w:lang w:eastAsia="en-NZ"/>
        </w:rPr>
      </w:pPr>
    </w:p>
    <w:p w14:paraId="2EA26B7E" w14:textId="424E3937" w:rsidR="00103328" w:rsidRDefault="00103328" w:rsidP="00103328">
      <w:pPr>
        <w:pStyle w:val="Figure"/>
      </w:pPr>
      <w:bookmarkStart w:id="223" w:name="_Toc19101924"/>
      <w:r w:rsidRPr="00181EF3">
        <w:t xml:space="preserve">Figure </w:t>
      </w:r>
      <w:r w:rsidR="00760E5A">
        <w:t>7</w:t>
      </w:r>
      <w:r w:rsidRPr="00181EF3">
        <w:t>3: Diagnosed osteoporosis</w:t>
      </w:r>
      <w:r w:rsidR="00760E5A">
        <w:t>,</w:t>
      </w:r>
      <w:r w:rsidR="00760E5A" w:rsidRPr="00181EF3">
        <w:t xml:space="preserve"> </w:t>
      </w:r>
      <w:r w:rsidR="00760E5A">
        <w:t>15+ years</w:t>
      </w:r>
      <w:r w:rsidR="00760E5A" w:rsidRPr="00181EF3">
        <w:t xml:space="preserve">, by </w:t>
      </w:r>
      <w:r w:rsidR="00760E5A">
        <w:t>gender</w:t>
      </w:r>
      <w:r w:rsidR="00760E5A" w:rsidRPr="00181EF3">
        <w:t xml:space="preserve">, </w:t>
      </w:r>
      <w:r w:rsidR="00760E5A">
        <w:t xml:space="preserve">Māori and </w:t>
      </w:r>
      <w:r w:rsidR="00EC03A3">
        <w:t>non</w:t>
      </w:r>
      <w:r w:rsidR="00EC03A3">
        <w:noBreakHyphen/>
        <w:t>M</w:t>
      </w:r>
      <w:r w:rsidR="00760E5A">
        <w:t>āori</w:t>
      </w:r>
      <w:r w:rsidR="00760E5A" w:rsidRPr="00181EF3">
        <w:t>,</w:t>
      </w:r>
      <w:r w:rsidR="00760E5A">
        <w:t xml:space="preserve"> </w:t>
      </w:r>
      <w:r w:rsidR="00760E5A" w:rsidRPr="00181EF3">
        <w:t>2006/07–2016/17</w:t>
      </w:r>
      <w:bookmarkEnd w:id="223"/>
    </w:p>
    <w:p w14:paraId="28027C91" w14:textId="77777777" w:rsidR="00103328" w:rsidRPr="00EB3D06" w:rsidRDefault="00103328" w:rsidP="00103328">
      <w:r w:rsidRPr="00EB3D06">
        <w:rPr>
          <w:noProof/>
          <w:lang w:eastAsia="en-NZ"/>
        </w:rPr>
        <w:drawing>
          <wp:inline distT="0" distB="0" distL="0" distR="0" wp14:anchorId="56B5A69E" wp14:editId="6FF3D08B">
            <wp:extent cx="5130165" cy="2613315"/>
            <wp:effectExtent l="0" t="0" r="0" b="0"/>
            <wp:docPr id="452" name="Picture 452" descr="Women of both groups have a higher rate of osteoporosis than men over time. The rate of osteoporosis in Māori men has increased over time to almost reach the female rate, while non-Māori men have the lowest rate among the groups." title="Figure 73: Diagnosed osteoporosis – adults, age-standardised percentages (%), by sex, 2006/07–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130165" cy="2613315"/>
                    </a:xfrm>
                    <a:prstGeom prst="rect">
                      <a:avLst/>
                    </a:prstGeom>
                  </pic:spPr>
                </pic:pic>
              </a:graphicData>
            </a:graphic>
          </wp:inline>
        </w:drawing>
      </w:r>
    </w:p>
    <w:p w14:paraId="6B4EB96A" w14:textId="77777777" w:rsidR="008A5642" w:rsidRDefault="00760E5A" w:rsidP="00B6364B">
      <w:pPr>
        <w:pStyle w:val="Note"/>
        <w:ind w:left="0" w:firstLine="0"/>
        <w:rPr>
          <w:rFonts w:eastAsia="Calibri"/>
        </w:rPr>
      </w:pPr>
      <w:r w:rsidRPr="00892068">
        <w:rPr>
          <w:rFonts w:eastAsia="Calibri"/>
        </w:rPr>
        <w:t>Notes:</w:t>
      </w:r>
    </w:p>
    <w:p w14:paraId="243A7701" w14:textId="36133AAA" w:rsidR="008A5642" w:rsidRDefault="00446D86" w:rsidP="00B6364B">
      <w:pPr>
        <w:pStyle w:val="Note"/>
        <w:ind w:left="0" w:firstLine="0"/>
        <w:rPr>
          <w:rFonts w:eastAsia="Calibri"/>
        </w:rPr>
      </w:pPr>
      <w:r>
        <w:rPr>
          <w:rFonts w:eastAsia="Calibri"/>
        </w:rPr>
        <w:t>Figures are age-standardised to the 2001 Census total Māori population</w:t>
      </w:r>
      <w:r w:rsidR="00760E5A" w:rsidRPr="00892068">
        <w:rPr>
          <w:rFonts w:eastAsia="Calibri"/>
        </w:rPr>
        <w:t>.</w:t>
      </w:r>
    </w:p>
    <w:p w14:paraId="47E2475C" w14:textId="462C1550" w:rsidR="00760E5A" w:rsidRPr="00892068" w:rsidRDefault="00760E5A" w:rsidP="00B6364B">
      <w:pPr>
        <w:pStyle w:val="Note"/>
        <w:ind w:left="0" w:firstLine="0"/>
        <w:rPr>
          <w:rFonts w:eastAsia="Calibri"/>
        </w:rPr>
      </w:pPr>
      <w:r w:rsidRPr="00892068">
        <w:rPr>
          <w:rFonts w:eastAsia="Calibri"/>
        </w:rPr>
        <w:t>Prioritised ethnicity has been used.</w:t>
      </w:r>
    </w:p>
    <w:p w14:paraId="3F4E458F" w14:textId="77777777" w:rsidR="008A5642" w:rsidRDefault="00760E5A" w:rsidP="00B6364B">
      <w:pPr>
        <w:pStyle w:val="Note"/>
        <w:ind w:left="0" w:firstLine="0"/>
        <w:rPr>
          <w:rFonts w:eastAsia="Calibri"/>
        </w:rPr>
      </w:pPr>
      <w:r w:rsidRPr="00892068">
        <w:rPr>
          <w:rFonts w:eastAsia="Calibri"/>
        </w:rPr>
        <w:t>If the confidence intervals of two rates do not overlap, the difference in rates is said to be statistically significant.</w:t>
      </w:r>
    </w:p>
    <w:p w14:paraId="604A0F2A" w14:textId="71F42C24" w:rsidR="00760E5A" w:rsidRDefault="00760E5A" w:rsidP="00B6364B">
      <w:pPr>
        <w:pStyle w:val="Note"/>
        <w:ind w:left="0" w:firstLine="0"/>
      </w:pPr>
      <w:r w:rsidRPr="00892068">
        <w:rPr>
          <w:rFonts w:eastAsia="Calibri"/>
        </w:rPr>
        <w:t xml:space="preserve">Source: </w:t>
      </w:r>
      <w:r w:rsidR="009116B8">
        <w:rPr>
          <w:rFonts w:eastAsia="Calibri"/>
        </w:rPr>
        <w:t>New Zealand Health Survey (NZHS), Ministry of Health, 2006/07–2016/17.</w:t>
      </w:r>
    </w:p>
    <w:p w14:paraId="3E02A614" w14:textId="77777777" w:rsidR="00251A8D" w:rsidRDefault="00251A8D" w:rsidP="00251A8D">
      <w:pPr>
        <w:rPr>
          <w:noProof/>
          <w:color w:val="000000" w:themeColor="text1"/>
          <w:lang w:eastAsia="en-NZ"/>
        </w:rPr>
      </w:pPr>
    </w:p>
    <w:p w14:paraId="1931A4A2" w14:textId="208589C2" w:rsidR="00251A8D" w:rsidRPr="00181EF3" w:rsidRDefault="00251A8D" w:rsidP="00251A8D">
      <w:r w:rsidRPr="00181EF3">
        <w:rPr>
          <w:noProof/>
          <w:color w:val="000000" w:themeColor="text1"/>
          <w:lang w:eastAsia="en-NZ"/>
        </w:rPr>
        <w:t xml:space="preserve">Figure </w:t>
      </w:r>
      <w:r>
        <w:rPr>
          <w:noProof/>
          <w:color w:val="000000" w:themeColor="text1"/>
          <w:lang w:eastAsia="en-NZ"/>
        </w:rPr>
        <w:t>7</w:t>
      </w:r>
      <w:r w:rsidRPr="00181EF3">
        <w:rPr>
          <w:noProof/>
          <w:color w:val="000000" w:themeColor="text1"/>
          <w:lang w:eastAsia="en-NZ"/>
        </w:rPr>
        <w:t>3 shows that t</w:t>
      </w:r>
      <w:r w:rsidRPr="00181EF3">
        <w:t>here were no significant differences by ethnicity or sex in the rate of reported osteoporosis diagnosis over time.</w:t>
      </w:r>
    </w:p>
    <w:p w14:paraId="1434B014" w14:textId="77777777" w:rsidR="00103328" w:rsidRPr="00181EF3" w:rsidRDefault="00103328" w:rsidP="00103328"/>
    <w:p w14:paraId="5715CA84" w14:textId="42D4E070" w:rsidR="00103328" w:rsidRPr="00181EF3" w:rsidRDefault="00C12AA5" w:rsidP="00C12AA5">
      <w:pPr>
        <w:pStyle w:val="Heading3"/>
        <w:pageBreakBefore/>
        <w:spacing w:before="0"/>
      </w:pPr>
      <w:bookmarkStart w:id="224" w:name="_Toc19102368"/>
      <w:r>
        <w:lastRenderedPageBreak/>
        <w:t>C</w:t>
      </w:r>
      <w:r w:rsidR="00103328" w:rsidRPr="00181EF3">
        <w:t>hronic pain</w:t>
      </w:r>
      <w:bookmarkEnd w:id="224"/>
    </w:p>
    <w:p w14:paraId="7A06FCF8" w14:textId="547AAB42" w:rsidR="00103328" w:rsidRPr="00181EF3" w:rsidRDefault="00103328" w:rsidP="00103328">
      <w:pPr>
        <w:rPr>
          <w:noProof/>
          <w:lang w:eastAsia="en-NZ"/>
        </w:rPr>
      </w:pPr>
      <w:r w:rsidRPr="00181EF3">
        <w:rPr>
          <w:noProof/>
          <w:lang w:eastAsia="en-NZ"/>
        </w:rPr>
        <w:t>Chronic pain is pain that lasts longer than three months, also referred to as persistent pain or long-term pain. It is often described as pain that does not go away as expected after an injury or illness and is thought to occur when nerves become over-sensitive even when there is no injury, or the original injury causing pain has healed</w:t>
      </w:r>
      <w:r w:rsidR="00FF6849">
        <w:rPr>
          <w:noProof/>
          <w:lang w:eastAsia="en-NZ"/>
        </w:rPr>
        <w:t xml:space="preserve"> (Health Navigator New Zealand 2019</w:t>
      </w:r>
      <w:r w:rsidR="00DF00D4">
        <w:rPr>
          <w:noProof/>
          <w:lang w:eastAsia="en-NZ"/>
        </w:rPr>
        <w:t>b</w:t>
      </w:r>
      <w:r w:rsidR="00FF6849">
        <w:rPr>
          <w:noProof/>
          <w:lang w:eastAsia="en-NZ"/>
        </w:rPr>
        <w:t>)</w:t>
      </w:r>
      <w:r w:rsidRPr="00181EF3">
        <w:rPr>
          <w:noProof/>
          <w:lang w:eastAsia="en-NZ"/>
        </w:rPr>
        <w:t>.</w:t>
      </w:r>
    </w:p>
    <w:p w14:paraId="7923C02F" w14:textId="77777777" w:rsidR="00103328" w:rsidRPr="00181EF3" w:rsidRDefault="00103328" w:rsidP="00103328">
      <w:pPr>
        <w:rPr>
          <w:noProof/>
          <w:lang w:eastAsia="en-NZ"/>
        </w:rPr>
      </w:pPr>
    </w:p>
    <w:p w14:paraId="6B90C248" w14:textId="3E40E844" w:rsidR="00103328" w:rsidRPr="00181EF3" w:rsidRDefault="00103328" w:rsidP="00103328">
      <w:pPr>
        <w:rPr>
          <w:noProof/>
          <w:lang w:eastAsia="en-NZ"/>
        </w:rPr>
      </w:pPr>
      <w:r w:rsidRPr="00181EF3">
        <w:rPr>
          <w:noProof/>
          <w:lang w:eastAsia="en-NZ"/>
        </w:rPr>
        <w:t xml:space="preserve">Māori are more likely to report having experienced chronic pain than </w:t>
      </w:r>
      <w:r w:rsidR="00EC03A3">
        <w:rPr>
          <w:noProof/>
          <w:lang w:eastAsia="en-NZ"/>
        </w:rPr>
        <w:t>non</w:t>
      </w:r>
      <w:r w:rsidR="00EC03A3">
        <w:rPr>
          <w:noProof/>
          <w:lang w:eastAsia="en-NZ"/>
        </w:rPr>
        <w:noBreakHyphen/>
        <w:t>M</w:t>
      </w:r>
      <w:r w:rsidRPr="00181EF3">
        <w:rPr>
          <w:noProof/>
          <w:lang w:eastAsia="en-NZ"/>
        </w:rPr>
        <w:t xml:space="preserve">āori, and the difference has increased over time. The difference in the rate of Māori males who reported having experienced chronic pain compared </w:t>
      </w:r>
      <w:r w:rsidR="00FF1892">
        <w:rPr>
          <w:noProof/>
          <w:lang w:eastAsia="en-NZ"/>
        </w:rPr>
        <w:t>with</w:t>
      </w:r>
      <w:r w:rsidR="00FF1892" w:rsidRPr="00181EF3">
        <w:rPr>
          <w:noProof/>
          <w:lang w:eastAsia="en-NZ"/>
        </w:rPr>
        <w:t xml:space="preserve"> </w:t>
      </w:r>
      <w:r w:rsidR="00EC03A3">
        <w:rPr>
          <w:noProof/>
          <w:lang w:eastAsia="en-NZ"/>
        </w:rPr>
        <w:t>non</w:t>
      </w:r>
      <w:r w:rsidR="00EC03A3">
        <w:rPr>
          <w:noProof/>
          <w:lang w:eastAsia="en-NZ"/>
        </w:rPr>
        <w:noBreakHyphen/>
        <w:t>M</w:t>
      </w:r>
      <w:r w:rsidRPr="00181EF3">
        <w:rPr>
          <w:noProof/>
          <w:lang w:eastAsia="en-NZ"/>
        </w:rPr>
        <w:t xml:space="preserve">āori males has stayed fairly consistent over time, but the difference between Māori and </w:t>
      </w:r>
      <w:r w:rsidR="00EC03A3">
        <w:rPr>
          <w:noProof/>
          <w:lang w:eastAsia="en-NZ"/>
        </w:rPr>
        <w:t>non</w:t>
      </w:r>
      <w:r w:rsidR="00EC03A3">
        <w:rPr>
          <w:noProof/>
          <w:lang w:eastAsia="en-NZ"/>
        </w:rPr>
        <w:noBreakHyphen/>
        <w:t>M</w:t>
      </w:r>
      <w:r w:rsidRPr="00181EF3">
        <w:rPr>
          <w:noProof/>
          <w:lang w:eastAsia="en-NZ"/>
        </w:rPr>
        <w:t>āori females has increased.</w:t>
      </w:r>
    </w:p>
    <w:p w14:paraId="2B7A440F" w14:textId="77777777" w:rsidR="00103328" w:rsidRPr="00181EF3" w:rsidRDefault="00103328" w:rsidP="00103328">
      <w:pPr>
        <w:rPr>
          <w:noProof/>
          <w:lang w:eastAsia="en-NZ"/>
        </w:rPr>
      </w:pPr>
    </w:p>
    <w:p w14:paraId="0C91CFB0" w14:textId="433D2487" w:rsidR="00103328" w:rsidRDefault="00103328" w:rsidP="00103328">
      <w:pPr>
        <w:pStyle w:val="Figure"/>
      </w:pPr>
      <w:bookmarkStart w:id="225" w:name="_Toc19101925"/>
      <w:r w:rsidRPr="00181EF3">
        <w:t xml:space="preserve">Figure </w:t>
      </w:r>
      <w:r w:rsidR="00760E5A">
        <w:t>7</w:t>
      </w:r>
      <w:r w:rsidRPr="00181EF3">
        <w:t>4: Experienced chronic pain</w:t>
      </w:r>
      <w:r w:rsidR="00760E5A">
        <w:t>,</w:t>
      </w:r>
      <w:r w:rsidR="00760E5A" w:rsidRPr="00181EF3">
        <w:t xml:space="preserve"> </w:t>
      </w:r>
      <w:r w:rsidR="00760E5A">
        <w:t>15+ years</w:t>
      </w:r>
      <w:r w:rsidR="00760E5A" w:rsidRPr="00181EF3">
        <w:t xml:space="preserve">, </w:t>
      </w:r>
      <w:r w:rsidR="00760E5A">
        <w:t xml:space="preserve">Māori and </w:t>
      </w:r>
      <w:r w:rsidR="00EC03A3">
        <w:t>non</w:t>
      </w:r>
      <w:r w:rsidR="00EC03A3">
        <w:noBreakHyphen/>
        <w:t>M</w:t>
      </w:r>
      <w:r w:rsidR="00760E5A">
        <w:t>āori</w:t>
      </w:r>
      <w:r w:rsidR="00760E5A" w:rsidRPr="00181EF3">
        <w:t>,</w:t>
      </w:r>
      <w:r w:rsidR="00C12AA5">
        <w:br/>
      </w:r>
      <w:r w:rsidR="00760E5A" w:rsidRPr="00181EF3">
        <w:t>2006/07–2016/17</w:t>
      </w:r>
      <w:bookmarkEnd w:id="225"/>
    </w:p>
    <w:p w14:paraId="50D95D6A" w14:textId="77777777" w:rsidR="00103328" w:rsidRPr="00EB3D06" w:rsidRDefault="00103328" w:rsidP="00103328">
      <w:r w:rsidRPr="00EB3D06">
        <w:rPr>
          <w:noProof/>
          <w:lang w:eastAsia="en-NZ"/>
        </w:rPr>
        <w:drawing>
          <wp:inline distT="0" distB="0" distL="0" distR="0" wp14:anchorId="712D0D51" wp14:editId="0D26E9D5">
            <wp:extent cx="5130165" cy="3058916"/>
            <wp:effectExtent l="0" t="0" r="0" b="8255"/>
            <wp:docPr id="453" name="Picture 453" descr="Māori experience a higher rate of chronic pain than non-Māori, and the rate has increased over time for both groups." title="Figure 74: Experienced chronic pain – adults, age-standardised percentages (%), 2006/07–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130165" cy="3058916"/>
                    </a:xfrm>
                    <a:prstGeom prst="rect">
                      <a:avLst/>
                    </a:prstGeom>
                  </pic:spPr>
                </pic:pic>
              </a:graphicData>
            </a:graphic>
          </wp:inline>
        </w:drawing>
      </w:r>
    </w:p>
    <w:p w14:paraId="0326EABC" w14:textId="77777777" w:rsidR="008A5642" w:rsidRDefault="00760E5A" w:rsidP="00B6364B">
      <w:pPr>
        <w:pStyle w:val="Note"/>
        <w:ind w:left="0" w:firstLine="0"/>
        <w:rPr>
          <w:rFonts w:eastAsia="Calibri"/>
        </w:rPr>
      </w:pPr>
      <w:r w:rsidRPr="00892068">
        <w:rPr>
          <w:rFonts w:eastAsia="Calibri"/>
        </w:rPr>
        <w:t>Notes:</w:t>
      </w:r>
    </w:p>
    <w:p w14:paraId="544ABC28" w14:textId="14FED3C0" w:rsidR="008A5642" w:rsidRDefault="00446D86" w:rsidP="00B6364B">
      <w:pPr>
        <w:pStyle w:val="Note"/>
        <w:ind w:left="0" w:firstLine="0"/>
        <w:rPr>
          <w:rFonts w:eastAsia="Calibri"/>
        </w:rPr>
      </w:pPr>
      <w:r>
        <w:rPr>
          <w:rFonts w:eastAsia="Calibri"/>
        </w:rPr>
        <w:t>Figures are age-standardised to the 2001 Census total Māori population</w:t>
      </w:r>
      <w:r w:rsidR="00760E5A" w:rsidRPr="00892068">
        <w:rPr>
          <w:rFonts w:eastAsia="Calibri"/>
        </w:rPr>
        <w:t>.</w:t>
      </w:r>
    </w:p>
    <w:p w14:paraId="1F5099EC" w14:textId="0707E0E1" w:rsidR="00760E5A" w:rsidRPr="00892068" w:rsidRDefault="00760E5A" w:rsidP="00B6364B">
      <w:pPr>
        <w:pStyle w:val="Note"/>
        <w:ind w:left="0" w:firstLine="0"/>
        <w:rPr>
          <w:rFonts w:eastAsia="Calibri"/>
        </w:rPr>
      </w:pPr>
      <w:r w:rsidRPr="00892068">
        <w:rPr>
          <w:rFonts w:eastAsia="Calibri"/>
        </w:rPr>
        <w:t>Prioritised ethnicity has been used.</w:t>
      </w:r>
    </w:p>
    <w:p w14:paraId="5BC7AE51" w14:textId="77777777" w:rsidR="008A5642" w:rsidRDefault="00760E5A" w:rsidP="00B6364B">
      <w:pPr>
        <w:pStyle w:val="Note"/>
        <w:ind w:left="0" w:firstLine="0"/>
        <w:rPr>
          <w:rFonts w:eastAsia="Calibri"/>
        </w:rPr>
      </w:pPr>
      <w:r w:rsidRPr="00892068">
        <w:rPr>
          <w:rFonts w:eastAsia="Calibri"/>
        </w:rPr>
        <w:t>If the confidence intervals of two rates do not overlap, the difference in rates is said to be statistically significant.</w:t>
      </w:r>
    </w:p>
    <w:p w14:paraId="5EE6396A" w14:textId="52211FA4" w:rsidR="00760E5A" w:rsidRDefault="00760E5A" w:rsidP="00B6364B">
      <w:pPr>
        <w:pStyle w:val="Note"/>
        <w:ind w:left="0" w:firstLine="0"/>
      </w:pPr>
      <w:r w:rsidRPr="00892068">
        <w:rPr>
          <w:rFonts w:eastAsia="Calibri"/>
        </w:rPr>
        <w:t xml:space="preserve">Source: </w:t>
      </w:r>
      <w:r w:rsidR="009116B8">
        <w:rPr>
          <w:rFonts w:eastAsia="Calibri"/>
        </w:rPr>
        <w:t>New Zealand Health Survey (NZHS), Ministry of Health, 2006/07–2016/17.</w:t>
      </w:r>
    </w:p>
    <w:p w14:paraId="41357817" w14:textId="77777777" w:rsidR="00103328" w:rsidRPr="00181EF3" w:rsidRDefault="00103328" w:rsidP="00103328">
      <w:pPr>
        <w:rPr>
          <w:noProof/>
          <w:lang w:eastAsia="en-NZ"/>
        </w:rPr>
      </w:pPr>
    </w:p>
    <w:p w14:paraId="3B4CE95D" w14:textId="2B97A291" w:rsidR="00103328" w:rsidRPr="00181EF3" w:rsidRDefault="00103328" w:rsidP="00103328">
      <w:pPr>
        <w:rPr>
          <w:noProof/>
          <w:lang w:eastAsia="en-NZ"/>
        </w:rPr>
      </w:pPr>
      <w:r w:rsidRPr="00181EF3">
        <w:rPr>
          <w:noProof/>
          <w:lang w:eastAsia="en-NZ"/>
        </w:rPr>
        <w:t xml:space="preserve">Figure </w:t>
      </w:r>
      <w:r w:rsidR="00760E5A">
        <w:rPr>
          <w:noProof/>
          <w:lang w:eastAsia="en-NZ"/>
        </w:rPr>
        <w:t>7</w:t>
      </w:r>
      <w:r w:rsidRPr="00181EF3">
        <w:rPr>
          <w:noProof/>
          <w:lang w:eastAsia="en-NZ"/>
        </w:rPr>
        <w:t xml:space="preserve">4 shows that Māori have, in general, been more likely to report having experienced chronic pain than </w:t>
      </w:r>
      <w:r w:rsidR="00EC03A3">
        <w:rPr>
          <w:noProof/>
          <w:lang w:eastAsia="en-NZ"/>
        </w:rPr>
        <w:t>non</w:t>
      </w:r>
      <w:r w:rsidR="00EC03A3">
        <w:rPr>
          <w:noProof/>
          <w:lang w:eastAsia="en-NZ"/>
        </w:rPr>
        <w:noBreakHyphen/>
        <w:t>M</w:t>
      </w:r>
      <w:r w:rsidRPr="00181EF3">
        <w:rPr>
          <w:noProof/>
          <w:lang w:eastAsia="en-NZ"/>
        </w:rPr>
        <w:t>āori since 2011/12. There were no significant differences in 2006/07.</w:t>
      </w:r>
    </w:p>
    <w:p w14:paraId="10A17AEA" w14:textId="77777777" w:rsidR="00103328" w:rsidRPr="00181EF3" w:rsidRDefault="00103328" w:rsidP="00103328">
      <w:pPr>
        <w:rPr>
          <w:noProof/>
          <w:lang w:eastAsia="en-NZ"/>
        </w:rPr>
      </w:pPr>
    </w:p>
    <w:p w14:paraId="1DF52C97" w14:textId="65F70D55" w:rsidR="00103328" w:rsidRPr="00181EF3" w:rsidRDefault="00103328" w:rsidP="00C12AA5">
      <w:pPr>
        <w:keepLines/>
        <w:rPr>
          <w:noProof/>
          <w:lang w:eastAsia="en-NZ"/>
        </w:rPr>
      </w:pPr>
      <w:r w:rsidRPr="00181EF3">
        <w:rPr>
          <w:noProof/>
          <w:lang w:eastAsia="en-NZ"/>
        </w:rPr>
        <w:lastRenderedPageBreak/>
        <w:t xml:space="preserve">The percentage of both Māori and </w:t>
      </w:r>
      <w:r w:rsidR="00EC03A3">
        <w:rPr>
          <w:noProof/>
          <w:lang w:eastAsia="en-NZ"/>
        </w:rPr>
        <w:t>non</w:t>
      </w:r>
      <w:r w:rsidR="00EC03A3">
        <w:rPr>
          <w:noProof/>
          <w:lang w:eastAsia="en-NZ"/>
        </w:rPr>
        <w:noBreakHyphen/>
        <w:t>M</w:t>
      </w:r>
      <w:r w:rsidRPr="00181EF3">
        <w:rPr>
          <w:noProof/>
          <w:lang w:eastAsia="en-NZ"/>
        </w:rPr>
        <w:t xml:space="preserve">āori who reported having experienced chronic pain has increased over time. The percentage of Māori who reported having experienced chronic pain increased more rapidly, from 16.6 percent in 2011/12 to 21.1 percent in 2016/17, an increase of 4.5 percentage points or 27.1 percent. The percentage of </w:t>
      </w:r>
      <w:r w:rsidR="00EC03A3">
        <w:rPr>
          <w:noProof/>
          <w:lang w:eastAsia="en-NZ"/>
        </w:rPr>
        <w:t>non</w:t>
      </w:r>
      <w:r w:rsidR="00EC03A3">
        <w:rPr>
          <w:noProof/>
          <w:lang w:eastAsia="en-NZ"/>
        </w:rPr>
        <w:noBreakHyphen/>
        <w:t>M</w:t>
      </w:r>
      <w:r w:rsidRPr="00181EF3">
        <w:rPr>
          <w:noProof/>
          <w:lang w:eastAsia="en-NZ"/>
        </w:rPr>
        <w:t xml:space="preserve">āori who reported having experienced chronic pain in this time period increased from 12.1 percent to 14.5 percent, an increase of 2.4 percentage points or 19.8 percent. This means the overall difference between Māori and </w:t>
      </w:r>
      <w:r w:rsidR="00EC03A3">
        <w:rPr>
          <w:noProof/>
          <w:lang w:eastAsia="en-NZ"/>
        </w:rPr>
        <w:t>non</w:t>
      </w:r>
      <w:r w:rsidR="00EC03A3">
        <w:rPr>
          <w:noProof/>
          <w:lang w:eastAsia="en-NZ"/>
        </w:rPr>
        <w:noBreakHyphen/>
        <w:t>M</w:t>
      </w:r>
      <w:r w:rsidRPr="00181EF3">
        <w:rPr>
          <w:noProof/>
          <w:lang w:eastAsia="en-NZ"/>
        </w:rPr>
        <w:t>āori has increased.</w:t>
      </w:r>
    </w:p>
    <w:p w14:paraId="61BC5E91" w14:textId="77777777" w:rsidR="00103328" w:rsidRPr="00181EF3" w:rsidRDefault="00103328" w:rsidP="00103328">
      <w:pPr>
        <w:rPr>
          <w:noProof/>
          <w:lang w:eastAsia="en-NZ"/>
        </w:rPr>
      </w:pPr>
    </w:p>
    <w:p w14:paraId="1284C5FB" w14:textId="68F078FE" w:rsidR="00103328" w:rsidRDefault="00103328" w:rsidP="00103328">
      <w:pPr>
        <w:pStyle w:val="Figure"/>
        <w:rPr>
          <w:noProof/>
          <w:lang w:eastAsia="en-NZ"/>
        </w:rPr>
      </w:pPr>
      <w:bookmarkStart w:id="226" w:name="_Toc19101926"/>
      <w:r w:rsidRPr="00181EF3">
        <w:rPr>
          <w:noProof/>
          <w:lang w:eastAsia="en-NZ"/>
        </w:rPr>
        <w:t xml:space="preserve">Figure </w:t>
      </w:r>
      <w:r w:rsidR="00760E5A">
        <w:rPr>
          <w:noProof/>
          <w:lang w:eastAsia="en-NZ"/>
        </w:rPr>
        <w:t>7</w:t>
      </w:r>
      <w:r w:rsidRPr="00181EF3">
        <w:rPr>
          <w:noProof/>
          <w:lang w:eastAsia="en-NZ"/>
        </w:rPr>
        <w:t>5: Experienced chronic pain</w:t>
      </w:r>
      <w:r w:rsidR="00760E5A">
        <w:t>,</w:t>
      </w:r>
      <w:r w:rsidR="00760E5A" w:rsidRPr="00181EF3">
        <w:t xml:space="preserve"> </w:t>
      </w:r>
      <w:r w:rsidR="00760E5A">
        <w:t>15+ years</w:t>
      </w:r>
      <w:r w:rsidR="00760E5A" w:rsidRPr="00181EF3">
        <w:t xml:space="preserve">, by </w:t>
      </w:r>
      <w:r w:rsidR="00760E5A">
        <w:t>gender</w:t>
      </w:r>
      <w:r w:rsidR="00760E5A" w:rsidRPr="00181EF3">
        <w:t xml:space="preserve">, </w:t>
      </w:r>
      <w:r w:rsidR="00760E5A">
        <w:t xml:space="preserve">Māori and </w:t>
      </w:r>
      <w:r w:rsidR="00EC03A3">
        <w:t>non</w:t>
      </w:r>
      <w:r w:rsidR="00EC03A3">
        <w:noBreakHyphen/>
        <w:t>M</w:t>
      </w:r>
      <w:r w:rsidR="00760E5A">
        <w:t>āori</w:t>
      </w:r>
      <w:r w:rsidR="00760E5A" w:rsidRPr="00181EF3">
        <w:t>,</w:t>
      </w:r>
      <w:r w:rsidR="00760E5A">
        <w:t xml:space="preserve"> </w:t>
      </w:r>
      <w:r w:rsidR="00760E5A" w:rsidRPr="00181EF3">
        <w:t>2006/07–2016/17</w:t>
      </w:r>
      <w:bookmarkEnd w:id="226"/>
    </w:p>
    <w:p w14:paraId="0AABF7D7" w14:textId="77777777" w:rsidR="00103328" w:rsidRPr="00EB3D06" w:rsidRDefault="00103328" w:rsidP="00103328">
      <w:pPr>
        <w:rPr>
          <w:lang w:eastAsia="en-NZ"/>
        </w:rPr>
      </w:pPr>
      <w:r w:rsidRPr="00EB3D06">
        <w:rPr>
          <w:noProof/>
          <w:lang w:eastAsia="en-NZ"/>
        </w:rPr>
        <w:drawing>
          <wp:inline distT="0" distB="0" distL="0" distR="0" wp14:anchorId="7D999F07" wp14:editId="37DF6D2D">
            <wp:extent cx="5130165" cy="2613315"/>
            <wp:effectExtent l="0" t="0" r="0" b="0"/>
            <wp:docPr id="454" name="Picture 454" descr="Māori men and women mostly experience more chronic pain than non-Māori men and women. Māori women had the same rate of chronic pain as non-Māori women in 2014/15, but since then the rate for non-Māori women has gone down slightly, while the rate for Māori women has seen a big increase, outpacing the steadily growing rate for Māori men." title="Figure 75: Experienced chronic pain – adults, age-standardised percentages (%), by sex, 2006/07–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130165" cy="2613315"/>
                    </a:xfrm>
                    <a:prstGeom prst="rect">
                      <a:avLst/>
                    </a:prstGeom>
                  </pic:spPr>
                </pic:pic>
              </a:graphicData>
            </a:graphic>
          </wp:inline>
        </w:drawing>
      </w:r>
    </w:p>
    <w:p w14:paraId="79FE7AF2" w14:textId="77777777" w:rsidR="008A5642" w:rsidRDefault="00760E5A" w:rsidP="00B6364B">
      <w:pPr>
        <w:pStyle w:val="Note"/>
        <w:ind w:left="0" w:firstLine="0"/>
        <w:rPr>
          <w:rFonts w:eastAsia="Calibri"/>
        </w:rPr>
      </w:pPr>
      <w:r w:rsidRPr="00892068">
        <w:rPr>
          <w:rFonts w:eastAsia="Calibri"/>
        </w:rPr>
        <w:t>Notes:</w:t>
      </w:r>
    </w:p>
    <w:p w14:paraId="779ED4B8" w14:textId="2B534A1E" w:rsidR="008A5642" w:rsidRDefault="00446D86" w:rsidP="00B6364B">
      <w:pPr>
        <w:pStyle w:val="Note"/>
        <w:ind w:left="0" w:firstLine="0"/>
        <w:rPr>
          <w:rFonts w:eastAsia="Calibri"/>
        </w:rPr>
      </w:pPr>
      <w:r>
        <w:rPr>
          <w:rFonts w:eastAsia="Calibri"/>
        </w:rPr>
        <w:t>Figures are age-standardised to the 2001 Census total Māori population</w:t>
      </w:r>
      <w:r w:rsidR="00760E5A" w:rsidRPr="00892068">
        <w:rPr>
          <w:rFonts w:eastAsia="Calibri"/>
        </w:rPr>
        <w:t>.</w:t>
      </w:r>
    </w:p>
    <w:p w14:paraId="0E5C67ED" w14:textId="32BF8003" w:rsidR="00760E5A" w:rsidRPr="00892068" w:rsidRDefault="00760E5A" w:rsidP="00B6364B">
      <w:pPr>
        <w:pStyle w:val="Note"/>
        <w:ind w:left="0" w:firstLine="0"/>
        <w:rPr>
          <w:rFonts w:eastAsia="Calibri"/>
        </w:rPr>
      </w:pPr>
      <w:r w:rsidRPr="00892068">
        <w:rPr>
          <w:rFonts w:eastAsia="Calibri"/>
        </w:rPr>
        <w:t>Prioritised ethnicity has been used.</w:t>
      </w:r>
    </w:p>
    <w:p w14:paraId="56FC2E5E" w14:textId="77777777" w:rsidR="008A5642" w:rsidRDefault="00760E5A" w:rsidP="00B6364B">
      <w:pPr>
        <w:pStyle w:val="Note"/>
        <w:ind w:left="0" w:firstLine="0"/>
        <w:rPr>
          <w:rFonts w:eastAsia="Calibri"/>
        </w:rPr>
      </w:pPr>
      <w:r w:rsidRPr="00892068">
        <w:rPr>
          <w:rFonts w:eastAsia="Calibri"/>
        </w:rPr>
        <w:t>If the confidence intervals of two rates do not overlap, the difference in rates is said to be statistically significant.</w:t>
      </w:r>
    </w:p>
    <w:p w14:paraId="7BC1CF10" w14:textId="23538AAF" w:rsidR="00760E5A" w:rsidRDefault="00760E5A" w:rsidP="00B6364B">
      <w:pPr>
        <w:pStyle w:val="Note"/>
        <w:ind w:left="0" w:firstLine="0"/>
      </w:pPr>
      <w:r w:rsidRPr="00892068">
        <w:rPr>
          <w:rFonts w:eastAsia="Calibri"/>
        </w:rPr>
        <w:t xml:space="preserve">Source: </w:t>
      </w:r>
      <w:r w:rsidR="009116B8">
        <w:rPr>
          <w:rFonts w:eastAsia="Calibri"/>
        </w:rPr>
        <w:t>New Zealand Health Survey (NZHS), Ministry of Health, 2006/07–2016/17.</w:t>
      </w:r>
    </w:p>
    <w:p w14:paraId="55318BE7" w14:textId="77777777" w:rsidR="00103328" w:rsidRPr="00181EF3" w:rsidRDefault="00103328" w:rsidP="00103328">
      <w:pPr>
        <w:rPr>
          <w:noProof/>
          <w:lang w:eastAsia="en-NZ"/>
        </w:rPr>
      </w:pPr>
    </w:p>
    <w:p w14:paraId="68D0F6C1" w14:textId="6B316595" w:rsidR="00103328" w:rsidRPr="00181EF3" w:rsidRDefault="00103328" w:rsidP="00103328">
      <w:pPr>
        <w:rPr>
          <w:noProof/>
          <w:lang w:eastAsia="en-NZ"/>
        </w:rPr>
      </w:pPr>
      <w:r w:rsidRPr="00181EF3">
        <w:rPr>
          <w:noProof/>
          <w:lang w:eastAsia="en-NZ"/>
        </w:rPr>
        <w:t xml:space="preserve">Figure </w:t>
      </w:r>
      <w:r w:rsidR="00760E5A">
        <w:rPr>
          <w:noProof/>
          <w:lang w:eastAsia="en-NZ"/>
        </w:rPr>
        <w:t>7</w:t>
      </w:r>
      <w:r w:rsidRPr="00181EF3">
        <w:rPr>
          <w:noProof/>
          <w:lang w:eastAsia="en-NZ"/>
        </w:rPr>
        <w:t>5 shows that there have been differences in the reported experience of chronic pain between ethnicities for both males and females.</w:t>
      </w:r>
    </w:p>
    <w:p w14:paraId="33974226" w14:textId="77777777" w:rsidR="00103328" w:rsidRPr="00181EF3" w:rsidRDefault="00103328" w:rsidP="00103328">
      <w:pPr>
        <w:rPr>
          <w:noProof/>
          <w:lang w:eastAsia="en-NZ"/>
        </w:rPr>
      </w:pPr>
    </w:p>
    <w:p w14:paraId="4CD18532" w14:textId="314E01B8" w:rsidR="00103328" w:rsidRPr="00181EF3" w:rsidRDefault="00103328" w:rsidP="00103328">
      <w:pPr>
        <w:rPr>
          <w:noProof/>
          <w:lang w:eastAsia="en-NZ"/>
        </w:rPr>
      </w:pPr>
      <w:r w:rsidRPr="00181EF3">
        <w:rPr>
          <w:noProof/>
          <w:lang w:eastAsia="en-NZ"/>
        </w:rPr>
        <w:t xml:space="preserve">Māori males have been more likely to report experiencing chronic pain than </w:t>
      </w:r>
      <w:r w:rsidR="00EC03A3">
        <w:rPr>
          <w:noProof/>
          <w:lang w:eastAsia="en-NZ"/>
        </w:rPr>
        <w:t>non</w:t>
      </w:r>
      <w:r w:rsidR="00EC03A3">
        <w:rPr>
          <w:noProof/>
          <w:lang w:eastAsia="en-NZ"/>
        </w:rPr>
        <w:noBreakHyphen/>
        <w:t>M</w:t>
      </w:r>
      <w:r w:rsidRPr="00181EF3">
        <w:rPr>
          <w:noProof/>
          <w:lang w:eastAsia="en-NZ"/>
        </w:rPr>
        <w:t xml:space="preserve">āori males from 2011/12 onwards. The percentage of males reporting having experienced chronic pain has increased over time for both Māori and </w:t>
      </w:r>
      <w:r w:rsidR="00EC03A3">
        <w:rPr>
          <w:noProof/>
          <w:lang w:eastAsia="en-NZ"/>
        </w:rPr>
        <w:t>non</w:t>
      </w:r>
      <w:r w:rsidR="00EC03A3">
        <w:rPr>
          <w:noProof/>
          <w:lang w:eastAsia="en-NZ"/>
        </w:rPr>
        <w:noBreakHyphen/>
        <w:t>M</w:t>
      </w:r>
      <w:r w:rsidRPr="00181EF3">
        <w:rPr>
          <w:noProof/>
          <w:lang w:eastAsia="en-NZ"/>
        </w:rPr>
        <w:t xml:space="preserve">āori at a similar rate, meaning the ratio of Māori males reporting having experienced chronic pain compared </w:t>
      </w:r>
      <w:r w:rsidR="00FF1892">
        <w:rPr>
          <w:noProof/>
          <w:lang w:eastAsia="en-NZ"/>
        </w:rPr>
        <w:t>with</w:t>
      </w:r>
      <w:r w:rsidR="00FF1892" w:rsidRPr="00181EF3">
        <w:rPr>
          <w:noProof/>
          <w:lang w:eastAsia="en-NZ"/>
        </w:rPr>
        <w:t xml:space="preserve"> </w:t>
      </w:r>
      <w:r w:rsidR="00EC03A3">
        <w:rPr>
          <w:noProof/>
          <w:lang w:eastAsia="en-NZ"/>
        </w:rPr>
        <w:t>non</w:t>
      </w:r>
      <w:r w:rsidR="00EC03A3">
        <w:rPr>
          <w:noProof/>
          <w:lang w:eastAsia="en-NZ"/>
        </w:rPr>
        <w:noBreakHyphen/>
        <w:t>M</w:t>
      </w:r>
      <w:r w:rsidRPr="00181EF3">
        <w:rPr>
          <w:noProof/>
          <w:lang w:eastAsia="en-NZ"/>
        </w:rPr>
        <w:t xml:space="preserve">āori males has stayed fairly similar. Māori males have been about 1.4 times as likely to report having experienced chronic pain as </w:t>
      </w:r>
      <w:r w:rsidR="00EC03A3">
        <w:rPr>
          <w:noProof/>
          <w:lang w:eastAsia="en-NZ"/>
        </w:rPr>
        <w:t>non</w:t>
      </w:r>
      <w:r w:rsidR="00EC03A3">
        <w:rPr>
          <w:noProof/>
          <w:lang w:eastAsia="en-NZ"/>
        </w:rPr>
        <w:noBreakHyphen/>
        <w:t>M</w:t>
      </w:r>
      <w:r w:rsidRPr="00181EF3">
        <w:rPr>
          <w:noProof/>
          <w:lang w:eastAsia="en-NZ"/>
        </w:rPr>
        <w:t>āori males.</w:t>
      </w:r>
    </w:p>
    <w:p w14:paraId="1CEF9D64" w14:textId="77777777" w:rsidR="00103328" w:rsidRPr="00181EF3" w:rsidRDefault="00103328" w:rsidP="00103328">
      <w:pPr>
        <w:rPr>
          <w:noProof/>
          <w:lang w:eastAsia="en-NZ"/>
        </w:rPr>
      </w:pPr>
    </w:p>
    <w:p w14:paraId="2F75D115" w14:textId="0CFB05FA" w:rsidR="00103328" w:rsidRDefault="00103328" w:rsidP="00103328">
      <w:pPr>
        <w:rPr>
          <w:noProof/>
          <w:lang w:eastAsia="en-NZ"/>
        </w:rPr>
      </w:pPr>
      <w:r w:rsidRPr="00181EF3">
        <w:rPr>
          <w:noProof/>
          <w:lang w:eastAsia="en-NZ"/>
        </w:rPr>
        <w:t xml:space="preserve">The percentage of females reporting having experienced chronic pain has also increased over time, regardless of ethnicity. Figure </w:t>
      </w:r>
      <w:r w:rsidR="00760E5A">
        <w:rPr>
          <w:noProof/>
          <w:lang w:eastAsia="en-NZ"/>
        </w:rPr>
        <w:t>7</w:t>
      </w:r>
      <w:r w:rsidRPr="00181EF3">
        <w:rPr>
          <w:noProof/>
          <w:lang w:eastAsia="en-NZ"/>
        </w:rPr>
        <w:t xml:space="preserve">5 shows that Māori females were more likely to report having experienced chronic pain than </w:t>
      </w:r>
      <w:r w:rsidR="00EC03A3">
        <w:rPr>
          <w:noProof/>
          <w:lang w:eastAsia="en-NZ"/>
        </w:rPr>
        <w:t>non</w:t>
      </w:r>
      <w:r w:rsidR="00EC03A3">
        <w:rPr>
          <w:noProof/>
          <w:lang w:eastAsia="en-NZ"/>
        </w:rPr>
        <w:noBreakHyphen/>
        <w:t>M</w:t>
      </w:r>
      <w:r w:rsidRPr="00181EF3">
        <w:rPr>
          <w:noProof/>
          <w:lang w:eastAsia="en-NZ"/>
        </w:rPr>
        <w:t xml:space="preserve">āori females in 2012/13, 2015/16, and 2016/17. The difference between the percentage of Māori females experiencing chronic pain compared </w:t>
      </w:r>
      <w:r w:rsidR="00FF1892">
        <w:rPr>
          <w:noProof/>
          <w:lang w:eastAsia="en-NZ"/>
        </w:rPr>
        <w:t>with</w:t>
      </w:r>
      <w:r w:rsidR="00FF1892" w:rsidRPr="00181EF3">
        <w:rPr>
          <w:noProof/>
          <w:lang w:eastAsia="en-NZ"/>
        </w:rPr>
        <w:t xml:space="preserve"> </w:t>
      </w:r>
      <w:r w:rsidR="00EC03A3">
        <w:rPr>
          <w:noProof/>
          <w:lang w:eastAsia="en-NZ"/>
        </w:rPr>
        <w:t>non</w:t>
      </w:r>
      <w:r w:rsidR="00EC03A3">
        <w:rPr>
          <w:noProof/>
          <w:lang w:eastAsia="en-NZ"/>
        </w:rPr>
        <w:noBreakHyphen/>
        <w:t>M</w:t>
      </w:r>
      <w:r w:rsidRPr="00181EF3">
        <w:rPr>
          <w:noProof/>
          <w:lang w:eastAsia="en-NZ"/>
        </w:rPr>
        <w:t>āori females has increased, particularly since 2015/16.</w:t>
      </w:r>
    </w:p>
    <w:p w14:paraId="55E2DE9B" w14:textId="680889AC" w:rsidR="00D94778" w:rsidRDefault="00D94778">
      <w:pPr>
        <w:rPr>
          <w:highlight w:val="yellow"/>
        </w:rPr>
      </w:pPr>
    </w:p>
    <w:p w14:paraId="7B82C130" w14:textId="77777777" w:rsidR="00D94778" w:rsidRPr="00181EF3" w:rsidRDefault="00D94778" w:rsidP="00C12AA5">
      <w:pPr>
        <w:pStyle w:val="Heading2"/>
        <w:pageBreakBefore/>
        <w:spacing w:before="0"/>
        <w:rPr>
          <w:noProof/>
          <w:lang w:eastAsia="en-NZ"/>
        </w:rPr>
      </w:pPr>
      <w:bookmarkStart w:id="227" w:name="_Toc14718630"/>
      <w:bookmarkStart w:id="228" w:name="_Toc14775053"/>
      <w:bookmarkStart w:id="229" w:name="_Toc19102369"/>
      <w:r w:rsidRPr="00181EF3">
        <w:rPr>
          <w:noProof/>
          <w:lang w:eastAsia="en-NZ"/>
        </w:rPr>
        <w:lastRenderedPageBreak/>
        <w:t>Dementia mortality</w:t>
      </w:r>
      <w:bookmarkEnd w:id="227"/>
      <w:bookmarkEnd w:id="228"/>
      <w:bookmarkEnd w:id="229"/>
    </w:p>
    <w:p w14:paraId="4384DD61" w14:textId="2D77E2BB" w:rsidR="008A5642" w:rsidRDefault="00D94778" w:rsidP="00D94778">
      <w:pPr>
        <w:rPr>
          <w:spacing w:val="-2"/>
        </w:rPr>
      </w:pPr>
      <w:r w:rsidRPr="00181EF3">
        <w:rPr>
          <w:noProof/>
          <w:spacing w:val="-2"/>
          <w:lang w:eastAsia="en-NZ"/>
        </w:rPr>
        <w:t xml:space="preserve">This </w:t>
      </w:r>
      <w:r>
        <w:rPr>
          <w:noProof/>
          <w:spacing w:val="-2"/>
          <w:lang w:eastAsia="en-NZ"/>
        </w:rPr>
        <w:t>section</w:t>
      </w:r>
      <w:r w:rsidRPr="00181EF3">
        <w:rPr>
          <w:noProof/>
          <w:spacing w:val="-2"/>
          <w:lang w:eastAsia="en-NZ"/>
        </w:rPr>
        <w:t xml:space="preserve"> presents results over time for the rate of deaths due to dementia (including </w:t>
      </w:r>
      <w:r w:rsidRPr="00181EF3">
        <w:rPr>
          <w:spacing w:val="-2"/>
        </w:rPr>
        <w:t xml:space="preserve">Alzheimer’s disease) for Māori versus </w:t>
      </w:r>
      <w:r w:rsidR="00EC03A3">
        <w:rPr>
          <w:spacing w:val="-2"/>
        </w:rPr>
        <w:t>non</w:t>
      </w:r>
      <w:r w:rsidR="00EC03A3">
        <w:rPr>
          <w:spacing w:val="-2"/>
        </w:rPr>
        <w:noBreakHyphen/>
        <w:t>M</w:t>
      </w:r>
      <w:r w:rsidRPr="00181EF3">
        <w:rPr>
          <w:spacing w:val="-2"/>
        </w:rPr>
        <w:t>āori.</w:t>
      </w:r>
    </w:p>
    <w:p w14:paraId="711BA46E" w14:textId="238BC157" w:rsidR="00D94778" w:rsidRPr="00181EF3" w:rsidRDefault="00D94778" w:rsidP="00D94778"/>
    <w:p w14:paraId="4C800167" w14:textId="29AACBBF" w:rsidR="00D94778" w:rsidRPr="00181EF3" w:rsidRDefault="00D94778" w:rsidP="00D94778">
      <w:r w:rsidRPr="00181EF3">
        <w:t>Dementia is a gradual loss of brain function due to physical changes in the structure of a person’s brain. There are many causes of dementia, but the most common is Alzheimer’s disease. A person can have a combination of different causes of dementia, and each cause tends to affect particular areas of the brain and will cause different changes in a person’s behaviour</w:t>
      </w:r>
      <w:r w:rsidR="00A23AFA">
        <w:t xml:space="preserve"> (Ministry of Health 2018b)</w:t>
      </w:r>
      <w:r w:rsidRPr="00181EF3">
        <w:t>.</w:t>
      </w:r>
    </w:p>
    <w:p w14:paraId="65C2A68E" w14:textId="77777777" w:rsidR="00D94778" w:rsidRPr="00181EF3" w:rsidRDefault="00D94778" w:rsidP="00D94778">
      <w:pPr>
        <w:rPr>
          <w:noProof/>
          <w:lang w:eastAsia="en-NZ"/>
        </w:rPr>
      </w:pPr>
    </w:p>
    <w:p w14:paraId="777C8321" w14:textId="5395820B" w:rsidR="00D94778" w:rsidRPr="00181EF3" w:rsidRDefault="00D94778" w:rsidP="00D94778">
      <w:pPr>
        <w:rPr>
          <w:noProof/>
          <w:color w:val="000000" w:themeColor="text1"/>
          <w:lang w:eastAsia="en-NZ"/>
        </w:rPr>
      </w:pPr>
      <w:r w:rsidRPr="00181EF3">
        <w:t>Dementia is not a normal part of the ageing process. However, it is much more common for people over the age of 65</w:t>
      </w:r>
      <w:r w:rsidR="00A23AFA">
        <w:t xml:space="preserve"> (Ministry of Health 2018b)</w:t>
      </w:r>
      <w:r w:rsidRPr="00181EF3">
        <w:t>, so the data presented here focuses on dementia mortality for people over 65 years of age.</w:t>
      </w:r>
    </w:p>
    <w:p w14:paraId="7EBF7841" w14:textId="77777777" w:rsidR="00D94778" w:rsidRPr="00181EF3" w:rsidRDefault="00D94778" w:rsidP="00D94778">
      <w:pPr>
        <w:rPr>
          <w:noProof/>
          <w:lang w:eastAsia="en-NZ"/>
        </w:rPr>
      </w:pPr>
    </w:p>
    <w:p w14:paraId="12754BC7" w14:textId="77777777" w:rsidR="00D94778" w:rsidRPr="00181EF3" w:rsidRDefault="00D94778" w:rsidP="00D94778">
      <w:pPr>
        <w:pStyle w:val="Heading3"/>
      </w:pPr>
      <w:bookmarkStart w:id="230" w:name="_Toc19102370"/>
      <w:r w:rsidRPr="00181EF3">
        <w:t>What is the data telling us?</w:t>
      </w:r>
      <w:bookmarkEnd w:id="230"/>
    </w:p>
    <w:p w14:paraId="38E8D601" w14:textId="5B5D4684" w:rsidR="00D94778" w:rsidRPr="00181EF3" w:rsidRDefault="00D94778" w:rsidP="00D94778">
      <w:pPr>
        <w:pStyle w:val="Shadedboxbullet"/>
        <w:ind w:left="568" w:hanging="284"/>
      </w:pPr>
      <w:r w:rsidRPr="00181EF3">
        <w:t xml:space="preserve">Dementia mortality for people over 65 years of age has increased over time for both Māori and </w:t>
      </w:r>
      <w:r w:rsidR="00EC03A3">
        <w:t>non</w:t>
      </w:r>
      <w:r w:rsidR="00EC03A3">
        <w:noBreakHyphen/>
        <w:t>M</w:t>
      </w:r>
      <w:r w:rsidRPr="00181EF3">
        <w:t>āori.</w:t>
      </w:r>
    </w:p>
    <w:p w14:paraId="5766AD7E" w14:textId="77777777" w:rsidR="00D94778" w:rsidRPr="00181EF3" w:rsidRDefault="00D94778" w:rsidP="00D94778">
      <w:pPr>
        <w:pStyle w:val="Shadedboxbullet"/>
        <w:ind w:left="568" w:hanging="284"/>
      </w:pPr>
      <w:r w:rsidRPr="00181EF3">
        <w:t>The rate of increase has been more rapid for Māori.</w:t>
      </w:r>
    </w:p>
    <w:p w14:paraId="191A9F68" w14:textId="23E38D3E" w:rsidR="00D94778" w:rsidRPr="00181EF3" w:rsidRDefault="00D94778" w:rsidP="00D94778">
      <w:pPr>
        <w:pStyle w:val="Shadedboxbullet"/>
        <w:ind w:left="568" w:hanging="284"/>
      </w:pPr>
      <w:r w:rsidRPr="00181EF3">
        <w:t xml:space="preserve">In general, the data does not show any statistically significant differences in the dementia mortality rates between Māori and </w:t>
      </w:r>
      <w:r w:rsidR="00EC03A3">
        <w:t>non</w:t>
      </w:r>
      <w:r w:rsidR="00EC03A3">
        <w:noBreakHyphen/>
        <w:t>M</w:t>
      </w:r>
      <w:r w:rsidRPr="00181EF3">
        <w:t>āori.</w:t>
      </w:r>
    </w:p>
    <w:p w14:paraId="2D620A16" w14:textId="77777777" w:rsidR="00D94778" w:rsidRPr="00181EF3" w:rsidRDefault="00D94778" w:rsidP="00D94778">
      <w:pPr>
        <w:pStyle w:val="Shadedboxbullet"/>
        <w:ind w:left="568" w:hanging="284"/>
      </w:pPr>
      <w:r w:rsidRPr="00181EF3">
        <w:t>In general, females have higher rates of dementia mortality than males.</w:t>
      </w:r>
    </w:p>
    <w:p w14:paraId="2529B567" w14:textId="77777777" w:rsidR="00D94778" w:rsidRPr="00181EF3" w:rsidRDefault="00D94778" w:rsidP="00D94778"/>
    <w:p w14:paraId="256BF303" w14:textId="77777777" w:rsidR="00D94778" w:rsidRPr="00181EF3" w:rsidRDefault="00D94778" w:rsidP="005B6F74">
      <w:pPr>
        <w:pStyle w:val="Heading3"/>
        <w:pageBreakBefore/>
        <w:spacing w:before="0"/>
      </w:pPr>
      <w:bookmarkStart w:id="231" w:name="_Toc19102371"/>
      <w:r w:rsidRPr="00181EF3">
        <w:lastRenderedPageBreak/>
        <w:t>Issues with the data</w:t>
      </w:r>
      <w:bookmarkEnd w:id="231"/>
    </w:p>
    <w:p w14:paraId="395678E1" w14:textId="77777777" w:rsidR="00D94778" w:rsidRPr="00181EF3" w:rsidRDefault="00D94778" w:rsidP="00D94778">
      <w:r w:rsidRPr="00181EF3">
        <w:t>Reliability issues arise from using dementia mortality as an indicator of the prevalence of dementia, as dementia is unlikely to be recorded as a primary cause of death. For example, if a person with dementia dies from an injury such as a hip fracture, the cause of the accident or incident leading to that injury (such as a fall) will be recorded as the cause of death. This means the numbers of dementia mortality regardless of ethnicity is small, and is potentially only capturing a small proportion of people dying as a result of dementia.</w:t>
      </w:r>
    </w:p>
    <w:p w14:paraId="456831D2" w14:textId="77777777" w:rsidR="00D94778" w:rsidRPr="00181EF3" w:rsidRDefault="00D94778" w:rsidP="00D94778">
      <w:pPr>
        <w:autoSpaceDE w:val="0"/>
        <w:autoSpaceDN w:val="0"/>
        <w:adjustRightInd w:val="0"/>
        <w:rPr>
          <w:rFonts w:cs="Arial Mäori"/>
          <w:color w:val="000000"/>
        </w:rPr>
      </w:pPr>
    </w:p>
    <w:p w14:paraId="494C1636" w14:textId="19ED59B8" w:rsidR="00D94778" w:rsidRPr="00181EF3" w:rsidRDefault="00D94778" w:rsidP="00D94778">
      <w:r w:rsidRPr="00181EF3">
        <w:t>There are also a variety of possible issues with dementia diagnosis, and it is not yet known how this might affect ethnic populations differently.</w:t>
      </w:r>
      <w:r w:rsidRPr="00AA2862">
        <w:rPr>
          <w:rFonts w:cs="Segoe UI"/>
        </w:rPr>
        <w:t xml:space="preserve"> </w:t>
      </w:r>
      <w:r w:rsidRPr="00F91865">
        <w:rPr>
          <w:rFonts w:cs="Segoe UI"/>
          <w:sz w:val="20"/>
        </w:rPr>
        <w:t>T</w:t>
      </w:r>
      <w:r w:rsidRPr="00181EF3">
        <w:t>he diagnosis of dementia is complex. In most high income countries, it is estimated that 50 to 60 percent of cases of dementia are undiagnosed</w:t>
      </w:r>
      <w:r w:rsidR="00A23AFA">
        <w:t xml:space="preserve"> (Prince et al 2016)</w:t>
      </w:r>
      <w:r w:rsidRPr="00181EF3">
        <w:t>. There are a variety of reasons for this, including issues with stigma, lack of community education, and reluctance to give a diagnosis where limited support is available to people who have dementia</w:t>
      </w:r>
      <w:r w:rsidR="009A2BA1">
        <w:t xml:space="preserve"> (Dyall 2014)</w:t>
      </w:r>
      <w:r w:rsidRPr="00181EF3">
        <w:t>. Additionally, researchers have suggested the diagnostic tools for dementia are not always appropriate for Māori, potentially resulting in further misdiagnosis</w:t>
      </w:r>
      <w:r w:rsidR="009A2BA1">
        <w:t xml:space="preserve"> (Brain Research New Zealand n.d.)</w:t>
      </w:r>
      <w:r w:rsidRPr="00181EF3">
        <w:t>. As noted above, there is also a relationship between older age and the development of dementia</w:t>
      </w:r>
      <w:r w:rsidR="009A2BA1">
        <w:t xml:space="preserve"> (Ministry of Health 2018b)</w:t>
      </w:r>
      <w:r w:rsidRPr="00181EF3">
        <w:t>. Although it has been suggested that the higher exposure to socioeconomic and co</w:t>
      </w:r>
      <w:r w:rsidRPr="00181EF3">
        <w:noBreakHyphen/>
        <w:t>morbidity risk factors in similar indigenous populations may lead to a higher risk of dementia</w:t>
      </w:r>
      <w:r w:rsidR="009A2BA1">
        <w:t xml:space="preserve"> (Jacklin et al 2013)</w:t>
      </w:r>
      <w:r w:rsidRPr="00181EF3">
        <w:t xml:space="preserve">, Māori may be less likely to develop/be diagnosed with dementia due to the lower life expectancy of Māori compared </w:t>
      </w:r>
      <w:r w:rsidR="00F35CC4">
        <w:t>with</w:t>
      </w:r>
      <w:r w:rsidR="00F35CC4" w:rsidRPr="00181EF3">
        <w:t xml:space="preserve"> </w:t>
      </w:r>
      <w:r w:rsidR="00EC03A3">
        <w:t>non</w:t>
      </w:r>
      <w:r w:rsidR="00EC03A3">
        <w:noBreakHyphen/>
        <w:t>M</w:t>
      </w:r>
      <w:r w:rsidRPr="00181EF3">
        <w:t>āori.</w:t>
      </w:r>
    </w:p>
    <w:p w14:paraId="06FCF60E" w14:textId="77777777" w:rsidR="00D94778" w:rsidRPr="00181EF3" w:rsidRDefault="00D94778" w:rsidP="00D94778">
      <w:pPr>
        <w:rPr>
          <w:rFonts w:cs="Arial Mäori"/>
          <w:color w:val="000000"/>
        </w:rPr>
      </w:pPr>
    </w:p>
    <w:p w14:paraId="317821CC" w14:textId="575F7108" w:rsidR="00D94778" w:rsidRPr="00181EF3" w:rsidRDefault="00D94778" w:rsidP="00D94778">
      <w:pPr>
        <w:rPr>
          <w:rFonts w:cs="Arial Mäori"/>
          <w:color w:val="000000"/>
        </w:rPr>
      </w:pPr>
      <w:r w:rsidRPr="00181EF3">
        <w:rPr>
          <w:rFonts w:cs="Arial Mäori"/>
          <w:color w:val="000000"/>
        </w:rPr>
        <w:t xml:space="preserve">This may contribute to the very small numbers of dementia mortality for Māori compared </w:t>
      </w:r>
      <w:r w:rsidR="00FF1892">
        <w:rPr>
          <w:rFonts w:cs="Arial Mäori"/>
          <w:color w:val="000000"/>
        </w:rPr>
        <w:t>with</w:t>
      </w:r>
      <w:r w:rsidR="00FF1892" w:rsidRPr="00181EF3">
        <w:rPr>
          <w:rFonts w:cs="Arial Mäori"/>
          <w:color w:val="000000"/>
        </w:rPr>
        <w:t xml:space="preserve"> </w:t>
      </w:r>
      <w:r w:rsidRPr="00181EF3">
        <w:rPr>
          <w:rFonts w:cs="Arial Mäori"/>
          <w:color w:val="000000"/>
        </w:rPr>
        <w:t xml:space="preserve">the numbers for </w:t>
      </w:r>
      <w:r w:rsidR="00EC03A3">
        <w:rPr>
          <w:rFonts w:cs="Arial Mäori"/>
          <w:color w:val="000000"/>
        </w:rPr>
        <w:t>non</w:t>
      </w:r>
      <w:r w:rsidR="00EC03A3">
        <w:rPr>
          <w:rFonts w:cs="Arial Mäori"/>
          <w:color w:val="000000"/>
        </w:rPr>
        <w:noBreakHyphen/>
        <w:t>M</w:t>
      </w:r>
      <w:r w:rsidRPr="00181EF3">
        <w:rPr>
          <w:rFonts w:cs="Arial Mäori"/>
          <w:color w:val="000000"/>
        </w:rPr>
        <w:t xml:space="preserve">āori. </w:t>
      </w:r>
      <w:r w:rsidRPr="00181EF3">
        <w:t>It is worth noting that a small number means the confidence interval for dementia mortality</w:t>
      </w:r>
      <w:r w:rsidR="00251A8D">
        <w:t xml:space="preserve"> rates</w:t>
      </w:r>
      <w:r w:rsidRPr="00181EF3">
        <w:t xml:space="preserve"> for Māori is very large. This means it is difficult to paint a clear picture of statistically significant differences between ethnicities, but does not necessarily mean that these differences do not exist. The incidence of dementia in Māori may increase more rapidly than in </w:t>
      </w:r>
      <w:r w:rsidR="00EC03A3">
        <w:t>non</w:t>
      </w:r>
      <w:r w:rsidR="00EC03A3">
        <w:noBreakHyphen/>
        <w:t>M</w:t>
      </w:r>
      <w:r w:rsidRPr="00181EF3">
        <w:t>āori in years to come, due to a higher prevalence of risk factors for the development of dementia, such as heart and lung disease and socioeconomic inequality, coupled with a more rapidly ageing population</w:t>
      </w:r>
      <w:r w:rsidR="009A2BA1">
        <w:t xml:space="preserve"> (Kerse et al 2017)</w:t>
      </w:r>
      <w:r w:rsidRPr="00181EF3">
        <w:t>.</w:t>
      </w:r>
    </w:p>
    <w:p w14:paraId="68B5571D" w14:textId="77777777" w:rsidR="00D94778" w:rsidRPr="00181EF3" w:rsidRDefault="00D94778" w:rsidP="00D94778"/>
    <w:p w14:paraId="0FDBE2BB" w14:textId="77777777" w:rsidR="00D94778" w:rsidRPr="00181EF3" w:rsidRDefault="00D94778" w:rsidP="00D94778">
      <w:pPr>
        <w:pStyle w:val="Heading3"/>
      </w:pPr>
      <w:bookmarkStart w:id="232" w:name="_Toc19102372"/>
      <w:r w:rsidRPr="00181EF3">
        <w:lastRenderedPageBreak/>
        <w:t>Dementia mortality</w:t>
      </w:r>
      <w:bookmarkEnd w:id="232"/>
    </w:p>
    <w:p w14:paraId="0195E8B1" w14:textId="669A3DFF" w:rsidR="00D94778" w:rsidRPr="00181EF3" w:rsidRDefault="00D94778" w:rsidP="00D94778">
      <w:pPr>
        <w:pStyle w:val="Figure"/>
      </w:pPr>
      <w:bookmarkStart w:id="233" w:name="_Toc19101927"/>
      <w:r w:rsidRPr="00181EF3">
        <w:t xml:space="preserve">Figure </w:t>
      </w:r>
      <w:r>
        <w:t>76</w:t>
      </w:r>
      <w:r w:rsidRPr="00181EF3">
        <w:t xml:space="preserve">: </w:t>
      </w:r>
      <w:r>
        <w:t>D</w:t>
      </w:r>
      <w:r w:rsidRPr="00181EF3">
        <w:t xml:space="preserve">ementia (including Alzheimer’s Disease) mortality rates, 65+ years, Māori and </w:t>
      </w:r>
      <w:r w:rsidR="00EC03A3">
        <w:t>non</w:t>
      </w:r>
      <w:r w:rsidR="00EC03A3">
        <w:noBreakHyphen/>
        <w:t>M</w:t>
      </w:r>
      <w:r w:rsidRPr="00181EF3">
        <w:t>āori, 1996–98 to 2012–14</w:t>
      </w:r>
      <w:bookmarkEnd w:id="233"/>
    </w:p>
    <w:p w14:paraId="6F0C9016" w14:textId="77777777" w:rsidR="00D94778" w:rsidRPr="00181EF3" w:rsidRDefault="00D94778" w:rsidP="00D94778">
      <w:r w:rsidRPr="00181EF3">
        <w:rPr>
          <w:noProof/>
          <w:lang w:eastAsia="en-NZ"/>
        </w:rPr>
        <w:drawing>
          <wp:inline distT="0" distB="0" distL="0" distR="0" wp14:anchorId="2B57E361" wp14:editId="2A78430A">
            <wp:extent cx="5130165" cy="2946008"/>
            <wp:effectExtent l="0" t="0" r="0" b="6985"/>
            <wp:docPr id="456" name="Picture 456" descr="Māori and non-Māori experience dementia at about the same rates, steadily increasing over time, with the Māori rate outpacing the non-Māori rate since 2010." title="Figure 76: Age-standardised dementia (including Alzheimer’s Disease) mortality rates, age 65+ years, Māori and non-Māori, 1996–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130165" cy="2946008"/>
                    </a:xfrm>
                    <a:prstGeom prst="rect">
                      <a:avLst/>
                    </a:prstGeom>
                  </pic:spPr>
                </pic:pic>
              </a:graphicData>
            </a:graphic>
          </wp:inline>
        </w:drawing>
      </w:r>
    </w:p>
    <w:p w14:paraId="50008844" w14:textId="77777777" w:rsidR="00D94778" w:rsidRPr="00D94778" w:rsidRDefault="00D94778" w:rsidP="00B6364B">
      <w:pPr>
        <w:pStyle w:val="Note"/>
        <w:ind w:left="0" w:firstLine="0"/>
      </w:pPr>
      <w:r w:rsidRPr="00D94778">
        <w:t>Notes:</w:t>
      </w:r>
    </w:p>
    <w:p w14:paraId="00EA7B8E" w14:textId="3671512D" w:rsidR="008A5642" w:rsidRDefault="00446D86" w:rsidP="00B6364B">
      <w:pPr>
        <w:pStyle w:val="Note"/>
        <w:ind w:left="0" w:firstLine="0"/>
      </w:pPr>
      <w:r>
        <w:t>Figures are age-standardised to the 2001 Census total Māori population</w:t>
      </w:r>
      <w:r w:rsidR="00D94778" w:rsidRPr="00D94778">
        <w:t>.</w:t>
      </w:r>
    </w:p>
    <w:p w14:paraId="09819F2C" w14:textId="5B2DA39C" w:rsidR="00D94778" w:rsidRPr="00D94778" w:rsidRDefault="00D94778" w:rsidP="00B6364B">
      <w:pPr>
        <w:pStyle w:val="Note"/>
        <w:ind w:left="0" w:firstLine="0"/>
      </w:pPr>
      <w:r w:rsidRPr="00D94778">
        <w:t>Prioritised ethnicity has been used.</w:t>
      </w:r>
    </w:p>
    <w:p w14:paraId="1C4DD115" w14:textId="77777777" w:rsidR="008A5642" w:rsidRDefault="00D94778" w:rsidP="00B6364B">
      <w:pPr>
        <w:pStyle w:val="Note"/>
        <w:ind w:left="0" w:firstLine="0"/>
      </w:pPr>
      <w:r w:rsidRPr="00D94778">
        <w:t>If the confidence intervals of two rates do not overlap, the difference in rates is said to be statistically significant.</w:t>
      </w:r>
    </w:p>
    <w:p w14:paraId="1B00B8CC" w14:textId="3E92AEEF" w:rsidR="00D94778" w:rsidRDefault="00D94778" w:rsidP="00B6364B">
      <w:pPr>
        <w:pStyle w:val="Note"/>
        <w:ind w:left="0" w:firstLine="0"/>
      </w:pPr>
      <w:r w:rsidRPr="00D94778">
        <w:t>Source: Mortality Collection Data Set (MORT), Ministry of Health, 1996–98 to 2012–14.</w:t>
      </w:r>
    </w:p>
    <w:p w14:paraId="05BE2861" w14:textId="77777777" w:rsidR="00D94778" w:rsidRPr="00181EF3" w:rsidRDefault="00D94778" w:rsidP="00D94778"/>
    <w:p w14:paraId="6B1FC28A" w14:textId="40642D82" w:rsidR="00931CE4" w:rsidRDefault="00931CE4" w:rsidP="005B6F74">
      <w:r w:rsidRPr="00181EF3">
        <w:t xml:space="preserve">Dementia mortality has increased over time for both Māori and </w:t>
      </w:r>
      <w:r w:rsidR="00EC03A3">
        <w:t>non</w:t>
      </w:r>
      <w:r w:rsidR="00EC03A3">
        <w:noBreakHyphen/>
        <w:t>M</w:t>
      </w:r>
      <w:r w:rsidRPr="00181EF3">
        <w:t xml:space="preserve">āori, but the rate of increase has been slightly more rapid for Māori. In general, the data does not show statistically different rates of dementia mortality for Māori compared </w:t>
      </w:r>
      <w:r w:rsidR="00FF1892">
        <w:t>with</w:t>
      </w:r>
      <w:r w:rsidR="00FF1892" w:rsidRPr="00181EF3">
        <w:t xml:space="preserve"> </w:t>
      </w:r>
      <w:r w:rsidR="00EC03A3">
        <w:t>non</w:t>
      </w:r>
      <w:r w:rsidR="00EC03A3">
        <w:noBreakHyphen/>
        <w:t>M</w:t>
      </w:r>
      <w:r w:rsidRPr="00181EF3">
        <w:t>āori.</w:t>
      </w:r>
    </w:p>
    <w:p w14:paraId="3C7715E7" w14:textId="77777777" w:rsidR="00931CE4" w:rsidRDefault="00931CE4" w:rsidP="005B6F74"/>
    <w:p w14:paraId="3F901CCE" w14:textId="539A761E" w:rsidR="00931CE4" w:rsidRPr="00181EF3" w:rsidRDefault="00931CE4" w:rsidP="00931CE4">
      <w:r w:rsidRPr="00181EF3">
        <w:t xml:space="preserve">Figure </w:t>
      </w:r>
      <w:r>
        <w:t>76</w:t>
      </w:r>
      <w:r w:rsidRPr="00181EF3">
        <w:t xml:space="preserve"> shows that the rate of dementia mortality has increased steadily over time for both Māori and </w:t>
      </w:r>
      <w:r w:rsidR="00EC03A3">
        <w:t>non</w:t>
      </w:r>
      <w:r w:rsidR="00EC03A3">
        <w:noBreakHyphen/>
        <w:t>M</w:t>
      </w:r>
      <w:r w:rsidRPr="00181EF3">
        <w:t xml:space="preserve">āori aged 65 years and over. For older Māori, dementia mortality increased substantially from 77.4 deaths per 100,000 in 1996–98 to 141.5 deaths per 100,000 in 2012–14, an increase of 64.1 deaths or 82.8 percent. The rate for </w:t>
      </w:r>
      <w:r w:rsidR="00EC03A3">
        <w:t>non</w:t>
      </w:r>
      <w:r w:rsidR="00EC03A3">
        <w:noBreakHyphen/>
        <w:t>M</w:t>
      </w:r>
      <w:r w:rsidRPr="00181EF3">
        <w:t>āori also saw a large increase, from 79.7 deaths per 100,000 in 1996–98 to 138.4 deaths per 100,000 in 2012–14, an increase of 58.7 deaths or 73.6 percent.</w:t>
      </w:r>
    </w:p>
    <w:p w14:paraId="16ADD52B" w14:textId="77777777" w:rsidR="00931CE4" w:rsidRPr="00181EF3" w:rsidRDefault="00931CE4" w:rsidP="00931CE4"/>
    <w:p w14:paraId="25D78D4B" w14:textId="3A2FEABD" w:rsidR="00931CE4" w:rsidRPr="00181EF3" w:rsidRDefault="00931CE4" w:rsidP="00931CE4">
      <w:r w:rsidRPr="00181EF3">
        <w:t xml:space="preserve">There were generally no significant differences between Māori and </w:t>
      </w:r>
      <w:r w:rsidR="00EC03A3">
        <w:t>non</w:t>
      </w:r>
      <w:r w:rsidR="00EC03A3">
        <w:noBreakHyphen/>
        <w:t>M</w:t>
      </w:r>
      <w:r w:rsidRPr="00181EF3">
        <w:t>āori dementia mortality rates over time.</w:t>
      </w:r>
    </w:p>
    <w:p w14:paraId="59543256" w14:textId="77777777" w:rsidR="00D94778" w:rsidRPr="00181EF3" w:rsidRDefault="00D94778" w:rsidP="00D94778"/>
    <w:p w14:paraId="0E1C0103" w14:textId="3AD2981D" w:rsidR="00D94778" w:rsidRPr="00181EF3" w:rsidRDefault="00D94778" w:rsidP="00D94778">
      <w:pPr>
        <w:pStyle w:val="Figure"/>
        <w:rPr>
          <w:noProof/>
          <w:lang w:eastAsia="en-NZ"/>
        </w:rPr>
      </w:pPr>
      <w:bookmarkStart w:id="234" w:name="_Toc19101928"/>
      <w:r w:rsidRPr="00181EF3">
        <w:lastRenderedPageBreak/>
        <w:t xml:space="preserve">Figure </w:t>
      </w:r>
      <w:r w:rsidR="00931CE4">
        <w:t>77</w:t>
      </w:r>
      <w:r w:rsidRPr="00181EF3">
        <w:t xml:space="preserve">: </w:t>
      </w:r>
      <w:r w:rsidR="00931CE4">
        <w:t>D</w:t>
      </w:r>
      <w:r w:rsidR="00931CE4" w:rsidRPr="00181EF3">
        <w:t xml:space="preserve">ementia (including Alzheimer’s Disease) mortality rates, 65+ years, </w:t>
      </w:r>
      <w:r w:rsidR="00931CE4">
        <w:t xml:space="preserve">by gender, </w:t>
      </w:r>
      <w:r w:rsidR="00931CE4" w:rsidRPr="00181EF3">
        <w:t xml:space="preserve">Māori and </w:t>
      </w:r>
      <w:r w:rsidR="00EC03A3">
        <w:t>non</w:t>
      </w:r>
      <w:r w:rsidR="00EC03A3">
        <w:noBreakHyphen/>
        <w:t>M</w:t>
      </w:r>
      <w:r w:rsidR="00931CE4" w:rsidRPr="00181EF3">
        <w:t>āori, 1996–98 to 2012–14</w:t>
      </w:r>
      <w:bookmarkEnd w:id="234"/>
    </w:p>
    <w:p w14:paraId="635F758D" w14:textId="77777777" w:rsidR="00D94778" w:rsidRPr="00181EF3" w:rsidRDefault="00D94778" w:rsidP="00D94778">
      <w:pPr>
        <w:keepNext/>
      </w:pPr>
      <w:r w:rsidRPr="00181EF3">
        <w:rPr>
          <w:noProof/>
          <w:lang w:eastAsia="en-NZ"/>
        </w:rPr>
        <w:drawing>
          <wp:inline distT="0" distB="0" distL="0" distR="0" wp14:anchorId="47EED53F" wp14:editId="7260203F">
            <wp:extent cx="5130165" cy="2715809"/>
            <wp:effectExtent l="0" t="0" r="0" b="8890"/>
            <wp:docPr id="457" name="Picture 457" descr="Dementia rates for all groups have increased over time, but the rates for Māori are much more volatile than the rates for non-Māori. Māori men have seen the greatest increase in recent years." title="Figure 77: Age-standardised dementia (including Alzheimer’s Disease) mortality rates, age 65+ years, Māori and non-Māori, by sex, 1996–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130165" cy="2715809"/>
                    </a:xfrm>
                    <a:prstGeom prst="rect">
                      <a:avLst/>
                    </a:prstGeom>
                  </pic:spPr>
                </pic:pic>
              </a:graphicData>
            </a:graphic>
          </wp:inline>
        </w:drawing>
      </w:r>
    </w:p>
    <w:p w14:paraId="602D9B88" w14:textId="77777777" w:rsidR="00931CE4" w:rsidRPr="00D94778" w:rsidRDefault="00931CE4" w:rsidP="00B6364B">
      <w:pPr>
        <w:pStyle w:val="Note"/>
        <w:ind w:left="0" w:firstLine="0"/>
      </w:pPr>
      <w:r w:rsidRPr="00D94778">
        <w:t>Notes:</w:t>
      </w:r>
    </w:p>
    <w:p w14:paraId="672F374E" w14:textId="2FC17D09" w:rsidR="008A5642" w:rsidRDefault="00446D86" w:rsidP="00B6364B">
      <w:pPr>
        <w:pStyle w:val="Note"/>
        <w:ind w:left="0" w:firstLine="0"/>
      </w:pPr>
      <w:r>
        <w:t>Figures are age-standardised to the 2001 Census total Māori population</w:t>
      </w:r>
      <w:r w:rsidR="00931CE4" w:rsidRPr="00D94778">
        <w:t>.</w:t>
      </w:r>
    </w:p>
    <w:p w14:paraId="39987F84" w14:textId="705AD1CA" w:rsidR="00931CE4" w:rsidRPr="00D94778" w:rsidRDefault="00931CE4" w:rsidP="00B6364B">
      <w:pPr>
        <w:pStyle w:val="Note"/>
        <w:ind w:left="0" w:firstLine="0"/>
      </w:pPr>
      <w:r w:rsidRPr="00D94778">
        <w:t>Prioritised ethnicity has been used.</w:t>
      </w:r>
    </w:p>
    <w:p w14:paraId="017A11C3" w14:textId="77777777" w:rsidR="008A5642" w:rsidRDefault="00931CE4" w:rsidP="00B6364B">
      <w:pPr>
        <w:pStyle w:val="Note"/>
        <w:ind w:left="0" w:firstLine="0"/>
      </w:pPr>
      <w:r w:rsidRPr="00D94778">
        <w:t>If the confidence intervals of two rates do not overlap, the difference in rates is said to be statistically significant.</w:t>
      </w:r>
    </w:p>
    <w:p w14:paraId="5C425EBD" w14:textId="19698E05" w:rsidR="00931CE4" w:rsidRDefault="00931CE4" w:rsidP="00B6364B">
      <w:pPr>
        <w:pStyle w:val="Note"/>
        <w:ind w:left="0" w:firstLine="0"/>
      </w:pPr>
      <w:r w:rsidRPr="00D94778">
        <w:t>Source: Mortality Collection Data Set (MORT), Ministry of Health, 1996–98 to 2012–14.</w:t>
      </w:r>
    </w:p>
    <w:p w14:paraId="79395485" w14:textId="77777777" w:rsidR="00D94778" w:rsidRPr="00181EF3" w:rsidRDefault="00D94778" w:rsidP="00D94778">
      <w:pPr>
        <w:rPr>
          <w:noProof/>
          <w:lang w:eastAsia="en-NZ"/>
        </w:rPr>
      </w:pPr>
    </w:p>
    <w:p w14:paraId="276C66AF" w14:textId="5C090E0C" w:rsidR="00D94778" w:rsidRPr="00181EF3" w:rsidRDefault="00D94778" w:rsidP="00D94778">
      <w:pPr>
        <w:rPr>
          <w:noProof/>
          <w:lang w:eastAsia="en-NZ"/>
        </w:rPr>
      </w:pPr>
      <w:r w:rsidRPr="00181EF3">
        <w:rPr>
          <w:noProof/>
          <w:lang w:eastAsia="en-NZ"/>
        </w:rPr>
        <w:t xml:space="preserve">Figure </w:t>
      </w:r>
      <w:r w:rsidR="00931CE4">
        <w:rPr>
          <w:noProof/>
          <w:lang w:eastAsia="en-NZ"/>
        </w:rPr>
        <w:t>77</w:t>
      </w:r>
      <w:r w:rsidRPr="00181EF3">
        <w:rPr>
          <w:noProof/>
          <w:lang w:eastAsia="en-NZ"/>
        </w:rPr>
        <w:t xml:space="preserve"> shows that, in general, there were no significant differences in the rate of dementia mortality between Māori and </w:t>
      </w:r>
      <w:r w:rsidR="00EC03A3">
        <w:rPr>
          <w:noProof/>
          <w:lang w:eastAsia="en-NZ"/>
        </w:rPr>
        <w:t>non</w:t>
      </w:r>
      <w:r w:rsidR="00EC03A3">
        <w:rPr>
          <w:noProof/>
          <w:lang w:eastAsia="en-NZ"/>
        </w:rPr>
        <w:noBreakHyphen/>
        <w:t>M</w:t>
      </w:r>
      <w:r w:rsidRPr="00181EF3">
        <w:rPr>
          <w:noProof/>
          <w:lang w:eastAsia="en-NZ"/>
        </w:rPr>
        <w:t xml:space="preserve">āori males, or Māori and </w:t>
      </w:r>
      <w:r w:rsidR="00EC03A3">
        <w:rPr>
          <w:noProof/>
          <w:lang w:eastAsia="en-NZ"/>
        </w:rPr>
        <w:t>non</w:t>
      </w:r>
      <w:r w:rsidR="00EC03A3">
        <w:rPr>
          <w:noProof/>
          <w:lang w:eastAsia="en-NZ"/>
        </w:rPr>
        <w:noBreakHyphen/>
        <w:t>M</w:t>
      </w:r>
      <w:r w:rsidRPr="00181EF3">
        <w:rPr>
          <w:noProof/>
          <w:lang w:eastAsia="en-NZ"/>
        </w:rPr>
        <w:t xml:space="preserve">āori females. The difference in the rate of dementia mortality was not statistically significant between Māori males and females across the time period shown. The rates for </w:t>
      </w:r>
      <w:r w:rsidR="00EC03A3">
        <w:rPr>
          <w:noProof/>
          <w:lang w:eastAsia="en-NZ"/>
        </w:rPr>
        <w:t>non</w:t>
      </w:r>
      <w:r w:rsidR="00EC03A3">
        <w:rPr>
          <w:noProof/>
          <w:lang w:eastAsia="en-NZ"/>
        </w:rPr>
        <w:noBreakHyphen/>
        <w:t>M</w:t>
      </w:r>
      <w:r w:rsidRPr="00181EF3">
        <w:rPr>
          <w:noProof/>
          <w:lang w:eastAsia="en-NZ"/>
        </w:rPr>
        <w:t xml:space="preserve">āori males were lower than for </w:t>
      </w:r>
      <w:r w:rsidR="00EC03A3">
        <w:rPr>
          <w:noProof/>
          <w:lang w:eastAsia="en-NZ"/>
        </w:rPr>
        <w:t>non</w:t>
      </w:r>
      <w:r w:rsidR="00EC03A3">
        <w:rPr>
          <w:noProof/>
          <w:lang w:eastAsia="en-NZ"/>
        </w:rPr>
        <w:noBreakHyphen/>
        <w:t>M</w:t>
      </w:r>
      <w:r w:rsidRPr="00181EF3">
        <w:rPr>
          <w:noProof/>
          <w:lang w:eastAsia="en-NZ"/>
        </w:rPr>
        <w:t>āori females from 2006–08 onwards, and it is possible this difference would be reflected in the Māori population if the numbers were larger. There are a variety of possible reasons dementia mortality might be more common in females, including a gene variant that affects females differently than males</w:t>
      </w:r>
      <w:r w:rsidR="009A2BA1">
        <w:rPr>
          <w:noProof/>
          <w:lang w:eastAsia="en-NZ"/>
        </w:rPr>
        <w:t xml:space="preserve"> (Altmann et al 2014)</w:t>
      </w:r>
      <w:r w:rsidRPr="00181EF3">
        <w:rPr>
          <w:noProof/>
          <w:lang w:eastAsia="en-NZ"/>
        </w:rPr>
        <w:t>, the relationship between heart disease and dementia</w:t>
      </w:r>
      <w:r w:rsidR="009A2BA1">
        <w:rPr>
          <w:noProof/>
          <w:lang w:eastAsia="en-NZ"/>
        </w:rPr>
        <w:t xml:space="preserve"> </w:t>
      </w:r>
      <w:r w:rsidRPr="00181EF3">
        <w:rPr>
          <w:noProof/>
          <w:lang w:eastAsia="en-NZ"/>
        </w:rPr>
        <w:t>and dementia and older age, and the longer life expectancy of females</w:t>
      </w:r>
      <w:r w:rsidR="009A2BA1">
        <w:rPr>
          <w:noProof/>
          <w:lang w:eastAsia="en-NZ"/>
        </w:rPr>
        <w:t xml:space="preserve"> (Hughes et al 2013)</w:t>
      </w:r>
      <w:r w:rsidRPr="00181EF3">
        <w:rPr>
          <w:noProof/>
          <w:lang w:eastAsia="en-NZ"/>
        </w:rPr>
        <w:t>.</w:t>
      </w:r>
    </w:p>
    <w:p w14:paraId="04ABFE80" w14:textId="7F303267" w:rsidR="005A489F" w:rsidRDefault="005A489F">
      <w:pPr>
        <w:rPr>
          <w:highlight w:val="yellow"/>
        </w:rPr>
      </w:pPr>
    </w:p>
    <w:p w14:paraId="554F2D72" w14:textId="77777777" w:rsidR="005A489F" w:rsidRPr="00181EF3" w:rsidRDefault="005A489F" w:rsidP="005B6F74">
      <w:pPr>
        <w:pStyle w:val="Heading2"/>
        <w:pageBreakBefore/>
        <w:spacing w:before="0"/>
        <w:rPr>
          <w:noProof/>
          <w:lang w:eastAsia="en-NZ"/>
        </w:rPr>
      </w:pPr>
      <w:bookmarkStart w:id="235" w:name="_Toc14718642"/>
      <w:bookmarkStart w:id="236" w:name="_Toc14775065"/>
      <w:bookmarkStart w:id="237" w:name="_Toc19102373"/>
      <w:r w:rsidRPr="00181EF3">
        <w:rPr>
          <w:noProof/>
          <w:lang w:eastAsia="en-NZ"/>
        </w:rPr>
        <w:lastRenderedPageBreak/>
        <w:t>Infectious disease</w:t>
      </w:r>
      <w:bookmarkEnd w:id="235"/>
      <w:bookmarkEnd w:id="236"/>
      <w:bookmarkEnd w:id="237"/>
    </w:p>
    <w:p w14:paraId="598F4A0D" w14:textId="00A50065" w:rsidR="005A489F" w:rsidRDefault="005A489F" w:rsidP="005A489F">
      <w:pPr>
        <w:rPr>
          <w:lang w:eastAsia="en-NZ"/>
        </w:rPr>
      </w:pPr>
      <w:r w:rsidRPr="00181EF3">
        <w:rPr>
          <w:lang w:eastAsia="en-NZ"/>
        </w:rPr>
        <w:t xml:space="preserve">This </w:t>
      </w:r>
      <w:r>
        <w:rPr>
          <w:lang w:eastAsia="en-NZ"/>
        </w:rPr>
        <w:t>section</w:t>
      </w:r>
      <w:r w:rsidRPr="00181EF3">
        <w:rPr>
          <w:lang w:eastAsia="en-NZ"/>
        </w:rPr>
        <w:t xml:space="preserve"> </w:t>
      </w:r>
      <w:r w:rsidR="000D102F">
        <w:rPr>
          <w:lang w:eastAsia="en-NZ"/>
        </w:rPr>
        <w:t>present</w:t>
      </w:r>
      <w:r w:rsidRPr="00181EF3">
        <w:rPr>
          <w:lang w:eastAsia="en-NZ"/>
        </w:rPr>
        <w:t>s the trends related to selected infectious diseases</w:t>
      </w:r>
      <w:r w:rsidR="005A0955">
        <w:rPr>
          <w:lang w:eastAsia="en-NZ"/>
        </w:rPr>
        <w:t xml:space="preserve"> for Māori and </w:t>
      </w:r>
      <w:r w:rsidR="00EC03A3">
        <w:rPr>
          <w:lang w:eastAsia="en-NZ"/>
        </w:rPr>
        <w:t>non</w:t>
      </w:r>
      <w:r w:rsidR="00EC03A3">
        <w:rPr>
          <w:lang w:eastAsia="en-NZ"/>
        </w:rPr>
        <w:noBreakHyphen/>
        <w:t>M</w:t>
      </w:r>
      <w:r w:rsidR="005A0955">
        <w:rPr>
          <w:lang w:eastAsia="en-NZ"/>
        </w:rPr>
        <w:t xml:space="preserve">āori, including </w:t>
      </w:r>
      <w:r w:rsidRPr="00181EF3">
        <w:rPr>
          <w:lang w:eastAsia="en-NZ"/>
        </w:rPr>
        <w:t>tuberculosis and meningococcal disease notifications</w:t>
      </w:r>
      <w:r>
        <w:rPr>
          <w:lang w:eastAsia="en-NZ"/>
        </w:rPr>
        <w:t>, f</w:t>
      </w:r>
      <w:r w:rsidRPr="00181EF3">
        <w:rPr>
          <w:lang w:eastAsia="en-NZ"/>
        </w:rPr>
        <w:t>irst episode rheumatic fever hospitalisations</w:t>
      </w:r>
      <w:r>
        <w:rPr>
          <w:lang w:eastAsia="en-NZ"/>
        </w:rPr>
        <w:t xml:space="preserve"> and </w:t>
      </w:r>
      <w:r w:rsidRPr="00181EF3">
        <w:rPr>
          <w:lang w:eastAsia="en-NZ"/>
        </w:rPr>
        <w:t>HIV/AIDS.</w:t>
      </w:r>
    </w:p>
    <w:p w14:paraId="6918B42E" w14:textId="77777777" w:rsidR="005A489F" w:rsidRDefault="005A489F" w:rsidP="005A489F">
      <w:pPr>
        <w:rPr>
          <w:lang w:eastAsia="en-NZ"/>
        </w:rPr>
      </w:pPr>
    </w:p>
    <w:p w14:paraId="73C53248" w14:textId="77777777" w:rsidR="005A489F" w:rsidRPr="00181EF3" w:rsidRDefault="005A489F" w:rsidP="005A489F">
      <w:pPr>
        <w:pStyle w:val="Heading3"/>
      </w:pPr>
      <w:bookmarkStart w:id="238" w:name="_Toc19102374"/>
      <w:r w:rsidRPr="00181EF3">
        <w:t>What is the data telling us?</w:t>
      </w:r>
      <w:bookmarkEnd w:id="238"/>
    </w:p>
    <w:p w14:paraId="6F26F1BC" w14:textId="658A236F" w:rsidR="005A489F" w:rsidRPr="00181EF3" w:rsidRDefault="005A489F" w:rsidP="005A489F">
      <w:pPr>
        <w:pStyle w:val="Shadedboxbullet"/>
        <w:ind w:left="568" w:hanging="284"/>
      </w:pPr>
      <w:r w:rsidRPr="00181EF3">
        <w:t xml:space="preserve">Between 1997–99 and 2007–09 the Māori rate of tuberculosis notifications was greater than that of </w:t>
      </w:r>
      <w:r w:rsidR="00EC03A3">
        <w:t>non</w:t>
      </w:r>
      <w:r w:rsidR="00EC03A3">
        <w:noBreakHyphen/>
        <w:t>M</w:t>
      </w:r>
      <w:r w:rsidRPr="00181EF3">
        <w:t>āori.</w:t>
      </w:r>
    </w:p>
    <w:p w14:paraId="4414A39F" w14:textId="2B351920" w:rsidR="005A489F" w:rsidRPr="00181EF3" w:rsidRDefault="005A489F" w:rsidP="005A489F">
      <w:pPr>
        <w:pStyle w:val="Shadedboxbullet"/>
        <w:ind w:left="568" w:hanging="284"/>
      </w:pPr>
      <w:r w:rsidRPr="00181EF3">
        <w:t xml:space="preserve">Between 2013–15 and 2015–17 the Māori rate of tuberculosis notifications was lower than the </w:t>
      </w:r>
      <w:r w:rsidR="00EC03A3">
        <w:t>non</w:t>
      </w:r>
      <w:r w:rsidR="00EC03A3">
        <w:noBreakHyphen/>
        <w:t>M</w:t>
      </w:r>
      <w:r w:rsidRPr="00181EF3">
        <w:t>āori rate.</w:t>
      </w:r>
    </w:p>
    <w:p w14:paraId="66D5DB02" w14:textId="52E99E68" w:rsidR="005A489F" w:rsidRPr="00181EF3" w:rsidRDefault="005A489F" w:rsidP="005A489F">
      <w:pPr>
        <w:pStyle w:val="Shadedboxbullet"/>
        <w:ind w:left="568" w:hanging="284"/>
      </w:pPr>
      <w:r w:rsidRPr="00181EF3">
        <w:t xml:space="preserve">The age-standardised rate of tuberculosis notifications for Māori decreased at a faster rate than that of </w:t>
      </w:r>
      <w:r w:rsidR="00EC03A3">
        <w:t>non</w:t>
      </w:r>
      <w:r w:rsidR="00EC03A3">
        <w:noBreakHyphen/>
        <w:t>M</w:t>
      </w:r>
      <w:r w:rsidRPr="00181EF3">
        <w:t>āori between 1997–99 and 2015–17.</w:t>
      </w:r>
    </w:p>
    <w:p w14:paraId="353FCA2C" w14:textId="22D4FD20" w:rsidR="005A489F" w:rsidRPr="00181EF3" w:rsidRDefault="005A489F" w:rsidP="005A489F">
      <w:pPr>
        <w:pStyle w:val="Shadedboxbullet"/>
        <w:ind w:left="568" w:hanging="284"/>
      </w:pPr>
      <w:r w:rsidRPr="00181EF3">
        <w:t xml:space="preserve">The Māori rate of first episode rheumatic fever hospitalisations was greater than that of </w:t>
      </w:r>
      <w:r w:rsidR="00EC03A3">
        <w:t>non</w:t>
      </w:r>
      <w:r w:rsidR="00EC03A3">
        <w:noBreakHyphen/>
        <w:t>M</w:t>
      </w:r>
      <w:r w:rsidRPr="00181EF3">
        <w:t>āori, this did not change over time.</w:t>
      </w:r>
    </w:p>
    <w:p w14:paraId="6B3BC9C8" w14:textId="1615CB90" w:rsidR="005A489F" w:rsidRPr="00181EF3" w:rsidRDefault="005A489F" w:rsidP="005A489F">
      <w:pPr>
        <w:pStyle w:val="Shadedboxbullet"/>
        <w:ind w:left="568" w:hanging="284"/>
      </w:pPr>
      <w:r w:rsidRPr="00181EF3">
        <w:t>The rate of first episode rheumatic fever hospitalisations for Māori nearly halved between 2010–12 and 2014–16 after nearly doubling between</w:t>
      </w:r>
      <w:r w:rsidR="005B6F74">
        <w:br/>
      </w:r>
      <w:r w:rsidRPr="00181EF3">
        <w:t>1996–98 and 2010–12.</w:t>
      </w:r>
    </w:p>
    <w:p w14:paraId="6FB8E8A7" w14:textId="65BF2E4E" w:rsidR="005A489F" w:rsidRPr="00181EF3" w:rsidRDefault="005A489F" w:rsidP="005A489F">
      <w:pPr>
        <w:pStyle w:val="Shadedboxbullet"/>
        <w:ind w:left="568" w:hanging="284"/>
      </w:pPr>
      <w:r w:rsidRPr="00181EF3">
        <w:t xml:space="preserve">The rate of meningococcal disease notifications for Māori was nearly twice that of </w:t>
      </w:r>
      <w:r w:rsidR="00EC03A3">
        <w:t>non</w:t>
      </w:r>
      <w:r w:rsidR="00EC03A3">
        <w:noBreakHyphen/>
        <w:t>M</w:t>
      </w:r>
      <w:r w:rsidRPr="00181EF3">
        <w:t>āori, this did not change over time.</w:t>
      </w:r>
    </w:p>
    <w:p w14:paraId="23C23732" w14:textId="71AD4E77" w:rsidR="005A489F" w:rsidRPr="00181EF3" w:rsidRDefault="005A489F" w:rsidP="005A489F">
      <w:pPr>
        <w:pStyle w:val="Shadedboxbullet"/>
        <w:ind w:left="568" w:hanging="284"/>
      </w:pPr>
      <w:r w:rsidRPr="00181EF3">
        <w:t xml:space="preserve">The rate of meningococcal disease notifications decreased by nearly 90 percent for both Māori and </w:t>
      </w:r>
      <w:r w:rsidR="00EC03A3">
        <w:t>non</w:t>
      </w:r>
      <w:r w:rsidR="00EC03A3">
        <w:noBreakHyphen/>
        <w:t>M</w:t>
      </w:r>
      <w:r w:rsidRPr="00181EF3">
        <w:t>āori between 1997–99 and 2015–17.</w:t>
      </w:r>
    </w:p>
    <w:p w14:paraId="6CCC3BA0" w14:textId="77777777" w:rsidR="005A489F" w:rsidRPr="00181EF3" w:rsidRDefault="005A489F" w:rsidP="005A489F"/>
    <w:p w14:paraId="287767EC" w14:textId="77777777" w:rsidR="005A489F" w:rsidRPr="00181EF3" w:rsidRDefault="005A489F" w:rsidP="005B6F74">
      <w:pPr>
        <w:pStyle w:val="Heading3"/>
        <w:pageBreakBefore/>
        <w:spacing w:before="0"/>
      </w:pPr>
      <w:bookmarkStart w:id="239" w:name="_Toc19102375"/>
      <w:r w:rsidRPr="00181EF3">
        <w:lastRenderedPageBreak/>
        <w:t>Tuberculosis</w:t>
      </w:r>
      <w:bookmarkEnd w:id="239"/>
    </w:p>
    <w:p w14:paraId="07DAA32D" w14:textId="666590CD" w:rsidR="005A489F" w:rsidRDefault="005A489F" w:rsidP="005B6F74">
      <w:r w:rsidRPr="00181EF3">
        <w:t>Tuberculosis (TB) is a bacterial infection that most commonly affects the lungs, but can also affect the lymph nodes, bones, joints and kidneys, it can also cause meningitis (an infection of the membranes that cover the brain)</w:t>
      </w:r>
      <w:r>
        <w:t xml:space="preserve"> (Ministry of Health 2018</w:t>
      </w:r>
      <w:r w:rsidR="00A23AFA">
        <w:t>h</w:t>
      </w:r>
      <w:r>
        <w:t>)</w:t>
      </w:r>
      <w:r w:rsidRPr="00181EF3">
        <w:t>.</w:t>
      </w:r>
    </w:p>
    <w:p w14:paraId="50E76432" w14:textId="77777777" w:rsidR="005B6F74" w:rsidRPr="00181EF3" w:rsidRDefault="005B6F74" w:rsidP="005B6F74"/>
    <w:p w14:paraId="69B2B20A" w14:textId="1087EB3E" w:rsidR="001462D4" w:rsidRPr="00181EF3" w:rsidRDefault="001462D4" w:rsidP="001462D4">
      <w:pPr>
        <w:pStyle w:val="Figure"/>
      </w:pPr>
      <w:bookmarkStart w:id="240" w:name="_Toc19101929"/>
      <w:r w:rsidRPr="00181EF3">
        <w:t xml:space="preserve">Figure </w:t>
      </w:r>
      <w:r>
        <w:t>78</w:t>
      </w:r>
      <w:r w:rsidRPr="00181EF3">
        <w:t xml:space="preserve">: </w:t>
      </w:r>
      <w:r>
        <w:t>T</w:t>
      </w:r>
      <w:r w:rsidRPr="00181EF3">
        <w:t>uberculosis (TB)</w:t>
      </w:r>
      <w:r>
        <w:t xml:space="preserve"> notification rates</w:t>
      </w:r>
      <w:r w:rsidRPr="00181EF3">
        <w:t xml:space="preserve">, Māori and </w:t>
      </w:r>
      <w:r w:rsidR="00EC03A3">
        <w:t>non</w:t>
      </w:r>
      <w:r w:rsidR="00EC03A3">
        <w:noBreakHyphen/>
        <w:t>M</w:t>
      </w:r>
      <w:r w:rsidRPr="00181EF3">
        <w:t>āori</w:t>
      </w:r>
      <w:r>
        <w:t>,</w:t>
      </w:r>
      <w:r w:rsidRPr="00181EF3">
        <w:t xml:space="preserve"> 1997–99 to 2015–17</w:t>
      </w:r>
      <w:bookmarkEnd w:id="240"/>
    </w:p>
    <w:p w14:paraId="0765086C" w14:textId="77777777" w:rsidR="001462D4" w:rsidRPr="00181EF3" w:rsidRDefault="001462D4" w:rsidP="001462D4">
      <w:r w:rsidRPr="00181EF3">
        <w:rPr>
          <w:noProof/>
          <w:lang w:eastAsia="en-NZ"/>
        </w:rPr>
        <w:drawing>
          <wp:inline distT="0" distB="0" distL="0" distR="0" wp14:anchorId="78B93F1D" wp14:editId="7D7D48AE">
            <wp:extent cx="5112327" cy="3268737"/>
            <wp:effectExtent l="0" t="0" r="0" b="8255"/>
            <wp:docPr id="478" name="Picture 478" descr="Tuberculosis rates for Māori peaked in 1998-2000 and have decreased over time. The rate for non-Māori peaked in 2001-2003, and has held steady since 2009-2011, which is the period the Māori rate dropped below the non-Māori rate, where it has been ever since." title="Figure 78: Age-standardised rate of notifications for tuberculosis (TB), Māori and non Māori from 1997–99 to 20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8"/>
                    <a:srcRect l="1135" t="2053" r="2107"/>
                    <a:stretch/>
                  </pic:blipFill>
                  <pic:spPr bwMode="auto">
                    <a:xfrm>
                      <a:off x="0" y="0"/>
                      <a:ext cx="5113535" cy="3269510"/>
                    </a:xfrm>
                    <a:prstGeom prst="rect">
                      <a:avLst/>
                    </a:prstGeom>
                    <a:ln>
                      <a:noFill/>
                    </a:ln>
                    <a:extLst>
                      <a:ext uri="{53640926-AAD7-44D8-BBD7-CCE9431645EC}">
                        <a14:shadowObscured xmlns:a14="http://schemas.microsoft.com/office/drawing/2010/main"/>
                      </a:ext>
                    </a:extLst>
                  </pic:spPr>
                </pic:pic>
              </a:graphicData>
            </a:graphic>
          </wp:inline>
        </w:drawing>
      </w:r>
    </w:p>
    <w:p w14:paraId="4A00C218" w14:textId="77777777" w:rsidR="001462D4" w:rsidRDefault="001462D4" w:rsidP="001462D4">
      <w:pPr>
        <w:pStyle w:val="Note"/>
      </w:pPr>
      <w:r w:rsidRPr="00181EF3">
        <w:t>Notes:</w:t>
      </w:r>
    </w:p>
    <w:p w14:paraId="2A8BF569" w14:textId="228D378D" w:rsidR="008A5642" w:rsidRDefault="00446D86" w:rsidP="001462D4">
      <w:pPr>
        <w:pStyle w:val="Note"/>
      </w:pPr>
      <w:r>
        <w:t>Figures are age-standardised to the 2001 Census total Māori population</w:t>
      </w:r>
      <w:r w:rsidR="001462D4" w:rsidRPr="00181EF3">
        <w:t>.</w:t>
      </w:r>
    </w:p>
    <w:p w14:paraId="48448259" w14:textId="4308254E" w:rsidR="001462D4" w:rsidRPr="00181EF3" w:rsidRDefault="001462D4" w:rsidP="001462D4">
      <w:pPr>
        <w:pStyle w:val="Note"/>
      </w:pPr>
      <w:r>
        <w:t>Prioritised ethnicity has been used.</w:t>
      </w:r>
    </w:p>
    <w:p w14:paraId="074959D7" w14:textId="77777777" w:rsidR="001462D4" w:rsidRPr="00181EF3" w:rsidRDefault="001462D4" w:rsidP="00B6364B">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240847DA" w14:textId="0FCE85DF" w:rsidR="001462D4" w:rsidRPr="00181EF3" w:rsidRDefault="001462D4" w:rsidP="007B2CA8">
      <w:pPr>
        <w:pStyle w:val="Source"/>
      </w:pPr>
      <w:r w:rsidRPr="00181EF3">
        <w:t>Source: Institute of Environmental Science and Research Limited (ESR)</w:t>
      </w:r>
      <w:r w:rsidR="00D37C7B">
        <w:t>,</w:t>
      </w:r>
      <w:r w:rsidRPr="00181EF3">
        <w:t xml:space="preserve"> 1997–2017.</w:t>
      </w:r>
    </w:p>
    <w:p w14:paraId="6CB93941" w14:textId="77777777" w:rsidR="001462D4" w:rsidRPr="001462D4" w:rsidRDefault="001462D4" w:rsidP="001462D4"/>
    <w:p w14:paraId="18D66242" w14:textId="4E3FF76F" w:rsidR="005A489F" w:rsidRDefault="005A489F" w:rsidP="005A489F">
      <w:r w:rsidRPr="00181EF3">
        <w:t xml:space="preserve">Figure </w:t>
      </w:r>
      <w:r>
        <w:t>78</w:t>
      </w:r>
      <w:r w:rsidRPr="00181EF3">
        <w:t xml:space="preserve"> shows the </w:t>
      </w:r>
      <w:r w:rsidR="001462D4">
        <w:t xml:space="preserve">age-standardised </w:t>
      </w:r>
      <w:r w:rsidRPr="00181EF3">
        <w:t xml:space="preserve">rate of TB notifications for Māori and </w:t>
      </w:r>
      <w:r w:rsidR="00EC03A3">
        <w:t>non</w:t>
      </w:r>
      <w:r w:rsidR="00EC03A3">
        <w:noBreakHyphen/>
        <w:t>M</w:t>
      </w:r>
      <w:r w:rsidRPr="00181EF3">
        <w:t>āori between 1997 and 2017.</w:t>
      </w:r>
    </w:p>
    <w:p w14:paraId="57FBA722" w14:textId="77777777" w:rsidR="005B6F74" w:rsidRDefault="005B6F74" w:rsidP="005A489F"/>
    <w:p w14:paraId="73844A53" w14:textId="4680468B" w:rsidR="007B2CA8" w:rsidRDefault="007B2CA8" w:rsidP="007B2CA8">
      <w:pPr>
        <w:pStyle w:val="Heading4"/>
      </w:pPr>
      <w:r w:rsidRPr="00181EF3">
        <w:t xml:space="preserve">Māori rate of TB notifications decreased faster than that of </w:t>
      </w:r>
      <w:r w:rsidR="00EC03A3">
        <w:t>non</w:t>
      </w:r>
      <w:r w:rsidR="00EC03A3">
        <w:noBreakHyphen/>
        <w:t>M</w:t>
      </w:r>
      <w:r w:rsidRPr="00181EF3">
        <w:t>āori</w:t>
      </w:r>
    </w:p>
    <w:p w14:paraId="352455E1" w14:textId="77777777" w:rsidR="005A489F" w:rsidRPr="00181EF3" w:rsidRDefault="005A489F" w:rsidP="005A489F">
      <w:r w:rsidRPr="00181EF3">
        <w:t>The age-standardised rate of TB notifications for Māori decreased by 77 percent between 1997–99 and 2015–17 (from 13 to 3 notifications per 100,000).</w:t>
      </w:r>
    </w:p>
    <w:p w14:paraId="4DFF58CD" w14:textId="77777777" w:rsidR="005A489F" w:rsidRPr="00181EF3" w:rsidRDefault="005A489F" w:rsidP="005A489F"/>
    <w:p w14:paraId="57FE95ED" w14:textId="3F49B882" w:rsidR="005A489F" w:rsidRDefault="005A489F" w:rsidP="005A489F">
      <w:r w:rsidRPr="00181EF3">
        <w:t xml:space="preserve">In comparison, the rate of TB notifications for </w:t>
      </w:r>
      <w:r w:rsidR="00EC03A3">
        <w:t>non</w:t>
      </w:r>
      <w:r w:rsidR="00EC03A3">
        <w:noBreakHyphen/>
        <w:t>M</w:t>
      </w:r>
      <w:r w:rsidRPr="00181EF3">
        <w:t>āori decreased by 29 percent over this period (from 8 to 6 notifications per 100,000).</w:t>
      </w:r>
    </w:p>
    <w:p w14:paraId="6C479C70" w14:textId="77777777" w:rsidR="005B6F74" w:rsidRPr="00181EF3" w:rsidRDefault="005B6F74" w:rsidP="005A489F"/>
    <w:p w14:paraId="5CCA7CB0" w14:textId="282E5676" w:rsidR="005A489F" w:rsidRPr="00181EF3" w:rsidRDefault="005A489F" w:rsidP="001462D4">
      <w:pPr>
        <w:pStyle w:val="Heading4"/>
      </w:pPr>
      <w:r w:rsidRPr="00181EF3">
        <w:lastRenderedPageBreak/>
        <w:t xml:space="preserve">Change in difference for rate of TB notifications for Māori and </w:t>
      </w:r>
      <w:r w:rsidR="00EC03A3">
        <w:t>non</w:t>
      </w:r>
      <w:r w:rsidR="00EC03A3">
        <w:noBreakHyphen/>
        <w:t>M</w:t>
      </w:r>
      <w:r w:rsidRPr="00181EF3">
        <w:t>āori</w:t>
      </w:r>
    </w:p>
    <w:p w14:paraId="5F1E52BD" w14:textId="29232592" w:rsidR="005A489F" w:rsidRPr="00181EF3" w:rsidRDefault="005A489F" w:rsidP="005A489F">
      <w:r w:rsidRPr="00181EF3">
        <w:t xml:space="preserve">The difference between Māori and </w:t>
      </w:r>
      <w:r w:rsidR="00EC03A3">
        <w:t>non</w:t>
      </w:r>
      <w:r w:rsidR="00EC03A3">
        <w:noBreakHyphen/>
        <w:t>M</w:t>
      </w:r>
      <w:r w:rsidRPr="00181EF3">
        <w:t xml:space="preserve">āori rates of TB notifications decreased as the rate of TB notifications for Māori decreased. In 1997–99 Māori had a higher rate of TB notifications than </w:t>
      </w:r>
      <w:r w:rsidR="00EC03A3">
        <w:t>non</w:t>
      </w:r>
      <w:r w:rsidR="00EC03A3">
        <w:noBreakHyphen/>
        <w:t>M</w:t>
      </w:r>
      <w:r w:rsidRPr="00181EF3">
        <w:t xml:space="preserve">āori (rate ratio was 1.6), by 2008–10 there was no significant difference between Māori and </w:t>
      </w:r>
      <w:r w:rsidR="00EC03A3">
        <w:t>non</w:t>
      </w:r>
      <w:r w:rsidR="00EC03A3">
        <w:noBreakHyphen/>
        <w:t>M</w:t>
      </w:r>
      <w:r w:rsidRPr="00181EF3">
        <w:t>āori rates of TB notifications (rate ratio was 1.01 in 2008–10).</w:t>
      </w:r>
    </w:p>
    <w:p w14:paraId="2958FE98" w14:textId="77777777" w:rsidR="005A489F" w:rsidRPr="00181EF3" w:rsidRDefault="005A489F" w:rsidP="005A489F"/>
    <w:p w14:paraId="562BD034" w14:textId="548B3DC2" w:rsidR="005A489F" w:rsidRPr="00181EF3" w:rsidRDefault="005A489F" w:rsidP="005A489F">
      <w:r w:rsidRPr="00181EF3">
        <w:t xml:space="preserve">The continued decrease of the Māori rate of TB notifications resulted in Māori having a lower rate of TB notifications than that of </w:t>
      </w:r>
      <w:r w:rsidR="00EC03A3">
        <w:t>non</w:t>
      </w:r>
      <w:r w:rsidR="00EC03A3">
        <w:noBreakHyphen/>
        <w:t>M</w:t>
      </w:r>
      <w:r w:rsidRPr="00181EF3">
        <w:t>āori from 2013–15 onwards (rate ratio of 0.6 in 2013–15 and 0.5 in 2015–17).</w:t>
      </w:r>
      <w:r w:rsidR="001462D4" w:rsidRPr="00181EF3">
        <w:t xml:space="preserve"> In 2015–17, Māori had a lower rate of TB notifications than </w:t>
      </w:r>
      <w:r w:rsidR="00EC03A3">
        <w:t>non</w:t>
      </w:r>
      <w:r w:rsidR="00EC03A3">
        <w:noBreakHyphen/>
        <w:t>M</w:t>
      </w:r>
      <w:r w:rsidR="001462D4" w:rsidRPr="00181EF3">
        <w:t>āori.</w:t>
      </w:r>
    </w:p>
    <w:p w14:paraId="69DF4390" w14:textId="77777777" w:rsidR="005A489F" w:rsidRPr="00181EF3" w:rsidRDefault="005A489F" w:rsidP="005A489F"/>
    <w:p w14:paraId="08FDE90E" w14:textId="77777777" w:rsidR="005A489F" w:rsidRDefault="005A489F" w:rsidP="005B6F74">
      <w:pPr>
        <w:pStyle w:val="Heading3"/>
        <w:pageBreakBefore/>
        <w:spacing w:before="0"/>
      </w:pPr>
      <w:bookmarkStart w:id="241" w:name="_Toc19102376"/>
      <w:r w:rsidRPr="00181EF3">
        <w:lastRenderedPageBreak/>
        <w:t>First episode rheumatic fever hospitalisations</w:t>
      </w:r>
      <w:bookmarkEnd w:id="241"/>
    </w:p>
    <w:p w14:paraId="0FE26367" w14:textId="030E36E8" w:rsidR="005A489F" w:rsidRPr="00181EF3" w:rsidRDefault="005A489F" w:rsidP="005B6F74">
      <w:r w:rsidRPr="00181EF3">
        <w:t>Rheumatic fever is an autoimmune disease where the immune system attacks parts of the body. It can develop after a ‘strep throat’ (a throat infection caused by a group A Streptococcus (GAS) bacteria)</w:t>
      </w:r>
      <w:r w:rsidR="001462D4">
        <w:t xml:space="preserve"> (Ministry of 2019</w:t>
      </w:r>
      <w:r w:rsidR="00DF00D4">
        <w:t>e</w:t>
      </w:r>
      <w:r w:rsidR="001462D4">
        <w:t>)</w:t>
      </w:r>
      <w:r w:rsidRPr="00181EF3">
        <w:t>.</w:t>
      </w:r>
    </w:p>
    <w:p w14:paraId="7B0C2B6C" w14:textId="77777777" w:rsidR="005A489F" w:rsidRPr="00181EF3" w:rsidRDefault="005A489F" w:rsidP="005B6F74"/>
    <w:p w14:paraId="1CEAD99A" w14:textId="77777777" w:rsidR="001462D4" w:rsidRPr="00181EF3" w:rsidRDefault="001462D4" w:rsidP="005B6F74">
      <w:pPr>
        <w:rPr>
          <w:lang w:eastAsia="en-NZ"/>
        </w:rPr>
      </w:pPr>
      <w:r w:rsidRPr="00181EF3">
        <w:rPr>
          <w:lang w:eastAsia="en-NZ"/>
        </w:rPr>
        <w:t>The Ministry of Health has a focus on reducing the incidence of rheumatic fever, thus reports concentrate on first episode rheumatic fever hospitalisations.</w:t>
      </w:r>
    </w:p>
    <w:p w14:paraId="78AABD16" w14:textId="77777777" w:rsidR="001462D4" w:rsidRDefault="001462D4" w:rsidP="005B6F74"/>
    <w:p w14:paraId="4924F485" w14:textId="1A2B7259" w:rsidR="001462D4" w:rsidRPr="00181EF3" w:rsidRDefault="001462D4" w:rsidP="001462D4">
      <w:pPr>
        <w:pStyle w:val="Figure"/>
      </w:pPr>
      <w:bookmarkStart w:id="242" w:name="_Toc19101930"/>
      <w:r w:rsidRPr="00181EF3">
        <w:t xml:space="preserve">Figure </w:t>
      </w:r>
      <w:r>
        <w:t>79</w:t>
      </w:r>
      <w:r w:rsidRPr="00181EF3">
        <w:t xml:space="preserve">: </w:t>
      </w:r>
      <w:r>
        <w:t>F</w:t>
      </w:r>
      <w:r w:rsidRPr="00181EF3">
        <w:t>irst episode rheumatic fever hospitalisation</w:t>
      </w:r>
      <w:r>
        <w:t xml:space="preserve"> rates</w:t>
      </w:r>
      <w:r w:rsidRPr="00181EF3">
        <w:t xml:space="preserve">, Māori and </w:t>
      </w:r>
      <w:r w:rsidR="00EC03A3">
        <w:t>non</w:t>
      </w:r>
      <w:r w:rsidR="00EC03A3">
        <w:noBreakHyphen/>
        <w:t>M</w:t>
      </w:r>
      <w:r w:rsidRPr="00181EF3">
        <w:t>āori</w:t>
      </w:r>
      <w:r>
        <w:t>,</w:t>
      </w:r>
      <w:r w:rsidRPr="00181EF3">
        <w:t xml:space="preserve"> 1996–98 and 2014–16</w:t>
      </w:r>
      <w:bookmarkEnd w:id="242"/>
    </w:p>
    <w:p w14:paraId="29C57227" w14:textId="77777777" w:rsidR="001462D4" w:rsidRPr="00181EF3" w:rsidRDefault="001462D4" w:rsidP="001462D4">
      <w:r w:rsidRPr="00181EF3">
        <w:rPr>
          <w:noProof/>
          <w:lang w:eastAsia="en-NZ"/>
        </w:rPr>
        <w:drawing>
          <wp:inline distT="0" distB="0" distL="0" distR="0" wp14:anchorId="0DB2DF11" wp14:editId="281E114A">
            <wp:extent cx="5076541" cy="2934393"/>
            <wp:effectExtent l="0" t="0" r="0" b="0"/>
            <wp:docPr id="476" name="Picture 476" descr="Non-Māori rates of rheumatic fever have remained relatively steady since1996-1998. The Māori rate has been consistently higher, peaking in the years between 2008 and 2013 and falling sharply since." title="Figure 79: Age-standardised rate of first episode rheumatic fever hospitalisations, Māori and non-Māori between 1996–98 and 20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9"/>
                    <a:srcRect l="1135" t="1674"/>
                    <a:stretch/>
                  </pic:blipFill>
                  <pic:spPr bwMode="auto">
                    <a:xfrm>
                      <a:off x="0" y="0"/>
                      <a:ext cx="5077741" cy="2935087"/>
                    </a:xfrm>
                    <a:prstGeom prst="rect">
                      <a:avLst/>
                    </a:prstGeom>
                    <a:ln>
                      <a:noFill/>
                    </a:ln>
                    <a:extLst>
                      <a:ext uri="{53640926-AAD7-44D8-BBD7-CCE9431645EC}">
                        <a14:shadowObscured xmlns:a14="http://schemas.microsoft.com/office/drawing/2010/main"/>
                      </a:ext>
                    </a:extLst>
                  </pic:spPr>
                </pic:pic>
              </a:graphicData>
            </a:graphic>
          </wp:inline>
        </w:drawing>
      </w:r>
    </w:p>
    <w:p w14:paraId="16B901DC" w14:textId="77777777" w:rsidR="001462D4" w:rsidRDefault="001462D4" w:rsidP="001462D4">
      <w:pPr>
        <w:pStyle w:val="Note"/>
      </w:pPr>
      <w:r w:rsidRPr="00181EF3">
        <w:t>Note</w:t>
      </w:r>
      <w:r>
        <w:t>s</w:t>
      </w:r>
      <w:r w:rsidRPr="00181EF3">
        <w:t>:</w:t>
      </w:r>
    </w:p>
    <w:p w14:paraId="3449EED7" w14:textId="6733F9E5" w:rsidR="008A5642" w:rsidRDefault="00446D86" w:rsidP="001462D4">
      <w:pPr>
        <w:pStyle w:val="Note"/>
      </w:pPr>
      <w:r>
        <w:t>Figures are age-standardised to the 2001 Census total Māori population</w:t>
      </w:r>
      <w:r w:rsidR="001462D4" w:rsidRPr="00181EF3">
        <w:t>.</w:t>
      </w:r>
    </w:p>
    <w:p w14:paraId="7058A89A" w14:textId="56527471" w:rsidR="001462D4" w:rsidRPr="00181EF3" w:rsidRDefault="001462D4" w:rsidP="001462D4">
      <w:pPr>
        <w:pStyle w:val="Note"/>
      </w:pPr>
      <w:r>
        <w:t>Prioritised ethnicity has been used.</w:t>
      </w:r>
    </w:p>
    <w:p w14:paraId="5D06A10C" w14:textId="77777777" w:rsidR="008A5642" w:rsidRDefault="001462D4" w:rsidP="00B6364B">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4FB35EA0" w14:textId="135C7524" w:rsidR="001462D4" w:rsidRPr="00181EF3" w:rsidRDefault="001462D4" w:rsidP="001462D4">
      <w:pPr>
        <w:pStyle w:val="Source"/>
        <w:rPr>
          <w:rFonts w:eastAsia="Calibri"/>
        </w:rPr>
      </w:pPr>
      <w:r w:rsidRPr="00181EF3">
        <w:rPr>
          <w:rFonts w:eastAsia="Calibri"/>
        </w:rPr>
        <w:t>Source: National Minimum Data Set (NMDS), Ministry of Health</w:t>
      </w:r>
      <w:r>
        <w:rPr>
          <w:rFonts w:eastAsia="Calibri"/>
        </w:rPr>
        <w:t>,</w:t>
      </w:r>
      <w:r w:rsidRPr="00507AA7">
        <w:t xml:space="preserve"> </w:t>
      </w:r>
      <w:r w:rsidRPr="00181EF3">
        <w:t>1996–98 to 201</w:t>
      </w:r>
      <w:r>
        <w:t>4</w:t>
      </w:r>
      <w:r w:rsidRPr="00181EF3">
        <w:t>–1</w:t>
      </w:r>
      <w:r>
        <w:t>6</w:t>
      </w:r>
      <w:r w:rsidRPr="00181EF3">
        <w:rPr>
          <w:rFonts w:eastAsia="Calibri"/>
        </w:rPr>
        <w:t>.</w:t>
      </w:r>
    </w:p>
    <w:p w14:paraId="2F420461" w14:textId="77777777" w:rsidR="001462D4" w:rsidRPr="001462D4" w:rsidRDefault="001462D4" w:rsidP="001462D4"/>
    <w:p w14:paraId="12AED86E" w14:textId="3C15AB45" w:rsidR="001462D4" w:rsidRDefault="001462D4" w:rsidP="005B6F74">
      <w:r w:rsidRPr="00181EF3">
        <w:t xml:space="preserve">Figure </w:t>
      </w:r>
      <w:r>
        <w:t>79</w:t>
      </w:r>
      <w:r w:rsidRPr="00181EF3">
        <w:t xml:space="preserve"> shows</w:t>
      </w:r>
      <w:r>
        <w:t xml:space="preserve"> the</w:t>
      </w:r>
      <w:r w:rsidRPr="00181EF3">
        <w:t xml:space="preserve"> age</w:t>
      </w:r>
      <w:r>
        <w:t>-standardised</w:t>
      </w:r>
      <w:r w:rsidRPr="00181EF3">
        <w:t xml:space="preserve"> rate</w:t>
      </w:r>
      <w:r>
        <w:t>s</w:t>
      </w:r>
      <w:r w:rsidRPr="00181EF3">
        <w:t xml:space="preserve"> of first episode rheumatic fever (RF) hospitalisations for Māori and </w:t>
      </w:r>
      <w:r w:rsidR="00EC03A3">
        <w:t>non</w:t>
      </w:r>
      <w:r w:rsidR="00EC03A3">
        <w:noBreakHyphen/>
        <w:t>M</w:t>
      </w:r>
      <w:r w:rsidRPr="00181EF3">
        <w:t>āori between 1996–98 and 2014–16.</w:t>
      </w:r>
    </w:p>
    <w:p w14:paraId="562EB07C" w14:textId="77777777" w:rsidR="005B6F74" w:rsidRPr="00181EF3" w:rsidRDefault="005B6F74" w:rsidP="005B6F74"/>
    <w:p w14:paraId="58B1A99C" w14:textId="77777777" w:rsidR="007B2CA8" w:rsidRDefault="007B2CA8" w:rsidP="007B2CA8">
      <w:pPr>
        <w:pStyle w:val="Heading4"/>
      </w:pPr>
      <w:r w:rsidRPr="00181EF3">
        <w:t>Change in rate of first episode RF hospitalisations for Māori</w:t>
      </w:r>
    </w:p>
    <w:p w14:paraId="32C4A19C" w14:textId="77777777" w:rsidR="005A489F" w:rsidRPr="00181EF3" w:rsidRDefault="005A489F" w:rsidP="005B6F74">
      <w:r w:rsidRPr="00181EF3">
        <w:t>The rate of first episode RF hospitalisations for Māori increased by 65 percent between 1996–98 and 2010–12 (from 9 in 1996–98 to 15 hospitalisations per 100,000 in</w:t>
      </w:r>
      <w:r w:rsidRPr="00181EF3">
        <w:br/>
        <w:t>2010–12). Between 2010–12 and 2014–16, the Māori rate of first episode RF hospitalisations nearly halved (to 9 hospitalisations per 100,000 in 2014–16).</w:t>
      </w:r>
    </w:p>
    <w:p w14:paraId="3C78B2A4" w14:textId="77777777" w:rsidR="005A489F" w:rsidRPr="00181EF3" w:rsidRDefault="005A489F" w:rsidP="005A489F"/>
    <w:p w14:paraId="7D6A16AA" w14:textId="254EC555" w:rsidR="005A489F" w:rsidRPr="00181EF3" w:rsidRDefault="005A489F" w:rsidP="005A489F">
      <w:r w:rsidRPr="00181EF3">
        <w:t xml:space="preserve">In comparison, the rate of first episode RF hospitalisations for </w:t>
      </w:r>
      <w:r w:rsidR="00EC03A3">
        <w:t>non</w:t>
      </w:r>
      <w:r w:rsidR="00EC03A3">
        <w:noBreakHyphen/>
        <w:t>M</w:t>
      </w:r>
      <w:r w:rsidRPr="00181EF3">
        <w:t>āori remained reasonably constant over the period (average of 3 hospitalisations per 100,000).</w:t>
      </w:r>
    </w:p>
    <w:p w14:paraId="69F476D5" w14:textId="77777777" w:rsidR="005A489F" w:rsidRPr="00181EF3" w:rsidRDefault="005A489F" w:rsidP="005A489F"/>
    <w:p w14:paraId="627FCBFA" w14:textId="2CE4D0CF" w:rsidR="005A489F" w:rsidRPr="00181EF3" w:rsidRDefault="005A489F" w:rsidP="001462D4">
      <w:pPr>
        <w:pStyle w:val="Heading4"/>
      </w:pPr>
      <w:r w:rsidRPr="00181EF3">
        <w:lastRenderedPageBreak/>
        <w:t xml:space="preserve">Difference between Māori and </w:t>
      </w:r>
      <w:r w:rsidR="00EC03A3">
        <w:t>non</w:t>
      </w:r>
      <w:r w:rsidR="00EC03A3">
        <w:noBreakHyphen/>
        <w:t>M</w:t>
      </w:r>
      <w:r w:rsidRPr="00181EF3">
        <w:t>āori rate of first episode RF hospitalisations</w:t>
      </w:r>
    </w:p>
    <w:p w14:paraId="29D4506F" w14:textId="47B17645" w:rsidR="008A5642" w:rsidRDefault="005A489F" w:rsidP="005A489F">
      <w:r w:rsidRPr="00181EF3">
        <w:t xml:space="preserve">Māori had a higher rate of first episode RF hospitalisations than </w:t>
      </w:r>
      <w:r w:rsidR="00EC03A3">
        <w:t>non</w:t>
      </w:r>
      <w:r w:rsidR="00EC03A3">
        <w:noBreakHyphen/>
        <w:t>M</w:t>
      </w:r>
      <w:r w:rsidRPr="00181EF3">
        <w:t>āori, this did not change over time. However</w:t>
      </w:r>
      <w:r>
        <w:t>,</w:t>
      </w:r>
      <w:r w:rsidRPr="00181EF3">
        <w:t xml:space="preserve"> the size of the difference between Māori and </w:t>
      </w:r>
      <w:r w:rsidR="00EC03A3">
        <w:t>non</w:t>
      </w:r>
      <w:r w:rsidR="00EC03A3">
        <w:noBreakHyphen/>
        <w:t>M</w:t>
      </w:r>
      <w:r w:rsidRPr="00181EF3">
        <w:t xml:space="preserve">āori did – </w:t>
      </w:r>
      <w:r w:rsidR="005B6F74">
        <w:t>t</w:t>
      </w:r>
      <w:r w:rsidR="001462D4" w:rsidRPr="00181EF3">
        <w:t xml:space="preserve">he difference between Māori and </w:t>
      </w:r>
      <w:r w:rsidR="00EC03A3">
        <w:t>non</w:t>
      </w:r>
      <w:r w:rsidR="00EC03A3">
        <w:noBreakHyphen/>
        <w:t>M</w:t>
      </w:r>
      <w:r w:rsidR="001462D4" w:rsidRPr="00181EF3">
        <w:t>āori followed a similar trend to the Māori rate of first episode RF hospitalisations</w:t>
      </w:r>
      <w:r w:rsidR="001462D4">
        <w:t xml:space="preserve"> </w:t>
      </w:r>
      <w:r w:rsidR="001462D4" w:rsidRPr="00181EF3">
        <w:t>– increasing between</w:t>
      </w:r>
      <w:r w:rsidR="005B6F74">
        <w:t xml:space="preserve"> </w:t>
      </w:r>
      <w:r w:rsidR="001462D4" w:rsidRPr="00181EF3">
        <w:t>1996–98 and 2010–12 and decreasing between 2010–12 and 2014–16.</w:t>
      </w:r>
    </w:p>
    <w:p w14:paraId="1BF5105E" w14:textId="625D2153" w:rsidR="001462D4" w:rsidRDefault="001462D4" w:rsidP="005A489F"/>
    <w:p w14:paraId="23819A00" w14:textId="59B527F3" w:rsidR="005A489F" w:rsidRPr="00181EF3" w:rsidRDefault="001462D4" w:rsidP="005A489F">
      <w:r>
        <w:t>I</w:t>
      </w:r>
      <w:r w:rsidR="005A489F" w:rsidRPr="00181EF3">
        <w:t>n 1996–98</w:t>
      </w:r>
      <w:r>
        <w:t>,</w:t>
      </w:r>
      <w:r w:rsidR="005A489F" w:rsidRPr="00181EF3">
        <w:t xml:space="preserve"> the rate of first episode RF hospitalisations for Māori was over 2½ times that of </w:t>
      </w:r>
      <w:r w:rsidR="00EC03A3">
        <w:t>non</w:t>
      </w:r>
      <w:r w:rsidR="00EC03A3">
        <w:noBreakHyphen/>
        <w:t>M</w:t>
      </w:r>
      <w:r w:rsidR="005A489F" w:rsidRPr="00181EF3">
        <w:t>āori, this gap increased until 2010–12 where the rate of first episode RF</w:t>
      </w:r>
      <w:r w:rsidR="005B6F74">
        <w:t> </w:t>
      </w:r>
      <w:r w:rsidR="005A489F" w:rsidRPr="00181EF3">
        <w:t xml:space="preserve">hospitalisations for Māori was over four times that of </w:t>
      </w:r>
      <w:r w:rsidR="00EC03A3">
        <w:t>non</w:t>
      </w:r>
      <w:r w:rsidR="00EC03A3">
        <w:noBreakHyphen/>
        <w:t>M</w:t>
      </w:r>
      <w:r w:rsidR="005A489F" w:rsidRPr="00181EF3">
        <w:t>āori. The gap then decreased between 2010–12 and 2014–16, where the rate of first episode RF</w:t>
      </w:r>
      <w:r w:rsidR="005B6F74">
        <w:t> </w:t>
      </w:r>
      <w:r w:rsidR="005A489F" w:rsidRPr="00181EF3">
        <w:t xml:space="preserve">hospitalisations for Māori was over 2½ times the rate for </w:t>
      </w:r>
      <w:r w:rsidR="00EC03A3">
        <w:t>non</w:t>
      </w:r>
      <w:r w:rsidR="00EC03A3">
        <w:noBreakHyphen/>
        <w:t>M</w:t>
      </w:r>
      <w:r w:rsidR="005A489F" w:rsidRPr="00181EF3">
        <w:t>āori.</w:t>
      </w:r>
    </w:p>
    <w:p w14:paraId="3DFDC027" w14:textId="77777777" w:rsidR="005A489F" w:rsidRPr="00181EF3" w:rsidRDefault="005A489F" w:rsidP="005A489F"/>
    <w:p w14:paraId="27D4C9A5" w14:textId="77777777" w:rsidR="005A489F" w:rsidRPr="00181EF3" w:rsidRDefault="005A489F" w:rsidP="005B6F74">
      <w:pPr>
        <w:pStyle w:val="Heading3"/>
        <w:pageBreakBefore/>
        <w:spacing w:before="0"/>
      </w:pPr>
      <w:bookmarkStart w:id="243" w:name="_Toc19102377"/>
      <w:r w:rsidRPr="00181EF3">
        <w:lastRenderedPageBreak/>
        <w:t>Meningococcal disease</w:t>
      </w:r>
      <w:bookmarkEnd w:id="243"/>
    </w:p>
    <w:p w14:paraId="29488826" w14:textId="710A730E" w:rsidR="005A489F" w:rsidRPr="00181EF3" w:rsidRDefault="005A489F" w:rsidP="005B6F74">
      <w:r w:rsidRPr="00181EF3">
        <w:t>Meningococcal disease is a bacterial infection that causes meningitis and septicaemia (blood poisoning), meningococcal can also cause permanent disability, such as deafness</w:t>
      </w:r>
      <w:r w:rsidR="00D229A4">
        <w:t xml:space="preserve"> (Ministry of Health 2018</w:t>
      </w:r>
      <w:r w:rsidR="00A23AFA">
        <w:t>e</w:t>
      </w:r>
      <w:r w:rsidR="00D229A4">
        <w:t>)</w:t>
      </w:r>
      <w:r w:rsidRPr="00181EF3">
        <w:t>.</w:t>
      </w:r>
    </w:p>
    <w:p w14:paraId="5E9BDF09" w14:textId="77777777" w:rsidR="005A489F" w:rsidRPr="00181EF3" w:rsidRDefault="005A489F" w:rsidP="005A489F">
      <w:pPr>
        <w:keepNext/>
      </w:pPr>
    </w:p>
    <w:p w14:paraId="1CC8562E" w14:textId="15EFAAE0" w:rsidR="00D229A4" w:rsidRPr="00181EF3" w:rsidRDefault="00D229A4" w:rsidP="00D229A4">
      <w:pPr>
        <w:pStyle w:val="Figure"/>
      </w:pPr>
      <w:bookmarkStart w:id="244" w:name="_Toc19101931"/>
      <w:r w:rsidRPr="00181EF3">
        <w:t xml:space="preserve">Figure </w:t>
      </w:r>
      <w:r>
        <w:t>80</w:t>
      </w:r>
      <w:r w:rsidRPr="00181EF3">
        <w:t xml:space="preserve">: </w:t>
      </w:r>
      <w:r>
        <w:t>M</w:t>
      </w:r>
      <w:r w:rsidRPr="00181EF3">
        <w:t>eningococcal notification</w:t>
      </w:r>
      <w:r>
        <w:t xml:space="preserve"> rates, </w:t>
      </w:r>
      <w:r w:rsidRPr="00181EF3">
        <w:t xml:space="preserve">Māori and </w:t>
      </w:r>
      <w:r w:rsidR="00EC03A3">
        <w:t>non</w:t>
      </w:r>
      <w:r w:rsidR="00EC03A3">
        <w:noBreakHyphen/>
        <w:t>M</w:t>
      </w:r>
      <w:r w:rsidRPr="00181EF3">
        <w:t>āori</w:t>
      </w:r>
      <w:r>
        <w:t>,</w:t>
      </w:r>
      <w:r w:rsidR="00D37C7B">
        <w:t xml:space="preserve"> </w:t>
      </w:r>
      <w:r w:rsidRPr="00181EF3">
        <w:t>1997–99 and 2015–17</w:t>
      </w:r>
      <w:bookmarkEnd w:id="244"/>
    </w:p>
    <w:p w14:paraId="4C9EEA7E" w14:textId="77777777" w:rsidR="00D229A4" w:rsidRPr="00181EF3" w:rsidRDefault="00D229A4" w:rsidP="00D229A4">
      <w:r w:rsidRPr="00181EF3">
        <w:rPr>
          <w:noProof/>
          <w:lang w:eastAsia="en-NZ"/>
        </w:rPr>
        <w:drawing>
          <wp:inline distT="0" distB="0" distL="0" distR="0" wp14:anchorId="674E2D9C" wp14:editId="6C832D8C">
            <wp:extent cx="5128952" cy="2583002"/>
            <wp:effectExtent l="0" t="0" r="0" b="8255"/>
            <wp:docPr id="479" name="Picture 479" descr="Meningitis notifications have dropped substantially for all groups after peaking around the year 2000. The rate for Māori remains higher than the rate for non-Māori, but the gap is almost closed and has been small since about 2005." title="FIgure 80: Meningococcal notification rates, Māori and non-Māori, 1997-99 and 20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0"/>
                    <a:srcRect t="2203" b="1"/>
                    <a:stretch/>
                  </pic:blipFill>
                  <pic:spPr bwMode="auto">
                    <a:xfrm>
                      <a:off x="0" y="0"/>
                      <a:ext cx="5130165" cy="2583613"/>
                    </a:xfrm>
                    <a:prstGeom prst="rect">
                      <a:avLst/>
                    </a:prstGeom>
                    <a:ln>
                      <a:noFill/>
                    </a:ln>
                    <a:extLst>
                      <a:ext uri="{53640926-AAD7-44D8-BBD7-CCE9431645EC}">
                        <a14:shadowObscured xmlns:a14="http://schemas.microsoft.com/office/drawing/2010/main"/>
                      </a:ext>
                    </a:extLst>
                  </pic:spPr>
                </pic:pic>
              </a:graphicData>
            </a:graphic>
          </wp:inline>
        </w:drawing>
      </w:r>
    </w:p>
    <w:p w14:paraId="0796BE11" w14:textId="77777777" w:rsidR="00D229A4" w:rsidRDefault="00D229A4" w:rsidP="00D229A4">
      <w:pPr>
        <w:pStyle w:val="Note"/>
      </w:pPr>
      <w:r w:rsidRPr="00181EF3">
        <w:t>Notes:</w:t>
      </w:r>
    </w:p>
    <w:p w14:paraId="1A13EE88" w14:textId="2DE4CEA7" w:rsidR="008A5642" w:rsidRDefault="00446D86" w:rsidP="00D229A4">
      <w:pPr>
        <w:pStyle w:val="Note"/>
      </w:pPr>
      <w:r>
        <w:t>Figures are age-standardised to the 2001 Census total Māori population</w:t>
      </w:r>
      <w:r w:rsidR="00D229A4" w:rsidRPr="00181EF3">
        <w:t>.</w:t>
      </w:r>
    </w:p>
    <w:p w14:paraId="33F5D17D" w14:textId="511E7FA6" w:rsidR="00D229A4" w:rsidRPr="00181EF3" w:rsidRDefault="00D229A4" w:rsidP="00D229A4">
      <w:pPr>
        <w:pStyle w:val="Note"/>
      </w:pPr>
      <w:r>
        <w:t>Prioritised ethnicity has been used.</w:t>
      </w:r>
    </w:p>
    <w:p w14:paraId="787278E1" w14:textId="77777777" w:rsidR="00D229A4" w:rsidRPr="00181EF3" w:rsidRDefault="00D229A4" w:rsidP="00B6364B">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5A945316" w14:textId="77777777" w:rsidR="00D229A4" w:rsidRPr="00181EF3" w:rsidRDefault="00D229A4" w:rsidP="00D229A4">
      <w:pPr>
        <w:pStyle w:val="Source"/>
      </w:pPr>
      <w:r w:rsidRPr="00181EF3">
        <w:t>Source: Institute of Environmental Science and Research Limited (ESR) 1997–2017.</w:t>
      </w:r>
    </w:p>
    <w:p w14:paraId="07445CDF" w14:textId="77777777" w:rsidR="00D229A4" w:rsidRPr="00D229A4" w:rsidRDefault="00D229A4" w:rsidP="00D229A4"/>
    <w:p w14:paraId="64AB7D60" w14:textId="52A08627" w:rsidR="00D229A4" w:rsidRDefault="00D229A4" w:rsidP="005B6F74">
      <w:r w:rsidRPr="00181EF3">
        <w:t xml:space="preserve">Figure </w:t>
      </w:r>
      <w:r>
        <w:t>80</w:t>
      </w:r>
      <w:r w:rsidRPr="00181EF3">
        <w:t xml:space="preserve"> shows the </w:t>
      </w:r>
      <w:r>
        <w:t xml:space="preserve">age-standardised </w:t>
      </w:r>
      <w:r w:rsidRPr="00181EF3">
        <w:t xml:space="preserve">rate of meningococcal disease notifications for Māori and </w:t>
      </w:r>
      <w:r w:rsidR="00EC03A3">
        <w:t>non</w:t>
      </w:r>
      <w:r w:rsidR="00EC03A3">
        <w:noBreakHyphen/>
        <w:t>M</w:t>
      </w:r>
      <w:r w:rsidRPr="00181EF3">
        <w:t>āori between 1997 and 2017.</w:t>
      </w:r>
    </w:p>
    <w:p w14:paraId="10F8B158" w14:textId="77777777" w:rsidR="005B6F74" w:rsidRPr="00181EF3" w:rsidRDefault="005B6F74" w:rsidP="005B6F74"/>
    <w:p w14:paraId="21F5A5B7" w14:textId="1634E7A4" w:rsidR="007B2CA8" w:rsidRPr="00181EF3" w:rsidRDefault="007B2CA8" w:rsidP="007B2CA8">
      <w:pPr>
        <w:pStyle w:val="Heading4"/>
      </w:pPr>
      <w:r w:rsidRPr="00181EF3">
        <w:t xml:space="preserve">Decrease in rate of meningococcal disease notifications for Māori and </w:t>
      </w:r>
      <w:r w:rsidR="00EC03A3">
        <w:t>non</w:t>
      </w:r>
      <w:r w:rsidR="00EC03A3">
        <w:noBreakHyphen/>
        <w:t>M</w:t>
      </w:r>
      <w:r w:rsidRPr="00181EF3">
        <w:t>āori</w:t>
      </w:r>
    </w:p>
    <w:p w14:paraId="67E32F26" w14:textId="0A9B4E65" w:rsidR="00D229A4" w:rsidRDefault="005A489F" w:rsidP="005B6F74">
      <w:r w:rsidRPr="00181EF3">
        <w:t xml:space="preserve">The rate of meningococcal disease notifications decreased for both Māori and </w:t>
      </w:r>
      <w:r w:rsidR="00EC03A3">
        <w:t>non</w:t>
      </w:r>
      <w:r w:rsidR="00EC03A3">
        <w:noBreakHyphen/>
        <w:t>M</w:t>
      </w:r>
      <w:r w:rsidRPr="00181EF3">
        <w:t>āori between 1997–99 and 2015–17</w:t>
      </w:r>
      <w:r w:rsidR="00D229A4">
        <w:t xml:space="preserve"> at a similar rate (</w:t>
      </w:r>
      <w:r w:rsidR="00D229A4" w:rsidRPr="00181EF3">
        <w:t>both decreasing by nearly 90</w:t>
      </w:r>
      <w:r w:rsidR="005B6F74">
        <w:t> </w:t>
      </w:r>
      <w:r w:rsidR="00D229A4" w:rsidRPr="00181EF3">
        <w:t>percent</w:t>
      </w:r>
      <w:r w:rsidR="00D229A4">
        <w:t>)</w:t>
      </w:r>
      <w:r w:rsidRPr="00181EF3">
        <w:t xml:space="preserve">. </w:t>
      </w:r>
      <w:r w:rsidR="00D229A4" w:rsidRPr="00181EF3">
        <w:t xml:space="preserve">In 2015–17, the rate of meningococcal notifications was 4 notifications per 100,000 compared </w:t>
      </w:r>
      <w:r w:rsidR="00FF1892">
        <w:t>with</w:t>
      </w:r>
      <w:r w:rsidR="00FF1892" w:rsidRPr="00181EF3">
        <w:t xml:space="preserve"> </w:t>
      </w:r>
      <w:r w:rsidR="00D229A4" w:rsidRPr="00181EF3">
        <w:t xml:space="preserve">a rate of 2 per 100,000 </w:t>
      </w:r>
      <w:r w:rsidR="00EC03A3">
        <w:t>non</w:t>
      </w:r>
      <w:r w:rsidR="00EC03A3">
        <w:noBreakHyphen/>
        <w:t>M</w:t>
      </w:r>
      <w:r w:rsidR="00D229A4" w:rsidRPr="00181EF3">
        <w:t>āori.</w:t>
      </w:r>
    </w:p>
    <w:p w14:paraId="1194C490" w14:textId="77777777" w:rsidR="00D229A4" w:rsidRDefault="00D229A4" w:rsidP="005B6F74"/>
    <w:p w14:paraId="1345702D" w14:textId="43328E09" w:rsidR="005A489F" w:rsidRDefault="005A489F" w:rsidP="005B6F74">
      <w:r w:rsidRPr="00181EF3">
        <w:t xml:space="preserve">During this time the rate of meningococcal disease notifications for Māori decreased by 88 percent (from 31 to 4 notifications per 100,000) and the rate for </w:t>
      </w:r>
      <w:r w:rsidR="00EC03A3">
        <w:t>non</w:t>
      </w:r>
      <w:r w:rsidR="00EC03A3">
        <w:noBreakHyphen/>
        <w:t>M</w:t>
      </w:r>
      <w:r w:rsidRPr="00181EF3">
        <w:t>āori also decreased by almost 89 percent over the same period (from 17 to 2 notifications per 100,000).</w:t>
      </w:r>
    </w:p>
    <w:p w14:paraId="2FB83491" w14:textId="77777777" w:rsidR="005B6F74" w:rsidRPr="00181EF3" w:rsidRDefault="005B6F74" w:rsidP="005B6F74"/>
    <w:p w14:paraId="69ED3A19" w14:textId="13AC1055" w:rsidR="005A489F" w:rsidRPr="00181EF3" w:rsidRDefault="005A489F" w:rsidP="001462D4">
      <w:pPr>
        <w:pStyle w:val="Heading4"/>
      </w:pPr>
      <w:r w:rsidRPr="00181EF3">
        <w:lastRenderedPageBreak/>
        <w:t xml:space="preserve">Difference between Māori and </w:t>
      </w:r>
      <w:r w:rsidR="00EC03A3">
        <w:t>non</w:t>
      </w:r>
      <w:r w:rsidR="00EC03A3">
        <w:noBreakHyphen/>
        <w:t>M</w:t>
      </w:r>
      <w:r w:rsidRPr="00181EF3">
        <w:t>āori rates of meningococcal disease notifications</w:t>
      </w:r>
    </w:p>
    <w:p w14:paraId="4CDAC36C" w14:textId="0FB6CEE6" w:rsidR="00D229A4" w:rsidRDefault="005A489F" w:rsidP="00D229A4">
      <w:r w:rsidRPr="00181EF3">
        <w:t xml:space="preserve">Māori rate of meningococcal disease notifications was nearly twice that of </w:t>
      </w:r>
      <w:r w:rsidR="00EC03A3">
        <w:t>non</w:t>
      </w:r>
      <w:r w:rsidR="00EC03A3">
        <w:noBreakHyphen/>
        <w:t>M</w:t>
      </w:r>
      <w:r w:rsidRPr="00181EF3">
        <w:t xml:space="preserve">āori, this did not change over time due to the rates of meningococcal disease notifications for Māori and </w:t>
      </w:r>
      <w:r w:rsidR="00EC03A3">
        <w:t>non</w:t>
      </w:r>
      <w:r w:rsidR="00EC03A3">
        <w:noBreakHyphen/>
        <w:t>M</w:t>
      </w:r>
      <w:r w:rsidRPr="00181EF3">
        <w:t>āori decreasing at similar rates. Although the rate ratio did not change over time the absolute difference did, decreasing by 88 percent between</w:t>
      </w:r>
      <w:r w:rsidRPr="00181EF3">
        <w:br/>
        <w:t xml:space="preserve">1997–99 and 2015–17 (Māori had 14 more notifications per 100,000 than </w:t>
      </w:r>
      <w:r w:rsidR="00EC03A3">
        <w:t>non</w:t>
      </w:r>
      <w:r w:rsidR="00EC03A3">
        <w:noBreakHyphen/>
        <w:t>M</w:t>
      </w:r>
      <w:r w:rsidRPr="00181EF3">
        <w:t>āori in 1997–99 and 2 more notifications per 100,000 in 2015–17).</w:t>
      </w:r>
    </w:p>
    <w:p w14:paraId="7F87E71D" w14:textId="77777777" w:rsidR="00D229A4" w:rsidRDefault="00D229A4" w:rsidP="00D229A4"/>
    <w:p w14:paraId="52F96483" w14:textId="77777777" w:rsidR="005A489F" w:rsidRPr="00181EF3" w:rsidRDefault="005A489F" w:rsidP="005B6F74">
      <w:pPr>
        <w:pStyle w:val="Heading3"/>
        <w:pageBreakBefore/>
        <w:spacing w:before="0"/>
      </w:pPr>
      <w:bookmarkStart w:id="245" w:name="_Toc19102378"/>
      <w:r w:rsidRPr="00181EF3">
        <w:lastRenderedPageBreak/>
        <w:t>HIV/AIDS</w:t>
      </w:r>
      <w:bookmarkEnd w:id="245"/>
    </w:p>
    <w:p w14:paraId="4491E708" w14:textId="607A4FC4" w:rsidR="005A489F" w:rsidRPr="00181EF3" w:rsidRDefault="005A489F" w:rsidP="005B6F74">
      <w:r w:rsidRPr="00181EF3">
        <w:t>HIV (human immunodeficiency virus) damages the immune system. When a person has HIV and one or more serious illnesses (such as pneumonia) or cancers, they are said to have AIDS (acquired immunodeficiency syndrome)</w:t>
      </w:r>
      <w:r w:rsidR="00D229A4">
        <w:t xml:space="preserve"> (Ministry of Health 2018</w:t>
      </w:r>
      <w:r w:rsidR="00A23AFA">
        <w:t>c</w:t>
      </w:r>
      <w:r w:rsidR="00D229A4">
        <w:t>)</w:t>
      </w:r>
      <w:r w:rsidRPr="00181EF3">
        <w:t>.</w:t>
      </w:r>
    </w:p>
    <w:p w14:paraId="2C58F7E6" w14:textId="77777777" w:rsidR="005A489F" w:rsidRPr="00181EF3" w:rsidRDefault="005A489F" w:rsidP="005B6F74"/>
    <w:p w14:paraId="6C2AEBCC" w14:textId="788F9454" w:rsidR="005A489F" w:rsidRPr="00181EF3" w:rsidRDefault="005A489F" w:rsidP="005A489F">
      <w:pPr>
        <w:pStyle w:val="Table"/>
      </w:pPr>
      <w:bookmarkStart w:id="246" w:name="_Toc18594763"/>
      <w:r w:rsidRPr="00181EF3">
        <w:t xml:space="preserve">Table </w:t>
      </w:r>
      <w:r>
        <w:rPr>
          <w:noProof/>
        </w:rPr>
        <w:t>23</w:t>
      </w:r>
      <w:r w:rsidRPr="00181EF3">
        <w:t>: Count (percentage %) of HIV diagnoses</w:t>
      </w:r>
      <w:r w:rsidR="00D229A4" w:rsidRPr="00181EF3">
        <w:t>, by gender</w:t>
      </w:r>
      <w:r w:rsidRPr="00181EF3">
        <w:t xml:space="preserve">, Māori and </w:t>
      </w:r>
      <w:r w:rsidR="00EC03A3">
        <w:t>non</w:t>
      </w:r>
      <w:r w:rsidR="00EC03A3">
        <w:noBreakHyphen/>
        <w:t>M</w:t>
      </w:r>
      <w:r w:rsidRPr="00181EF3">
        <w:t>āori, 1996 to 2017</w:t>
      </w:r>
      <w:bookmarkEnd w:id="246"/>
    </w:p>
    <w:tbl>
      <w:tblPr>
        <w:tblW w:w="0" w:type="auto"/>
        <w:tblInd w:w="57" w:type="dxa"/>
        <w:tblLayout w:type="fixed"/>
        <w:tblCellMar>
          <w:left w:w="57" w:type="dxa"/>
          <w:right w:w="57" w:type="dxa"/>
        </w:tblCellMar>
        <w:tblLook w:val="04A0" w:firstRow="1" w:lastRow="0" w:firstColumn="1" w:lastColumn="0" w:noHBand="0" w:noVBand="1"/>
      </w:tblPr>
      <w:tblGrid>
        <w:gridCol w:w="1134"/>
        <w:gridCol w:w="1275"/>
        <w:gridCol w:w="1276"/>
        <w:gridCol w:w="1276"/>
        <w:gridCol w:w="1276"/>
        <w:gridCol w:w="1701"/>
      </w:tblGrid>
      <w:tr w:rsidR="005A489F" w:rsidRPr="00181EF3" w14:paraId="2D7F3A7C" w14:textId="77777777" w:rsidTr="005A489F">
        <w:trPr>
          <w:cantSplit/>
        </w:trPr>
        <w:tc>
          <w:tcPr>
            <w:tcW w:w="1134" w:type="dxa"/>
            <w:vMerge w:val="restart"/>
            <w:tcBorders>
              <w:right w:val="single" w:sz="4" w:space="0" w:color="A6A6A6" w:themeColor="background1" w:themeShade="A6"/>
            </w:tcBorders>
            <w:shd w:val="clear" w:color="auto" w:fill="D9D9D9" w:themeFill="background1" w:themeFillShade="D9"/>
          </w:tcPr>
          <w:p w14:paraId="45A4E89F" w14:textId="77777777" w:rsidR="005A489F" w:rsidRPr="00181EF3" w:rsidRDefault="005A489F" w:rsidP="005A489F">
            <w:pPr>
              <w:pStyle w:val="TableText"/>
              <w:keepNext/>
              <w:spacing w:before="55" w:after="55"/>
              <w:rPr>
                <w:b/>
              </w:rPr>
            </w:pPr>
            <w:r w:rsidRPr="00181EF3">
              <w:rPr>
                <w:b/>
              </w:rPr>
              <w:t>Year</w:t>
            </w:r>
          </w:p>
        </w:tc>
        <w:tc>
          <w:tcPr>
            <w:tcW w:w="2551" w:type="dxa"/>
            <w:gridSpan w:val="2"/>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627CEACF" w14:textId="77777777" w:rsidR="005A489F" w:rsidRPr="00181EF3" w:rsidRDefault="005A489F" w:rsidP="005A489F">
            <w:pPr>
              <w:pStyle w:val="TableText"/>
              <w:keepNext/>
              <w:spacing w:before="55" w:after="55"/>
              <w:jc w:val="center"/>
              <w:rPr>
                <w:b/>
                <w:bCs/>
              </w:rPr>
            </w:pPr>
            <w:r w:rsidRPr="00181EF3">
              <w:rPr>
                <w:b/>
              </w:rPr>
              <w:t>Māori</w:t>
            </w:r>
          </w:p>
        </w:tc>
        <w:tc>
          <w:tcPr>
            <w:tcW w:w="2552" w:type="dxa"/>
            <w:gridSpan w:val="2"/>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6D48F93D" w14:textId="73EE3A60" w:rsidR="005A489F" w:rsidRPr="00181EF3" w:rsidRDefault="00EC03A3" w:rsidP="005A489F">
            <w:pPr>
              <w:pStyle w:val="TableText"/>
              <w:keepNext/>
              <w:spacing w:before="55" w:after="55"/>
              <w:jc w:val="center"/>
              <w:rPr>
                <w:b/>
                <w:bCs/>
              </w:rPr>
            </w:pPr>
            <w:r>
              <w:rPr>
                <w:b/>
              </w:rPr>
              <w:t>Non</w:t>
            </w:r>
            <w:r>
              <w:rPr>
                <w:b/>
              </w:rPr>
              <w:noBreakHyphen/>
              <w:t>M</w:t>
            </w:r>
            <w:r w:rsidR="005A489F" w:rsidRPr="00181EF3">
              <w:rPr>
                <w:b/>
              </w:rPr>
              <w:t>āori</w:t>
            </w:r>
          </w:p>
        </w:tc>
        <w:tc>
          <w:tcPr>
            <w:tcW w:w="1701" w:type="dxa"/>
            <w:vMerge w:val="restart"/>
            <w:tcBorders>
              <w:left w:val="single" w:sz="4" w:space="0" w:color="A6A6A6" w:themeColor="background1" w:themeShade="A6"/>
            </w:tcBorders>
            <w:shd w:val="clear" w:color="auto" w:fill="D9D9D9" w:themeFill="background1" w:themeFillShade="D9"/>
          </w:tcPr>
          <w:p w14:paraId="238E8489" w14:textId="77777777" w:rsidR="005A489F" w:rsidRPr="00181EF3" w:rsidRDefault="005A489F" w:rsidP="005A489F">
            <w:pPr>
              <w:pStyle w:val="TableText"/>
              <w:keepNext/>
              <w:spacing w:before="55" w:after="55"/>
              <w:jc w:val="center"/>
              <w:rPr>
                <w:b/>
              </w:rPr>
            </w:pPr>
            <w:r w:rsidRPr="00181EF3">
              <w:rPr>
                <w:b/>
              </w:rPr>
              <w:t>Total</w:t>
            </w:r>
          </w:p>
        </w:tc>
      </w:tr>
      <w:tr w:rsidR="005A489F" w:rsidRPr="00181EF3" w14:paraId="06A2D10B" w14:textId="77777777" w:rsidTr="005A489F">
        <w:trPr>
          <w:cantSplit/>
        </w:trPr>
        <w:tc>
          <w:tcPr>
            <w:tcW w:w="1134" w:type="dxa"/>
            <w:vMerge/>
            <w:tcBorders>
              <w:right w:val="single" w:sz="4" w:space="0" w:color="A6A6A6" w:themeColor="background1" w:themeShade="A6"/>
            </w:tcBorders>
            <w:shd w:val="clear" w:color="auto" w:fill="D9D9D9" w:themeFill="background1" w:themeFillShade="D9"/>
          </w:tcPr>
          <w:p w14:paraId="04F3822A" w14:textId="77777777" w:rsidR="005A489F" w:rsidRPr="00181EF3" w:rsidRDefault="005A489F" w:rsidP="005A489F">
            <w:pPr>
              <w:pStyle w:val="TableText"/>
              <w:keepNext/>
              <w:spacing w:before="55" w:after="55"/>
              <w:rPr>
                <w:b/>
              </w:rPr>
            </w:pPr>
          </w:p>
        </w:tc>
        <w:tc>
          <w:tcPr>
            <w:tcW w:w="1275" w:type="dxa"/>
            <w:tcBorders>
              <w:left w:val="single" w:sz="4" w:space="0" w:color="A6A6A6" w:themeColor="background1" w:themeShade="A6"/>
            </w:tcBorders>
            <w:shd w:val="clear" w:color="auto" w:fill="D9D9D9" w:themeFill="background1" w:themeFillShade="D9"/>
          </w:tcPr>
          <w:p w14:paraId="0CD533F1" w14:textId="77777777" w:rsidR="005A489F" w:rsidRPr="00181EF3" w:rsidRDefault="005A489F" w:rsidP="005A489F">
            <w:pPr>
              <w:pStyle w:val="TableText"/>
              <w:keepNext/>
              <w:spacing w:before="0" w:after="55"/>
              <w:jc w:val="center"/>
              <w:rPr>
                <w:b/>
              </w:rPr>
            </w:pPr>
            <w:r w:rsidRPr="00181EF3">
              <w:rPr>
                <w:b/>
              </w:rPr>
              <w:t>Male</w:t>
            </w:r>
          </w:p>
        </w:tc>
        <w:tc>
          <w:tcPr>
            <w:tcW w:w="1276" w:type="dxa"/>
            <w:tcBorders>
              <w:right w:val="single" w:sz="4" w:space="0" w:color="A6A6A6" w:themeColor="background1" w:themeShade="A6"/>
            </w:tcBorders>
            <w:shd w:val="clear" w:color="auto" w:fill="D9D9D9" w:themeFill="background1" w:themeFillShade="D9"/>
          </w:tcPr>
          <w:p w14:paraId="6A365E3E" w14:textId="77777777" w:rsidR="005A489F" w:rsidRPr="00181EF3" w:rsidRDefault="005A489F" w:rsidP="005A489F">
            <w:pPr>
              <w:pStyle w:val="TableText"/>
              <w:keepNext/>
              <w:spacing w:before="0" w:after="55"/>
              <w:jc w:val="center"/>
              <w:rPr>
                <w:b/>
              </w:rPr>
            </w:pPr>
            <w:r w:rsidRPr="00181EF3">
              <w:rPr>
                <w:b/>
              </w:rPr>
              <w:t>Female</w:t>
            </w:r>
          </w:p>
        </w:tc>
        <w:tc>
          <w:tcPr>
            <w:tcW w:w="1276" w:type="dxa"/>
            <w:tcBorders>
              <w:left w:val="single" w:sz="4" w:space="0" w:color="A6A6A6" w:themeColor="background1" w:themeShade="A6"/>
            </w:tcBorders>
            <w:shd w:val="clear" w:color="auto" w:fill="D9D9D9" w:themeFill="background1" w:themeFillShade="D9"/>
          </w:tcPr>
          <w:p w14:paraId="42CA6B7B" w14:textId="77777777" w:rsidR="005A489F" w:rsidRPr="00181EF3" w:rsidRDefault="005A489F" w:rsidP="005A489F">
            <w:pPr>
              <w:pStyle w:val="TableText"/>
              <w:keepNext/>
              <w:spacing w:before="0" w:after="55"/>
              <w:jc w:val="center"/>
              <w:rPr>
                <w:b/>
              </w:rPr>
            </w:pPr>
            <w:r w:rsidRPr="00181EF3">
              <w:rPr>
                <w:b/>
              </w:rPr>
              <w:t>Male</w:t>
            </w:r>
          </w:p>
        </w:tc>
        <w:tc>
          <w:tcPr>
            <w:tcW w:w="1276" w:type="dxa"/>
            <w:tcBorders>
              <w:right w:val="single" w:sz="4" w:space="0" w:color="A6A6A6" w:themeColor="background1" w:themeShade="A6"/>
            </w:tcBorders>
            <w:shd w:val="clear" w:color="auto" w:fill="D9D9D9" w:themeFill="background1" w:themeFillShade="D9"/>
          </w:tcPr>
          <w:p w14:paraId="6A8A2A4B" w14:textId="77777777" w:rsidR="005A489F" w:rsidRPr="00181EF3" w:rsidRDefault="005A489F" w:rsidP="005A489F">
            <w:pPr>
              <w:pStyle w:val="TableText"/>
              <w:keepNext/>
              <w:spacing w:before="0" w:after="55"/>
              <w:jc w:val="center"/>
              <w:rPr>
                <w:b/>
              </w:rPr>
            </w:pPr>
            <w:r w:rsidRPr="00181EF3">
              <w:rPr>
                <w:b/>
              </w:rPr>
              <w:t>Female</w:t>
            </w:r>
          </w:p>
        </w:tc>
        <w:tc>
          <w:tcPr>
            <w:tcW w:w="1701" w:type="dxa"/>
            <w:vMerge/>
            <w:tcBorders>
              <w:left w:val="single" w:sz="4" w:space="0" w:color="A6A6A6" w:themeColor="background1" w:themeShade="A6"/>
            </w:tcBorders>
            <w:shd w:val="clear" w:color="auto" w:fill="D9D9D9" w:themeFill="background1" w:themeFillShade="D9"/>
          </w:tcPr>
          <w:p w14:paraId="51856C91" w14:textId="77777777" w:rsidR="005A489F" w:rsidRPr="00181EF3" w:rsidRDefault="005A489F" w:rsidP="005A489F">
            <w:pPr>
              <w:pStyle w:val="TableText"/>
              <w:keepNext/>
              <w:spacing w:before="55" w:after="55"/>
              <w:rPr>
                <w:b/>
              </w:rPr>
            </w:pPr>
          </w:p>
        </w:tc>
      </w:tr>
      <w:tr w:rsidR="005A489F" w:rsidRPr="00181EF3" w14:paraId="17149E92" w14:textId="77777777" w:rsidTr="005A489F">
        <w:trPr>
          <w:cantSplit/>
        </w:trPr>
        <w:tc>
          <w:tcPr>
            <w:tcW w:w="1134" w:type="dxa"/>
            <w:tcBorders>
              <w:bottom w:val="single" w:sz="4" w:space="0" w:color="A6A6A6" w:themeColor="background1" w:themeShade="A6"/>
              <w:right w:val="single" w:sz="4" w:space="0" w:color="A6A6A6" w:themeColor="background1" w:themeShade="A6"/>
            </w:tcBorders>
          </w:tcPr>
          <w:p w14:paraId="2F3A48B9" w14:textId="77777777" w:rsidR="005A489F" w:rsidRPr="00181EF3" w:rsidRDefault="005A489F" w:rsidP="005A489F">
            <w:pPr>
              <w:pStyle w:val="TableText"/>
              <w:keepNext/>
              <w:spacing w:before="55" w:after="55"/>
            </w:pPr>
            <w:r w:rsidRPr="00181EF3">
              <w:t>1996</w:t>
            </w:r>
          </w:p>
        </w:tc>
        <w:tc>
          <w:tcPr>
            <w:tcW w:w="1275" w:type="dxa"/>
            <w:tcBorders>
              <w:left w:val="single" w:sz="4" w:space="0" w:color="A6A6A6" w:themeColor="background1" w:themeShade="A6"/>
              <w:bottom w:val="single" w:sz="4" w:space="0" w:color="A6A6A6" w:themeColor="background1" w:themeShade="A6"/>
            </w:tcBorders>
          </w:tcPr>
          <w:p w14:paraId="6A049DBF" w14:textId="77777777" w:rsidR="005A489F" w:rsidRPr="00181EF3" w:rsidRDefault="005A489F" w:rsidP="005A489F">
            <w:pPr>
              <w:pStyle w:val="TableText"/>
              <w:keepNext/>
              <w:tabs>
                <w:tab w:val="decimal" w:pos="458"/>
              </w:tabs>
              <w:spacing w:before="55" w:after="55"/>
            </w:pPr>
            <w:r w:rsidRPr="00181EF3">
              <w:t>5 (5.3)</w:t>
            </w:r>
          </w:p>
        </w:tc>
        <w:tc>
          <w:tcPr>
            <w:tcW w:w="1276" w:type="dxa"/>
            <w:tcBorders>
              <w:bottom w:val="single" w:sz="4" w:space="0" w:color="A6A6A6" w:themeColor="background1" w:themeShade="A6"/>
              <w:right w:val="single" w:sz="4" w:space="0" w:color="A6A6A6" w:themeColor="background1" w:themeShade="A6"/>
            </w:tcBorders>
          </w:tcPr>
          <w:p w14:paraId="4E249F99" w14:textId="77777777" w:rsidR="005A489F" w:rsidRPr="00181EF3" w:rsidRDefault="005A489F" w:rsidP="005A489F">
            <w:pPr>
              <w:pStyle w:val="TableText"/>
              <w:keepNext/>
              <w:tabs>
                <w:tab w:val="decimal" w:pos="458"/>
              </w:tabs>
              <w:spacing w:before="55" w:after="55"/>
            </w:pPr>
            <w:r w:rsidRPr="00181EF3">
              <w:t>1 (1.1)</w:t>
            </w:r>
          </w:p>
        </w:tc>
        <w:tc>
          <w:tcPr>
            <w:tcW w:w="1276" w:type="dxa"/>
            <w:tcBorders>
              <w:left w:val="single" w:sz="4" w:space="0" w:color="A6A6A6" w:themeColor="background1" w:themeShade="A6"/>
              <w:bottom w:val="single" w:sz="4" w:space="0" w:color="A6A6A6" w:themeColor="background1" w:themeShade="A6"/>
            </w:tcBorders>
          </w:tcPr>
          <w:p w14:paraId="6E0B8A0B" w14:textId="77777777" w:rsidR="005A489F" w:rsidRPr="00181EF3" w:rsidRDefault="005A489F" w:rsidP="005A489F">
            <w:pPr>
              <w:pStyle w:val="TableText"/>
              <w:keepNext/>
              <w:tabs>
                <w:tab w:val="decimal" w:pos="473"/>
              </w:tabs>
              <w:spacing w:before="55" w:after="55"/>
            </w:pPr>
            <w:r w:rsidRPr="00181EF3">
              <w:t>73 (76.8)</w:t>
            </w:r>
          </w:p>
        </w:tc>
        <w:tc>
          <w:tcPr>
            <w:tcW w:w="1276" w:type="dxa"/>
            <w:tcBorders>
              <w:bottom w:val="single" w:sz="4" w:space="0" w:color="A6A6A6" w:themeColor="background1" w:themeShade="A6"/>
              <w:right w:val="single" w:sz="4" w:space="0" w:color="A6A6A6" w:themeColor="background1" w:themeShade="A6"/>
            </w:tcBorders>
          </w:tcPr>
          <w:p w14:paraId="4BBBC38D" w14:textId="77777777" w:rsidR="005A489F" w:rsidRPr="00181EF3" w:rsidRDefault="005A489F" w:rsidP="005A489F">
            <w:pPr>
              <w:pStyle w:val="TableText"/>
              <w:keepNext/>
              <w:tabs>
                <w:tab w:val="decimal" w:pos="473"/>
              </w:tabs>
              <w:spacing w:before="55" w:after="55"/>
            </w:pPr>
            <w:r w:rsidRPr="00181EF3">
              <w:t>16 (16.8)</w:t>
            </w:r>
          </w:p>
        </w:tc>
        <w:tc>
          <w:tcPr>
            <w:tcW w:w="1701" w:type="dxa"/>
            <w:tcBorders>
              <w:left w:val="single" w:sz="4" w:space="0" w:color="A6A6A6" w:themeColor="background1" w:themeShade="A6"/>
              <w:bottom w:val="single" w:sz="4" w:space="0" w:color="A6A6A6" w:themeColor="background1" w:themeShade="A6"/>
            </w:tcBorders>
          </w:tcPr>
          <w:p w14:paraId="7D49E64A" w14:textId="77777777" w:rsidR="005A489F" w:rsidRPr="00181EF3" w:rsidRDefault="005A489F" w:rsidP="005A489F">
            <w:pPr>
              <w:pStyle w:val="TableText"/>
              <w:keepNext/>
              <w:tabs>
                <w:tab w:val="decimal" w:pos="605"/>
              </w:tabs>
              <w:spacing w:before="55" w:after="55"/>
            </w:pPr>
            <w:r w:rsidRPr="00181EF3">
              <w:t>95 (100.0)</w:t>
            </w:r>
          </w:p>
        </w:tc>
      </w:tr>
      <w:tr w:rsidR="005A489F" w:rsidRPr="00181EF3" w14:paraId="2C3FBDE7" w14:textId="77777777" w:rsidTr="005A489F">
        <w:trPr>
          <w:cantSplit/>
        </w:trPr>
        <w:tc>
          <w:tcPr>
            <w:tcW w:w="113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D13F9EB" w14:textId="77777777" w:rsidR="005A489F" w:rsidRPr="00181EF3" w:rsidRDefault="005A489F" w:rsidP="005A489F">
            <w:pPr>
              <w:pStyle w:val="TableText"/>
              <w:keepNext/>
              <w:spacing w:before="55" w:after="55"/>
            </w:pPr>
            <w:r w:rsidRPr="00181EF3">
              <w:t>1997</w:t>
            </w:r>
          </w:p>
        </w:tc>
        <w:tc>
          <w:tcPr>
            <w:tcW w:w="127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2676CA9" w14:textId="77777777" w:rsidR="005A489F" w:rsidRPr="00181EF3" w:rsidRDefault="005A489F" w:rsidP="005A489F">
            <w:pPr>
              <w:pStyle w:val="TableText"/>
              <w:keepNext/>
              <w:tabs>
                <w:tab w:val="decimal" w:pos="458"/>
              </w:tabs>
              <w:spacing w:before="55" w:after="55"/>
            </w:pPr>
            <w:r w:rsidRPr="00181EF3">
              <w:t>5 (6.8)</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4C06363" w14:textId="77777777" w:rsidR="005A489F" w:rsidRPr="00181EF3" w:rsidRDefault="005A489F" w:rsidP="005A489F">
            <w:pPr>
              <w:pStyle w:val="TableText"/>
              <w:keepNext/>
              <w:tabs>
                <w:tab w:val="decimal" w:pos="458"/>
              </w:tabs>
              <w:spacing w:before="55" w:after="55"/>
            </w:pPr>
            <w:r w:rsidRPr="00181EF3">
              <w:t>1 (1.4)</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3B1BE8E" w14:textId="77777777" w:rsidR="005A489F" w:rsidRPr="00181EF3" w:rsidRDefault="005A489F" w:rsidP="005A489F">
            <w:pPr>
              <w:pStyle w:val="TableText"/>
              <w:keepNext/>
              <w:tabs>
                <w:tab w:val="decimal" w:pos="473"/>
              </w:tabs>
              <w:spacing w:before="55" w:after="55"/>
            </w:pPr>
            <w:r w:rsidRPr="00181EF3">
              <w:t>52 (71.2)</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4E83584" w14:textId="77777777" w:rsidR="005A489F" w:rsidRPr="00181EF3" w:rsidRDefault="005A489F" w:rsidP="005A489F">
            <w:pPr>
              <w:pStyle w:val="TableText"/>
              <w:keepNext/>
              <w:tabs>
                <w:tab w:val="decimal" w:pos="473"/>
              </w:tabs>
              <w:spacing w:before="55" w:after="55"/>
            </w:pPr>
            <w:r w:rsidRPr="00181EF3">
              <w:t>15 (20.5)</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B59B9F5" w14:textId="77777777" w:rsidR="005A489F" w:rsidRPr="00181EF3" w:rsidRDefault="005A489F" w:rsidP="005A489F">
            <w:pPr>
              <w:pStyle w:val="TableText"/>
              <w:keepNext/>
              <w:tabs>
                <w:tab w:val="decimal" w:pos="605"/>
              </w:tabs>
              <w:spacing w:before="55" w:after="55"/>
            </w:pPr>
            <w:r w:rsidRPr="00181EF3">
              <w:t>73 (100.0)</w:t>
            </w:r>
          </w:p>
        </w:tc>
      </w:tr>
      <w:tr w:rsidR="005A489F" w:rsidRPr="00181EF3" w14:paraId="18BB7648" w14:textId="77777777" w:rsidTr="005A489F">
        <w:trPr>
          <w:cantSplit/>
        </w:trPr>
        <w:tc>
          <w:tcPr>
            <w:tcW w:w="113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4650EDA" w14:textId="77777777" w:rsidR="005A489F" w:rsidRPr="00181EF3" w:rsidRDefault="005A489F" w:rsidP="005A489F">
            <w:pPr>
              <w:pStyle w:val="TableText"/>
              <w:keepNext/>
              <w:spacing w:before="55" w:after="55"/>
            </w:pPr>
            <w:r w:rsidRPr="00181EF3">
              <w:t>1998</w:t>
            </w:r>
          </w:p>
        </w:tc>
        <w:tc>
          <w:tcPr>
            <w:tcW w:w="127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3F7830E" w14:textId="77777777" w:rsidR="005A489F" w:rsidRPr="00181EF3" w:rsidRDefault="005A489F" w:rsidP="005A489F">
            <w:pPr>
              <w:pStyle w:val="TableText"/>
              <w:keepNext/>
              <w:tabs>
                <w:tab w:val="decimal" w:pos="458"/>
              </w:tabs>
              <w:spacing w:before="55" w:after="55"/>
            </w:pPr>
            <w:r w:rsidRPr="00181EF3">
              <w:t>4 (3.5)</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96BA353" w14:textId="77777777" w:rsidR="005A489F" w:rsidRPr="00181EF3" w:rsidRDefault="005A489F" w:rsidP="005A489F">
            <w:pPr>
              <w:pStyle w:val="TableText"/>
              <w:keepNext/>
              <w:tabs>
                <w:tab w:val="decimal" w:pos="458"/>
              </w:tabs>
              <w:spacing w:before="55" w:after="55"/>
            </w:pPr>
            <w:r w:rsidRPr="00181EF3">
              <w:t>0 (0.0)</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1658EEE" w14:textId="77777777" w:rsidR="005A489F" w:rsidRPr="00181EF3" w:rsidRDefault="005A489F" w:rsidP="005A489F">
            <w:pPr>
              <w:pStyle w:val="TableText"/>
              <w:keepNext/>
              <w:tabs>
                <w:tab w:val="decimal" w:pos="473"/>
              </w:tabs>
              <w:spacing w:before="55" w:after="55"/>
            </w:pPr>
            <w:r w:rsidRPr="00181EF3">
              <w:t>88 (77.9)</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02909E5" w14:textId="77777777" w:rsidR="005A489F" w:rsidRPr="00181EF3" w:rsidRDefault="005A489F" w:rsidP="005A489F">
            <w:pPr>
              <w:pStyle w:val="TableText"/>
              <w:keepNext/>
              <w:tabs>
                <w:tab w:val="decimal" w:pos="473"/>
              </w:tabs>
              <w:spacing w:before="55" w:after="55"/>
            </w:pPr>
            <w:r w:rsidRPr="00181EF3">
              <w:t>21 (18.6)</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16D49F8" w14:textId="77777777" w:rsidR="005A489F" w:rsidRPr="00181EF3" w:rsidRDefault="005A489F" w:rsidP="005A489F">
            <w:pPr>
              <w:pStyle w:val="TableText"/>
              <w:keepNext/>
              <w:tabs>
                <w:tab w:val="decimal" w:pos="605"/>
              </w:tabs>
              <w:spacing w:before="55" w:after="55"/>
            </w:pPr>
            <w:r w:rsidRPr="00181EF3">
              <w:t>113 (100.0)</w:t>
            </w:r>
          </w:p>
        </w:tc>
      </w:tr>
      <w:tr w:rsidR="005A489F" w:rsidRPr="00181EF3" w14:paraId="4C6515D0" w14:textId="77777777" w:rsidTr="005A489F">
        <w:trPr>
          <w:cantSplit/>
        </w:trPr>
        <w:tc>
          <w:tcPr>
            <w:tcW w:w="113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AB55915" w14:textId="77777777" w:rsidR="005A489F" w:rsidRPr="00181EF3" w:rsidRDefault="005A489F" w:rsidP="005A489F">
            <w:pPr>
              <w:pStyle w:val="TableText"/>
              <w:keepNext/>
              <w:spacing w:before="55" w:after="55"/>
            </w:pPr>
            <w:r w:rsidRPr="00181EF3">
              <w:t>1999</w:t>
            </w:r>
          </w:p>
        </w:tc>
        <w:tc>
          <w:tcPr>
            <w:tcW w:w="127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A276BEC" w14:textId="77777777" w:rsidR="005A489F" w:rsidRPr="00181EF3" w:rsidRDefault="005A489F" w:rsidP="005A489F">
            <w:pPr>
              <w:pStyle w:val="TableText"/>
              <w:keepNext/>
              <w:tabs>
                <w:tab w:val="decimal" w:pos="458"/>
              </w:tabs>
              <w:spacing w:before="55" w:after="55"/>
            </w:pPr>
            <w:r w:rsidRPr="00181EF3">
              <w:t>12 (6.0)</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56408C9" w14:textId="77777777" w:rsidR="005A489F" w:rsidRPr="00181EF3" w:rsidRDefault="005A489F" w:rsidP="005A489F">
            <w:pPr>
              <w:pStyle w:val="TableText"/>
              <w:keepNext/>
              <w:tabs>
                <w:tab w:val="decimal" w:pos="458"/>
              </w:tabs>
              <w:spacing w:before="55" w:after="55"/>
            </w:pPr>
            <w:r w:rsidRPr="00181EF3">
              <w:t>2 (1.0)</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9B1EEDF" w14:textId="77777777" w:rsidR="005A489F" w:rsidRPr="00181EF3" w:rsidRDefault="005A489F" w:rsidP="005A489F">
            <w:pPr>
              <w:pStyle w:val="TableText"/>
              <w:keepNext/>
              <w:tabs>
                <w:tab w:val="decimal" w:pos="473"/>
              </w:tabs>
              <w:spacing w:before="55" w:after="55"/>
            </w:pPr>
            <w:r w:rsidRPr="00181EF3">
              <w:t>158 (79.4)</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A25B169" w14:textId="77777777" w:rsidR="005A489F" w:rsidRPr="00181EF3" w:rsidRDefault="005A489F" w:rsidP="005A489F">
            <w:pPr>
              <w:pStyle w:val="TableText"/>
              <w:keepNext/>
              <w:tabs>
                <w:tab w:val="decimal" w:pos="473"/>
              </w:tabs>
              <w:spacing w:before="55" w:after="55"/>
            </w:pPr>
            <w:r w:rsidRPr="00181EF3">
              <w:t>27 (13.6)</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313DF2A" w14:textId="77777777" w:rsidR="005A489F" w:rsidRPr="00181EF3" w:rsidRDefault="005A489F" w:rsidP="005A489F">
            <w:pPr>
              <w:pStyle w:val="TableText"/>
              <w:keepNext/>
              <w:tabs>
                <w:tab w:val="decimal" w:pos="605"/>
              </w:tabs>
              <w:spacing w:before="55" w:after="55"/>
            </w:pPr>
            <w:r w:rsidRPr="00181EF3">
              <w:t>199 (100.0)</w:t>
            </w:r>
          </w:p>
        </w:tc>
      </w:tr>
      <w:tr w:rsidR="005A489F" w:rsidRPr="00181EF3" w14:paraId="4671C743" w14:textId="77777777" w:rsidTr="005A489F">
        <w:trPr>
          <w:cantSplit/>
        </w:trPr>
        <w:tc>
          <w:tcPr>
            <w:tcW w:w="113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D02B84F" w14:textId="77777777" w:rsidR="005A489F" w:rsidRPr="00181EF3" w:rsidRDefault="005A489F" w:rsidP="005A489F">
            <w:pPr>
              <w:pStyle w:val="TableText"/>
              <w:keepNext/>
              <w:spacing w:before="55" w:after="55"/>
            </w:pPr>
            <w:r w:rsidRPr="00181EF3">
              <w:t>2000</w:t>
            </w:r>
          </w:p>
        </w:tc>
        <w:tc>
          <w:tcPr>
            <w:tcW w:w="127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C65902E" w14:textId="77777777" w:rsidR="005A489F" w:rsidRPr="00181EF3" w:rsidRDefault="005A489F" w:rsidP="005A489F">
            <w:pPr>
              <w:pStyle w:val="TableText"/>
              <w:keepNext/>
              <w:tabs>
                <w:tab w:val="decimal" w:pos="458"/>
              </w:tabs>
              <w:spacing w:before="55" w:after="55"/>
            </w:pPr>
            <w:r w:rsidRPr="00181EF3">
              <w:t>4 (3.8)</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F591A9C" w14:textId="77777777" w:rsidR="005A489F" w:rsidRPr="00181EF3" w:rsidRDefault="005A489F" w:rsidP="005A489F">
            <w:pPr>
              <w:pStyle w:val="TableText"/>
              <w:keepNext/>
              <w:tabs>
                <w:tab w:val="decimal" w:pos="458"/>
              </w:tabs>
              <w:spacing w:before="55" w:after="55"/>
            </w:pPr>
            <w:r w:rsidRPr="00181EF3">
              <w:t>1 (1.0)</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85ED413" w14:textId="77777777" w:rsidR="005A489F" w:rsidRPr="00181EF3" w:rsidRDefault="005A489F" w:rsidP="005A489F">
            <w:pPr>
              <w:pStyle w:val="TableText"/>
              <w:keepNext/>
              <w:tabs>
                <w:tab w:val="decimal" w:pos="473"/>
              </w:tabs>
              <w:spacing w:before="55" w:after="55"/>
            </w:pPr>
            <w:r w:rsidRPr="00181EF3">
              <w:t>74 (70.5)</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8FAAB0D" w14:textId="77777777" w:rsidR="005A489F" w:rsidRPr="00181EF3" w:rsidRDefault="005A489F" w:rsidP="005A489F">
            <w:pPr>
              <w:pStyle w:val="TableText"/>
              <w:keepNext/>
              <w:tabs>
                <w:tab w:val="decimal" w:pos="473"/>
              </w:tabs>
              <w:spacing w:before="55" w:after="55"/>
            </w:pPr>
            <w:r w:rsidRPr="00181EF3">
              <w:t>26 (24.8)</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380FCDF" w14:textId="77777777" w:rsidR="005A489F" w:rsidRPr="00181EF3" w:rsidRDefault="005A489F" w:rsidP="005A489F">
            <w:pPr>
              <w:pStyle w:val="TableText"/>
              <w:keepNext/>
              <w:tabs>
                <w:tab w:val="decimal" w:pos="605"/>
              </w:tabs>
              <w:spacing w:before="55" w:after="55"/>
            </w:pPr>
            <w:r w:rsidRPr="00181EF3">
              <w:t>105 (100.0)</w:t>
            </w:r>
          </w:p>
        </w:tc>
      </w:tr>
      <w:tr w:rsidR="005A489F" w:rsidRPr="00181EF3" w14:paraId="0FE31F22" w14:textId="77777777" w:rsidTr="005A489F">
        <w:trPr>
          <w:cantSplit/>
        </w:trPr>
        <w:tc>
          <w:tcPr>
            <w:tcW w:w="113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5F61D6C" w14:textId="77777777" w:rsidR="005A489F" w:rsidRPr="00181EF3" w:rsidRDefault="005A489F" w:rsidP="005A489F">
            <w:pPr>
              <w:pStyle w:val="TableText"/>
              <w:keepNext/>
              <w:spacing w:before="55" w:after="55"/>
            </w:pPr>
            <w:r w:rsidRPr="00181EF3">
              <w:t>2001</w:t>
            </w:r>
          </w:p>
        </w:tc>
        <w:tc>
          <w:tcPr>
            <w:tcW w:w="127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DD38809" w14:textId="77777777" w:rsidR="005A489F" w:rsidRPr="00181EF3" w:rsidRDefault="005A489F" w:rsidP="005A489F">
            <w:pPr>
              <w:pStyle w:val="TableText"/>
              <w:keepNext/>
              <w:tabs>
                <w:tab w:val="decimal" w:pos="458"/>
              </w:tabs>
              <w:spacing w:before="55" w:after="55"/>
            </w:pPr>
            <w:r w:rsidRPr="00181EF3">
              <w:t>5 (4.2)</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71685E7" w14:textId="77777777" w:rsidR="005A489F" w:rsidRPr="00181EF3" w:rsidRDefault="005A489F" w:rsidP="005A489F">
            <w:pPr>
              <w:pStyle w:val="TableText"/>
              <w:keepNext/>
              <w:tabs>
                <w:tab w:val="decimal" w:pos="458"/>
              </w:tabs>
              <w:spacing w:before="55" w:after="55"/>
            </w:pPr>
            <w:r w:rsidRPr="00181EF3">
              <w:t>2 (1.7)</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61BD772" w14:textId="77777777" w:rsidR="005A489F" w:rsidRPr="00181EF3" w:rsidRDefault="005A489F" w:rsidP="005A489F">
            <w:pPr>
              <w:pStyle w:val="TableText"/>
              <w:keepNext/>
              <w:tabs>
                <w:tab w:val="decimal" w:pos="473"/>
              </w:tabs>
              <w:spacing w:before="55" w:after="55"/>
            </w:pPr>
            <w:r w:rsidRPr="00181EF3">
              <w:t>76 (63.9)</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524F2CD" w14:textId="77777777" w:rsidR="005A489F" w:rsidRPr="00181EF3" w:rsidRDefault="005A489F" w:rsidP="005A489F">
            <w:pPr>
              <w:pStyle w:val="TableText"/>
              <w:keepNext/>
              <w:tabs>
                <w:tab w:val="decimal" w:pos="473"/>
              </w:tabs>
              <w:spacing w:before="55" w:after="55"/>
            </w:pPr>
            <w:r w:rsidRPr="00181EF3">
              <w:t>36 (30.3)</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58379C4" w14:textId="77777777" w:rsidR="005A489F" w:rsidRPr="00181EF3" w:rsidRDefault="005A489F" w:rsidP="005A489F">
            <w:pPr>
              <w:pStyle w:val="TableText"/>
              <w:keepNext/>
              <w:tabs>
                <w:tab w:val="decimal" w:pos="605"/>
              </w:tabs>
              <w:spacing w:before="55" w:after="55"/>
            </w:pPr>
            <w:r w:rsidRPr="00181EF3">
              <w:t>119 (100.0)</w:t>
            </w:r>
          </w:p>
        </w:tc>
      </w:tr>
      <w:tr w:rsidR="005A489F" w:rsidRPr="00181EF3" w14:paraId="3218ED9D" w14:textId="77777777" w:rsidTr="005A489F">
        <w:trPr>
          <w:cantSplit/>
        </w:trPr>
        <w:tc>
          <w:tcPr>
            <w:tcW w:w="113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72E2768" w14:textId="77777777" w:rsidR="005A489F" w:rsidRPr="00181EF3" w:rsidRDefault="005A489F" w:rsidP="005A489F">
            <w:pPr>
              <w:pStyle w:val="TableText"/>
              <w:keepNext/>
              <w:spacing w:before="55" w:after="55"/>
            </w:pPr>
            <w:r w:rsidRPr="00181EF3">
              <w:t>2002</w:t>
            </w:r>
          </w:p>
        </w:tc>
        <w:tc>
          <w:tcPr>
            <w:tcW w:w="127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0AA8244" w14:textId="77777777" w:rsidR="005A489F" w:rsidRPr="00181EF3" w:rsidRDefault="005A489F" w:rsidP="005A489F">
            <w:pPr>
              <w:pStyle w:val="TableText"/>
              <w:keepNext/>
              <w:tabs>
                <w:tab w:val="decimal" w:pos="458"/>
              </w:tabs>
              <w:spacing w:before="55" w:after="55"/>
            </w:pPr>
            <w:r w:rsidRPr="00181EF3">
              <w:t>8 (5.9)</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8546178" w14:textId="77777777" w:rsidR="005A489F" w:rsidRPr="00181EF3" w:rsidRDefault="005A489F" w:rsidP="005A489F">
            <w:pPr>
              <w:pStyle w:val="TableText"/>
              <w:keepNext/>
              <w:tabs>
                <w:tab w:val="decimal" w:pos="458"/>
              </w:tabs>
              <w:spacing w:before="55" w:after="55"/>
            </w:pPr>
            <w:r w:rsidRPr="00181EF3">
              <w:t>0 (0.0)</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82BE840" w14:textId="77777777" w:rsidR="005A489F" w:rsidRPr="00181EF3" w:rsidRDefault="005A489F" w:rsidP="005A489F">
            <w:pPr>
              <w:pStyle w:val="TableText"/>
              <w:keepNext/>
              <w:tabs>
                <w:tab w:val="decimal" w:pos="473"/>
              </w:tabs>
              <w:spacing w:before="55" w:after="55"/>
            </w:pPr>
            <w:r w:rsidRPr="00181EF3">
              <w:t>104 (76.5)</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779A6CF" w14:textId="77777777" w:rsidR="005A489F" w:rsidRPr="00181EF3" w:rsidRDefault="005A489F" w:rsidP="005A489F">
            <w:pPr>
              <w:pStyle w:val="TableText"/>
              <w:keepNext/>
              <w:tabs>
                <w:tab w:val="decimal" w:pos="473"/>
              </w:tabs>
              <w:spacing w:before="55" w:after="55"/>
            </w:pPr>
            <w:r w:rsidRPr="00181EF3">
              <w:t>24 (17.6)</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1011895" w14:textId="77777777" w:rsidR="005A489F" w:rsidRPr="00181EF3" w:rsidRDefault="005A489F" w:rsidP="005A489F">
            <w:pPr>
              <w:pStyle w:val="TableText"/>
              <w:keepNext/>
              <w:tabs>
                <w:tab w:val="decimal" w:pos="605"/>
              </w:tabs>
              <w:spacing w:before="55" w:after="55"/>
            </w:pPr>
            <w:r w:rsidRPr="00181EF3">
              <w:t>136 (100.0)</w:t>
            </w:r>
          </w:p>
        </w:tc>
      </w:tr>
      <w:tr w:rsidR="005A489F" w:rsidRPr="00181EF3" w14:paraId="39CD67EE" w14:textId="77777777" w:rsidTr="005A489F">
        <w:trPr>
          <w:cantSplit/>
        </w:trPr>
        <w:tc>
          <w:tcPr>
            <w:tcW w:w="113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1605F94" w14:textId="77777777" w:rsidR="005A489F" w:rsidRPr="00181EF3" w:rsidRDefault="005A489F" w:rsidP="005A489F">
            <w:pPr>
              <w:pStyle w:val="TableText"/>
              <w:keepNext/>
              <w:spacing w:before="55" w:after="55"/>
            </w:pPr>
            <w:r w:rsidRPr="00181EF3">
              <w:t>2003</w:t>
            </w:r>
          </w:p>
        </w:tc>
        <w:tc>
          <w:tcPr>
            <w:tcW w:w="127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93F6570" w14:textId="77777777" w:rsidR="005A489F" w:rsidRPr="00181EF3" w:rsidRDefault="005A489F" w:rsidP="005A489F">
            <w:pPr>
              <w:pStyle w:val="TableText"/>
              <w:keepNext/>
              <w:tabs>
                <w:tab w:val="decimal" w:pos="458"/>
              </w:tabs>
              <w:spacing w:before="55" w:after="55"/>
            </w:pPr>
            <w:r w:rsidRPr="00181EF3">
              <w:t>12 (6.5)</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0236E21" w14:textId="77777777" w:rsidR="005A489F" w:rsidRPr="00181EF3" w:rsidRDefault="005A489F" w:rsidP="005A489F">
            <w:pPr>
              <w:pStyle w:val="TableText"/>
              <w:keepNext/>
              <w:tabs>
                <w:tab w:val="decimal" w:pos="458"/>
              </w:tabs>
              <w:spacing w:before="55" w:after="55"/>
            </w:pPr>
            <w:r w:rsidRPr="00181EF3">
              <w:t>0 (0.0)</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A44B145" w14:textId="77777777" w:rsidR="005A489F" w:rsidRPr="00181EF3" w:rsidRDefault="005A489F" w:rsidP="005A489F">
            <w:pPr>
              <w:pStyle w:val="TableText"/>
              <w:keepNext/>
              <w:tabs>
                <w:tab w:val="decimal" w:pos="473"/>
              </w:tabs>
              <w:spacing w:before="55" w:after="55"/>
            </w:pPr>
            <w:r w:rsidRPr="00181EF3">
              <w:t>139 (74.7)</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8517045" w14:textId="77777777" w:rsidR="005A489F" w:rsidRPr="00181EF3" w:rsidRDefault="005A489F" w:rsidP="005A489F">
            <w:pPr>
              <w:pStyle w:val="TableText"/>
              <w:keepNext/>
              <w:tabs>
                <w:tab w:val="decimal" w:pos="473"/>
              </w:tabs>
              <w:spacing w:before="55" w:after="55"/>
            </w:pPr>
            <w:r w:rsidRPr="00181EF3">
              <w:t>35 (18.8)</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74CD67D" w14:textId="77777777" w:rsidR="005A489F" w:rsidRPr="00181EF3" w:rsidRDefault="005A489F" w:rsidP="005A489F">
            <w:pPr>
              <w:pStyle w:val="TableText"/>
              <w:keepNext/>
              <w:tabs>
                <w:tab w:val="decimal" w:pos="605"/>
              </w:tabs>
              <w:spacing w:before="55" w:after="55"/>
            </w:pPr>
            <w:r w:rsidRPr="00181EF3">
              <w:t>186 (100.0)</w:t>
            </w:r>
          </w:p>
        </w:tc>
      </w:tr>
      <w:tr w:rsidR="005A489F" w:rsidRPr="00181EF3" w14:paraId="415F306F" w14:textId="77777777" w:rsidTr="005A489F">
        <w:trPr>
          <w:cantSplit/>
        </w:trPr>
        <w:tc>
          <w:tcPr>
            <w:tcW w:w="113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818EC3B" w14:textId="77777777" w:rsidR="005A489F" w:rsidRPr="00181EF3" w:rsidRDefault="005A489F" w:rsidP="005A489F">
            <w:pPr>
              <w:pStyle w:val="TableText"/>
              <w:spacing w:before="55" w:after="55"/>
            </w:pPr>
            <w:r w:rsidRPr="00181EF3">
              <w:t>2004</w:t>
            </w:r>
          </w:p>
        </w:tc>
        <w:tc>
          <w:tcPr>
            <w:tcW w:w="127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F2B53F3" w14:textId="77777777" w:rsidR="005A489F" w:rsidRPr="00181EF3" w:rsidRDefault="005A489F" w:rsidP="005A489F">
            <w:pPr>
              <w:pStyle w:val="TableText"/>
              <w:tabs>
                <w:tab w:val="decimal" w:pos="458"/>
              </w:tabs>
              <w:spacing w:before="55" w:after="55"/>
            </w:pPr>
            <w:r w:rsidRPr="00181EF3">
              <w:t>8 (4.4)</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C4053D1" w14:textId="77777777" w:rsidR="005A489F" w:rsidRPr="00181EF3" w:rsidRDefault="005A489F" w:rsidP="005A489F">
            <w:pPr>
              <w:pStyle w:val="TableText"/>
              <w:tabs>
                <w:tab w:val="decimal" w:pos="458"/>
              </w:tabs>
              <w:spacing w:before="55" w:after="55"/>
            </w:pPr>
            <w:r w:rsidRPr="00181EF3">
              <w:t>1 (0.5)</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ADC37CB" w14:textId="77777777" w:rsidR="005A489F" w:rsidRPr="00181EF3" w:rsidRDefault="005A489F" w:rsidP="005A489F">
            <w:pPr>
              <w:pStyle w:val="TableText"/>
              <w:tabs>
                <w:tab w:val="decimal" w:pos="473"/>
              </w:tabs>
              <w:spacing w:before="55" w:after="55"/>
            </w:pPr>
            <w:r w:rsidRPr="00181EF3">
              <w:t>135 (74.2)</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D552970" w14:textId="77777777" w:rsidR="005A489F" w:rsidRPr="00181EF3" w:rsidRDefault="005A489F" w:rsidP="005A489F">
            <w:pPr>
              <w:pStyle w:val="TableText"/>
              <w:tabs>
                <w:tab w:val="decimal" w:pos="473"/>
              </w:tabs>
              <w:spacing w:before="55" w:after="55"/>
            </w:pPr>
            <w:r w:rsidRPr="00181EF3">
              <w:t>38 (20.9)</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7235421" w14:textId="77777777" w:rsidR="005A489F" w:rsidRPr="00181EF3" w:rsidRDefault="005A489F" w:rsidP="005A489F">
            <w:pPr>
              <w:pStyle w:val="TableText"/>
              <w:tabs>
                <w:tab w:val="decimal" w:pos="605"/>
              </w:tabs>
              <w:spacing w:before="55" w:after="55"/>
            </w:pPr>
            <w:r w:rsidRPr="00181EF3">
              <w:t>182 (100.0)</w:t>
            </w:r>
          </w:p>
        </w:tc>
      </w:tr>
      <w:tr w:rsidR="005A489F" w:rsidRPr="00181EF3" w14:paraId="30FDCDC1" w14:textId="77777777" w:rsidTr="005A489F">
        <w:trPr>
          <w:cantSplit/>
        </w:trPr>
        <w:tc>
          <w:tcPr>
            <w:tcW w:w="113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BD1DFDF" w14:textId="77777777" w:rsidR="005A489F" w:rsidRPr="00181EF3" w:rsidRDefault="005A489F" w:rsidP="005A489F">
            <w:pPr>
              <w:pStyle w:val="TableText"/>
              <w:spacing w:before="55" w:after="55"/>
            </w:pPr>
            <w:r w:rsidRPr="00181EF3">
              <w:t>2005</w:t>
            </w:r>
          </w:p>
        </w:tc>
        <w:tc>
          <w:tcPr>
            <w:tcW w:w="127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D866E24" w14:textId="77777777" w:rsidR="005A489F" w:rsidRPr="00181EF3" w:rsidRDefault="005A489F" w:rsidP="005A489F">
            <w:pPr>
              <w:pStyle w:val="TableText"/>
              <w:tabs>
                <w:tab w:val="decimal" w:pos="458"/>
              </w:tabs>
              <w:spacing w:before="55" w:after="55"/>
            </w:pPr>
            <w:r w:rsidRPr="00181EF3">
              <w:t>12 (5.5)</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93C25EE" w14:textId="77777777" w:rsidR="005A489F" w:rsidRPr="00181EF3" w:rsidRDefault="005A489F" w:rsidP="005A489F">
            <w:pPr>
              <w:pStyle w:val="TableText"/>
              <w:tabs>
                <w:tab w:val="decimal" w:pos="458"/>
              </w:tabs>
              <w:spacing w:before="55" w:after="55"/>
            </w:pPr>
            <w:r w:rsidRPr="00181EF3">
              <w:t>1 (0.5)</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38806E9" w14:textId="77777777" w:rsidR="005A489F" w:rsidRPr="00181EF3" w:rsidRDefault="005A489F" w:rsidP="005A489F">
            <w:pPr>
              <w:pStyle w:val="TableText"/>
              <w:tabs>
                <w:tab w:val="decimal" w:pos="473"/>
              </w:tabs>
              <w:spacing w:before="55" w:after="55"/>
            </w:pPr>
            <w:r w:rsidRPr="00181EF3">
              <w:t>158 (72.8)</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47DDE41" w14:textId="77777777" w:rsidR="005A489F" w:rsidRPr="00181EF3" w:rsidRDefault="005A489F" w:rsidP="005A489F">
            <w:pPr>
              <w:pStyle w:val="TableText"/>
              <w:tabs>
                <w:tab w:val="decimal" w:pos="473"/>
              </w:tabs>
              <w:spacing w:before="55" w:after="55"/>
            </w:pPr>
            <w:r w:rsidRPr="00181EF3">
              <w:t>46 (21.2)</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BC433A2" w14:textId="77777777" w:rsidR="005A489F" w:rsidRPr="00181EF3" w:rsidRDefault="005A489F" w:rsidP="005A489F">
            <w:pPr>
              <w:pStyle w:val="TableText"/>
              <w:tabs>
                <w:tab w:val="decimal" w:pos="605"/>
              </w:tabs>
              <w:spacing w:before="55" w:after="55"/>
            </w:pPr>
            <w:r w:rsidRPr="00181EF3">
              <w:t>217 (100.0)</w:t>
            </w:r>
          </w:p>
        </w:tc>
      </w:tr>
      <w:tr w:rsidR="005A489F" w:rsidRPr="00181EF3" w14:paraId="36C12D1C" w14:textId="77777777" w:rsidTr="005A489F">
        <w:trPr>
          <w:cantSplit/>
        </w:trPr>
        <w:tc>
          <w:tcPr>
            <w:tcW w:w="113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3CB415A" w14:textId="77777777" w:rsidR="005A489F" w:rsidRPr="00181EF3" w:rsidRDefault="005A489F" w:rsidP="005A489F">
            <w:pPr>
              <w:pStyle w:val="TableText"/>
              <w:spacing w:before="55" w:after="55"/>
            </w:pPr>
            <w:r w:rsidRPr="00181EF3">
              <w:t>2006</w:t>
            </w:r>
          </w:p>
        </w:tc>
        <w:tc>
          <w:tcPr>
            <w:tcW w:w="127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796E42C" w14:textId="77777777" w:rsidR="005A489F" w:rsidRPr="00181EF3" w:rsidRDefault="005A489F" w:rsidP="005A489F">
            <w:pPr>
              <w:pStyle w:val="TableText"/>
              <w:tabs>
                <w:tab w:val="decimal" w:pos="458"/>
              </w:tabs>
              <w:spacing w:before="55" w:after="55"/>
            </w:pPr>
            <w:r w:rsidRPr="00181EF3">
              <w:t>9 (4.5)</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2BC5AF3" w14:textId="77777777" w:rsidR="005A489F" w:rsidRPr="00181EF3" w:rsidRDefault="005A489F" w:rsidP="005A489F">
            <w:pPr>
              <w:pStyle w:val="TableText"/>
              <w:tabs>
                <w:tab w:val="decimal" w:pos="458"/>
              </w:tabs>
              <w:spacing w:before="55" w:after="55"/>
            </w:pPr>
            <w:r w:rsidRPr="00181EF3">
              <w:t>3 (1.5)</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EFA1CEE" w14:textId="77777777" w:rsidR="005A489F" w:rsidRPr="00181EF3" w:rsidRDefault="005A489F" w:rsidP="005A489F">
            <w:pPr>
              <w:pStyle w:val="TableText"/>
              <w:tabs>
                <w:tab w:val="decimal" w:pos="473"/>
              </w:tabs>
              <w:spacing w:before="55" w:after="55"/>
            </w:pPr>
            <w:r w:rsidRPr="00181EF3">
              <w:t>137 (67.8)</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C34ABA8" w14:textId="77777777" w:rsidR="005A489F" w:rsidRPr="00181EF3" w:rsidRDefault="005A489F" w:rsidP="005A489F">
            <w:pPr>
              <w:pStyle w:val="TableText"/>
              <w:tabs>
                <w:tab w:val="decimal" w:pos="473"/>
              </w:tabs>
              <w:spacing w:before="55" w:after="55"/>
            </w:pPr>
            <w:r w:rsidRPr="00181EF3">
              <w:t>53 (26.2)</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BAA13AA" w14:textId="77777777" w:rsidR="005A489F" w:rsidRPr="00181EF3" w:rsidRDefault="005A489F" w:rsidP="005A489F">
            <w:pPr>
              <w:pStyle w:val="TableText"/>
              <w:tabs>
                <w:tab w:val="decimal" w:pos="605"/>
              </w:tabs>
              <w:spacing w:before="55" w:after="55"/>
            </w:pPr>
            <w:r w:rsidRPr="00181EF3">
              <w:t>202 (100.0)</w:t>
            </w:r>
          </w:p>
        </w:tc>
      </w:tr>
      <w:tr w:rsidR="005A489F" w:rsidRPr="00181EF3" w14:paraId="7F599CCB" w14:textId="77777777" w:rsidTr="005A489F">
        <w:trPr>
          <w:cantSplit/>
        </w:trPr>
        <w:tc>
          <w:tcPr>
            <w:tcW w:w="113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BEC6889" w14:textId="77777777" w:rsidR="005A489F" w:rsidRPr="00181EF3" w:rsidRDefault="005A489F" w:rsidP="005A489F">
            <w:pPr>
              <w:pStyle w:val="TableText"/>
              <w:spacing w:before="55" w:after="55"/>
              <w:rPr>
                <w:bCs/>
              </w:rPr>
            </w:pPr>
            <w:r w:rsidRPr="00181EF3">
              <w:t>2007</w:t>
            </w:r>
          </w:p>
        </w:tc>
        <w:tc>
          <w:tcPr>
            <w:tcW w:w="127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7730FAF" w14:textId="77777777" w:rsidR="005A489F" w:rsidRPr="00181EF3" w:rsidRDefault="005A489F" w:rsidP="005A489F">
            <w:pPr>
              <w:pStyle w:val="TableText"/>
              <w:tabs>
                <w:tab w:val="decimal" w:pos="458"/>
              </w:tabs>
              <w:spacing w:before="55" w:after="55"/>
            </w:pPr>
            <w:r w:rsidRPr="00181EF3">
              <w:t>19 (9.7)</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42D8418" w14:textId="77777777" w:rsidR="005A489F" w:rsidRPr="00181EF3" w:rsidRDefault="005A489F" w:rsidP="005A489F">
            <w:pPr>
              <w:pStyle w:val="TableText"/>
              <w:tabs>
                <w:tab w:val="decimal" w:pos="458"/>
              </w:tabs>
              <w:spacing w:before="55" w:after="55"/>
            </w:pPr>
            <w:r w:rsidRPr="00181EF3">
              <w:t>0 (0.0)</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1314630" w14:textId="77777777" w:rsidR="005A489F" w:rsidRPr="00181EF3" w:rsidRDefault="005A489F" w:rsidP="005A489F">
            <w:pPr>
              <w:pStyle w:val="TableText"/>
              <w:tabs>
                <w:tab w:val="decimal" w:pos="473"/>
              </w:tabs>
              <w:spacing w:before="55" w:after="55"/>
            </w:pPr>
            <w:r w:rsidRPr="00181EF3">
              <w:t>132 (67.7)</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A5E857E" w14:textId="77777777" w:rsidR="005A489F" w:rsidRPr="00181EF3" w:rsidRDefault="005A489F" w:rsidP="005A489F">
            <w:pPr>
              <w:pStyle w:val="TableText"/>
              <w:tabs>
                <w:tab w:val="decimal" w:pos="473"/>
              </w:tabs>
              <w:spacing w:before="55" w:after="55"/>
            </w:pPr>
            <w:r w:rsidRPr="00181EF3">
              <w:t>44 (22.6)</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733F562" w14:textId="77777777" w:rsidR="005A489F" w:rsidRPr="00181EF3" w:rsidRDefault="005A489F" w:rsidP="005A489F">
            <w:pPr>
              <w:pStyle w:val="TableText"/>
              <w:tabs>
                <w:tab w:val="decimal" w:pos="605"/>
              </w:tabs>
              <w:spacing w:before="55" w:after="55"/>
            </w:pPr>
            <w:r w:rsidRPr="00181EF3">
              <w:t>195 (100.0)</w:t>
            </w:r>
          </w:p>
        </w:tc>
      </w:tr>
      <w:tr w:rsidR="005A489F" w:rsidRPr="00181EF3" w14:paraId="6480C925" w14:textId="77777777" w:rsidTr="005A489F">
        <w:trPr>
          <w:cantSplit/>
        </w:trPr>
        <w:tc>
          <w:tcPr>
            <w:tcW w:w="113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BE1230A" w14:textId="77777777" w:rsidR="005A489F" w:rsidRPr="00181EF3" w:rsidRDefault="005A489F" w:rsidP="005A489F">
            <w:pPr>
              <w:pStyle w:val="TableText"/>
              <w:spacing w:before="55" w:after="55"/>
              <w:rPr>
                <w:bCs/>
              </w:rPr>
            </w:pPr>
            <w:r w:rsidRPr="00181EF3">
              <w:t>2008</w:t>
            </w:r>
          </w:p>
        </w:tc>
        <w:tc>
          <w:tcPr>
            <w:tcW w:w="127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70A03E1" w14:textId="77777777" w:rsidR="005A489F" w:rsidRPr="00181EF3" w:rsidRDefault="005A489F" w:rsidP="005A489F">
            <w:pPr>
              <w:pStyle w:val="TableText"/>
              <w:tabs>
                <w:tab w:val="decimal" w:pos="458"/>
              </w:tabs>
              <w:spacing w:before="55" w:after="55"/>
            </w:pPr>
            <w:r w:rsidRPr="00181EF3">
              <w:t>18 (8.1)</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643D95B" w14:textId="77777777" w:rsidR="005A489F" w:rsidRPr="00181EF3" w:rsidRDefault="005A489F" w:rsidP="005A489F">
            <w:pPr>
              <w:pStyle w:val="TableText"/>
              <w:tabs>
                <w:tab w:val="decimal" w:pos="458"/>
              </w:tabs>
              <w:spacing w:before="55" w:after="55"/>
            </w:pPr>
            <w:r w:rsidRPr="00181EF3">
              <w:t>1 (2.1)</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3F65366" w14:textId="77777777" w:rsidR="005A489F" w:rsidRPr="00181EF3" w:rsidRDefault="005A489F" w:rsidP="005A489F">
            <w:pPr>
              <w:pStyle w:val="TableText"/>
              <w:tabs>
                <w:tab w:val="decimal" w:pos="473"/>
              </w:tabs>
              <w:spacing w:before="55" w:after="55"/>
            </w:pPr>
            <w:r w:rsidRPr="00181EF3">
              <w:t>166 (75.1)</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BEA33A4" w14:textId="77777777" w:rsidR="005A489F" w:rsidRPr="00181EF3" w:rsidRDefault="005A489F" w:rsidP="005A489F">
            <w:pPr>
              <w:pStyle w:val="TableText"/>
              <w:tabs>
                <w:tab w:val="decimal" w:pos="473"/>
              </w:tabs>
              <w:spacing w:before="55" w:after="55"/>
            </w:pPr>
            <w:r w:rsidRPr="00181EF3">
              <w:t>36 (16.3)</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2CBEE47" w14:textId="77777777" w:rsidR="005A489F" w:rsidRPr="00181EF3" w:rsidRDefault="005A489F" w:rsidP="005A489F">
            <w:pPr>
              <w:pStyle w:val="TableText"/>
              <w:tabs>
                <w:tab w:val="decimal" w:pos="605"/>
              </w:tabs>
              <w:spacing w:before="55" w:after="55"/>
            </w:pPr>
            <w:r w:rsidRPr="00181EF3">
              <w:t>221 (100.0)</w:t>
            </w:r>
          </w:p>
        </w:tc>
      </w:tr>
      <w:tr w:rsidR="005A489F" w:rsidRPr="00181EF3" w14:paraId="399D64A6" w14:textId="77777777" w:rsidTr="005A489F">
        <w:trPr>
          <w:cantSplit/>
        </w:trPr>
        <w:tc>
          <w:tcPr>
            <w:tcW w:w="113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BB188DB" w14:textId="77777777" w:rsidR="005A489F" w:rsidRPr="00181EF3" w:rsidRDefault="005A489F" w:rsidP="005A489F">
            <w:pPr>
              <w:pStyle w:val="TableText"/>
              <w:spacing w:before="55" w:after="55"/>
              <w:rPr>
                <w:bCs/>
              </w:rPr>
            </w:pPr>
            <w:r w:rsidRPr="00181EF3">
              <w:t>2009</w:t>
            </w:r>
          </w:p>
        </w:tc>
        <w:tc>
          <w:tcPr>
            <w:tcW w:w="127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4DC0011" w14:textId="77777777" w:rsidR="005A489F" w:rsidRPr="00181EF3" w:rsidRDefault="005A489F" w:rsidP="005A489F">
            <w:pPr>
              <w:pStyle w:val="TableText"/>
              <w:tabs>
                <w:tab w:val="decimal" w:pos="458"/>
              </w:tabs>
              <w:spacing w:before="55" w:after="55"/>
            </w:pPr>
            <w:r w:rsidRPr="00181EF3">
              <w:t>10 (5.2)</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6FB6318" w14:textId="77777777" w:rsidR="005A489F" w:rsidRPr="00181EF3" w:rsidRDefault="005A489F" w:rsidP="005A489F">
            <w:pPr>
              <w:pStyle w:val="TableText"/>
              <w:tabs>
                <w:tab w:val="decimal" w:pos="458"/>
              </w:tabs>
              <w:spacing w:before="55" w:after="55"/>
            </w:pPr>
            <w:r w:rsidRPr="00181EF3">
              <w:t>4 (2.1)</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5155E2C" w14:textId="77777777" w:rsidR="005A489F" w:rsidRPr="00181EF3" w:rsidRDefault="005A489F" w:rsidP="005A489F">
            <w:pPr>
              <w:pStyle w:val="TableText"/>
              <w:tabs>
                <w:tab w:val="decimal" w:pos="473"/>
              </w:tabs>
              <w:spacing w:before="55" w:after="55"/>
            </w:pPr>
            <w:r w:rsidRPr="00181EF3">
              <w:t>141 (73.1)</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FCA7847" w14:textId="77777777" w:rsidR="005A489F" w:rsidRPr="00181EF3" w:rsidRDefault="005A489F" w:rsidP="005A489F">
            <w:pPr>
              <w:pStyle w:val="TableText"/>
              <w:tabs>
                <w:tab w:val="decimal" w:pos="473"/>
              </w:tabs>
              <w:spacing w:before="55" w:after="55"/>
            </w:pPr>
            <w:r w:rsidRPr="00181EF3">
              <w:t>38 (19.7)</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57521C5" w14:textId="77777777" w:rsidR="005A489F" w:rsidRPr="00181EF3" w:rsidRDefault="005A489F" w:rsidP="005A489F">
            <w:pPr>
              <w:pStyle w:val="TableText"/>
              <w:tabs>
                <w:tab w:val="decimal" w:pos="605"/>
              </w:tabs>
              <w:spacing w:before="55" w:after="55"/>
            </w:pPr>
            <w:r w:rsidRPr="00181EF3">
              <w:t>193 (100.0)</w:t>
            </w:r>
          </w:p>
        </w:tc>
      </w:tr>
      <w:tr w:rsidR="005A489F" w:rsidRPr="00181EF3" w14:paraId="4019277B" w14:textId="77777777" w:rsidTr="005A489F">
        <w:trPr>
          <w:cantSplit/>
        </w:trPr>
        <w:tc>
          <w:tcPr>
            <w:tcW w:w="113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62B053A" w14:textId="77777777" w:rsidR="005A489F" w:rsidRPr="00181EF3" w:rsidRDefault="005A489F" w:rsidP="005A489F">
            <w:pPr>
              <w:pStyle w:val="TableText"/>
              <w:spacing w:before="55" w:after="55"/>
              <w:rPr>
                <w:bCs/>
              </w:rPr>
            </w:pPr>
            <w:r w:rsidRPr="00181EF3">
              <w:t>2010</w:t>
            </w:r>
          </w:p>
        </w:tc>
        <w:tc>
          <w:tcPr>
            <w:tcW w:w="127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B746281" w14:textId="77777777" w:rsidR="005A489F" w:rsidRPr="00181EF3" w:rsidRDefault="005A489F" w:rsidP="005A489F">
            <w:pPr>
              <w:pStyle w:val="TableText"/>
              <w:tabs>
                <w:tab w:val="decimal" w:pos="458"/>
              </w:tabs>
              <w:spacing w:before="55" w:after="55"/>
            </w:pPr>
            <w:r w:rsidRPr="00181EF3">
              <w:t>16 (8.9)</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AF3BFEF" w14:textId="77777777" w:rsidR="005A489F" w:rsidRPr="00181EF3" w:rsidRDefault="005A489F" w:rsidP="005A489F">
            <w:pPr>
              <w:pStyle w:val="TableText"/>
              <w:tabs>
                <w:tab w:val="decimal" w:pos="458"/>
              </w:tabs>
              <w:spacing w:before="55" w:after="55"/>
            </w:pPr>
            <w:r w:rsidRPr="00181EF3">
              <w:t>0 (0.0)</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4172231" w14:textId="77777777" w:rsidR="005A489F" w:rsidRPr="00181EF3" w:rsidRDefault="005A489F" w:rsidP="005A489F">
            <w:pPr>
              <w:pStyle w:val="TableText"/>
              <w:tabs>
                <w:tab w:val="decimal" w:pos="473"/>
              </w:tabs>
              <w:spacing w:before="55" w:after="55"/>
            </w:pPr>
            <w:r w:rsidRPr="00181EF3">
              <w:t>140 (77.8)</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687A0FF" w14:textId="77777777" w:rsidR="005A489F" w:rsidRPr="00181EF3" w:rsidRDefault="005A489F" w:rsidP="005A489F">
            <w:pPr>
              <w:pStyle w:val="TableText"/>
              <w:tabs>
                <w:tab w:val="decimal" w:pos="473"/>
              </w:tabs>
              <w:spacing w:before="55" w:after="55"/>
            </w:pPr>
            <w:r w:rsidRPr="00181EF3">
              <w:t>24 (13.3)</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C381F64" w14:textId="77777777" w:rsidR="005A489F" w:rsidRPr="00181EF3" w:rsidRDefault="005A489F" w:rsidP="005A489F">
            <w:pPr>
              <w:pStyle w:val="TableText"/>
              <w:tabs>
                <w:tab w:val="decimal" w:pos="605"/>
              </w:tabs>
              <w:spacing w:before="55" w:after="55"/>
            </w:pPr>
            <w:r w:rsidRPr="00181EF3">
              <w:t>180 (100.0)</w:t>
            </w:r>
          </w:p>
        </w:tc>
      </w:tr>
      <w:tr w:rsidR="005A489F" w:rsidRPr="00181EF3" w14:paraId="4A1F078E" w14:textId="77777777" w:rsidTr="005A489F">
        <w:trPr>
          <w:cantSplit/>
        </w:trPr>
        <w:tc>
          <w:tcPr>
            <w:tcW w:w="113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00C5FBE" w14:textId="77777777" w:rsidR="005A489F" w:rsidRPr="00181EF3" w:rsidRDefault="005A489F" w:rsidP="005A489F">
            <w:pPr>
              <w:pStyle w:val="TableText"/>
              <w:spacing w:before="55" w:after="55"/>
              <w:rPr>
                <w:bCs/>
              </w:rPr>
            </w:pPr>
            <w:r w:rsidRPr="00181EF3">
              <w:t>2011</w:t>
            </w:r>
          </w:p>
        </w:tc>
        <w:tc>
          <w:tcPr>
            <w:tcW w:w="127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5C1CF7F" w14:textId="77777777" w:rsidR="005A489F" w:rsidRPr="00181EF3" w:rsidRDefault="005A489F" w:rsidP="005A489F">
            <w:pPr>
              <w:pStyle w:val="TableText"/>
              <w:tabs>
                <w:tab w:val="decimal" w:pos="458"/>
              </w:tabs>
              <w:spacing w:before="55" w:after="55"/>
            </w:pPr>
            <w:r w:rsidRPr="00181EF3">
              <w:t>10 (7.2)</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741FBF3" w14:textId="77777777" w:rsidR="005A489F" w:rsidRPr="00181EF3" w:rsidRDefault="005A489F" w:rsidP="005A489F">
            <w:pPr>
              <w:pStyle w:val="TableText"/>
              <w:tabs>
                <w:tab w:val="decimal" w:pos="458"/>
              </w:tabs>
              <w:spacing w:before="55" w:after="55"/>
            </w:pPr>
            <w:r w:rsidRPr="00181EF3">
              <w:t>1 (0.7)</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96B77B0" w14:textId="77777777" w:rsidR="005A489F" w:rsidRPr="00181EF3" w:rsidRDefault="005A489F" w:rsidP="005A489F">
            <w:pPr>
              <w:pStyle w:val="TableText"/>
              <w:tabs>
                <w:tab w:val="decimal" w:pos="473"/>
              </w:tabs>
              <w:spacing w:before="55" w:after="55"/>
            </w:pPr>
            <w:r w:rsidRPr="00181EF3">
              <w:t>110 (79.1)</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ADB6FAF" w14:textId="77777777" w:rsidR="005A489F" w:rsidRPr="00181EF3" w:rsidRDefault="005A489F" w:rsidP="005A489F">
            <w:pPr>
              <w:pStyle w:val="TableText"/>
              <w:tabs>
                <w:tab w:val="decimal" w:pos="473"/>
              </w:tabs>
              <w:spacing w:before="55" w:after="55"/>
            </w:pPr>
            <w:r w:rsidRPr="00181EF3">
              <w:t>18 (12.9)</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F5850C3" w14:textId="77777777" w:rsidR="005A489F" w:rsidRPr="00181EF3" w:rsidRDefault="005A489F" w:rsidP="005A489F">
            <w:pPr>
              <w:pStyle w:val="TableText"/>
              <w:tabs>
                <w:tab w:val="decimal" w:pos="605"/>
              </w:tabs>
              <w:spacing w:before="55" w:after="55"/>
            </w:pPr>
            <w:r w:rsidRPr="00181EF3">
              <w:t>139 (100.0)</w:t>
            </w:r>
          </w:p>
        </w:tc>
      </w:tr>
      <w:tr w:rsidR="005A489F" w:rsidRPr="00181EF3" w14:paraId="1B073185" w14:textId="77777777" w:rsidTr="005A489F">
        <w:trPr>
          <w:cantSplit/>
        </w:trPr>
        <w:tc>
          <w:tcPr>
            <w:tcW w:w="113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371ADB3" w14:textId="77777777" w:rsidR="005A489F" w:rsidRPr="00181EF3" w:rsidRDefault="005A489F" w:rsidP="005A489F">
            <w:pPr>
              <w:pStyle w:val="TableText"/>
              <w:spacing w:before="55" w:after="55"/>
              <w:rPr>
                <w:bCs/>
              </w:rPr>
            </w:pPr>
            <w:r w:rsidRPr="00181EF3">
              <w:t>2012</w:t>
            </w:r>
          </w:p>
        </w:tc>
        <w:tc>
          <w:tcPr>
            <w:tcW w:w="127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B218112" w14:textId="77777777" w:rsidR="005A489F" w:rsidRPr="00181EF3" w:rsidRDefault="005A489F" w:rsidP="005A489F">
            <w:pPr>
              <w:pStyle w:val="TableText"/>
              <w:tabs>
                <w:tab w:val="decimal" w:pos="458"/>
              </w:tabs>
              <w:spacing w:before="55" w:after="55"/>
            </w:pPr>
            <w:r w:rsidRPr="00181EF3">
              <w:t>5 (3.0)</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F616F99" w14:textId="77777777" w:rsidR="005A489F" w:rsidRPr="00181EF3" w:rsidRDefault="005A489F" w:rsidP="005A489F">
            <w:pPr>
              <w:pStyle w:val="TableText"/>
              <w:tabs>
                <w:tab w:val="decimal" w:pos="458"/>
              </w:tabs>
              <w:spacing w:before="55" w:after="55"/>
            </w:pPr>
            <w:r w:rsidRPr="00181EF3">
              <w:t>3 (1.8)</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803152D" w14:textId="77777777" w:rsidR="005A489F" w:rsidRPr="00181EF3" w:rsidRDefault="005A489F" w:rsidP="005A489F">
            <w:pPr>
              <w:pStyle w:val="TableText"/>
              <w:tabs>
                <w:tab w:val="decimal" w:pos="473"/>
              </w:tabs>
              <w:spacing w:before="55" w:after="55"/>
            </w:pPr>
            <w:r w:rsidRPr="00181EF3">
              <w:t>134 (80.7)</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9503BF6" w14:textId="77777777" w:rsidR="005A489F" w:rsidRPr="00181EF3" w:rsidRDefault="005A489F" w:rsidP="005A489F">
            <w:pPr>
              <w:pStyle w:val="TableText"/>
              <w:tabs>
                <w:tab w:val="decimal" w:pos="473"/>
              </w:tabs>
              <w:spacing w:before="55" w:after="55"/>
            </w:pPr>
            <w:r w:rsidRPr="00181EF3">
              <w:t>24 (14.5)</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6191353" w14:textId="77777777" w:rsidR="005A489F" w:rsidRPr="00181EF3" w:rsidRDefault="005A489F" w:rsidP="005A489F">
            <w:pPr>
              <w:pStyle w:val="TableText"/>
              <w:tabs>
                <w:tab w:val="decimal" w:pos="605"/>
              </w:tabs>
              <w:spacing w:before="55" w:after="55"/>
            </w:pPr>
            <w:r w:rsidRPr="00181EF3">
              <w:t>166 (100.0)</w:t>
            </w:r>
          </w:p>
        </w:tc>
      </w:tr>
      <w:tr w:rsidR="005A489F" w:rsidRPr="00181EF3" w14:paraId="04134EB5" w14:textId="77777777" w:rsidTr="005A489F">
        <w:trPr>
          <w:cantSplit/>
        </w:trPr>
        <w:tc>
          <w:tcPr>
            <w:tcW w:w="113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E037109" w14:textId="77777777" w:rsidR="005A489F" w:rsidRPr="00181EF3" w:rsidRDefault="005A489F" w:rsidP="005A489F">
            <w:pPr>
              <w:pStyle w:val="TableText"/>
              <w:spacing w:before="55" w:after="55"/>
              <w:rPr>
                <w:bCs/>
              </w:rPr>
            </w:pPr>
            <w:r w:rsidRPr="00181EF3">
              <w:t>2013</w:t>
            </w:r>
          </w:p>
        </w:tc>
        <w:tc>
          <w:tcPr>
            <w:tcW w:w="127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5146F89" w14:textId="77777777" w:rsidR="005A489F" w:rsidRPr="00181EF3" w:rsidRDefault="005A489F" w:rsidP="005A489F">
            <w:pPr>
              <w:pStyle w:val="TableText"/>
              <w:tabs>
                <w:tab w:val="decimal" w:pos="458"/>
              </w:tabs>
              <w:spacing w:before="55" w:after="55"/>
            </w:pPr>
            <w:r w:rsidRPr="00181EF3">
              <w:t>7 (3.9)</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C07D1FB" w14:textId="77777777" w:rsidR="005A489F" w:rsidRPr="00181EF3" w:rsidRDefault="005A489F" w:rsidP="005A489F">
            <w:pPr>
              <w:pStyle w:val="TableText"/>
              <w:tabs>
                <w:tab w:val="decimal" w:pos="458"/>
              </w:tabs>
              <w:spacing w:before="55" w:after="55"/>
            </w:pPr>
            <w:r w:rsidRPr="00181EF3">
              <w:t>2 (1.1)</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30F63A6" w14:textId="77777777" w:rsidR="005A489F" w:rsidRPr="00181EF3" w:rsidRDefault="005A489F" w:rsidP="005A489F">
            <w:pPr>
              <w:pStyle w:val="TableText"/>
              <w:tabs>
                <w:tab w:val="decimal" w:pos="473"/>
              </w:tabs>
              <w:spacing w:before="55" w:after="55"/>
            </w:pPr>
            <w:r w:rsidRPr="00181EF3">
              <w:t>147 (82.6)</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06EAC7F" w14:textId="77777777" w:rsidR="005A489F" w:rsidRPr="00181EF3" w:rsidRDefault="005A489F" w:rsidP="005A489F">
            <w:pPr>
              <w:pStyle w:val="TableText"/>
              <w:tabs>
                <w:tab w:val="decimal" w:pos="473"/>
              </w:tabs>
              <w:spacing w:before="55" w:after="55"/>
            </w:pPr>
            <w:r w:rsidRPr="00181EF3">
              <w:t>22 (12.4)</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0DC7221" w14:textId="77777777" w:rsidR="005A489F" w:rsidRPr="00181EF3" w:rsidRDefault="005A489F" w:rsidP="005A489F">
            <w:pPr>
              <w:pStyle w:val="TableText"/>
              <w:tabs>
                <w:tab w:val="decimal" w:pos="605"/>
              </w:tabs>
              <w:spacing w:before="55" w:after="55"/>
            </w:pPr>
            <w:r w:rsidRPr="00181EF3">
              <w:t>178 (100.0)</w:t>
            </w:r>
          </w:p>
        </w:tc>
      </w:tr>
      <w:tr w:rsidR="005A489F" w:rsidRPr="00181EF3" w14:paraId="5BCCE9EC" w14:textId="77777777" w:rsidTr="005A489F">
        <w:trPr>
          <w:cantSplit/>
        </w:trPr>
        <w:tc>
          <w:tcPr>
            <w:tcW w:w="113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3BF2CC0" w14:textId="77777777" w:rsidR="005A489F" w:rsidRPr="00181EF3" w:rsidRDefault="005A489F" w:rsidP="005A489F">
            <w:pPr>
              <w:pStyle w:val="TableText"/>
              <w:spacing w:before="55" w:after="55"/>
              <w:rPr>
                <w:bCs/>
              </w:rPr>
            </w:pPr>
            <w:r w:rsidRPr="00181EF3">
              <w:t>2014</w:t>
            </w:r>
          </w:p>
        </w:tc>
        <w:tc>
          <w:tcPr>
            <w:tcW w:w="127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824A808" w14:textId="77777777" w:rsidR="005A489F" w:rsidRPr="00181EF3" w:rsidRDefault="005A489F" w:rsidP="005A489F">
            <w:pPr>
              <w:pStyle w:val="TableText"/>
              <w:tabs>
                <w:tab w:val="decimal" w:pos="458"/>
              </w:tabs>
              <w:spacing w:before="55" w:after="55"/>
            </w:pPr>
            <w:r w:rsidRPr="00181EF3">
              <w:t>22 (10.0)</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14EEC23" w14:textId="77777777" w:rsidR="005A489F" w:rsidRPr="00181EF3" w:rsidRDefault="005A489F" w:rsidP="005A489F">
            <w:pPr>
              <w:pStyle w:val="TableText"/>
              <w:tabs>
                <w:tab w:val="decimal" w:pos="458"/>
              </w:tabs>
              <w:spacing w:before="55" w:after="55"/>
            </w:pPr>
            <w:r w:rsidRPr="00181EF3">
              <w:t>2 (0.9)</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BC5BB27" w14:textId="77777777" w:rsidR="005A489F" w:rsidRPr="00181EF3" w:rsidRDefault="005A489F" w:rsidP="005A489F">
            <w:pPr>
              <w:pStyle w:val="TableText"/>
              <w:tabs>
                <w:tab w:val="decimal" w:pos="473"/>
              </w:tabs>
              <w:spacing w:before="55" w:after="55"/>
            </w:pPr>
            <w:r w:rsidRPr="00181EF3">
              <w:t>171 (77.7)</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BA9A919" w14:textId="77777777" w:rsidR="005A489F" w:rsidRPr="00181EF3" w:rsidRDefault="005A489F" w:rsidP="005A489F">
            <w:pPr>
              <w:pStyle w:val="TableText"/>
              <w:tabs>
                <w:tab w:val="decimal" w:pos="473"/>
              </w:tabs>
              <w:spacing w:before="55" w:after="55"/>
            </w:pPr>
            <w:r w:rsidRPr="00181EF3">
              <w:t>25 (11.4)</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6C918E5" w14:textId="77777777" w:rsidR="005A489F" w:rsidRPr="00181EF3" w:rsidRDefault="005A489F" w:rsidP="005A489F">
            <w:pPr>
              <w:pStyle w:val="TableText"/>
              <w:tabs>
                <w:tab w:val="decimal" w:pos="605"/>
              </w:tabs>
              <w:spacing w:before="55" w:after="55"/>
            </w:pPr>
            <w:r w:rsidRPr="00181EF3">
              <w:t>220 (100.0)</w:t>
            </w:r>
          </w:p>
        </w:tc>
      </w:tr>
      <w:tr w:rsidR="005A489F" w:rsidRPr="00181EF3" w14:paraId="617069FC" w14:textId="77777777" w:rsidTr="005A489F">
        <w:trPr>
          <w:cantSplit/>
        </w:trPr>
        <w:tc>
          <w:tcPr>
            <w:tcW w:w="113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F36EFAE" w14:textId="77777777" w:rsidR="005A489F" w:rsidRPr="00181EF3" w:rsidRDefault="005A489F" w:rsidP="005A489F">
            <w:pPr>
              <w:pStyle w:val="TableText"/>
              <w:spacing w:before="55" w:after="55"/>
              <w:rPr>
                <w:bCs/>
              </w:rPr>
            </w:pPr>
            <w:r w:rsidRPr="00181EF3">
              <w:t>2015</w:t>
            </w:r>
          </w:p>
        </w:tc>
        <w:tc>
          <w:tcPr>
            <w:tcW w:w="127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995C418" w14:textId="77777777" w:rsidR="005A489F" w:rsidRPr="00181EF3" w:rsidRDefault="005A489F" w:rsidP="005A489F">
            <w:pPr>
              <w:pStyle w:val="TableText"/>
              <w:tabs>
                <w:tab w:val="decimal" w:pos="458"/>
              </w:tabs>
              <w:spacing w:before="55" w:after="55"/>
            </w:pPr>
            <w:r w:rsidRPr="00181EF3">
              <w:t>16 (7.3)</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190BD69" w14:textId="77777777" w:rsidR="005A489F" w:rsidRPr="00181EF3" w:rsidRDefault="005A489F" w:rsidP="005A489F">
            <w:pPr>
              <w:pStyle w:val="TableText"/>
              <w:tabs>
                <w:tab w:val="decimal" w:pos="458"/>
              </w:tabs>
              <w:spacing w:before="55" w:after="55"/>
            </w:pPr>
            <w:r w:rsidRPr="00181EF3">
              <w:t>2 (0.9)</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8BF462E" w14:textId="77777777" w:rsidR="005A489F" w:rsidRPr="00181EF3" w:rsidRDefault="005A489F" w:rsidP="005A489F">
            <w:pPr>
              <w:pStyle w:val="TableText"/>
              <w:tabs>
                <w:tab w:val="decimal" w:pos="473"/>
              </w:tabs>
              <w:spacing w:before="55" w:after="55"/>
            </w:pPr>
            <w:r w:rsidRPr="00181EF3">
              <w:t>186 (84.9)</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CF40ECE" w14:textId="77777777" w:rsidR="005A489F" w:rsidRPr="00181EF3" w:rsidRDefault="005A489F" w:rsidP="005A489F">
            <w:pPr>
              <w:pStyle w:val="TableText"/>
              <w:tabs>
                <w:tab w:val="decimal" w:pos="473"/>
              </w:tabs>
              <w:spacing w:before="55" w:after="55"/>
            </w:pPr>
            <w:r w:rsidRPr="00181EF3">
              <w:t>15 (6.8)</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9E8C23D" w14:textId="77777777" w:rsidR="005A489F" w:rsidRPr="00181EF3" w:rsidRDefault="005A489F" w:rsidP="005A489F">
            <w:pPr>
              <w:pStyle w:val="TableText"/>
              <w:tabs>
                <w:tab w:val="decimal" w:pos="605"/>
              </w:tabs>
              <w:spacing w:before="55" w:after="55"/>
            </w:pPr>
            <w:r w:rsidRPr="00181EF3">
              <w:t>219 (100.0)</w:t>
            </w:r>
          </w:p>
        </w:tc>
      </w:tr>
      <w:tr w:rsidR="005A489F" w:rsidRPr="00181EF3" w14:paraId="38BEB4C9" w14:textId="77777777" w:rsidTr="005A489F">
        <w:trPr>
          <w:cantSplit/>
        </w:trPr>
        <w:tc>
          <w:tcPr>
            <w:tcW w:w="113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09EE1DB" w14:textId="77777777" w:rsidR="005A489F" w:rsidRPr="00181EF3" w:rsidRDefault="005A489F" w:rsidP="005A489F">
            <w:pPr>
              <w:pStyle w:val="TableText"/>
              <w:spacing w:before="55" w:after="55"/>
              <w:rPr>
                <w:bCs/>
              </w:rPr>
            </w:pPr>
            <w:r w:rsidRPr="00181EF3">
              <w:t>2016</w:t>
            </w:r>
          </w:p>
        </w:tc>
        <w:tc>
          <w:tcPr>
            <w:tcW w:w="127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A4B6B52" w14:textId="77777777" w:rsidR="005A489F" w:rsidRPr="00181EF3" w:rsidRDefault="005A489F" w:rsidP="005A489F">
            <w:pPr>
              <w:pStyle w:val="TableText"/>
              <w:tabs>
                <w:tab w:val="decimal" w:pos="458"/>
              </w:tabs>
              <w:spacing w:before="55" w:after="55"/>
            </w:pPr>
            <w:r w:rsidRPr="00181EF3">
              <w:t>13 (5.2)</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A60FDAF" w14:textId="77777777" w:rsidR="005A489F" w:rsidRPr="00181EF3" w:rsidRDefault="005A489F" w:rsidP="005A489F">
            <w:pPr>
              <w:pStyle w:val="TableText"/>
              <w:tabs>
                <w:tab w:val="decimal" w:pos="458"/>
              </w:tabs>
              <w:spacing w:before="55" w:after="55"/>
            </w:pPr>
            <w:r w:rsidRPr="00181EF3">
              <w:t>1 (0.4)</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5F0F4B3" w14:textId="77777777" w:rsidR="005A489F" w:rsidRPr="00181EF3" w:rsidRDefault="005A489F" w:rsidP="005A489F">
            <w:pPr>
              <w:pStyle w:val="TableText"/>
              <w:tabs>
                <w:tab w:val="decimal" w:pos="473"/>
              </w:tabs>
              <w:spacing w:before="55" w:after="55"/>
            </w:pPr>
            <w:r w:rsidRPr="00181EF3">
              <w:t>205 (82.7)</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7E82D80" w14:textId="77777777" w:rsidR="005A489F" w:rsidRPr="00181EF3" w:rsidRDefault="005A489F" w:rsidP="005A489F">
            <w:pPr>
              <w:pStyle w:val="TableText"/>
              <w:tabs>
                <w:tab w:val="decimal" w:pos="473"/>
              </w:tabs>
              <w:spacing w:before="55" w:after="55"/>
            </w:pPr>
            <w:r w:rsidRPr="00181EF3">
              <w:t>29 (11.7)</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126635E" w14:textId="77777777" w:rsidR="005A489F" w:rsidRPr="00181EF3" w:rsidRDefault="005A489F" w:rsidP="005A489F">
            <w:pPr>
              <w:pStyle w:val="TableText"/>
              <w:tabs>
                <w:tab w:val="decimal" w:pos="605"/>
              </w:tabs>
              <w:spacing w:before="55" w:after="55"/>
            </w:pPr>
            <w:r w:rsidRPr="00181EF3">
              <w:t>248 (100.0)</w:t>
            </w:r>
          </w:p>
        </w:tc>
      </w:tr>
      <w:tr w:rsidR="005A489F" w:rsidRPr="00181EF3" w14:paraId="43C4ED92" w14:textId="77777777" w:rsidTr="005A489F">
        <w:trPr>
          <w:cantSplit/>
        </w:trPr>
        <w:tc>
          <w:tcPr>
            <w:tcW w:w="113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72A603C" w14:textId="77777777" w:rsidR="005A489F" w:rsidRPr="00181EF3" w:rsidRDefault="005A489F" w:rsidP="005A489F">
            <w:pPr>
              <w:pStyle w:val="TableText"/>
              <w:spacing w:before="55" w:after="55"/>
              <w:rPr>
                <w:bCs/>
              </w:rPr>
            </w:pPr>
            <w:r w:rsidRPr="00181EF3">
              <w:t>2017</w:t>
            </w:r>
          </w:p>
        </w:tc>
        <w:tc>
          <w:tcPr>
            <w:tcW w:w="127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FBA9B3C" w14:textId="77777777" w:rsidR="005A489F" w:rsidRPr="00181EF3" w:rsidRDefault="005A489F" w:rsidP="005A489F">
            <w:pPr>
              <w:pStyle w:val="TableText"/>
              <w:tabs>
                <w:tab w:val="decimal" w:pos="458"/>
              </w:tabs>
              <w:spacing w:before="55" w:after="55"/>
            </w:pPr>
            <w:r w:rsidRPr="00181EF3">
              <w:t>8 (4.1)</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4E24AE7" w14:textId="77777777" w:rsidR="005A489F" w:rsidRPr="00181EF3" w:rsidRDefault="005A489F" w:rsidP="005A489F">
            <w:pPr>
              <w:pStyle w:val="TableText"/>
              <w:tabs>
                <w:tab w:val="decimal" w:pos="458"/>
              </w:tabs>
              <w:spacing w:before="55" w:after="55"/>
            </w:pPr>
            <w:r w:rsidRPr="00181EF3">
              <w:t>2 (1.0)</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8604E5E" w14:textId="77777777" w:rsidR="005A489F" w:rsidRPr="00181EF3" w:rsidRDefault="005A489F" w:rsidP="005A489F">
            <w:pPr>
              <w:pStyle w:val="TableText"/>
              <w:tabs>
                <w:tab w:val="decimal" w:pos="473"/>
              </w:tabs>
              <w:spacing w:before="55" w:after="55"/>
            </w:pPr>
            <w:r w:rsidRPr="00181EF3">
              <w:t>162 (83.9)</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1AB4CCE" w14:textId="77777777" w:rsidR="005A489F" w:rsidRPr="00181EF3" w:rsidRDefault="005A489F" w:rsidP="005A489F">
            <w:pPr>
              <w:pStyle w:val="TableText"/>
              <w:tabs>
                <w:tab w:val="decimal" w:pos="473"/>
              </w:tabs>
              <w:spacing w:before="55" w:after="55"/>
            </w:pPr>
            <w:r w:rsidRPr="00181EF3">
              <w:t>21 (10.9)</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3AE60D0" w14:textId="77777777" w:rsidR="005A489F" w:rsidRPr="00181EF3" w:rsidRDefault="005A489F" w:rsidP="005A489F">
            <w:pPr>
              <w:pStyle w:val="TableText"/>
              <w:tabs>
                <w:tab w:val="decimal" w:pos="605"/>
              </w:tabs>
              <w:spacing w:before="55" w:after="55"/>
            </w:pPr>
            <w:r w:rsidRPr="00181EF3">
              <w:t>193 (100.0)</w:t>
            </w:r>
          </w:p>
        </w:tc>
      </w:tr>
    </w:tbl>
    <w:p w14:paraId="211C7690" w14:textId="77777777" w:rsidR="008A5642" w:rsidRDefault="005A489F" w:rsidP="005A489F">
      <w:pPr>
        <w:pStyle w:val="Note"/>
      </w:pPr>
      <w:r w:rsidRPr="00181EF3">
        <w:t>Notes:</w:t>
      </w:r>
    </w:p>
    <w:p w14:paraId="74DAC3FE" w14:textId="09B2881D" w:rsidR="005A489F" w:rsidRPr="00181EF3" w:rsidRDefault="005A489F" w:rsidP="00B6364B">
      <w:pPr>
        <w:pStyle w:val="Note"/>
        <w:ind w:left="0" w:firstLine="0"/>
      </w:pPr>
      <w:r w:rsidRPr="00181EF3">
        <w:t>Interpretation: X (Y) where X is the number of people (count) and (Y) is the percentage (%) of people diagnosed with HIV.</w:t>
      </w:r>
    </w:p>
    <w:p w14:paraId="079DCBD5" w14:textId="77777777" w:rsidR="005A489F" w:rsidRPr="00181EF3" w:rsidRDefault="005A489F" w:rsidP="005A489F">
      <w:pPr>
        <w:pStyle w:val="Note"/>
      </w:pPr>
      <w:r w:rsidRPr="00181EF3">
        <w:t>Prioritised ethnicity was used.</w:t>
      </w:r>
    </w:p>
    <w:p w14:paraId="4BA154DD" w14:textId="77777777" w:rsidR="005A489F" w:rsidRPr="00181EF3" w:rsidRDefault="005A489F" w:rsidP="005A489F">
      <w:pPr>
        <w:pStyle w:val="Note"/>
      </w:pPr>
      <w:r w:rsidRPr="00181EF3">
        <w:t>Crude counts and percentages have been used.</w:t>
      </w:r>
    </w:p>
    <w:p w14:paraId="07417BC1" w14:textId="77777777" w:rsidR="005A489F" w:rsidRPr="00181EF3" w:rsidRDefault="005A489F" w:rsidP="005A489F">
      <w:pPr>
        <w:pStyle w:val="Note"/>
      </w:pPr>
      <w:r w:rsidRPr="00181EF3">
        <w:t>Includes people who have developed AIDS.</w:t>
      </w:r>
    </w:p>
    <w:p w14:paraId="763549F1" w14:textId="77777777" w:rsidR="005A489F" w:rsidRPr="00181EF3" w:rsidRDefault="005A489F" w:rsidP="005A489F">
      <w:pPr>
        <w:pStyle w:val="Source"/>
      </w:pPr>
      <w:r w:rsidRPr="00181EF3">
        <w:t>Source: AIDS Epidemiology Group, Dunedin School of Medicine, 1996–2017.</w:t>
      </w:r>
    </w:p>
    <w:p w14:paraId="7562908B" w14:textId="77777777" w:rsidR="005A489F" w:rsidRPr="00181EF3" w:rsidRDefault="005A489F" w:rsidP="005A489F"/>
    <w:p w14:paraId="61501736" w14:textId="5238F34D" w:rsidR="005A489F" w:rsidRPr="00181EF3" w:rsidRDefault="005A489F" w:rsidP="005B6F74">
      <w:pPr>
        <w:keepNext/>
      </w:pPr>
      <w:r w:rsidRPr="00181EF3">
        <w:lastRenderedPageBreak/>
        <w:t xml:space="preserve">Table </w:t>
      </w:r>
      <w:r w:rsidR="00D229A4">
        <w:t>23</w:t>
      </w:r>
      <w:r w:rsidRPr="00181EF3">
        <w:t xml:space="preserve"> shows the counts and percentages of HIV diagnoses for Māori and </w:t>
      </w:r>
      <w:r w:rsidR="00EC03A3">
        <w:t>non</w:t>
      </w:r>
      <w:r w:rsidR="00EC03A3">
        <w:noBreakHyphen/>
        <w:t>M</w:t>
      </w:r>
      <w:r w:rsidRPr="00181EF3">
        <w:t>āori, by gender, between 1996 and 2017.</w:t>
      </w:r>
    </w:p>
    <w:p w14:paraId="5897500D" w14:textId="77777777" w:rsidR="005A489F" w:rsidRPr="00181EF3" w:rsidRDefault="005A489F" w:rsidP="005B6F74">
      <w:pPr>
        <w:keepNext/>
      </w:pPr>
    </w:p>
    <w:p w14:paraId="3FE6EFF8" w14:textId="77777777" w:rsidR="005A489F" w:rsidRPr="00181EF3" w:rsidRDefault="005A489F" w:rsidP="005A489F">
      <w:r w:rsidRPr="00181EF3">
        <w:t>There is a large amount of annual variation in the number of people diagnosed with HIV. This is, in part, due to the small number of people diagnosed with HIV between 1996 and 2017.</w:t>
      </w:r>
    </w:p>
    <w:p w14:paraId="1990D07E" w14:textId="77777777" w:rsidR="005A489F" w:rsidRPr="00181EF3" w:rsidRDefault="005A489F" w:rsidP="005A489F"/>
    <w:p w14:paraId="639B2B9E" w14:textId="7806C36E" w:rsidR="005A489F" w:rsidRPr="00181EF3" w:rsidRDefault="005A489F" w:rsidP="005A489F">
      <w:r w:rsidRPr="00181EF3">
        <w:t xml:space="preserve">The majority of those diagnosed with HIV were </w:t>
      </w:r>
      <w:r w:rsidR="00EC03A3">
        <w:t>non</w:t>
      </w:r>
      <w:r w:rsidR="00EC03A3">
        <w:noBreakHyphen/>
        <w:t>M</w:t>
      </w:r>
      <w:r w:rsidRPr="00181EF3">
        <w:t xml:space="preserve">āori, this did not change over time – on average over 93 percent of those diagnosed with HIV were </w:t>
      </w:r>
      <w:r w:rsidR="00EC03A3">
        <w:t>non</w:t>
      </w:r>
      <w:r w:rsidR="00EC03A3">
        <w:noBreakHyphen/>
        <w:t>M</w:t>
      </w:r>
      <w:r w:rsidRPr="00181EF3">
        <w:t>āori (almost 7 percent were Māori).</w:t>
      </w:r>
    </w:p>
    <w:p w14:paraId="52E52EEE" w14:textId="77777777" w:rsidR="005A489F" w:rsidRPr="00181EF3" w:rsidRDefault="005A489F" w:rsidP="005A489F"/>
    <w:p w14:paraId="3D4634D5" w14:textId="77777777" w:rsidR="005A489F" w:rsidRPr="00181EF3" w:rsidRDefault="005A489F" w:rsidP="005A489F">
      <w:r w:rsidRPr="00181EF3">
        <w:t>Males had higher counts of HIV than females, regardless of ethnicity.</w:t>
      </w:r>
    </w:p>
    <w:p w14:paraId="49659716" w14:textId="77777777" w:rsidR="005A489F" w:rsidRPr="00181EF3" w:rsidRDefault="005A489F" w:rsidP="005A489F"/>
    <w:p w14:paraId="5961FA50" w14:textId="329AC61E" w:rsidR="005A489F" w:rsidRDefault="005A489F" w:rsidP="005A489F">
      <w:r w:rsidRPr="00181EF3">
        <w:t xml:space="preserve">The count of </w:t>
      </w:r>
      <w:r w:rsidR="00EC03A3">
        <w:t>non</w:t>
      </w:r>
      <w:r w:rsidR="00EC03A3">
        <w:noBreakHyphen/>
        <w:t>M</w:t>
      </w:r>
      <w:r w:rsidRPr="00181EF3">
        <w:t xml:space="preserve">āori males diagnosed with HIV has increased from 73 diagnoses in 1996 to 162 diagnoses in 2017. </w:t>
      </w:r>
      <w:r w:rsidR="00EC03A3">
        <w:t>Non</w:t>
      </w:r>
      <w:r w:rsidR="00EC03A3">
        <w:noBreakHyphen/>
        <w:t>M</w:t>
      </w:r>
      <w:r w:rsidRPr="00181EF3">
        <w:t>āori females, and both Māori males and females did not show much change in the number of HIV diagnoses over this period.</w:t>
      </w:r>
    </w:p>
    <w:p w14:paraId="1ECCA84E" w14:textId="77777777" w:rsidR="005A489F" w:rsidRPr="00181EF3" w:rsidRDefault="005A489F" w:rsidP="005A489F"/>
    <w:p w14:paraId="2C6178A0" w14:textId="39206189" w:rsidR="005A489F" w:rsidRPr="00181EF3" w:rsidRDefault="005A489F" w:rsidP="005A489F">
      <w:pPr>
        <w:pStyle w:val="Table"/>
      </w:pPr>
      <w:bookmarkStart w:id="247" w:name="_Toc18594764"/>
      <w:r w:rsidRPr="00181EF3">
        <w:lastRenderedPageBreak/>
        <w:t>Table</w:t>
      </w:r>
      <w:r w:rsidR="00353BFB">
        <w:t xml:space="preserve"> </w:t>
      </w:r>
      <w:r w:rsidR="00A13BB7">
        <w:rPr>
          <w:noProof/>
        </w:rPr>
        <w:t>24</w:t>
      </w:r>
      <w:r w:rsidRPr="00181EF3">
        <w:t>: Count (percentage %) of AIDS diagnoses</w:t>
      </w:r>
      <w:r w:rsidR="00D229A4" w:rsidRPr="00181EF3">
        <w:t>, by gender</w:t>
      </w:r>
      <w:r w:rsidR="00D229A4">
        <w:t>,</w:t>
      </w:r>
      <w:r w:rsidRPr="00181EF3">
        <w:t xml:space="preserve"> Māori and </w:t>
      </w:r>
      <w:r w:rsidR="00EC03A3">
        <w:t>Non</w:t>
      </w:r>
      <w:r w:rsidR="00EC03A3">
        <w:noBreakHyphen/>
        <w:t>M</w:t>
      </w:r>
      <w:r w:rsidRPr="00181EF3">
        <w:t>āori, 1996 to 2017</w:t>
      </w:r>
      <w:bookmarkEnd w:id="247"/>
    </w:p>
    <w:tbl>
      <w:tblPr>
        <w:tblW w:w="7938" w:type="dxa"/>
        <w:tblInd w:w="57" w:type="dxa"/>
        <w:tblLayout w:type="fixed"/>
        <w:tblCellMar>
          <w:left w:w="57" w:type="dxa"/>
          <w:right w:w="57" w:type="dxa"/>
        </w:tblCellMar>
        <w:tblLook w:val="04A0" w:firstRow="1" w:lastRow="0" w:firstColumn="1" w:lastColumn="0" w:noHBand="0" w:noVBand="1"/>
      </w:tblPr>
      <w:tblGrid>
        <w:gridCol w:w="1134"/>
        <w:gridCol w:w="1276"/>
        <w:gridCol w:w="1276"/>
        <w:gridCol w:w="1275"/>
        <w:gridCol w:w="1276"/>
        <w:gridCol w:w="1701"/>
      </w:tblGrid>
      <w:tr w:rsidR="005A489F" w:rsidRPr="00181EF3" w14:paraId="72683591" w14:textId="77777777" w:rsidTr="005A489F">
        <w:trPr>
          <w:cantSplit/>
        </w:trPr>
        <w:tc>
          <w:tcPr>
            <w:tcW w:w="1134" w:type="dxa"/>
            <w:vMerge w:val="restart"/>
            <w:tcBorders>
              <w:right w:val="single" w:sz="4" w:space="0" w:color="A6A6A6" w:themeColor="background1" w:themeShade="A6"/>
            </w:tcBorders>
            <w:shd w:val="clear" w:color="auto" w:fill="D9D9D9" w:themeFill="background1" w:themeFillShade="D9"/>
          </w:tcPr>
          <w:p w14:paraId="325D661F" w14:textId="77777777" w:rsidR="005A489F" w:rsidRPr="00181EF3" w:rsidRDefault="005A489F" w:rsidP="005A489F">
            <w:pPr>
              <w:pStyle w:val="TableText"/>
              <w:keepNext/>
              <w:spacing w:before="55" w:after="55"/>
              <w:rPr>
                <w:b/>
              </w:rPr>
            </w:pPr>
            <w:r w:rsidRPr="00181EF3">
              <w:rPr>
                <w:b/>
              </w:rPr>
              <w:t>Year</w:t>
            </w:r>
          </w:p>
        </w:tc>
        <w:tc>
          <w:tcPr>
            <w:tcW w:w="2552" w:type="dxa"/>
            <w:gridSpan w:val="2"/>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44237E7D" w14:textId="77777777" w:rsidR="005A489F" w:rsidRPr="00181EF3" w:rsidRDefault="005A489F" w:rsidP="005A489F">
            <w:pPr>
              <w:pStyle w:val="TableText"/>
              <w:keepNext/>
              <w:spacing w:before="55" w:after="55"/>
              <w:jc w:val="center"/>
              <w:rPr>
                <w:b/>
                <w:bCs/>
              </w:rPr>
            </w:pPr>
            <w:r w:rsidRPr="00181EF3">
              <w:rPr>
                <w:b/>
              </w:rPr>
              <w:t>Māori</w:t>
            </w:r>
          </w:p>
        </w:tc>
        <w:tc>
          <w:tcPr>
            <w:tcW w:w="2551" w:type="dxa"/>
            <w:gridSpan w:val="2"/>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20B86957" w14:textId="0CD8CB28" w:rsidR="005A489F" w:rsidRPr="00181EF3" w:rsidRDefault="00EC03A3" w:rsidP="005A489F">
            <w:pPr>
              <w:pStyle w:val="TableText"/>
              <w:keepNext/>
              <w:spacing w:before="55" w:after="55"/>
              <w:jc w:val="center"/>
              <w:rPr>
                <w:b/>
                <w:bCs/>
              </w:rPr>
            </w:pPr>
            <w:r>
              <w:rPr>
                <w:b/>
              </w:rPr>
              <w:t>Non</w:t>
            </w:r>
            <w:r>
              <w:rPr>
                <w:b/>
              </w:rPr>
              <w:noBreakHyphen/>
              <w:t>M</w:t>
            </w:r>
            <w:r w:rsidR="005A489F" w:rsidRPr="00181EF3">
              <w:rPr>
                <w:b/>
              </w:rPr>
              <w:t>āori</w:t>
            </w:r>
          </w:p>
        </w:tc>
        <w:tc>
          <w:tcPr>
            <w:tcW w:w="1701" w:type="dxa"/>
            <w:vMerge w:val="restart"/>
            <w:tcBorders>
              <w:left w:val="single" w:sz="4" w:space="0" w:color="A6A6A6" w:themeColor="background1" w:themeShade="A6"/>
            </w:tcBorders>
            <w:shd w:val="clear" w:color="auto" w:fill="D9D9D9" w:themeFill="background1" w:themeFillShade="D9"/>
          </w:tcPr>
          <w:p w14:paraId="5DADDF9B" w14:textId="77777777" w:rsidR="005A489F" w:rsidRPr="00181EF3" w:rsidRDefault="005A489F" w:rsidP="005A489F">
            <w:pPr>
              <w:pStyle w:val="TableText"/>
              <w:keepNext/>
              <w:spacing w:before="55" w:after="55"/>
              <w:jc w:val="center"/>
              <w:rPr>
                <w:b/>
              </w:rPr>
            </w:pPr>
            <w:r w:rsidRPr="00181EF3">
              <w:rPr>
                <w:b/>
              </w:rPr>
              <w:t>Total</w:t>
            </w:r>
          </w:p>
        </w:tc>
      </w:tr>
      <w:tr w:rsidR="005A489F" w:rsidRPr="00181EF3" w14:paraId="7DC45623" w14:textId="77777777" w:rsidTr="005A489F">
        <w:trPr>
          <w:cantSplit/>
        </w:trPr>
        <w:tc>
          <w:tcPr>
            <w:tcW w:w="1134" w:type="dxa"/>
            <w:vMerge/>
            <w:tcBorders>
              <w:right w:val="single" w:sz="4" w:space="0" w:color="A6A6A6" w:themeColor="background1" w:themeShade="A6"/>
            </w:tcBorders>
            <w:shd w:val="clear" w:color="auto" w:fill="D9D9D9" w:themeFill="background1" w:themeFillShade="D9"/>
          </w:tcPr>
          <w:p w14:paraId="22DBE9F9" w14:textId="77777777" w:rsidR="005A489F" w:rsidRPr="00181EF3" w:rsidRDefault="005A489F" w:rsidP="005A489F">
            <w:pPr>
              <w:pStyle w:val="TableText"/>
              <w:keepNext/>
              <w:spacing w:before="55" w:after="55"/>
              <w:rPr>
                <w:b/>
              </w:rPr>
            </w:pPr>
          </w:p>
        </w:tc>
        <w:tc>
          <w:tcPr>
            <w:tcW w:w="1276" w:type="dxa"/>
            <w:tcBorders>
              <w:left w:val="single" w:sz="4" w:space="0" w:color="A6A6A6" w:themeColor="background1" w:themeShade="A6"/>
            </w:tcBorders>
            <w:shd w:val="clear" w:color="auto" w:fill="D9D9D9" w:themeFill="background1" w:themeFillShade="D9"/>
          </w:tcPr>
          <w:p w14:paraId="69ABB751" w14:textId="77777777" w:rsidR="005A489F" w:rsidRPr="00181EF3" w:rsidRDefault="005A489F" w:rsidP="005A489F">
            <w:pPr>
              <w:pStyle w:val="TableText"/>
              <w:keepNext/>
              <w:spacing w:before="55" w:after="55"/>
              <w:jc w:val="center"/>
              <w:rPr>
                <w:b/>
              </w:rPr>
            </w:pPr>
            <w:r w:rsidRPr="00181EF3">
              <w:rPr>
                <w:b/>
              </w:rPr>
              <w:t>Male</w:t>
            </w:r>
          </w:p>
        </w:tc>
        <w:tc>
          <w:tcPr>
            <w:tcW w:w="1276" w:type="dxa"/>
            <w:tcBorders>
              <w:right w:val="single" w:sz="4" w:space="0" w:color="A6A6A6" w:themeColor="background1" w:themeShade="A6"/>
            </w:tcBorders>
            <w:shd w:val="clear" w:color="auto" w:fill="D9D9D9" w:themeFill="background1" w:themeFillShade="D9"/>
          </w:tcPr>
          <w:p w14:paraId="7BA491AA" w14:textId="77777777" w:rsidR="005A489F" w:rsidRPr="00181EF3" w:rsidRDefault="005A489F" w:rsidP="005A489F">
            <w:pPr>
              <w:pStyle w:val="TableText"/>
              <w:keepNext/>
              <w:spacing w:before="55" w:after="55"/>
              <w:jc w:val="center"/>
              <w:rPr>
                <w:b/>
              </w:rPr>
            </w:pPr>
            <w:r w:rsidRPr="00181EF3">
              <w:rPr>
                <w:b/>
              </w:rPr>
              <w:t>Female</w:t>
            </w:r>
          </w:p>
        </w:tc>
        <w:tc>
          <w:tcPr>
            <w:tcW w:w="1275" w:type="dxa"/>
            <w:tcBorders>
              <w:left w:val="single" w:sz="4" w:space="0" w:color="A6A6A6" w:themeColor="background1" w:themeShade="A6"/>
            </w:tcBorders>
            <w:shd w:val="clear" w:color="auto" w:fill="D9D9D9" w:themeFill="background1" w:themeFillShade="D9"/>
          </w:tcPr>
          <w:p w14:paraId="73750E88" w14:textId="77777777" w:rsidR="005A489F" w:rsidRPr="00181EF3" w:rsidRDefault="005A489F" w:rsidP="005A489F">
            <w:pPr>
              <w:pStyle w:val="TableText"/>
              <w:keepNext/>
              <w:spacing w:before="55" w:after="55"/>
              <w:jc w:val="center"/>
              <w:rPr>
                <w:b/>
              </w:rPr>
            </w:pPr>
            <w:r w:rsidRPr="00181EF3">
              <w:rPr>
                <w:b/>
              </w:rPr>
              <w:t>Male</w:t>
            </w:r>
          </w:p>
        </w:tc>
        <w:tc>
          <w:tcPr>
            <w:tcW w:w="1276" w:type="dxa"/>
            <w:tcBorders>
              <w:right w:val="single" w:sz="4" w:space="0" w:color="A6A6A6" w:themeColor="background1" w:themeShade="A6"/>
            </w:tcBorders>
            <w:shd w:val="clear" w:color="auto" w:fill="D9D9D9" w:themeFill="background1" w:themeFillShade="D9"/>
          </w:tcPr>
          <w:p w14:paraId="6CBB6746" w14:textId="77777777" w:rsidR="005A489F" w:rsidRPr="00181EF3" w:rsidRDefault="005A489F" w:rsidP="005A489F">
            <w:pPr>
              <w:pStyle w:val="TableText"/>
              <w:keepNext/>
              <w:spacing w:before="55" w:after="55"/>
              <w:jc w:val="center"/>
              <w:rPr>
                <w:b/>
              </w:rPr>
            </w:pPr>
            <w:r w:rsidRPr="00181EF3">
              <w:rPr>
                <w:b/>
              </w:rPr>
              <w:t>Female</w:t>
            </w:r>
          </w:p>
        </w:tc>
        <w:tc>
          <w:tcPr>
            <w:tcW w:w="1701" w:type="dxa"/>
            <w:vMerge/>
            <w:tcBorders>
              <w:left w:val="single" w:sz="4" w:space="0" w:color="A6A6A6" w:themeColor="background1" w:themeShade="A6"/>
            </w:tcBorders>
            <w:shd w:val="clear" w:color="auto" w:fill="D9D9D9" w:themeFill="background1" w:themeFillShade="D9"/>
          </w:tcPr>
          <w:p w14:paraId="6C75C99C" w14:textId="77777777" w:rsidR="005A489F" w:rsidRPr="00181EF3" w:rsidRDefault="005A489F" w:rsidP="005A489F">
            <w:pPr>
              <w:pStyle w:val="TableText"/>
              <w:keepNext/>
              <w:spacing w:before="55" w:after="55"/>
              <w:rPr>
                <w:b/>
              </w:rPr>
            </w:pPr>
          </w:p>
        </w:tc>
      </w:tr>
      <w:tr w:rsidR="005A489F" w:rsidRPr="00181EF3" w14:paraId="24186AE9" w14:textId="77777777" w:rsidTr="005A489F">
        <w:trPr>
          <w:cantSplit/>
        </w:trPr>
        <w:tc>
          <w:tcPr>
            <w:tcW w:w="1134" w:type="dxa"/>
            <w:tcBorders>
              <w:bottom w:val="single" w:sz="4" w:space="0" w:color="A6A6A6" w:themeColor="background1" w:themeShade="A6"/>
              <w:right w:val="single" w:sz="4" w:space="0" w:color="A6A6A6" w:themeColor="background1" w:themeShade="A6"/>
            </w:tcBorders>
          </w:tcPr>
          <w:p w14:paraId="70296F47" w14:textId="77777777" w:rsidR="005A489F" w:rsidRPr="00181EF3" w:rsidRDefault="005A489F" w:rsidP="005A489F">
            <w:pPr>
              <w:pStyle w:val="TableText"/>
              <w:keepNext/>
              <w:spacing w:before="55" w:after="55"/>
            </w:pPr>
            <w:r w:rsidRPr="00181EF3">
              <w:t>1996</w:t>
            </w:r>
          </w:p>
        </w:tc>
        <w:tc>
          <w:tcPr>
            <w:tcW w:w="1276" w:type="dxa"/>
            <w:tcBorders>
              <w:left w:val="single" w:sz="4" w:space="0" w:color="A6A6A6" w:themeColor="background1" w:themeShade="A6"/>
              <w:bottom w:val="single" w:sz="4" w:space="0" w:color="A6A6A6" w:themeColor="background1" w:themeShade="A6"/>
            </w:tcBorders>
          </w:tcPr>
          <w:p w14:paraId="009EECA9" w14:textId="77777777" w:rsidR="005A489F" w:rsidRPr="00181EF3" w:rsidRDefault="005A489F" w:rsidP="005A489F">
            <w:pPr>
              <w:pStyle w:val="TableText"/>
              <w:keepNext/>
              <w:tabs>
                <w:tab w:val="decimal" w:pos="510"/>
              </w:tabs>
              <w:spacing w:before="55" w:after="55"/>
            </w:pPr>
            <w:r w:rsidRPr="00181EF3">
              <w:t>7 (11.1)</w:t>
            </w:r>
          </w:p>
        </w:tc>
        <w:tc>
          <w:tcPr>
            <w:tcW w:w="1276" w:type="dxa"/>
            <w:tcBorders>
              <w:bottom w:val="single" w:sz="4" w:space="0" w:color="A6A6A6" w:themeColor="background1" w:themeShade="A6"/>
              <w:right w:val="single" w:sz="4" w:space="0" w:color="A6A6A6" w:themeColor="background1" w:themeShade="A6"/>
            </w:tcBorders>
          </w:tcPr>
          <w:p w14:paraId="6BE9B83A" w14:textId="77777777" w:rsidR="005A489F" w:rsidRPr="00181EF3" w:rsidRDefault="005A489F" w:rsidP="005A489F">
            <w:pPr>
              <w:pStyle w:val="TableText"/>
              <w:keepNext/>
              <w:spacing w:before="55" w:after="55"/>
              <w:jc w:val="center"/>
            </w:pPr>
            <w:r w:rsidRPr="00181EF3">
              <w:t>0 (0.0)</w:t>
            </w:r>
          </w:p>
        </w:tc>
        <w:tc>
          <w:tcPr>
            <w:tcW w:w="1275" w:type="dxa"/>
            <w:tcBorders>
              <w:left w:val="single" w:sz="4" w:space="0" w:color="A6A6A6" w:themeColor="background1" w:themeShade="A6"/>
              <w:bottom w:val="single" w:sz="4" w:space="0" w:color="A6A6A6" w:themeColor="background1" w:themeShade="A6"/>
            </w:tcBorders>
          </w:tcPr>
          <w:p w14:paraId="004D890E" w14:textId="77777777" w:rsidR="005A489F" w:rsidRPr="00181EF3" w:rsidRDefault="005A489F" w:rsidP="005A489F">
            <w:pPr>
              <w:pStyle w:val="TableText"/>
              <w:keepNext/>
              <w:tabs>
                <w:tab w:val="decimal" w:pos="425"/>
              </w:tabs>
              <w:spacing w:before="55" w:after="55"/>
            </w:pPr>
            <w:r w:rsidRPr="00181EF3">
              <w:t>51 (81.0)</w:t>
            </w:r>
          </w:p>
        </w:tc>
        <w:tc>
          <w:tcPr>
            <w:tcW w:w="1276" w:type="dxa"/>
            <w:tcBorders>
              <w:bottom w:val="single" w:sz="4" w:space="0" w:color="A6A6A6" w:themeColor="background1" w:themeShade="A6"/>
              <w:right w:val="single" w:sz="4" w:space="0" w:color="A6A6A6" w:themeColor="background1" w:themeShade="A6"/>
            </w:tcBorders>
          </w:tcPr>
          <w:p w14:paraId="398F8007" w14:textId="77777777" w:rsidR="005A489F" w:rsidRPr="00181EF3" w:rsidRDefault="005A489F" w:rsidP="005A489F">
            <w:pPr>
              <w:pStyle w:val="TableText"/>
              <w:keepNext/>
              <w:tabs>
                <w:tab w:val="decimal" w:pos="425"/>
              </w:tabs>
              <w:spacing w:before="55" w:after="55"/>
            </w:pPr>
            <w:r w:rsidRPr="00181EF3">
              <w:t>5 (7.9)</w:t>
            </w:r>
          </w:p>
        </w:tc>
        <w:tc>
          <w:tcPr>
            <w:tcW w:w="1701" w:type="dxa"/>
            <w:tcBorders>
              <w:left w:val="single" w:sz="4" w:space="0" w:color="A6A6A6" w:themeColor="background1" w:themeShade="A6"/>
              <w:bottom w:val="single" w:sz="4" w:space="0" w:color="A6A6A6" w:themeColor="background1" w:themeShade="A6"/>
            </w:tcBorders>
          </w:tcPr>
          <w:p w14:paraId="512F713F" w14:textId="77777777" w:rsidR="005A489F" w:rsidRPr="00181EF3" w:rsidRDefault="005A489F" w:rsidP="005A489F">
            <w:pPr>
              <w:pStyle w:val="TableText"/>
              <w:keepNext/>
              <w:spacing w:before="55" w:after="55"/>
              <w:jc w:val="center"/>
            </w:pPr>
            <w:r w:rsidRPr="00181EF3">
              <w:t>63 (100.0)</w:t>
            </w:r>
          </w:p>
        </w:tc>
      </w:tr>
      <w:tr w:rsidR="005A489F" w:rsidRPr="00181EF3" w14:paraId="481FAE69" w14:textId="77777777" w:rsidTr="005A489F">
        <w:trPr>
          <w:cantSplit/>
        </w:trPr>
        <w:tc>
          <w:tcPr>
            <w:tcW w:w="113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7CA2B22" w14:textId="77777777" w:rsidR="005A489F" w:rsidRPr="00181EF3" w:rsidRDefault="005A489F" w:rsidP="005A489F">
            <w:pPr>
              <w:pStyle w:val="TableText"/>
              <w:keepNext/>
              <w:spacing w:before="55" w:after="55"/>
            </w:pPr>
            <w:r w:rsidRPr="00181EF3">
              <w:t>1997</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1E5A3ED" w14:textId="77777777" w:rsidR="005A489F" w:rsidRPr="00181EF3" w:rsidRDefault="005A489F" w:rsidP="005A489F">
            <w:pPr>
              <w:pStyle w:val="TableText"/>
              <w:keepNext/>
              <w:tabs>
                <w:tab w:val="decimal" w:pos="510"/>
              </w:tabs>
              <w:spacing w:before="55" w:after="55"/>
            </w:pPr>
            <w:r w:rsidRPr="00181EF3">
              <w:t>4 (10.8)</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1CE7624" w14:textId="77777777" w:rsidR="005A489F" w:rsidRPr="00181EF3" w:rsidRDefault="005A489F" w:rsidP="005A489F">
            <w:pPr>
              <w:pStyle w:val="TableText"/>
              <w:keepNext/>
              <w:spacing w:before="55" w:after="55"/>
              <w:jc w:val="center"/>
            </w:pPr>
            <w:r w:rsidRPr="00181EF3">
              <w:t>0 (0.0)</w:t>
            </w:r>
          </w:p>
        </w:tc>
        <w:tc>
          <w:tcPr>
            <w:tcW w:w="127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8972204" w14:textId="77777777" w:rsidR="005A489F" w:rsidRPr="00181EF3" w:rsidRDefault="005A489F" w:rsidP="005A489F">
            <w:pPr>
              <w:pStyle w:val="TableText"/>
              <w:keepNext/>
              <w:tabs>
                <w:tab w:val="decimal" w:pos="425"/>
              </w:tabs>
              <w:spacing w:before="55" w:after="55"/>
            </w:pPr>
            <w:r w:rsidRPr="00181EF3">
              <w:t>32 (86.5)</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900C340" w14:textId="77777777" w:rsidR="005A489F" w:rsidRPr="00181EF3" w:rsidRDefault="005A489F" w:rsidP="005A489F">
            <w:pPr>
              <w:pStyle w:val="TableText"/>
              <w:keepNext/>
              <w:tabs>
                <w:tab w:val="decimal" w:pos="425"/>
              </w:tabs>
              <w:spacing w:before="55" w:after="55"/>
            </w:pPr>
            <w:r w:rsidRPr="00181EF3">
              <w:t>1 (2.7)</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D4F593F" w14:textId="77777777" w:rsidR="005A489F" w:rsidRPr="00181EF3" w:rsidRDefault="005A489F" w:rsidP="005A489F">
            <w:pPr>
              <w:pStyle w:val="TableText"/>
              <w:keepNext/>
              <w:spacing w:before="55" w:after="55"/>
              <w:jc w:val="center"/>
            </w:pPr>
            <w:r w:rsidRPr="00181EF3">
              <w:t>37 (100.0)</w:t>
            </w:r>
          </w:p>
        </w:tc>
      </w:tr>
      <w:tr w:rsidR="005A489F" w:rsidRPr="00181EF3" w14:paraId="20934F1C" w14:textId="77777777" w:rsidTr="005A489F">
        <w:trPr>
          <w:cantSplit/>
        </w:trPr>
        <w:tc>
          <w:tcPr>
            <w:tcW w:w="113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272DAE6" w14:textId="77777777" w:rsidR="005A489F" w:rsidRPr="00181EF3" w:rsidRDefault="005A489F" w:rsidP="005A489F">
            <w:pPr>
              <w:pStyle w:val="TableText"/>
              <w:keepNext/>
              <w:spacing w:before="55" w:after="55"/>
            </w:pPr>
            <w:r w:rsidRPr="00181EF3">
              <w:t>1998</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B445A7D" w14:textId="77777777" w:rsidR="005A489F" w:rsidRPr="00181EF3" w:rsidRDefault="005A489F" w:rsidP="005A489F">
            <w:pPr>
              <w:pStyle w:val="TableText"/>
              <w:keepNext/>
              <w:tabs>
                <w:tab w:val="decimal" w:pos="510"/>
              </w:tabs>
              <w:spacing w:before="55" w:after="55"/>
            </w:pPr>
            <w:r w:rsidRPr="00181EF3">
              <w:t>2 (6.9)</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85011FA" w14:textId="77777777" w:rsidR="005A489F" w:rsidRPr="00181EF3" w:rsidRDefault="005A489F" w:rsidP="005A489F">
            <w:pPr>
              <w:pStyle w:val="TableText"/>
              <w:keepNext/>
              <w:spacing w:before="55" w:after="55"/>
              <w:jc w:val="center"/>
            </w:pPr>
            <w:r w:rsidRPr="00181EF3">
              <w:t>1 (3.4)</w:t>
            </w:r>
          </w:p>
        </w:tc>
        <w:tc>
          <w:tcPr>
            <w:tcW w:w="127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2CE86DF" w14:textId="77777777" w:rsidR="005A489F" w:rsidRPr="00181EF3" w:rsidRDefault="005A489F" w:rsidP="005A489F">
            <w:pPr>
              <w:pStyle w:val="TableText"/>
              <w:keepNext/>
              <w:tabs>
                <w:tab w:val="decimal" w:pos="425"/>
              </w:tabs>
              <w:spacing w:before="55" w:after="55"/>
            </w:pPr>
            <w:r w:rsidRPr="00181EF3">
              <w:t>21 (72.4)</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818C226" w14:textId="77777777" w:rsidR="005A489F" w:rsidRPr="00181EF3" w:rsidRDefault="005A489F" w:rsidP="005A489F">
            <w:pPr>
              <w:pStyle w:val="TableText"/>
              <w:keepNext/>
              <w:tabs>
                <w:tab w:val="decimal" w:pos="425"/>
              </w:tabs>
              <w:spacing w:before="55" w:after="55"/>
            </w:pPr>
            <w:r w:rsidRPr="00181EF3">
              <w:t>5 (17.2)</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8DCFAEF" w14:textId="77777777" w:rsidR="005A489F" w:rsidRPr="00181EF3" w:rsidRDefault="005A489F" w:rsidP="005A489F">
            <w:pPr>
              <w:pStyle w:val="TableText"/>
              <w:keepNext/>
              <w:spacing w:before="55" w:after="55"/>
              <w:jc w:val="center"/>
            </w:pPr>
            <w:r w:rsidRPr="00181EF3">
              <w:t>29 (100.0)</w:t>
            </w:r>
          </w:p>
        </w:tc>
      </w:tr>
      <w:tr w:rsidR="005A489F" w:rsidRPr="00181EF3" w14:paraId="53472C1A" w14:textId="77777777" w:rsidTr="005A489F">
        <w:trPr>
          <w:cantSplit/>
        </w:trPr>
        <w:tc>
          <w:tcPr>
            <w:tcW w:w="113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E4EA60F" w14:textId="77777777" w:rsidR="005A489F" w:rsidRPr="00181EF3" w:rsidRDefault="005A489F" w:rsidP="005A489F">
            <w:pPr>
              <w:pStyle w:val="TableText"/>
              <w:keepNext/>
              <w:spacing w:before="55" w:after="55"/>
            </w:pPr>
            <w:r w:rsidRPr="00181EF3">
              <w:t>1999</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A4572D4" w14:textId="77777777" w:rsidR="005A489F" w:rsidRPr="00181EF3" w:rsidRDefault="005A489F" w:rsidP="005A489F">
            <w:pPr>
              <w:pStyle w:val="TableText"/>
              <w:keepNext/>
              <w:tabs>
                <w:tab w:val="decimal" w:pos="510"/>
              </w:tabs>
              <w:spacing w:before="55" w:after="55"/>
            </w:pPr>
            <w:r w:rsidRPr="00181EF3">
              <w:t>2 (5.3)</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552FFA4" w14:textId="77777777" w:rsidR="005A489F" w:rsidRPr="00181EF3" w:rsidRDefault="005A489F" w:rsidP="005A489F">
            <w:pPr>
              <w:pStyle w:val="TableText"/>
              <w:keepNext/>
              <w:spacing w:before="55" w:after="55"/>
              <w:jc w:val="center"/>
            </w:pPr>
            <w:r w:rsidRPr="00181EF3">
              <w:t>1 (2.6)</w:t>
            </w:r>
          </w:p>
        </w:tc>
        <w:tc>
          <w:tcPr>
            <w:tcW w:w="127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C25FB24" w14:textId="77777777" w:rsidR="005A489F" w:rsidRPr="00181EF3" w:rsidRDefault="005A489F" w:rsidP="005A489F">
            <w:pPr>
              <w:pStyle w:val="TableText"/>
              <w:keepNext/>
              <w:tabs>
                <w:tab w:val="decimal" w:pos="425"/>
              </w:tabs>
              <w:spacing w:before="55" w:after="55"/>
            </w:pPr>
            <w:r w:rsidRPr="00181EF3">
              <w:t>27 (71.1)</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8204F45" w14:textId="77777777" w:rsidR="005A489F" w:rsidRPr="00181EF3" w:rsidRDefault="005A489F" w:rsidP="005A489F">
            <w:pPr>
              <w:pStyle w:val="TableText"/>
              <w:keepNext/>
              <w:tabs>
                <w:tab w:val="decimal" w:pos="425"/>
              </w:tabs>
              <w:spacing w:before="55" w:after="55"/>
            </w:pPr>
            <w:r w:rsidRPr="00181EF3">
              <w:t>8 (21.1)</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A8DF6F1" w14:textId="77777777" w:rsidR="005A489F" w:rsidRPr="00181EF3" w:rsidRDefault="005A489F" w:rsidP="005A489F">
            <w:pPr>
              <w:pStyle w:val="TableText"/>
              <w:keepNext/>
              <w:spacing w:before="55" w:after="55"/>
              <w:jc w:val="center"/>
            </w:pPr>
            <w:r w:rsidRPr="00181EF3">
              <w:t>38 (100.0)</w:t>
            </w:r>
          </w:p>
        </w:tc>
      </w:tr>
      <w:tr w:rsidR="005A489F" w:rsidRPr="00181EF3" w14:paraId="66A888B7" w14:textId="77777777" w:rsidTr="005A489F">
        <w:trPr>
          <w:cantSplit/>
        </w:trPr>
        <w:tc>
          <w:tcPr>
            <w:tcW w:w="113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C73D642" w14:textId="77777777" w:rsidR="005A489F" w:rsidRPr="00181EF3" w:rsidRDefault="005A489F" w:rsidP="005A489F">
            <w:pPr>
              <w:pStyle w:val="TableText"/>
              <w:keepNext/>
              <w:spacing w:before="55" w:after="55"/>
            </w:pPr>
            <w:r w:rsidRPr="00181EF3">
              <w:t>2000</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2EF82A3" w14:textId="77777777" w:rsidR="005A489F" w:rsidRPr="00181EF3" w:rsidRDefault="005A489F" w:rsidP="005A489F">
            <w:pPr>
              <w:pStyle w:val="TableText"/>
              <w:keepNext/>
              <w:tabs>
                <w:tab w:val="decimal" w:pos="510"/>
              </w:tabs>
              <w:spacing w:before="55" w:after="55"/>
            </w:pPr>
            <w:r w:rsidRPr="00181EF3">
              <w:t>0 (0.0)</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97366FB" w14:textId="77777777" w:rsidR="005A489F" w:rsidRPr="00181EF3" w:rsidRDefault="005A489F" w:rsidP="005A489F">
            <w:pPr>
              <w:pStyle w:val="TableText"/>
              <w:keepNext/>
              <w:spacing w:before="55" w:after="55"/>
              <w:jc w:val="center"/>
            </w:pPr>
            <w:r w:rsidRPr="00181EF3">
              <w:t>0 (0.0)</w:t>
            </w:r>
          </w:p>
        </w:tc>
        <w:tc>
          <w:tcPr>
            <w:tcW w:w="127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B4274C3" w14:textId="77777777" w:rsidR="005A489F" w:rsidRPr="00181EF3" w:rsidRDefault="005A489F" w:rsidP="005A489F">
            <w:pPr>
              <w:pStyle w:val="TableText"/>
              <w:keepNext/>
              <w:tabs>
                <w:tab w:val="decimal" w:pos="425"/>
              </w:tabs>
              <w:spacing w:before="55" w:after="55"/>
            </w:pPr>
            <w:r w:rsidRPr="00181EF3">
              <w:t>21 (84.0)</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F8644EA" w14:textId="77777777" w:rsidR="005A489F" w:rsidRPr="00181EF3" w:rsidRDefault="005A489F" w:rsidP="005A489F">
            <w:pPr>
              <w:pStyle w:val="TableText"/>
              <w:keepNext/>
              <w:tabs>
                <w:tab w:val="decimal" w:pos="425"/>
              </w:tabs>
              <w:spacing w:before="55" w:after="55"/>
            </w:pPr>
            <w:r w:rsidRPr="00181EF3">
              <w:t>4 (16.0)</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D0EAA4F" w14:textId="77777777" w:rsidR="005A489F" w:rsidRPr="00181EF3" w:rsidRDefault="005A489F" w:rsidP="005A489F">
            <w:pPr>
              <w:pStyle w:val="TableText"/>
              <w:keepNext/>
              <w:spacing w:before="55" w:after="55"/>
              <w:jc w:val="center"/>
            </w:pPr>
            <w:r w:rsidRPr="00181EF3">
              <w:t>25 (100.0)</w:t>
            </w:r>
          </w:p>
        </w:tc>
      </w:tr>
      <w:tr w:rsidR="005A489F" w:rsidRPr="00181EF3" w14:paraId="689B2A52" w14:textId="77777777" w:rsidTr="005A489F">
        <w:trPr>
          <w:cantSplit/>
        </w:trPr>
        <w:tc>
          <w:tcPr>
            <w:tcW w:w="113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A91C399" w14:textId="77777777" w:rsidR="005A489F" w:rsidRPr="00181EF3" w:rsidRDefault="005A489F" w:rsidP="005A489F">
            <w:pPr>
              <w:pStyle w:val="TableText"/>
              <w:keepNext/>
              <w:spacing w:before="55" w:after="55"/>
            </w:pPr>
            <w:r w:rsidRPr="00181EF3">
              <w:t>2001</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509ACBB" w14:textId="77777777" w:rsidR="005A489F" w:rsidRPr="00181EF3" w:rsidRDefault="005A489F" w:rsidP="005A489F">
            <w:pPr>
              <w:pStyle w:val="TableText"/>
              <w:keepNext/>
              <w:tabs>
                <w:tab w:val="decimal" w:pos="510"/>
              </w:tabs>
              <w:spacing w:before="55" w:after="55"/>
            </w:pPr>
            <w:r w:rsidRPr="00181EF3">
              <w:t>0 (0.0)</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F346E35" w14:textId="77777777" w:rsidR="005A489F" w:rsidRPr="00181EF3" w:rsidRDefault="005A489F" w:rsidP="005A489F">
            <w:pPr>
              <w:pStyle w:val="TableText"/>
              <w:keepNext/>
              <w:spacing w:before="55" w:after="55"/>
              <w:jc w:val="center"/>
            </w:pPr>
            <w:r w:rsidRPr="00181EF3">
              <w:t>1 (3.3)</w:t>
            </w:r>
          </w:p>
        </w:tc>
        <w:tc>
          <w:tcPr>
            <w:tcW w:w="127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974ACDC" w14:textId="77777777" w:rsidR="005A489F" w:rsidRPr="00181EF3" w:rsidRDefault="005A489F" w:rsidP="005A489F">
            <w:pPr>
              <w:pStyle w:val="TableText"/>
              <w:keepNext/>
              <w:tabs>
                <w:tab w:val="decimal" w:pos="425"/>
              </w:tabs>
              <w:spacing w:before="55" w:after="55"/>
            </w:pPr>
            <w:r w:rsidRPr="00181EF3">
              <w:t>21 (70.0)</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C186A4F" w14:textId="77777777" w:rsidR="005A489F" w:rsidRPr="00181EF3" w:rsidRDefault="005A489F" w:rsidP="005A489F">
            <w:pPr>
              <w:pStyle w:val="TableText"/>
              <w:keepNext/>
              <w:tabs>
                <w:tab w:val="decimal" w:pos="425"/>
              </w:tabs>
              <w:spacing w:before="55" w:after="55"/>
            </w:pPr>
            <w:r w:rsidRPr="00181EF3">
              <w:t>8 (26.7)</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FB3323E" w14:textId="77777777" w:rsidR="005A489F" w:rsidRPr="00181EF3" w:rsidRDefault="005A489F" w:rsidP="005A489F">
            <w:pPr>
              <w:pStyle w:val="TableText"/>
              <w:keepNext/>
              <w:spacing w:before="55" w:after="55"/>
              <w:jc w:val="center"/>
            </w:pPr>
            <w:r w:rsidRPr="00181EF3">
              <w:t>30 (100.0)</w:t>
            </w:r>
          </w:p>
        </w:tc>
      </w:tr>
      <w:tr w:rsidR="005A489F" w:rsidRPr="00181EF3" w14:paraId="437539CE" w14:textId="77777777" w:rsidTr="005A489F">
        <w:trPr>
          <w:cantSplit/>
        </w:trPr>
        <w:tc>
          <w:tcPr>
            <w:tcW w:w="113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3B375AA" w14:textId="77777777" w:rsidR="005A489F" w:rsidRPr="00181EF3" w:rsidRDefault="005A489F" w:rsidP="005A489F">
            <w:pPr>
              <w:pStyle w:val="TableText"/>
              <w:keepNext/>
              <w:spacing w:before="55" w:after="55"/>
            </w:pPr>
            <w:r w:rsidRPr="00181EF3">
              <w:t>2002</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6B5C77C" w14:textId="77777777" w:rsidR="005A489F" w:rsidRPr="00181EF3" w:rsidRDefault="005A489F" w:rsidP="005A489F">
            <w:pPr>
              <w:pStyle w:val="TableText"/>
              <w:keepNext/>
              <w:tabs>
                <w:tab w:val="decimal" w:pos="510"/>
              </w:tabs>
              <w:spacing w:before="55" w:after="55"/>
            </w:pPr>
            <w:r w:rsidRPr="00181EF3">
              <w:t>4 (20.0)</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6B2B9E2" w14:textId="77777777" w:rsidR="005A489F" w:rsidRPr="00181EF3" w:rsidRDefault="005A489F" w:rsidP="005A489F">
            <w:pPr>
              <w:pStyle w:val="TableText"/>
              <w:keepNext/>
              <w:spacing w:before="55" w:after="55"/>
              <w:jc w:val="center"/>
            </w:pPr>
            <w:r w:rsidRPr="00181EF3">
              <w:t>1 (5.0)</w:t>
            </w:r>
          </w:p>
        </w:tc>
        <w:tc>
          <w:tcPr>
            <w:tcW w:w="127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1920B23" w14:textId="77777777" w:rsidR="005A489F" w:rsidRPr="00181EF3" w:rsidRDefault="005A489F" w:rsidP="005A489F">
            <w:pPr>
              <w:pStyle w:val="TableText"/>
              <w:keepNext/>
              <w:tabs>
                <w:tab w:val="decimal" w:pos="425"/>
              </w:tabs>
              <w:spacing w:before="55" w:after="55"/>
            </w:pPr>
            <w:r w:rsidRPr="00181EF3">
              <w:t>11 (55.0)</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AC21742" w14:textId="77777777" w:rsidR="005A489F" w:rsidRPr="00181EF3" w:rsidRDefault="005A489F" w:rsidP="005A489F">
            <w:pPr>
              <w:pStyle w:val="TableText"/>
              <w:keepNext/>
              <w:tabs>
                <w:tab w:val="decimal" w:pos="425"/>
              </w:tabs>
              <w:spacing w:before="55" w:after="55"/>
            </w:pPr>
            <w:r w:rsidRPr="00181EF3">
              <w:t>4 (16.0)</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302F4C7" w14:textId="77777777" w:rsidR="005A489F" w:rsidRPr="00181EF3" w:rsidRDefault="005A489F" w:rsidP="005A489F">
            <w:pPr>
              <w:pStyle w:val="TableText"/>
              <w:keepNext/>
              <w:spacing w:before="55" w:after="55"/>
              <w:jc w:val="center"/>
            </w:pPr>
            <w:r w:rsidRPr="00181EF3">
              <w:t>20 (100.0)</w:t>
            </w:r>
          </w:p>
        </w:tc>
      </w:tr>
      <w:tr w:rsidR="005A489F" w:rsidRPr="00181EF3" w14:paraId="30DB7190" w14:textId="77777777" w:rsidTr="005A489F">
        <w:trPr>
          <w:cantSplit/>
        </w:trPr>
        <w:tc>
          <w:tcPr>
            <w:tcW w:w="113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3376091" w14:textId="77777777" w:rsidR="005A489F" w:rsidRPr="00181EF3" w:rsidRDefault="005A489F" w:rsidP="005A489F">
            <w:pPr>
              <w:pStyle w:val="TableText"/>
              <w:keepNext/>
              <w:spacing w:before="55" w:after="55"/>
            </w:pPr>
            <w:r w:rsidRPr="00181EF3">
              <w:t>2003</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E804E26" w14:textId="77777777" w:rsidR="005A489F" w:rsidRPr="00181EF3" w:rsidRDefault="005A489F" w:rsidP="005A489F">
            <w:pPr>
              <w:pStyle w:val="TableText"/>
              <w:keepNext/>
              <w:tabs>
                <w:tab w:val="decimal" w:pos="510"/>
              </w:tabs>
              <w:spacing w:before="55" w:after="55"/>
            </w:pPr>
            <w:r w:rsidRPr="00181EF3">
              <w:t>3 (8.3)</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B42FFD8" w14:textId="77777777" w:rsidR="005A489F" w:rsidRPr="00181EF3" w:rsidRDefault="005A489F" w:rsidP="005A489F">
            <w:pPr>
              <w:pStyle w:val="TableText"/>
              <w:keepNext/>
              <w:spacing w:before="55" w:after="55"/>
              <w:jc w:val="center"/>
            </w:pPr>
            <w:r w:rsidRPr="00181EF3">
              <w:t>1 (2.8)</w:t>
            </w:r>
          </w:p>
        </w:tc>
        <w:tc>
          <w:tcPr>
            <w:tcW w:w="127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45DCB92" w14:textId="77777777" w:rsidR="005A489F" w:rsidRPr="00181EF3" w:rsidRDefault="005A489F" w:rsidP="005A489F">
            <w:pPr>
              <w:pStyle w:val="TableText"/>
              <w:keepNext/>
              <w:tabs>
                <w:tab w:val="decimal" w:pos="425"/>
              </w:tabs>
              <w:spacing w:before="55" w:after="55"/>
            </w:pPr>
            <w:r w:rsidRPr="00181EF3">
              <w:t>27 (75.0)</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D579287" w14:textId="77777777" w:rsidR="005A489F" w:rsidRPr="00181EF3" w:rsidRDefault="005A489F" w:rsidP="005A489F">
            <w:pPr>
              <w:pStyle w:val="TableText"/>
              <w:keepNext/>
              <w:tabs>
                <w:tab w:val="decimal" w:pos="425"/>
              </w:tabs>
              <w:spacing w:before="55" w:after="55"/>
            </w:pPr>
            <w:r w:rsidRPr="00181EF3">
              <w:t>5 (13.9)</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39D33DD" w14:textId="77777777" w:rsidR="005A489F" w:rsidRPr="00181EF3" w:rsidRDefault="005A489F" w:rsidP="005A489F">
            <w:pPr>
              <w:pStyle w:val="TableText"/>
              <w:keepNext/>
              <w:spacing w:before="55" w:after="55"/>
              <w:jc w:val="center"/>
            </w:pPr>
            <w:r w:rsidRPr="00181EF3">
              <w:t>36 (100.0)</w:t>
            </w:r>
          </w:p>
        </w:tc>
      </w:tr>
      <w:tr w:rsidR="005A489F" w:rsidRPr="00181EF3" w14:paraId="361737F3" w14:textId="77777777" w:rsidTr="005A489F">
        <w:trPr>
          <w:cantSplit/>
        </w:trPr>
        <w:tc>
          <w:tcPr>
            <w:tcW w:w="113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DA077B4" w14:textId="77777777" w:rsidR="005A489F" w:rsidRPr="00181EF3" w:rsidRDefault="005A489F" w:rsidP="005A489F">
            <w:pPr>
              <w:pStyle w:val="TableText"/>
              <w:keepNext/>
              <w:spacing w:before="55" w:after="55"/>
            </w:pPr>
            <w:r w:rsidRPr="00181EF3">
              <w:t>2004</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01D1ECA" w14:textId="77777777" w:rsidR="005A489F" w:rsidRPr="00181EF3" w:rsidRDefault="005A489F" w:rsidP="005A489F">
            <w:pPr>
              <w:pStyle w:val="TableText"/>
              <w:keepNext/>
              <w:tabs>
                <w:tab w:val="decimal" w:pos="510"/>
              </w:tabs>
              <w:spacing w:before="55" w:after="55"/>
            </w:pPr>
            <w:r w:rsidRPr="00181EF3">
              <w:t>2 (4.5)</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8330286" w14:textId="77777777" w:rsidR="005A489F" w:rsidRPr="00181EF3" w:rsidRDefault="005A489F" w:rsidP="005A489F">
            <w:pPr>
              <w:pStyle w:val="TableText"/>
              <w:keepNext/>
              <w:spacing w:before="55" w:after="55"/>
              <w:jc w:val="center"/>
            </w:pPr>
            <w:r w:rsidRPr="00181EF3">
              <w:t>1 (2.3)</w:t>
            </w:r>
          </w:p>
        </w:tc>
        <w:tc>
          <w:tcPr>
            <w:tcW w:w="127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7F4B20A" w14:textId="77777777" w:rsidR="005A489F" w:rsidRPr="00181EF3" w:rsidRDefault="005A489F" w:rsidP="005A489F">
            <w:pPr>
              <w:pStyle w:val="TableText"/>
              <w:keepNext/>
              <w:tabs>
                <w:tab w:val="decimal" w:pos="425"/>
              </w:tabs>
              <w:spacing w:before="55" w:after="55"/>
            </w:pPr>
            <w:r w:rsidRPr="00181EF3">
              <w:t>30 (68.2)</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15ED791" w14:textId="77777777" w:rsidR="005A489F" w:rsidRPr="00181EF3" w:rsidRDefault="005A489F" w:rsidP="005A489F">
            <w:pPr>
              <w:pStyle w:val="TableText"/>
              <w:keepNext/>
              <w:tabs>
                <w:tab w:val="decimal" w:pos="425"/>
              </w:tabs>
              <w:spacing w:before="55" w:after="55"/>
            </w:pPr>
            <w:r w:rsidRPr="00181EF3">
              <w:t>11 (25.0)</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E80966A" w14:textId="77777777" w:rsidR="005A489F" w:rsidRPr="00181EF3" w:rsidRDefault="005A489F" w:rsidP="005A489F">
            <w:pPr>
              <w:pStyle w:val="TableText"/>
              <w:keepNext/>
              <w:spacing w:before="55" w:after="55"/>
              <w:jc w:val="center"/>
            </w:pPr>
            <w:r w:rsidRPr="00181EF3">
              <w:t>44 (100.0)</w:t>
            </w:r>
          </w:p>
        </w:tc>
      </w:tr>
      <w:tr w:rsidR="005A489F" w:rsidRPr="00181EF3" w14:paraId="0063D02C" w14:textId="77777777" w:rsidTr="005A489F">
        <w:trPr>
          <w:cantSplit/>
        </w:trPr>
        <w:tc>
          <w:tcPr>
            <w:tcW w:w="113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3CA3E25" w14:textId="77777777" w:rsidR="005A489F" w:rsidRPr="00181EF3" w:rsidRDefault="005A489F" w:rsidP="005A489F">
            <w:pPr>
              <w:pStyle w:val="TableText"/>
              <w:keepNext/>
              <w:spacing w:before="55" w:after="55"/>
            </w:pPr>
            <w:r w:rsidRPr="00181EF3">
              <w:t>2005</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0BED540" w14:textId="77777777" w:rsidR="005A489F" w:rsidRPr="00181EF3" w:rsidRDefault="005A489F" w:rsidP="005A489F">
            <w:pPr>
              <w:pStyle w:val="TableText"/>
              <w:keepNext/>
              <w:tabs>
                <w:tab w:val="decimal" w:pos="510"/>
              </w:tabs>
              <w:spacing w:before="55" w:after="55"/>
            </w:pPr>
            <w:r w:rsidRPr="00181EF3">
              <w:t>4 (10.5)</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407E0D9" w14:textId="77777777" w:rsidR="005A489F" w:rsidRPr="00181EF3" w:rsidRDefault="005A489F" w:rsidP="005A489F">
            <w:pPr>
              <w:pStyle w:val="TableText"/>
              <w:keepNext/>
              <w:spacing w:before="55" w:after="55"/>
              <w:jc w:val="center"/>
            </w:pPr>
            <w:r w:rsidRPr="00181EF3">
              <w:t>0 (0.0)</w:t>
            </w:r>
          </w:p>
        </w:tc>
        <w:tc>
          <w:tcPr>
            <w:tcW w:w="127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D49D48D" w14:textId="77777777" w:rsidR="005A489F" w:rsidRPr="00181EF3" w:rsidRDefault="005A489F" w:rsidP="005A489F">
            <w:pPr>
              <w:pStyle w:val="TableText"/>
              <w:keepNext/>
              <w:tabs>
                <w:tab w:val="decimal" w:pos="425"/>
              </w:tabs>
              <w:spacing w:before="55" w:after="55"/>
            </w:pPr>
            <w:r w:rsidRPr="00181EF3">
              <w:t>27 (71.1)</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46BF865" w14:textId="77777777" w:rsidR="005A489F" w:rsidRPr="00181EF3" w:rsidRDefault="005A489F" w:rsidP="005A489F">
            <w:pPr>
              <w:pStyle w:val="TableText"/>
              <w:keepNext/>
              <w:tabs>
                <w:tab w:val="decimal" w:pos="425"/>
              </w:tabs>
              <w:spacing w:before="55" w:after="55"/>
            </w:pPr>
            <w:r w:rsidRPr="00181EF3">
              <w:t>7 (18.4)</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D2505FF" w14:textId="77777777" w:rsidR="005A489F" w:rsidRPr="00181EF3" w:rsidRDefault="005A489F" w:rsidP="005A489F">
            <w:pPr>
              <w:pStyle w:val="TableText"/>
              <w:keepNext/>
              <w:spacing w:before="55" w:after="55"/>
              <w:jc w:val="center"/>
            </w:pPr>
            <w:r w:rsidRPr="00181EF3">
              <w:t>38 (100.0)</w:t>
            </w:r>
          </w:p>
        </w:tc>
      </w:tr>
      <w:tr w:rsidR="005A489F" w:rsidRPr="00181EF3" w14:paraId="06A41820" w14:textId="77777777" w:rsidTr="005A489F">
        <w:trPr>
          <w:cantSplit/>
        </w:trPr>
        <w:tc>
          <w:tcPr>
            <w:tcW w:w="113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035D4DF" w14:textId="77777777" w:rsidR="005A489F" w:rsidRPr="00181EF3" w:rsidRDefault="005A489F" w:rsidP="005A489F">
            <w:pPr>
              <w:pStyle w:val="TableText"/>
              <w:keepNext/>
              <w:spacing w:before="55" w:after="55"/>
            </w:pPr>
            <w:r w:rsidRPr="00181EF3">
              <w:t>2006</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C341AEB" w14:textId="77777777" w:rsidR="005A489F" w:rsidRPr="00181EF3" w:rsidRDefault="005A489F" w:rsidP="005A489F">
            <w:pPr>
              <w:pStyle w:val="TableText"/>
              <w:keepNext/>
              <w:tabs>
                <w:tab w:val="decimal" w:pos="510"/>
              </w:tabs>
              <w:spacing w:before="55" w:after="55"/>
            </w:pPr>
            <w:r w:rsidRPr="00181EF3">
              <w:t>3 (8.3)</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5F9A282" w14:textId="77777777" w:rsidR="005A489F" w:rsidRPr="00181EF3" w:rsidRDefault="005A489F" w:rsidP="005A489F">
            <w:pPr>
              <w:pStyle w:val="TableText"/>
              <w:keepNext/>
              <w:spacing w:before="55" w:after="55"/>
              <w:jc w:val="center"/>
            </w:pPr>
            <w:r w:rsidRPr="00181EF3">
              <w:t>0 (0.0)</w:t>
            </w:r>
          </w:p>
        </w:tc>
        <w:tc>
          <w:tcPr>
            <w:tcW w:w="127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4DC5249" w14:textId="77777777" w:rsidR="005A489F" w:rsidRPr="00181EF3" w:rsidRDefault="005A489F" w:rsidP="005A489F">
            <w:pPr>
              <w:pStyle w:val="TableText"/>
              <w:keepNext/>
              <w:tabs>
                <w:tab w:val="decimal" w:pos="425"/>
              </w:tabs>
              <w:spacing w:before="55" w:after="55"/>
            </w:pPr>
            <w:r w:rsidRPr="00181EF3">
              <w:t>17 (60.7)</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34D7424" w14:textId="77777777" w:rsidR="005A489F" w:rsidRPr="00181EF3" w:rsidRDefault="005A489F" w:rsidP="005A489F">
            <w:pPr>
              <w:pStyle w:val="TableText"/>
              <w:keepNext/>
              <w:tabs>
                <w:tab w:val="decimal" w:pos="425"/>
              </w:tabs>
              <w:spacing w:before="55" w:after="55"/>
            </w:pPr>
            <w:r w:rsidRPr="00181EF3">
              <w:t>8 (28.6)</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D6D56B5" w14:textId="77777777" w:rsidR="005A489F" w:rsidRPr="00181EF3" w:rsidRDefault="005A489F" w:rsidP="005A489F">
            <w:pPr>
              <w:pStyle w:val="TableText"/>
              <w:keepNext/>
              <w:spacing w:before="55" w:after="55"/>
              <w:jc w:val="center"/>
            </w:pPr>
            <w:r w:rsidRPr="00181EF3">
              <w:t>28 (100.0)</w:t>
            </w:r>
          </w:p>
        </w:tc>
      </w:tr>
      <w:tr w:rsidR="005A489F" w:rsidRPr="00181EF3" w14:paraId="10D8F12D" w14:textId="77777777" w:rsidTr="005A489F">
        <w:trPr>
          <w:cantSplit/>
        </w:trPr>
        <w:tc>
          <w:tcPr>
            <w:tcW w:w="113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03E4A35" w14:textId="77777777" w:rsidR="005A489F" w:rsidRPr="00181EF3" w:rsidRDefault="005A489F" w:rsidP="005A489F">
            <w:pPr>
              <w:pStyle w:val="TableText"/>
              <w:keepNext/>
              <w:spacing w:before="55" w:after="55"/>
              <w:rPr>
                <w:bCs/>
              </w:rPr>
            </w:pPr>
            <w:r w:rsidRPr="00181EF3">
              <w:t>2007</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0B1B123" w14:textId="77777777" w:rsidR="005A489F" w:rsidRPr="00181EF3" w:rsidRDefault="005A489F" w:rsidP="005A489F">
            <w:pPr>
              <w:pStyle w:val="TableText"/>
              <w:keepNext/>
              <w:tabs>
                <w:tab w:val="decimal" w:pos="510"/>
              </w:tabs>
              <w:spacing w:before="55" w:after="55"/>
            </w:pPr>
            <w:r w:rsidRPr="00181EF3">
              <w:t>6 (21.4)</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BE57C68" w14:textId="77777777" w:rsidR="005A489F" w:rsidRPr="00181EF3" w:rsidRDefault="005A489F" w:rsidP="005A489F">
            <w:pPr>
              <w:pStyle w:val="TableText"/>
              <w:keepNext/>
              <w:spacing w:before="55" w:after="55"/>
              <w:jc w:val="center"/>
            </w:pPr>
            <w:r w:rsidRPr="00181EF3">
              <w:t>0 (0.0)</w:t>
            </w:r>
          </w:p>
        </w:tc>
        <w:tc>
          <w:tcPr>
            <w:tcW w:w="127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DE282D0" w14:textId="77777777" w:rsidR="005A489F" w:rsidRPr="00181EF3" w:rsidRDefault="005A489F" w:rsidP="005A489F">
            <w:pPr>
              <w:pStyle w:val="TableText"/>
              <w:keepNext/>
              <w:tabs>
                <w:tab w:val="decimal" w:pos="425"/>
              </w:tabs>
              <w:spacing w:before="55" w:after="55"/>
            </w:pPr>
            <w:r w:rsidRPr="00181EF3">
              <w:t>17 (60.7)</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5C14805" w14:textId="77777777" w:rsidR="005A489F" w:rsidRPr="00181EF3" w:rsidRDefault="005A489F" w:rsidP="005A489F">
            <w:pPr>
              <w:pStyle w:val="TableText"/>
              <w:keepNext/>
              <w:tabs>
                <w:tab w:val="decimal" w:pos="425"/>
              </w:tabs>
              <w:spacing w:before="55" w:after="55"/>
            </w:pPr>
            <w:r w:rsidRPr="00181EF3">
              <w:t>5 (17.9)</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2F4B537" w14:textId="77777777" w:rsidR="005A489F" w:rsidRPr="00181EF3" w:rsidRDefault="005A489F" w:rsidP="005A489F">
            <w:pPr>
              <w:pStyle w:val="TableText"/>
              <w:keepNext/>
              <w:spacing w:before="55" w:after="55"/>
              <w:jc w:val="center"/>
            </w:pPr>
            <w:r w:rsidRPr="00181EF3">
              <w:t>28 (100.0)</w:t>
            </w:r>
          </w:p>
        </w:tc>
      </w:tr>
      <w:tr w:rsidR="005A489F" w:rsidRPr="00181EF3" w14:paraId="09CAFB62" w14:textId="77777777" w:rsidTr="005A489F">
        <w:trPr>
          <w:cantSplit/>
        </w:trPr>
        <w:tc>
          <w:tcPr>
            <w:tcW w:w="113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DA8F7ED" w14:textId="77777777" w:rsidR="005A489F" w:rsidRPr="00181EF3" w:rsidRDefault="005A489F" w:rsidP="005A489F">
            <w:pPr>
              <w:pStyle w:val="TableText"/>
              <w:keepNext/>
              <w:spacing w:before="55" w:after="55"/>
              <w:rPr>
                <w:bCs/>
              </w:rPr>
            </w:pPr>
            <w:r w:rsidRPr="00181EF3">
              <w:t>2008</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63C423A" w14:textId="77777777" w:rsidR="005A489F" w:rsidRPr="00181EF3" w:rsidRDefault="005A489F" w:rsidP="005A489F">
            <w:pPr>
              <w:pStyle w:val="TableText"/>
              <w:keepNext/>
              <w:tabs>
                <w:tab w:val="decimal" w:pos="510"/>
              </w:tabs>
              <w:spacing w:before="55" w:after="55"/>
            </w:pPr>
            <w:r w:rsidRPr="00181EF3">
              <w:t>7 (18.4)</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0C559C0" w14:textId="77777777" w:rsidR="005A489F" w:rsidRPr="00181EF3" w:rsidRDefault="005A489F" w:rsidP="005A489F">
            <w:pPr>
              <w:pStyle w:val="TableText"/>
              <w:keepNext/>
              <w:spacing w:before="55" w:after="55"/>
              <w:jc w:val="center"/>
            </w:pPr>
            <w:r w:rsidRPr="00181EF3">
              <w:t>0 (0.0)</w:t>
            </w:r>
          </w:p>
        </w:tc>
        <w:tc>
          <w:tcPr>
            <w:tcW w:w="127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E10FACF" w14:textId="77777777" w:rsidR="005A489F" w:rsidRPr="00181EF3" w:rsidRDefault="005A489F" w:rsidP="005A489F">
            <w:pPr>
              <w:pStyle w:val="TableText"/>
              <w:keepNext/>
              <w:tabs>
                <w:tab w:val="decimal" w:pos="425"/>
              </w:tabs>
              <w:spacing w:before="55" w:after="55"/>
            </w:pPr>
            <w:r w:rsidRPr="00181EF3">
              <w:t>26 (68.4)</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C72ABCB" w14:textId="77777777" w:rsidR="005A489F" w:rsidRPr="00181EF3" w:rsidRDefault="005A489F" w:rsidP="005A489F">
            <w:pPr>
              <w:pStyle w:val="TableText"/>
              <w:keepNext/>
              <w:tabs>
                <w:tab w:val="decimal" w:pos="425"/>
              </w:tabs>
              <w:spacing w:before="55" w:after="55"/>
            </w:pPr>
            <w:r w:rsidRPr="00181EF3">
              <w:t>5 (13.2)</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635675B" w14:textId="77777777" w:rsidR="005A489F" w:rsidRPr="00181EF3" w:rsidRDefault="005A489F" w:rsidP="005A489F">
            <w:pPr>
              <w:pStyle w:val="TableText"/>
              <w:keepNext/>
              <w:spacing w:before="55" w:after="55"/>
              <w:jc w:val="center"/>
            </w:pPr>
            <w:r w:rsidRPr="00181EF3">
              <w:t>38 (100.0)</w:t>
            </w:r>
          </w:p>
        </w:tc>
      </w:tr>
      <w:tr w:rsidR="005A489F" w:rsidRPr="00181EF3" w14:paraId="4A168D19" w14:textId="77777777" w:rsidTr="005A489F">
        <w:trPr>
          <w:cantSplit/>
        </w:trPr>
        <w:tc>
          <w:tcPr>
            <w:tcW w:w="113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B1A929A" w14:textId="77777777" w:rsidR="005A489F" w:rsidRPr="00181EF3" w:rsidRDefault="005A489F" w:rsidP="005A489F">
            <w:pPr>
              <w:pStyle w:val="TableText"/>
              <w:keepNext/>
              <w:spacing w:before="55" w:after="55"/>
              <w:rPr>
                <w:bCs/>
              </w:rPr>
            </w:pPr>
            <w:r w:rsidRPr="00181EF3">
              <w:t>2009</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576FA08" w14:textId="77777777" w:rsidR="005A489F" w:rsidRPr="00181EF3" w:rsidRDefault="005A489F" w:rsidP="005A489F">
            <w:pPr>
              <w:pStyle w:val="TableText"/>
              <w:keepNext/>
              <w:tabs>
                <w:tab w:val="decimal" w:pos="510"/>
              </w:tabs>
              <w:spacing w:before="55" w:after="55"/>
            </w:pPr>
            <w:r w:rsidRPr="00181EF3">
              <w:t>2 (8.7)</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062E7D0" w14:textId="77777777" w:rsidR="005A489F" w:rsidRPr="00181EF3" w:rsidRDefault="005A489F" w:rsidP="005A489F">
            <w:pPr>
              <w:pStyle w:val="TableText"/>
              <w:keepNext/>
              <w:spacing w:before="55" w:after="55"/>
              <w:jc w:val="center"/>
            </w:pPr>
            <w:r w:rsidRPr="00181EF3">
              <w:t>1 (4.3)</w:t>
            </w:r>
          </w:p>
        </w:tc>
        <w:tc>
          <w:tcPr>
            <w:tcW w:w="127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D63E768" w14:textId="77777777" w:rsidR="005A489F" w:rsidRPr="00181EF3" w:rsidRDefault="005A489F" w:rsidP="005A489F">
            <w:pPr>
              <w:pStyle w:val="TableText"/>
              <w:keepNext/>
              <w:tabs>
                <w:tab w:val="decimal" w:pos="425"/>
              </w:tabs>
              <w:spacing w:before="55" w:after="55"/>
            </w:pPr>
            <w:r w:rsidRPr="00181EF3">
              <w:t>15 (65.2)</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CB1809B" w14:textId="77777777" w:rsidR="005A489F" w:rsidRPr="00181EF3" w:rsidRDefault="005A489F" w:rsidP="005A489F">
            <w:pPr>
              <w:pStyle w:val="TableText"/>
              <w:keepNext/>
              <w:tabs>
                <w:tab w:val="decimal" w:pos="425"/>
              </w:tabs>
              <w:spacing w:before="55" w:after="55"/>
            </w:pPr>
            <w:r w:rsidRPr="00181EF3">
              <w:t>5 (21.7)</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09FB604" w14:textId="77777777" w:rsidR="005A489F" w:rsidRPr="00181EF3" w:rsidRDefault="005A489F" w:rsidP="005A489F">
            <w:pPr>
              <w:pStyle w:val="TableText"/>
              <w:keepNext/>
              <w:spacing w:before="55" w:after="55"/>
              <w:jc w:val="center"/>
            </w:pPr>
            <w:r w:rsidRPr="00181EF3">
              <w:t>23 (100.0)</w:t>
            </w:r>
          </w:p>
        </w:tc>
      </w:tr>
      <w:tr w:rsidR="005A489F" w:rsidRPr="00181EF3" w14:paraId="0FF8D3E8" w14:textId="77777777" w:rsidTr="005A489F">
        <w:trPr>
          <w:cantSplit/>
        </w:trPr>
        <w:tc>
          <w:tcPr>
            <w:tcW w:w="113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E2FC329" w14:textId="77777777" w:rsidR="005A489F" w:rsidRPr="00181EF3" w:rsidRDefault="005A489F" w:rsidP="005A489F">
            <w:pPr>
              <w:pStyle w:val="TableText"/>
              <w:keepNext/>
              <w:spacing w:before="55" w:after="55"/>
              <w:rPr>
                <w:bCs/>
              </w:rPr>
            </w:pPr>
            <w:r w:rsidRPr="00181EF3">
              <w:t>2010</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95ED5E2" w14:textId="77777777" w:rsidR="005A489F" w:rsidRPr="00181EF3" w:rsidRDefault="005A489F" w:rsidP="005A489F">
            <w:pPr>
              <w:pStyle w:val="TableText"/>
              <w:keepNext/>
              <w:tabs>
                <w:tab w:val="decimal" w:pos="510"/>
              </w:tabs>
              <w:spacing w:before="55" w:after="55"/>
            </w:pPr>
            <w:r w:rsidRPr="00181EF3">
              <w:t>8 (24.2)</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6401EB5" w14:textId="77777777" w:rsidR="005A489F" w:rsidRPr="00181EF3" w:rsidRDefault="005A489F" w:rsidP="005A489F">
            <w:pPr>
              <w:pStyle w:val="TableText"/>
              <w:keepNext/>
              <w:spacing w:before="55" w:after="55"/>
              <w:jc w:val="center"/>
            </w:pPr>
            <w:r w:rsidRPr="00181EF3">
              <w:t>0 (0.0)</w:t>
            </w:r>
          </w:p>
        </w:tc>
        <w:tc>
          <w:tcPr>
            <w:tcW w:w="127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4E6FD44" w14:textId="77777777" w:rsidR="005A489F" w:rsidRPr="00181EF3" w:rsidRDefault="005A489F" w:rsidP="005A489F">
            <w:pPr>
              <w:pStyle w:val="TableText"/>
              <w:keepNext/>
              <w:tabs>
                <w:tab w:val="decimal" w:pos="425"/>
              </w:tabs>
              <w:spacing w:before="55" w:after="55"/>
            </w:pPr>
            <w:r w:rsidRPr="00181EF3">
              <w:t>21 (63.6)</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C8EE8C0" w14:textId="77777777" w:rsidR="005A489F" w:rsidRPr="00181EF3" w:rsidRDefault="005A489F" w:rsidP="005A489F">
            <w:pPr>
              <w:pStyle w:val="TableText"/>
              <w:keepNext/>
              <w:tabs>
                <w:tab w:val="decimal" w:pos="425"/>
              </w:tabs>
              <w:spacing w:before="55" w:after="55"/>
            </w:pPr>
            <w:r w:rsidRPr="00181EF3">
              <w:t>4 (12.1)</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183FFCB" w14:textId="77777777" w:rsidR="005A489F" w:rsidRPr="00181EF3" w:rsidRDefault="005A489F" w:rsidP="005A489F">
            <w:pPr>
              <w:pStyle w:val="TableText"/>
              <w:keepNext/>
              <w:spacing w:before="55" w:after="55"/>
              <w:jc w:val="center"/>
            </w:pPr>
            <w:r w:rsidRPr="00181EF3">
              <w:t>33 (100.0)</w:t>
            </w:r>
          </w:p>
        </w:tc>
      </w:tr>
      <w:tr w:rsidR="005A489F" w:rsidRPr="00181EF3" w14:paraId="5D3B1CEF" w14:textId="77777777" w:rsidTr="005A489F">
        <w:trPr>
          <w:cantSplit/>
        </w:trPr>
        <w:tc>
          <w:tcPr>
            <w:tcW w:w="113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7E637DB" w14:textId="77777777" w:rsidR="005A489F" w:rsidRPr="00181EF3" w:rsidRDefault="005A489F" w:rsidP="005A489F">
            <w:pPr>
              <w:pStyle w:val="TableText"/>
              <w:keepNext/>
              <w:spacing w:before="55" w:after="55"/>
              <w:rPr>
                <w:bCs/>
              </w:rPr>
            </w:pPr>
            <w:r w:rsidRPr="00181EF3">
              <w:t>2011</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5F9BED3" w14:textId="77777777" w:rsidR="005A489F" w:rsidRPr="00181EF3" w:rsidRDefault="005A489F" w:rsidP="005A489F">
            <w:pPr>
              <w:pStyle w:val="TableText"/>
              <w:keepNext/>
              <w:tabs>
                <w:tab w:val="decimal" w:pos="510"/>
              </w:tabs>
              <w:spacing w:before="55" w:after="55"/>
            </w:pPr>
            <w:r w:rsidRPr="00181EF3">
              <w:t>3 (13.6)</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91A7E91" w14:textId="77777777" w:rsidR="005A489F" w:rsidRPr="00181EF3" w:rsidRDefault="005A489F" w:rsidP="005A489F">
            <w:pPr>
              <w:pStyle w:val="TableText"/>
              <w:keepNext/>
              <w:spacing w:before="55" w:after="55"/>
              <w:jc w:val="center"/>
            </w:pPr>
            <w:r w:rsidRPr="00181EF3">
              <w:t>1 (4.5)</w:t>
            </w:r>
          </w:p>
        </w:tc>
        <w:tc>
          <w:tcPr>
            <w:tcW w:w="127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8765952" w14:textId="77777777" w:rsidR="005A489F" w:rsidRPr="00181EF3" w:rsidRDefault="005A489F" w:rsidP="005A489F">
            <w:pPr>
              <w:pStyle w:val="TableText"/>
              <w:keepNext/>
              <w:tabs>
                <w:tab w:val="decimal" w:pos="425"/>
              </w:tabs>
              <w:spacing w:before="55" w:after="55"/>
            </w:pPr>
            <w:r w:rsidRPr="00181EF3">
              <w:t>16 (72.7)</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F4D4DB3" w14:textId="77777777" w:rsidR="005A489F" w:rsidRPr="00181EF3" w:rsidRDefault="005A489F" w:rsidP="005A489F">
            <w:pPr>
              <w:pStyle w:val="TableText"/>
              <w:keepNext/>
              <w:tabs>
                <w:tab w:val="decimal" w:pos="425"/>
              </w:tabs>
              <w:spacing w:before="55" w:after="55"/>
            </w:pPr>
            <w:r w:rsidRPr="00181EF3">
              <w:t>2 (9.1)</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3AA7444" w14:textId="77777777" w:rsidR="005A489F" w:rsidRPr="00181EF3" w:rsidRDefault="005A489F" w:rsidP="005A489F">
            <w:pPr>
              <w:pStyle w:val="TableText"/>
              <w:keepNext/>
              <w:spacing w:before="55" w:after="55"/>
              <w:jc w:val="center"/>
            </w:pPr>
            <w:r w:rsidRPr="00181EF3">
              <w:t>22 (100.0)</w:t>
            </w:r>
          </w:p>
        </w:tc>
      </w:tr>
      <w:tr w:rsidR="005A489F" w:rsidRPr="00181EF3" w14:paraId="67907714" w14:textId="77777777" w:rsidTr="005A489F">
        <w:trPr>
          <w:cantSplit/>
        </w:trPr>
        <w:tc>
          <w:tcPr>
            <w:tcW w:w="113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FD1DA8F" w14:textId="77777777" w:rsidR="005A489F" w:rsidRPr="00181EF3" w:rsidRDefault="005A489F" w:rsidP="005A489F">
            <w:pPr>
              <w:pStyle w:val="TableText"/>
              <w:keepNext/>
              <w:spacing w:before="55" w:after="55"/>
              <w:rPr>
                <w:bCs/>
              </w:rPr>
            </w:pPr>
            <w:r w:rsidRPr="00181EF3">
              <w:t>2012</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0BA82B4" w14:textId="77777777" w:rsidR="005A489F" w:rsidRPr="00181EF3" w:rsidRDefault="005A489F" w:rsidP="005A489F">
            <w:pPr>
              <w:pStyle w:val="TableText"/>
              <w:keepNext/>
              <w:tabs>
                <w:tab w:val="decimal" w:pos="510"/>
              </w:tabs>
              <w:spacing w:before="55" w:after="55"/>
            </w:pPr>
            <w:r w:rsidRPr="00181EF3">
              <w:t>2 (25.0)</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E351CAA" w14:textId="77777777" w:rsidR="005A489F" w:rsidRPr="00181EF3" w:rsidRDefault="005A489F" w:rsidP="005A489F">
            <w:pPr>
              <w:pStyle w:val="TableText"/>
              <w:keepNext/>
              <w:spacing w:before="55" w:after="55"/>
              <w:jc w:val="center"/>
            </w:pPr>
            <w:r w:rsidRPr="00181EF3">
              <w:t>2 (9.5)</w:t>
            </w:r>
          </w:p>
        </w:tc>
        <w:tc>
          <w:tcPr>
            <w:tcW w:w="127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699878B" w14:textId="77777777" w:rsidR="005A489F" w:rsidRPr="00181EF3" w:rsidRDefault="005A489F" w:rsidP="005A489F">
            <w:pPr>
              <w:pStyle w:val="TableText"/>
              <w:keepNext/>
              <w:tabs>
                <w:tab w:val="decimal" w:pos="425"/>
              </w:tabs>
              <w:spacing w:before="55" w:after="55"/>
            </w:pPr>
            <w:r w:rsidRPr="00181EF3">
              <w:t>12 (57.1)</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AF1948C" w14:textId="77777777" w:rsidR="005A489F" w:rsidRPr="00181EF3" w:rsidRDefault="005A489F" w:rsidP="005A489F">
            <w:pPr>
              <w:pStyle w:val="TableText"/>
              <w:keepNext/>
              <w:tabs>
                <w:tab w:val="decimal" w:pos="425"/>
              </w:tabs>
              <w:spacing w:before="55" w:after="55"/>
            </w:pPr>
            <w:r w:rsidRPr="00181EF3">
              <w:t>5 (23.8)</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0DC896A" w14:textId="77777777" w:rsidR="005A489F" w:rsidRPr="00181EF3" w:rsidRDefault="005A489F" w:rsidP="005A489F">
            <w:pPr>
              <w:pStyle w:val="TableText"/>
              <w:keepNext/>
              <w:spacing w:before="55" w:after="55"/>
              <w:jc w:val="center"/>
            </w:pPr>
            <w:r w:rsidRPr="00181EF3">
              <w:t>21 (100.0)</w:t>
            </w:r>
          </w:p>
        </w:tc>
      </w:tr>
      <w:tr w:rsidR="005A489F" w:rsidRPr="00181EF3" w14:paraId="32D4961D" w14:textId="77777777" w:rsidTr="005A489F">
        <w:trPr>
          <w:cantSplit/>
        </w:trPr>
        <w:tc>
          <w:tcPr>
            <w:tcW w:w="113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C3536B9" w14:textId="77777777" w:rsidR="005A489F" w:rsidRPr="00181EF3" w:rsidRDefault="005A489F" w:rsidP="005A489F">
            <w:pPr>
              <w:pStyle w:val="TableText"/>
              <w:keepNext/>
              <w:spacing w:before="55" w:after="55"/>
              <w:rPr>
                <w:bCs/>
              </w:rPr>
            </w:pPr>
            <w:r w:rsidRPr="00181EF3">
              <w:t>2013</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08125BC" w14:textId="77777777" w:rsidR="005A489F" w:rsidRPr="00181EF3" w:rsidRDefault="005A489F" w:rsidP="005A489F">
            <w:pPr>
              <w:pStyle w:val="TableText"/>
              <w:keepNext/>
              <w:tabs>
                <w:tab w:val="decimal" w:pos="510"/>
              </w:tabs>
              <w:spacing w:before="55" w:after="55"/>
            </w:pPr>
            <w:r w:rsidRPr="00181EF3">
              <w:t>4 (20.0)</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5915E8F" w14:textId="77777777" w:rsidR="005A489F" w:rsidRPr="00181EF3" w:rsidRDefault="005A489F" w:rsidP="005A489F">
            <w:pPr>
              <w:pStyle w:val="TableText"/>
              <w:keepNext/>
              <w:spacing w:before="55" w:after="55"/>
              <w:jc w:val="center"/>
            </w:pPr>
            <w:r w:rsidRPr="00181EF3">
              <w:t>0 (0.0)</w:t>
            </w:r>
          </w:p>
        </w:tc>
        <w:tc>
          <w:tcPr>
            <w:tcW w:w="127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4E575CD" w14:textId="77777777" w:rsidR="005A489F" w:rsidRPr="00181EF3" w:rsidRDefault="005A489F" w:rsidP="005A489F">
            <w:pPr>
              <w:pStyle w:val="TableText"/>
              <w:keepNext/>
              <w:tabs>
                <w:tab w:val="decimal" w:pos="425"/>
              </w:tabs>
              <w:spacing w:before="55" w:after="55"/>
            </w:pPr>
            <w:r w:rsidRPr="00181EF3">
              <w:t>13 (65.0)</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1E54238" w14:textId="77777777" w:rsidR="005A489F" w:rsidRPr="00181EF3" w:rsidRDefault="005A489F" w:rsidP="005A489F">
            <w:pPr>
              <w:pStyle w:val="TableText"/>
              <w:keepNext/>
              <w:tabs>
                <w:tab w:val="decimal" w:pos="425"/>
              </w:tabs>
              <w:spacing w:before="55" w:after="55"/>
            </w:pPr>
            <w:r w:rsidRPr="00181EF3">
              <w:t>3 (15.0)</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32A24D9" w14:textId="77777777" w:rsidR="005A489F" w:rsidRPr="00181EF3" w:rsidRDefault="005A489F" w:rsidP="005A489F">
            <w:pPr>
              <w:pStyle w:val="TableText"/>
              <w:keepNext/>
              <w:spacing w:before="55" w:after="55"/>
              <w:jc w:val="center"/>
            </w:pPr>
            <w:r w:rsidRPr="00181EF3">
              <w:t>20 (100.0)</w:t>
            </w:r>
          </w:p>
        </w:tc>
      </w:tr>
      <w:tr w:rsidR="005A489F" w:rsidRPr="00181EF3" w14:paraId="26B72A25" w14:textId="77777777" w:rsidTr="005A489F">
        <w:trPr>
          <w:cantSplit/>
        </w:trPr>
        <w:tc>
          <w:tcPr>
            <w:tcW w:w="113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08FA4FD" w14:textId="77777777" w:rsidR="005A489F" w:rsidRPr="00181EF3" w:rsidRDefault="005A489F" w:rsidP="005A489F">
            <w:pPr>
              <w:pStyle w:val="TableText"/>
              <w:keepNext/>
              <w:spacing w:before="55" w:after="55"/>
              <w:rPr>
                <w:bCs/>
              </w:rPr>
            </w:pPr>
            <w:r w:rsidRPr="00181EF3">
              <w:t>2014</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1B93834" w14:textId="77777777" w:rsidR="005A489F" w:rsidRPr="00181EF3" w:rsidRDefault="005A489F" w:rsidP="005A489F">
            <w:pPr>
              <w:pStyle w:val="TableText"/>
              <w:keepNext/>
              <w:tabs>
                <w:tab w:val="decimal" w:pos="510"/>
              </w:tabs>
              <w:spacing w:before="55" w:after="55"/>
            </w:pPr>
            <w:r w:rsidRPr="00181EF3">
              <w:t>3 (25.0)</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9AE08DD" w14:textId="77777777" w:rsidR="005A489F" w:rsidRPr="00181EF3" w:rsidRDefault="005A489F" w:rsidP="005A489F">
            <w:pPr>
              <w:pStyle w:val="TableText"/>
              <w:keepNext/>
              <w:spacing w:before="55" w:after="55"/>
              <w:jc w:val="center"/>
            </w:pPr>
            <w:r w:rsidRPr="00181EF3">
              <w:t>1 (8.3)</w:t>
            </w:r>
          </w:p>
        </w:tc>
        <w:tc>
          <w:tcPr>
            <w:tcW w:w="127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4970EA8" w14:textId="77777777" w:rsidR="005A489F" w:rsidRPr="00181EF3" w:rsidRDefault="005A489F" w:rsidP="005A489F">
            <w:pPr>
              <w:pStyle w:val="TableText"/>
              <w:keepNext/>
              <w:tabs>
                <w:tab w:val="decimal" w:pos="425"/>
              </w:tabs>
              <w:spacing w:before="55" w:after="55"/>
            </w:pPr>
            <w:r w:rsidRPr="00181EF3">
              <w:t>6 (50.0)</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21A0CFC" w14:textId="77777777" w:rsidR="005A489F" w:rsidRPr="00181EF3" w:rsidRDefault="005A489F" w:rsidP="005A489F">
            <w:pPr>
              <w:pStyle w:val="TableText"/>
              <w:keepNext/>
              <w:tabs>
                <w:tab w:val="decimal" w:pos="425"/>
              </w:tabs>
              <w:spacing w:before="55" w:after="55"/>
            </w:pPr>
            <w:r w:rsidRPr="00181EF3">
              <w:t>2 (16.7)</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C71041A" w14:textId="77777777" w:rsidR="005A489F" w:rsidRPr="00181EF3" w:rsidRDefault="005A489F" w:rsidP="005A489F">
            <w:pPr>
              <w:pStyle w:val="TableText"/>
              <w:keepNext/>
              <w:spacing w:before="55" w:after="55"/>
              <w:jc w:val="center"/>
            </w:pPr>
            <w:r w:rsidRPr="00181EF3">
              <w:t>12 (100.0)</w:t>
            </w:r>
          </w:p>
        </w:tc>
      </w:tr>
      <w:tr w:rsidR="005A489F" w:rsidRPr="00181EF3" w14:paraId="1FD280C7" w14:textId="77777777" w:rsidTr="005A489F">
        <w:trPr>
          <w:cantSplit/>
        </w:trPr>
        <w:tc>
          <w:tcPr>
            <w:tcW w:w="113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BD898F8" w14:textId="77777777" w:rsidR="005A489F" w:rsidRPr="00181EF3" w:rsidRDefault="005A489F" w:rsidP="005A489F">
            <w:pPr>
              <w:pStyle w:val="TableText"/>
              <w:keepNext/>
              <w:spacing w:before="55" w:after="55"/>
              <w:rPr>
                <w:bCs/>
              </w:rPr>
            </w:pPr>
            <w:r w:rsidRPr="00181EF3">
              <w:t>2015</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F713F88" w14:textId="77777777" w:rsidR="005A489F" w:rsidRPr="00181EF3" w:rsidRDefault="005A489F" w:rsidP="005A489F">
            <w:pPr>
              <w:pStyle w:val="TableText"/>
              <w:keepNext/>
              <w:tabs>
                <w:tab w:val="decimal" w:pos="510"/>
              </w:tabs>
              <w:spacing w:before="55" w:after="55"/>
            </w:pPr>
            <w:r w:rsidRPr="00181EF3">
              <w:t>2 (18.2)</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69F0B4A" w14:textId="77777777" w:rsidR="005A489F" w:rsidRPr="00181EF3" w:rsidRDefault="005A489F" w:rsidP="005A489F">
            <w:pPr>
              <w:pStyle w:val="TableText"/>
              <w:keepNext/>
              <w:spacing w:before="55" w:after="55"/>
              <w:jc w:val="center"/>
            </w:pPr>
            <w:r w:rsidRPr="00181EF3">
              <w:t>0 (0.0)</w:t>
            </w:r>
          </w:p>
        </w:tc>
        <w:tc>
          <w:tcPr>
            <w:tcW w:w="127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E80E948" w14:textId="77777777" w:rsidR="005A489F" w:rsidRPr="00181EF3" w:rsidRDefault="005A489F" w:rsidP="005A489F">
            <w:pPr>
              <w:pStyle w:val="TableText"/>
              <w:keepNext/>
              <w:tabs>
                <w:tab w:val="decimal" w:pos="425"/>
              </w:tabs>
              <w:spacing w:before="55" w:after="55"/>
            </w:pPr>
            <w:r w:rsidRPr="00181EF3">
              <w:t>9 (81.8)</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2822901" w14:textId="77777777" w:rsidR="005A489F" w:rsidRPr="00181EF3" w:rsidRDefault="005A489F" w:rsidP="005A489F">
            <w:pPr>
              <w:pStyle w:val="TableText"/>
              <w:keepNext/>
              <w:tabs>
                <w:tab w:val="decimal" w:pos="425"/>
              </w:tabs>
              <w:spacing w:before="55" w:after="55"/>
            </w:pPr>
            <w:r w:rsidRPr="00181EF3">
              <w:t>0 (0.0)</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66BC787" w14:textId="77777777" w:rsidR="005A489F" w:rsidRPr="00181EF3" w:rsidRDefault="005A489F" w:rsidP="005A489F">
            <w:pPr>
              <w:pStyle w:val="TableText"/>
              <w:keepNext/>
              <w:spacing w:before="55" w:after="55"/>
              <w:jc w:val="center"/>
            </w:pPr>
            <w:r w:rsidRPr="00181EF3">
              <w:t>11 (100.0)</w:t>
            </w:r>
          </w:p>
        </w:tc>
      </w:tr>
      <w:tr w:rsidR="005A489F" w:rsidRPr="00181EF3" w14:paraId="32D3D27F" w14:textId="77777777" w:rsidTr="005A489F">
        <w:trPr>
          <w:cantSplit/>
        </w:trPr>
        <w:tc>
          <w:tcPr>
            <w:tcW w:w="113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9A31A26" w14:textId="77777777" w:rsidR="005A489F" w:rsidRPr="00181EF3" w:rsidRDefault="005A489F" w:rsidP="005A489F">
            <w:pPr>
              <w:pStyle w:val="TableText"/>
              <w:keepNext/>
              <w:spacing w:before="55" w:after="55"/>
              <w:rPr>
                <w:bCs/>
              </w:rPr>
            </w:pPr>
            <w:r w:rsidRPr="00181EF3">
              <w:t>2016</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12F0510" w14:textId="77777777" w:rsidR="005A489F" w:rsidRPr="00181EF3" w:rsidRDefault="005A489F" w:rsidP="005A489F">
            <w:pPr>
              <w:pStyle w:val="TableText"/>
              <w:keepNext/>
              <w:tabs>
                <w:tab w:val="decimal" w:pos="510"/>
              </w:tabs>
              <w:spacing w:before="55" w:after="55"/>
            </w:pPr>
            <w:r w:rsidRPr="00181EF3">
              <w:t>3 (14.3)</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3E207CF" w14:textId="77777777" w:rsidR="005A489F" w:rsidRPr="00181EF3" w:rsidRDefault="005A489F" w:rsidP="005A489F">
            <w:pPr>
              <w:pStyle w:val="TableText"/>
              <w:keepNext/>
              <w:spacing w:before="55" w:after="55"/>
              <w:jc w:val="center"/>
            </w:pPr>
            <w:r w:rsidRPr="00181EF3">
              <w:t>1 (4.8)</w:t>
            </w:r>
          </w:p>
        </w:tc>
        <w:tc>
          <w:tcPr>
            <w:tcW w:w="127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152779A" w14:textId="77777777" w:rsidR="005A489F" w:rsidRPr="00181EF3" w:rsidRDefault="005A489F" w:rsidP="005A489F">
            <w:pPr>
              <w:pStyle w:val="TableText"/>
              <w:keepNext/>
              <w:tabs>
                <w:tab w:val="decimal" w:pos="425"/>
              </w:tabs>
              <w:spacing w:before="55" w:after="55"/>
            </w:pPr>
            <w:r w:rsidRPr="00181EF3">
              <w:t>14 (66.7)</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3C31BE6" w14:textId="77777777" w:rsidR="005A489F" w:rsidRPr="00181EF3" w:rsidRDefault="005A489F" w:rsidP="005A489F">
            <w:pPr>
              <w:pStyle w:val="TableText"/>
              <w:keepNext/>
              <w:tabs>
                <w:tab w:val="decimal" w:pos="425"/>
              </w:tabs>
              <w:spacing w:before="55" w:after="55"/>
            </w:pPr>
            <w:r w:rsidRPr="00181EF3">
              <w:t>3 (14.3)</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F120EF0" w14:textId="77777777" w:rsidR="005A489F" w:rsidRPr="00181EF3" w:rsidRDefault="005A489F" w:rsidP="005A489F">
            <w:pPr>
              <w:pStyle w:val="TableText"/>
              <w:keepNext/>
              <w:spacing w:before="55" w:after="55"/>
              <w:jc w:val="center"/>
            </w:pPr>
            <w:r w:rsidRPr="00181EF3">
              <w:t>21 (100.0)</w:t>
            </w:r>
          </w:p>
        </w:tc>
      </w:tr>
      <w:tr w:rsidR="005A489F" w:rsidRPr="00181EF3" w14:paraId="29DA634D" w14:textId="77777777" w:rsidTr="005A489F">
        <w:trPr>
          <w:cantSplit/>
        </w:trPr>
        <w:tc>
          <w:tcPr>
            <w:tcW w:w="113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33F2CA7" w14:textId="77777777" w:rsidR="005A489F" w:rsidRPr="00181EF3" w:rsidRDefault="005A489F" w:rsidP="005A489F">
            <w:pPr>
              <w:pStyle w:val="TableText"/>
              <w:keepNext/>
              <w:spacing w:before="55" w:after="55"/>
              <w:rPr>
                <w:bCs/>
              </w:rPr>
            </w:pPr>
            <w:r w:rsidRPr="00181EF3">
              <w:t>2017</w:t>
            </w:r>
          </w:p>
        </w:tc>
        <w:tc>
          <w:tcPr>
            <w:tcW w:w="127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29A0C654" w14:textId="77777777" w:rsidR="005A489F" w:rsidRPr="00181EF3" w:rsidRDefault="005A489F" w:rsidP="005A489F">
            <w:pPr>
              <w:pStyle w:val="TableText"/>
              <w:keepNext/>
              <w:tabs>
                <w:tab w:val="decimal" w:pos="510"/>
              </w:tabs>
              <w:spacing w:before="55" w:after="55"/>
            </w:pPr>
            <w:r w:rsidRPr="00181EF3">
              <w:t>1 (9.1)</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7E55F2F" w14:textId="77777777" w:rsidR="005A489F" w:rsidRPr="00181EF3" w:rsidRDefault="005A489F" w:rsidP="005A489F">
            <w:pPr>
              <w:pStyle w:val="TableText"/>
              <w:keepNext/>
              <w:spacing w:before="55" w:after="55"/>
              <w:jc w:val="center"/>
            </w:pPr>
            <w:r w:rsidRPr="00181EF3">
              <w:t>0 (0.0)</w:t>
            </w:r>
          </w:p>
        </w:tc>
        <w:tc>
          <w:tcPr>
            <w:tcW w:w="1275"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581504F" w14:textId="77777777" w:rsidR="005A489F" w:rsidRPr="00181EF3" w:rsidRDefault="005A489F" w:rsidP="005A489F">
            <w:pPr>
              <w:pStyle w:val="TableText"/>
              <w:keepNext/>
              <w:tabs>
                <w:tab w:val="decimal" w:pos="425"/>
              </w:tabs>
              <w:spacing w:before="55" w:after="55"/>
            </w:pPr>
            <w:r w:rsidRPr="00181EF3">
              <w:t>9 (81.8)</w:t>
            </w:r>
          </w:p>
        </w:tc>
        <w:tc>
          <w:tcPr>
            <w:tcW w:w="1276"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CF2D66A" w14:textId="77777777" w:rsidR="005A489F" w:rsidRPr="00181EF3" w:rsidRDefault="005A489F" w:rsidP="005A489F">
            <w:pPr>
              <w:pStyle w:val="TableText"/>
              <w:keepNext/>
              <w:tabs>
                <w:tab w:val="decimal" w:pos="425"/>
              </w:tabs>
              <w:spacing w:before="55" w:after="55"/>
            </w:pPr>
            <w:r w:rsidRPr="00181EF3">
              <w:t>1 (9.1)</w:t>
            </w:r>
          </w:p>
        </w:tc>
        <w:tc>
          <w:tcPr>
            <w:tcW w:w="1701"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B189A0A" w14:textId="77777777" w:rsidR="005A489F" w:rsidRPr="00181EF3" w:rsidRDefault="005A489F" w:rsidP="005A489F">
            <w:pPr>
              <w:pStyle w:val="TableText"/>
              <w:keepNext/>
              <w:spacing w:before="55" w:after="55"/>
              <w:jc w:val="center"/>
            </w:pPr>
            <w:r w:rsidRPr="00181EF3">
              <w:t>11 (100.0)</w:t>
            </w:r>
          </w:p>
        </w:tc>
      </w:tr>
    </w:tbl>
    <w:p w14:paraId="1968EA84" w14:textId="77777777" w:rsidR="008A5642" w:rsidRDefault="005A489F" w:rsidP="005A489F">
      <w:pPr>
        <w:pStyle w:val="Note"/>
      </w:pPr>
      <w:r w:rsidRPr="00181EF3">
        <w:t>Notes:</w:t>
      </w:r>
    </w:p>
    <w:p w14:paraId="3A204994" w14:textId="5BFD245D" w:rsidR="005A489F" w:rsidRPr="00181EF3" w:rsidRDefault="005A489F" w:rsidP="00B6364B">
      <w:pPr>
        <w:pStyle w:val="Note"/>
        <w:ind w:left="0" w:firstLine="0"/>
      </w:pPr>
      <w:r w:rsidRPr="00181EF3">
        <w:t>Interpretation: X (Y) where X is the number of people (count) and (Y) is the percentage (%) of people diagnosed with AIDS.</w:t>
      </w:r>
    </w:p>
    <w:p w14:paraId="03B38CFC" w14:textId="77777777" w:rsidR="005A489F" w:rsidRPr="00181EF3" w:rsidRDefault="005A489F" w:rsidP="005A489F">
      <w:pPr>
        <w:pStyle w:val="Note"/>
      </w:pPr>
      <w:r w:rsidRPr="00181EF3">
        <w:t>Prioritised ethnicity was used.</w:t>
      </w:r>
    </w:p>
    <w:p w14:paraId="1A344756" w14:textId="77777777" w:rsidR="005A489F" w:rsidRPr="00181EF3" w:rsidRDefault="005A489F" w:rsidP="005A489F">
      <w:pPr>
        <w:pStyle w:val="Note"/>
      </w:pPr>
      <w:r w:rsidRPr="00181EF3">
        <w:t>Crude counts and percentages have been used.</w:t>
      </w:r>
    </w:p>
    <w:p w14:paraId="62A17306" w14:textId="77777777" w:rsidR="005A489F" w:rsidRPr="00181EF3" w:rsidRDefault="005A489F" w:rsidP="005A489F">
      <w:pPr>
        <w:pStyle w:val="Note"/>
        <w:rPr>
          <w:i/>
          <w:sz w:val="18"/>
        </w:rPr>
      </w:pPr>
      <w:r w:rsidRPr="00181EF3">
        <w:t>Source: AIDS Epidemiology Group, Dunedin School of Medicine, 1996–2017.</w:t>
      </w:r>
    </w:p>
    <w:p w14:paraId="66C6A3A4" w14:textId="77777777" w:rsidR="005A489F" w:rsidRPr="00181EF3" w:rsidRDefault="005A489F" w:rsidP="005A489F"/>
    <w:p w14:paraId="6D80AB15" w14:textId="022A8F0E" w:rsidR="005A489F" w:rsidRPr="00181EF3" w:rsidRDefault="005A489F" w:rsidP="005A489F">
      <w:r w:rsidRPr="00181EF3">
        <w:t>Table 2</w:t>
      </w:r>
      <w:r w:rsidR="00D229A4">
        <w:t>4</w:t>
      </w:r>
      <w:r w:rsidRPr="00181EF3">
        <w:t xml:space="preserve"> shows the counts and percentages for Māori and </w:t>
      </w:r>
      <w:r w:rsidR="00EC03A3">
        <w:t>non</w:t>
      </w:r>
      <w:r w:rsidR="00EC03A3">
        <w:noBreakHyphen/>
        <w:t>M</w:t>
      </w:r>
      <w:r w:rsidRPr="00181EF3">
        <w:t>āori diagnosed with AIDS, by gender, between 1996 and 2017.</w:t>
      </w:r>
    </w:p>
    <w:p w14:paraId="7C304308" w14:textId="77777777" w:rsidR="005A489F" w:rsidRPr="00181EF3" w:rsidRDefault="005A489F" w:rsidP="005A489F"/>
    <w:p w14:paraId="6288743A" w14:textId="77777777" w:rsidR="005A489F" w:rsidRPr="00181EF3" w:rsidRDefault="005A489F" w:rsidP="005A489F">
      <w:r w:rsidRPr="00181EF3">
        <w:t>There is a large amount of annual variation in the number of people diagnosed with AIDS. This is, in part, due to the small number of people diagnosed with AIDS between 1996 and 2017.</w:t>
      </w:r>
    </w:p>
    <w:p w14:paraId="27DFCBAF" w14:textId="77777777" w:rsidR="005A489F" w:rsidRPr="00181EF3" w:rsidRDefault="005A489F" w:rsidP="005A489F"/>
    <w:p w14:paraId="4F95C0A8" w14:textId="1B778A0B" w:rsidR="005A489F" w:rsidRPr="00181EF3" w:rsidRDefault="005A489F" w:rsidP="005B6F74">
      <w:pPr>
        <w:keepNext/>
      </w:pPr>
      <w:r w:rsidRPr="00181EF3">
        <w:lastRenderedPageBreak/>
        <w:t xml:space="preserve">The majority of those diagnosed with AIDS were </w:t>
      </w:r>
      <w:r w:rsidR="00EC03A3">
        <w:t>non</w:t>
      </w:r>
      <w:r w:rsidR="00EC03A3">
        <w:noBreakHyphen/>
        <w:t>M</w:t>
      </w:r>
      <w:r w:rsidRPr="00181EF3">
        <w:t xml:space="preserve">āori, this did not change over time – on average, over 85 percent of those diagnosed with AIDS were </w:t>
      </w:r>
      <w:r w:rsidR="00EC03A3">
        <w:t>non</w:t>
      </w:r>
      <w:r w:rsidR="00EC03A3">
        <w:noBreakHyphen/>
        <w:t>M</w:t>
      </w:r>
      <w:r w:rsidRPr="00181EF3">
        <w:t>āori (nearly 15 percent were Māori).</w:t>
      </w:r>
    </w:p>
    <w:p w14:paraId="3F0CBCD5" w14:textId="77777777" w:rsidR="005A489F" w:rsidRPr="00181EF3" w:rsidRDefault="005A489F" w:rsidP="005A489F"/>
    <w:p w14:paraId="66B4FC03" w14:textId="77777777" w:rsidR="005A489F" w:rsidRPr="00181EF3" w:rsidRDefault="005A489F" w:rsidP="005A489F">
      <w:r w:rsidRPr="00181EF3">
        <w:t>Males had higher rates of AIDS diagnoses than females, regardless of ethnicity, this was consistent with HIV diagnoses over this period.</w:t>
      </w:r>
    </w:p>
    <w:p w14:paraId="4834E79D" w14:textId="77777777" w:rsidR="005A489F" w:rsidRPr="00181EF3" w:rsidRDefault="005A489F" w:rsidP="005A489F"/>
    <w:p w14:paraId="30A65AC9" w14:textId="77777777" w:rsidR="005A489F" w:rsidRPr="00181EF3" w:rsidRDefault="005A489F" w:rsidP="005A489F">
      <w:r w:rsidRPr="00181EF3">
        <w:t>The total number of AIDS diagnoses decreased over time, from 63 diagnoses in 1996 to 11 diagnoses in 2017.</w:t>
      </w:r>
    </w:p>
    <w:p w14:paraId="78F5A84F" w14:textId="77777777" w:rsidR="005A489F" w:rsidRDefault="005A489F" w:rsidP="005A489F"/>
    <w:p w14:paraId="4EA60F53" w14:textId="77777777" w:rsidR="00FF4B52" w:rsidRPr="00181EF3" w:rsidRDefault="00FF4B52" w:rsidP="005B6F74">
      <w:pPr>
        <w:pStyle w:val="Heading2"/>
        <w:pageBreakBefore/>
        <w:spacing w:before="0"/>
        <w:rPr>
          <w:noProof/>
          <w:lang w:eastAsia="en-NZ"/>
        </w:rPr>
      </w:pPr>
      <w:bookmarkStart w:id="248" w:name="_Toc14718620"/>
      <w:bookmarkStart w:id="249" w:name="_Toc14775043"/>
      <w:bookmarkStart w:id="250" w:name="_Toc19102379"/>
      <w:r>
        <w:rPr>
          <w:noProof/>
          <w:lang w:eastAsia="en-NZ"/>
        </w:rPr>
        <w:lastRenderedPageBreak/>
        <w:t>S</w:t>
      </w:r>
      <w:r w:rsidRPr="00181EF3">
        <w:rPr>
          <w:noProof/>
          <w:lang w:eastAsia="en-NZ"/>
        </w:rPr>
        <w:t>uicide and intentional self-harm</w:t>
      </w:r>
      <w:bookmarkEnd w:id="248"/>
      <w:bookmarkEnd w:id="249"/>
      <w:bookmarkEnd w:id="250"/>
    </w:p>
    <w:p w14:paraId="4678D4B1" w14:textId="5BF49857" w:rsidR="008A5642" w:rsidRDefault="00FF4B52" w:rsidP="00FF4B52">
      <w:r w:rsidRPr="00181EF3">
        <w:rPr>
          <w:noProof/>
          <w:lang w:eastAsia="en-NZ"/>
        </w:rPr>
        <w:t xml:space="preserve">This </w:t>
      </w:r>
      <w:r w:rsidR="009E35F3">
        <w:rPr>
          <w:noProof/>
          <w:lang w:eastAsia="en-NZ"/>
        </w:rPr>
        <w:t>section</w:t>
      </w:r>
      <w:r w:rsidRPr="00181EF3">
        <w:rPr>
          <w:noProof/>
          <w:lang w:eastAsia="en-NZ"/>
        </w:rPr>
        <w:t xml:space="preserve"> </w:t>
      </w:r>
      <w:r w:rsidR="000D102F">
        <w:rPr>
          <w:noProof/>
          <w:lang w:eastAsia="en-NZ"/>
        </w:rPr>
        <w:t>present</w:t>
      </w:r>
      <w:r w:rsidRPr="00181EF3">
        <w:rPr>
          <w:noProof/>
          <w:lang w:eastAsia="en-NZ"/>
        </w:rPr>
        <w:t>s the trends</w:t>
      </w:r>
      <w:r w:rsidRPr="00181EF3">
        <w:t xml:space="preserve"> for suicide and </w:t>
      </w:r>
      <w:r w:rsidR="009E35F3">
        <w:t xml:space="preserve">intentional </w:t>
      </w:r>
      <w:r w:rsidRPr="00181EF3">
        <w:t xml:space="preserve">self-harm for Māori and </w:t>
      </w:r>
      <w:r w:rsidR="00EC03A3">
        <w:t>non</w:t>
      </w:r>
      <w:r w:rsidR="00EC03A3">
        <w:noBreakHyphen/>
        <w:t>M</w:t>
      </w:r>
      <w:r w:rsidRPr="00181EF3">
        <w:t>āori by age groups.</w:t>
      </w:r>
    </w:p>
    <w:p w14:paraId="563855E3" w14:textId="77777777" w:rsidR="005B6F74" w:rsidRDefault="005B6F74" w:rsidP="00FF4B52"/>
    <w:p w14:paraId="40C6CCC4" w14:textId="68F97E8D" w:rsidR="00FF4B52" w:rsidRPr="00181EF3" w:rsidRDefault="00FF4B52" w:rsidP="009E35F3">
      <w:pPr>
        <w:pStyle w:val="Heading3"/>
      </w:pPr>
      <w:bookmarkStart w:id="251" w:name="_Toc19102380"/>
      <w:r w:rsidRPr="00181EF3">
        <w:t>What is the data telling us?</w:t>
      </w:r>
      <w:bookmarkEnd w:id="251"/>
    </w:p>
    <w:p w14:paraId="25AA4828" w14:textId="77777777" w:rsidR="00FF4B52" w:rsidRPr="00181EF3" w:rsidRDefault="00FF4B52" w:rsidP="00FF4B52">
      <w:pPr>
        <w:pStyle w:val="Shadedboxheading"/>
      </w:pPr>
      <w:r w:rsidRPr="00181EF3">
        <w:t>Suicide mortality</w:t>
      </w:r>
    </w:p>
    <w:p w14:paraId="109EEEEA" w14:textId="7803966D" w:rsidR="00FF4B52" w:rsidRPr="00181EF3" w:rsidRDefault="00FF4B52" w:rsidP="00FF4B52">
      <w:pPr>
        <w:pStyle w:val="Shadedboxbullet"/>
        <w:ind w:left="568" w:hanging="284"/>
      </w:pPr>
      <w:r w:rsidRPr="00181EF3">
        <w:t xml:space="preserve">Māori have higher incidence of suicide mortality than </w:t>
      </w:r>
      <w:r w:rsidR="00EC03A3">
        <w:t>non</w:t>
      </w:r>
      <w:r w:rsidR="00EC03A3">
        <w:noBreakHyphen/>
        <w:t>M</w:t>
      </w:r>
      <w:r w:rsidRPr="00181EF3">
        <w:t xml:space="preserve">āori over time, except for older Māori (aged 45–64 years). In 2012–14, Māori were over 1½ times as likely as </w:t>
      </w:r>
      <w:r w:rsidR="00EC03A3">
        <w:t>non</w:t>
      </w:r>
      <w:r w:rsidR="00EC03A3">
        <w:noBreakHyphen/>
        <w:t>M</w:t>
      </w:r>
      <w:r w:rsidRPr="00181EF3">
        <w:t>āori to die by suicide.</w:t>
      </w:r>
    </w:p>
    <w:p w14:paraId="3C404C51" w14:textId="77777777" w:rsidR="00FF4B52" w:rsidRPr="00181EF3" w:rsidRDefault="00FF4B52" w:rsidP="00FF4B52">
      <w:pPr>
        <w:pStyle w:val="Shadedboxbullet"/>
        <w:ind w:left="568" w:hanging="284"/>
      </w:pPr>
      <w:r w:rsidRPr="00181EF3">
        <w:t>Māori males have the highest suicide mortality rates overall.</w:t>
      </w:r>
    </w:p>
    <w:p w14:paraId="09BC99F1" w14:textId="1ADD8730" w:rsidR="00FF4B52" w:rsidRPr="00181EF3" w:rsidRDefault="00FF4B52" w:rsidP="00FF4B52">
      <w:pPr>
        <w:pStyle w:val="Shadedboxbullet"/>
        <w:ind w:left="568" w:hanging="284"/>
      </w:pPr>
      <w:r w:rsidRPr="00181EF3">
        <w:t xml:space="preserve">The difference between Māori females and </w:t>
      </w:r>
      <w:r w:rsidR="00EC03A3">
        <w:t>non</w:t>
      </w:r>
      <w:r w:rsidR="00EC03A3">
        <w:noBreakHyphen/>
        <w:t>M</w:t>
      </w:r>
      <w:r w:rsidRPr="00181EF3">
        <w:t>āori females has increased over time (over twice as likely).</w:t>
      </w:r>
    </w:p>
    <w:p w14:paraId="236A7637" w14:textId="77777777" w:rsidR="00FF4B52" w:rsidRPr="00181EF3" w:rsidRDefault="00FF4B52" w:rsidP="00FF4B52">
      <w:pPr>
        <w:pStyle w:val="Shadedboxbullet"/>
        <w:ind w:left="568" w:hanging="284"/>
      </w:pPr>
      <w:r w:rsidRPr="00181EF3">
        <w:t>Young people aged 15–24 years had the highest suicide mortality rates out of all age groups</w:t>
      </w:r>
      <w:r>
        <w:t>,</w:t>
      </w:r>
      <w:r w:rsidRPr="00181EF3">
        <w:t xml:space="preserve"> with Māori males in particular having the highest rates of mortality.</w:t>
      </w:r>
    </w:p>
    <w:p w14:paraId="4645D048" w14:textId="46FAA638" w:rsidR="00FF4B52" w:rsidRPr="00181EF3" w:rsidRDefault="00FF4B52" w:rsidP="00FF4B52">
      <w:pPr>
        <w:pStyle w:val="Shadedboxbullet"/>
        <w:ind w:left="568" w:hanging="284"/>
      </w:pPr>
      <w:r w:rsidRPr="00181EF3">
        <w:t xml:space="preserve">Suicide mortality rates have increased over time for young Māori females aged 15–24 years. The difference between Māori females and </w:t>
      </w:r>
      <w:r w:rsidR="00EC03A3">
        <w:t>non</w:t>
      </w:r>
      <w:r w:rsidR="00EC03A3">
        <w:noBreakHyphen/>
        <w:t>M</w:t>
      </w:r>
      <w:r w:rsidRPr="00181EF3">
        <w:t>āori females has increased over time.</w:t>
      </w:r>
    </w:p>
    <w:p w14:paraId="7F542BC0" w14:textId="77777777" w:rsidR="00FF4B52" w:rsidRPr="00181EF3" w:rsidRDefault="009E35F3" w:rsidP="00FF4B52">
      <w:pPr>
        <w:pStyle w:val="Shadedboxheading"/>
        <w:spacing w:before="480"/>
      </w:pPr>
      <w:r>
        <w:t>Intentional s</w:t>
      </w:r>
      <w:r w:rsidR="00FF4B52" w:rsidRPr="00181EF3">
        <w:t>elf-harm hospitalisations</w:t>
      </w:r>
    </w:p>
    <w:p w14:paraId="5B1F5D88" w14:textId="37D8B596" w:rsidR="00FF4B52" w:rsidRPr="00181EF3" w:rsidRDefault="00FF4B52" w:rsidP="005B6F74">
      <w:pPr>
        <w:pStyle w:val="Shadedboxbullet"/>
        <w:ind w:left="568" w:hanging="284"/>
      </w:pPr>
      <w:r w:rsidRPr="00181EF3">
        <w:t xml:space="preserve">Māori were more likely than </w:t>
      </w:r>
      <w:r w:rsidR="00EC03A3">
        <w:t>non</w:t>
      </w:r>
      <w:r w:rsidR="00EC03A3">
        <w:noBreakHyphen/>
        <w:t>M</w:t>
      </w:r>
      <w:r w:rsidRPr="00181EF3">
        <w:t>āori to be hospitalised for intentional self-harm, particularly since the early 2000s.</w:t>
      </w:r>
    </w:p>
    <w:p w14:paraId="5D54231D" w14:textId="77777777" w:rsidR="00FF4B52" w:rsidRPr="00181EF3" w:rsidRDefault="00FF4B52" w:rsidP="00FF4B52">
      <w:pPr>
        <w:pStyle w:val="Shadedboxbullet"/>
        <w:ind w:left="568" w:hanging="284"/>
      </w:pPr>
      <w:r w:rsidRPr="00181EF3">
        <w:t xml:space="preserve">There has been a steep increase in </w:t>
      </w:r>
      <w:r w:rsidR="009E35F3">
        <w:t xml:space="preserve">intentional </w:t>
      </w:r>
      <w:r w:rsidRPr="00181EF3">
        <w:t>self-harm hospitalisation rates for females, particularly since the late 2000s.</w:t>
      </w:r>
    </w:p>
    <w:p w14:paraId="7FD40146" w14:textId="16DAD34E" w:rsidR="00FF4B52" w:rsidRPr="00181EF3" w:rsidRDefault="00FF4B52" w:rsidP="00FF4B52">
      <w:pPr>
        <w:pStyle w:val="Shadedboxbullet"/>
        <w:ind w:left="568" w:hanging="284"/>
      </w:pPr>
      <w:r w:rsidRPr="00181EF3">
        <w:t xml:space="preserve">Over time, </w:t>
      </w:r>
      <w:r w:rsidR="009E35F3">
        <w:t xml:space="preserve">intentional </w:t>
      </w:r>
      <w:r w:rsidRPr="00181EF3">
        <w:t xml:space="preserve">self-harm hospitalisation rates have increased for both males and females with a widening disparity particularly evident between Māori males and </w:t>
      </w:r>
      <w:r w:rsidR="00EC03A3">
        <w:t>non</w:t>
      </w:r>
      <w:r w:rsidR="00EC03A3">
        <w:noBreakHyphen/>
        <w:t>M</w:t>
      </w:r>
      <w:r w:rsidRPr="00181EF3">
        <w:t>āori males.</w:t>
      </w:r>
    </w:p>
    <w:p w14:paraId="0341D04C" w14:textId="77777777" w:rsidR="00FF4B52" w:rsidRPr="00181EF3" w:rsidRDefault="00FF4B52" w:rsidP="00FF4B52"/>
    <w:p w14:paraId="59DE9B08" w14:textId="77777777" w:rsidR="00FF4B52" w:rsidRPr="00181EF3" w:rsidRDefault="00FF4B52" w:rsidP="005B6F74">
      <w:pPr>
        <w:pStyle w:val="Heading3"/>
        <w:pageBreakBefore/>
        <w:spacing w:before="0"/>
      </w:pPr>
      <w:bookmarkStart w:id="252" w:name="_Toc19102381"/>
      <w:r w:rsidRPr="00181EF3">
        <w:lastRenderedPageBreak/>
        <w:t>Suicide mortality</w:t>
      </w:r>
      <w:bookmarkEnd w:id="252"/>
    </w:p>
    <w:p w14:paraId="4BEE55AD" w14:textId="7EE8F860" w:rsidR="00FF4B52" w:rsidRPr="00181EF3" w:rsidRDefault="00FF4B52" w:rsidP="00FF4B52">
      <w:pPr>
        <w:pStyle w:val="Figure"/>
      </w:pPr>
      <w:bookmarkStart w:id="253" w:name="_Toc19101932"/>
      <w:r w:rsidRPr="00181EF3">
        <w:t xml:space="preserve">Figure </w:t>
      </w:r>
      <w:r w:rsidR="009E35F3">
        <w:t>8</w:t>
      </w:r>
      <w:r w:rsidRPr="00181EF3">
        <w:t>1: Suicide mortality</w:t>
      </w:r>
      <w:r w:rsidR="00C9098B">
        <w:t xml:space="preserve"> rates</w:t>
      </w:r>
      <w:r w:rsidRPr="00181EF3">
        <w:t>, all age groups</w:t>
      </w:r>
      <w:r w:rsidR="00C9098B">
        <w:t>,</w:t>
      </w:r>
      <w:r w:rsidR="00C9098B" w:rsidRPr="00C9098B">
        <w:t xml:space="preserve"> </w:t>
      </w:r>
      <w:r w:rsidR="00C9098B">
        <w:t xml:space="preserve">by gender, </w:t>
      </w:r>
      <w:r w:rsidR="00C9098B" w:rsidRPr="00181EF3">
        <w:t xml:space="preserve">Māori and </w:t>
      </w:r>
      <w:r w:rsidR="00EC03A3">
        <w:t>non</w:t>
      </w:r>
      <w:r w:rsidR="00EC03A3">
        <w:noBreakHyphen/>
        <w:t>M</w:t>
      </w:r>
      <w:r w:rsidR="00C9098B" w:rsidRPr="00181EF3">
        <w:t>āori</w:t>
      </w:r>
      <w:r w:rsidR="00C9098B">
        <w:t>,</w:t>
      </w:r>
      <w:r w:rsidR="00C9098B" w:rsidRPr="00181EF3">
        <w:t xml:space="preserve"> 1996–98 to 2012–14</w:t>
      </w:r>
      <w:bookmarkEnd w:id="253"/>
    </w:p>
    <w:p w14:paraId="1159AA8A" w14:textId="77777777" w:rsidR="00FF4B52" w:rsidRPr="00181EF3" w:rsidRDefault="00FF4B52" w:rsidP="00FF4B52">
      <w:r w:rsidRPr="00181EF3">
        <w:rPr>
          <w:noProof/>
          <w:lang w:eastAsia="en-NZ"/>
        </w:rPr>
        <w:drawing>
          <wp:inline distT="0" distB="0" distL="0" distR="0" wp14:anchorId="4142FA73" wp14:editId="6D8A57AF">
            <wp:extent cx="5130165" cy="2640171"/>
            <wp:effectExtent l="0" t="0" r="0" b="8255"/>
            <wp:docPr id="414" name="Picture 414" descr="Men of both groups have a higher suicide death rate than women, and Māori have a higher suicide death rate than non-Māori. Rates for women have remained somewhat steady and the gap between Māori and non-Māori is smaller than that gap between Māori and non-Māori men. The rate for non-Māori men has decreased slightly over the years, while the rate for Māori men has fluctuated while remaining higher." title="Figure 81: Suicide mortality, all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130165" cy="2640171"/>
                    </a:xfrm>
                    <a:prstGeom prst="rect">
                      <a:avLst/>
                    </a:prstGeom>
                  </pic:spPr>
                </pic:pic>
              </a:graphicData>
            </a:graphic>
          </wp:inline>
        </w:drawing>
      </w:r>
    </w:p>
    <w:p w14:paraId="37F017B2" w14:textId="77777777" w:rsidR="00C9098B" w:rsidRDefault="00C9098B" w:rsidP="00C9098B">
      <w:pPr>
        <w:pStyle w:val="Note"/>
      </w:pPr>
      <w:r w:rsidRPr="00181EF3">
        <w:t>Note</w:t>
      </w:r>
      <w:r>
        <w:t>s</w:t>
      </w:r>
      <w:r w:rsidRPr="00181EF3">
        <w:t>:</w:t>
      </w:r>
    </w:p>
    <w:p w14:paraId="082D51CB" w14:textId="393B4050" w:rsidR="008A5642" w:rsidRDefault="00446D86" w:rsidP="00C9098B">
      <w:pPr>
        <w:pStyle w:val="Note"/>
      </w:pPr>
      <w:r>
        <w:t>Figures are age-standardised to the 2001 Census total Māori population</w:t>
      </w:r>
      <w:r w:rsidR="00C9098B" w:rsidRPr="00181EF3">
        <w:t>.</w:t>
      </w:r>
    </w:p>
    <w:p w14:paraId="2B52E9BF" w14:textId="2484729A" w:rsidR="00C9098B" w:rsidRPr="00181EF3" w:rsidRDefault="00C9098B" w:rsidP="00C9098B">
      <w:pPr>
        <w:pStyle w:val="Note"/>
      </w:pPr>
      <w:r>
        <w:t>Prioritised ethnicity has been used.</w:t>
      </w:r>
    </w:p>
    <w:p w14:paraId="3133C770" w14:textId="77777777" w:rsidR="008A5642" w:rsidRDefault="00C9098B" w:rsidP="00B6364B">
      <w:pPr>
        <w:pStyle w:val="Note"/>
        <w:ind w:left="0" w:firstLine="0"/>
      </w:pPr>
      <w:r w:rsidRPr="00181EF3">
        <w:t xml:space="preserve">If </w:t>
      </w:r>
      <w:r w:rsidRPr="00B6364B">
        <w:t>the</w:t>
      </w:r>
      <w:r w:rsidRPr="00181EF3">
        <w:t xml:space="preserv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2D4F6163" w14:textId="4DA79609" w:rsidR="00C9098B" w:rsidRPr="00181EF3" w:rsidRDefault="00C9098B" w:rsidP="00C9098B">
      <w:pPr>
        <w:pStyle w:val="Source"/>
        <w:rPr>
          <w:rFonts w:eastAsia="Calibri"/>
        </w:rPr>
      </w:pPr>
      <w:r w:rsidRPr="00181EF3">
        <w:rPr>
          <w:rFonts w:eastAsia="Calibri"/>
        </w:rPr>
        <w:t>Source: Mortality Collection Data Set (MORT), Ministry of Health</w:t>
      </w:r>
      <w:r>
        <w:rPr>
          <w:rFonts w:eastAsia="Calibri"/>
        </w:rPr>
        <w:t xml:space="preserve">, </w:t>
      </w:r>
      <w:r w:rsidRPr="00181EF3">
        <w:t>1996–98 to 2012–14</w:t>
      </w:r>
      <w:r w:rsidRPr="00181EF3">
        <w:rPr>
          <w:rFonts w:eastAsia="Calibri"/>
        </w:rPr>
        <w:t>.</w:t>
      </w:r>
    </w:p>
    <w:p w14:paraId="5957EE4D" w14:textId="77777777" w:rsidR="00FF4B52" w:rsidRPr="00181EF3" w:rsidRDefault="00FF4B52" w:rsidP="00FF4B52"/>
    <w:p w14:paraId="1D5DE9EC" w14:textId="2697919C" w:rsidR="00C9098B" w:rsidRPr="00181EF3" w:rsidRDefault="00C9098B" w:rsidP="00C9098B">
      <w:r w:rsidRPr="00181EF3">
        <w:t xml:space="preserve">Māori have higher incidence of suicide mortality than </w:t>
      </w:r>
      <w:r w:rsidR="00EC03A3">
        <w:t>non</w:t>
      </w:r>
      <w:r w:rsidR="00EC03A3">
        <w:noBreakHyphen/>
        <w:t>M</w:t>
      </w:r>
      <w:r w:rsidRPr="00181EF3">
        <w:t>āori over time, in 2012–14</w:t>
      </w:r>
      <w:r>
        <w:t>,</w:t>
      </w:r>
      <w:r w:rsidRPr="00181EF3">
        <w:t xml:space="preserve"> Māori were over 1½ times as likely as </w:t>
      </w:r>
      <w:r w:rsidR="00EC03A3">
        <w:t>non</w:t>
      </w:r>
      <w:r w:rsidR="00EC03A3">
        <w:noBreakHyphen/>
        <w:t>M</w:t>
      </w:r>
      <w:r w:rsidRPr="00181EF3">
        <w:t>āori to die by suicide.</w:t>
      </w:r>
    </w:p>
    <w:p w14:paraId="36E3D66E" w14:textId="77777777" w:rsidR="00C9098B" w:rsidRPr="00181EF3" w:rsidRDefault="00C9098B" w:rsidP="00C9098B"/>
    <w:p w14:paraId="5DA60FAD" w14:textId="38A30D65" w:rsidR="00C9098B" w:rsidRPr="00181EF3" w:rsidRDefault="00C9098B" w:rsidP="00C9098B">
      <w:r w:rsidRPr="00181EF3">
        <w:t xml:space="preserve">Suicide mortality has fluctuated for Māori over time, decreasing from the mid-1990s then increasing in the mid-2000s before dipping and increasing again in 2009–11. In contrast, suicide mortality rates have steadily declined for </w:t>
      </w:r>
      <w:r w:rsidR="00EC03A3">
        <w:t>non</w:t>
      </w:r>
      <w:r w:rsidR="00EC03A3">
        <w:noBreakHyphen/>
        <w:t>M</w:t>
      </w:r>
      <w:r w:rsidRPr="00181EF3">
        <w:t>āori over time.</w:t>
      </w:r>
    </w:p>
    <w:p w14:paraId="46B45842" w14:textId="77777777" w:rsidR="00C9098B" w:rsidRPr="00181EF3" w:rsidRDefault="00C9098B" w:rsidP="00C9098B"/>
    <w:p w14:paraId="0FAAB1D9" w14:textId="77777777" w:rsidR="00C9098B" w:rsidRPr="00181EF3" w:rsidRDefault="00C9098B" w:rsidP="00C9098B">
      <w:r w:rsidRPr="00181EF3">
        <w:t xml:space="preserve">Figure </w:t>
      </w:r>
      <w:r>
        <w:t>8</w:t>
      </w:r>
      <w:r w:rsidRPr="00181EF3">
        <w:t>1 shows that there are clear differences by gender, with males more likely to die by suicide than females, with Māori males having the highest suicide mortality rates overall. The trends for Māori males mirror the fluctuating pattern, however</w:t>
      </w:r>
      <w:r>
        <w:t>,</w:t>
      </w:r>
      <w:r w:rsidRPr="00181EF3">
        <w:t xml:space="preserve"> overall from 1996–98 to 2012–14 the suicide mortality rate for Māori males decreased by 27 percent (from 29.7 deaths per 100,000 to 21.8 deaths per 100,000).</w:t>
      </w:r>
    </w:p>
    <w:p w14:paraId="22758B74" w14:textId="77777777" w:rsidR="00C9098B" w:rsidRPr="00181EF3" w:rsidRDefault="00C9098B" w:rsidP="00C9098B"/>
    <w:p w14:paraId="1273AEC5" w14:textId="49C8E93A" w:rsidR="00C9098B" w:rsidRDefault="00C9098B" w:rsidP="00C9098B">
      <w:r w:rsidRPr="00181EF3">
        <w:t>Suicide mortality rates for Māori females decreased between 1996 and 2000</w:t>
      </w:r>
      <w:r>
        <w:t>,</w:t>
      </w:r>
      <w:r w:rsidRPr="00181EF3">
        <w:t xml:space="preserve"> then steadily increased to around double the rate in 2000. The difference between Māori females and </w:t>
      </w:r>
      <w:r w:rsidR="00EC03A3">
        <w:t>non</w:t>
      </w:r>
      <w:r w:rsidR="00EC03A3">
        <w:noBreakHyphen/>
        <w:t>M</w:t>
      </w:r>
      <w:r w:rsidRPr="00181EF3">
        <w:t xml:space="preserve">āori females has increased over time. There is a widening of the gap apparent from 2009–11, with Māori females over twice as likely as </w:t>
      </w:r>
      <w:r w:rsidR="00EC03A3">
        <w:t>non</w:t>
      </w:r>
      <w:r w:rsidR="00EC03A3">
        <w:noBreakHyphen/>
        <w:t>M</w:t>
      </w:r>
      <w:r w:rsidRPr="00181EF3">
        <w:t>āori females to die by suicide.</w:t>
      </w:r>
    </w:p>
    <w:p w14:paraId="6179F7D8" w14:textId="77777777" w:rsidR="005B6F74" w:rsidRPr="00181EF3" w:rsidRDefault="005B6F74" w:rsidP="00C9098B"/>
    <w:p w14:paraId="7B0475EF" w14:textId="77777777" w:rsidR="00FF4B52" w:rsidRPr="00181EF3" w:rsidRDefault="009E35F3" w:rsidP="009E35F3">
      <w:pPr>
        <w:pStyle w:val="Heading4"/>
      </w:pPr>
      <w:r>
        <w:lastRenderedPageBreak/>
        <w:t>Suicide mortality t</w:t>
      </w:r>
      <w:r w:rsidR="00FF4B52" w:rsidRPr="00181EF3">
        <w:t>rends by age group</w:t>
      </w:r>
    </w:p>
    <w:p w14:paraId="752D3EC4" w14:textId="40F79026" w:rsidR="00FF4B52" w:rsidRPr="00181EF3" w:rsidRDefault="00FF4B52" w:rsidP="00FF4B52">
      <w:pPr>
        <w:pStyle w:val="Figure"/>
      </w:pPr>
      <w:bookmarkStart w:id="254" w:name="_Toc19101933"/>
      <w:r w:rsidRPr="00181EF3">
        <w:t xml:space="preserve">Figure </w:t>
      </w:r>
      <w:r w:rsidR="00C9098B">
        <w:t>8</w:t>
      </w:r>
      <w:r w:rsidRPr="00181EF3">
        <w:t>2: Suicide mortality, 15–24 years</w:t>
      </w:r>
      <w:r w:rsidR="00C9098B">
        <w:t>,</w:t>
      </w:r>
      <w:r w:rsidR="00C9098B" w:rsidRPr="00C9098B">
        <w:t xml:space="preserve"> </w:t>
      </w:r>
      <w:r w:rsidR="00C9098B">
        <w:t xml:space="preserve">by gender, </w:t>
      </w:r>
      <w:r w:rsidR="00C9098B" w:rsidRPr="00181EF3">
        <w:t xml:space="preserve">Māori and </w:t>
      </w:r>
      <w:r w:rsidR="00EC03A3">
        <w:t>non</w:t>
      </w:r>
      <w:r w:rsidR="00EC03A3">
        <w:noBreakHyphen/>
        <w:t>M</w:t>
      </w:r>
      <w:r w:rsidR="00C9098B" w:rsidRPr="00181EF3">
        <w:t>āori</w:t>
      </w:r>
      <w:r w:rsidR="00C9098B">
        <w:t>,</w:t>
      </w:r>
      <w:r w:rsidR="00C9098B" w:rsidRPr="00181EF3">
        <w:t xml:space="preserve"> 1996–98 to 2012–14</w:t>
      </w:r>
      <w:bookmarkEnd w:id="254"/>
    </w:p>
    <w:p w14:paraId="63CDE999" w14:textId="77777777" w:rsidR="00FF4B52" w:rsidRPr="00181EF3" w:rsidRDefault="00FF4B52" w:rsidP="00FF4B52">
      <w:r w:rsidRPr="00181EF3">
        <w:rPr>
          <w:noProof/>
          <w:lang w:eastAsia="en-NZ"/>
        </w:rPr>
        <w:drawing>
          <wp:inline distT="0" distB="0" distL="0" distR="0" wp14:anchorId="1FD4870B" wp14:editId="70E00F49">
            <wp:extent cx="5139241" cy="2668386"/>
            <wp:effectExtent l="0" t="0" r="4445" b="0"/>
            <wp:docPr id="415" name="Picture 415" descr="The suicide death rate for young people is consistently highest for Māori men, while fluctuating the most. The rate for non-Māori men and women has lowered over time, while the rate for Māori women has unsteadily increased over time." title="Figure 82: Suicide mortality, 15–2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2"/>
                    <a:srcRect l="972" t="1890" r="1783"/>
                    <a:stretch/>
                  </pic:blipFill>
                  <pic:spPr bwMode="auto">
                    <a:xfrm>
                      <a:off x="0" y="0"/>
                      <a:ext cx="5140456" cy="2669017"/>
                    </a:xfrm>
                    <a:prstGeom prst="rect">
                      <a:avLst/>
                    </a:prstGeom>
                    <a:ln>
                      <a:noFill/>
                    </a:ln>
                    <a:extLst>
                      <a:ext uri="{53640926-AAD7-44D8-BBD7-CCE9431645EC}">
                        <a14:shadowObscured xmlns:a14="http://schemas.microsoft.com/office/drawing/2010/main"/>
                      </a:ext>
                    </a:extLst>
                  </pic:spPr>
                </pic:pic>
              </a:graphicData>
            </a:graphic>
          </wp:inline>
        </w:drawing>
      </w:r>
    </w:p>
    <w:p w14:paraId="6D879149" w14:textId="77777777" w:rsidR="00C9098B" w:rsidRDefault="00C9098B" w:rsidP="00C9098B">
      <w:pPr>
        <w:pStyle w:val="Note"/>
      </w:pPr>
      <w:r w:rsidRPr="00181EF3">
        <w:t>Note</w:t>
      </w:r>
      <w:r>
        <w:t>s</w:t>
      </w:r>
      <w:r w:rsidRPr="00181EF3">
        <w:t>:</w:t>
      </w:r>
    </w:p>
    <w:p w14:paraId="2F078B47" w14:textId="0D06F866" w:rsidR="008A5642" w:rsidRDefault="00446D86" w:rsidP="00C9098B">
      <w:pPr>
        <w:pStyle w:val="Note"/>
      </w:pPr>
      <w:r>
        <w:t>Figures are age-standardised to the 2001 Census total Māori population</w:t>
      </w:r>
      <w:r w:rsidR="00C9098B" w:rsidRPr="00181EF3">
        <w:t>.</w:t>
      </w:r>
    </w:p>
    <w:p w14:paraId="401BEC07" w14:textId="2A76EA4E" w:rsidR="00C9098B" w:rsidRPr="00181EF3" w:rsidRDefault="00C9098B" w:rsidP="00C9098B">
      <w:pPr>
        <w:pStyle w:val="Note"/>
      </w:pPr>
      <w:r>
        <w:t>Prioritised ethnicity has been used.</w:t>
      </w:r>
    </w:p>
    <w:p w14:paraId="2084DE85" w14:textId="77777777" w:rsidR="008A5642" w:rsidRDefault="00C9098B" w:rsidP="00B6364B">
      <w:pPr>
        <w:pStyle w:val="Note"/>
        <w:ind w:left="0" w:firstLine="0"/>
      </w:pPr>
      <w:r w:rsidRPr="00181EF3">
        <w:t xml:space="preserve">If the </w:t>
      </w:r>
      <w:r w:rsidRPr="00B6364B">
        <w:t>confidence</w:t>
      </w:r>
      <w:r w:rsidRPr="00181EF3">
        <w:t xml:space="preserv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05AE0433" w14:textId="4F76ED92" w:rsidR="00C9098B" w:rsidRPr="00181EF3" w:rsidRDefault="00C9098B" w:rsidP="00C9098B">
      <w:pPr>
        <w:pStyle w:val="Source"/>
        <w:rPr>
          <w:rFonts w:eastAsia="Calibri"/>
        </w:rPr>
      </w:pPr>
      <w:r w:rsidRPr="00181EF3">
        <w:rPr>
          <w:rFonts w:eastAsia="Calibri"/>
        </w:rPr>
        <w:t>Source: Mortality Collection Data Set (MORT), Ministry of Health</w:t>
      </w:r>
      <w:r>
        <w:rPr>
          <w:rFonts w:eastAsia="Calibri"/>
        </w:rPr>
        <w:t xml:space="preserve">, </w:t>
      </w:r>
      <w:r w:rsidRPr="00181EF3">
        <w:t>1996–98 to 2012–14</w:t>
      </w:r>
      <w:r w:rsidRPr="00181EF3">
        <w:rPr>
          <w:rFonts w:eastAsia="Calibri"/>
        </w:rPr>
        <w:t>.</w:t>
      </w:r>
    </w:p>
    <w:p w14:paraId="7FE3DB5C" w14:textId="77777777" w:rsidR="00FF4B52" w:rsidRPr="00181EF3" w:rsidRDefault="00FF4B52" w:rsidP="00FF4B52"/>
    <w:p w14:paraId="63635986" w14:textId="69C6B404" w:rsidR="00C9098B" w:rsidRPr="00181EF3" w:rsidRDefault="00C9098B" w:rsidP="00C9098B">
      <w:r w:rsidRPr="00181EF3">
        <w:t xml:space="preserve">Young people aged 15–24 years had the highest suicide mortality rates out of all age groups with Māori males in particular having the highest rates of mortality, showing a similar fluctuating trend as all age groups pattern. In 2012–14, young Māori males were over twice as likely as young </w:t>
      </w:r>
      <w:r w:rsidR="00EC03A3">
        <w:t>non</w:t>
      </w:r>
      <w:r w:rsidR="00EC03A3">
        <w:noBreakHyphen/>
        <w:t>M</w:t>
      </w:r>
      <w:r w:rsidRPr="00181EF3">
        <w:t>āori males to die by suicide.</w:t>
      </w:r>
    </w:p>
    <w:p w14:paraId="756E4251" w14:textId="77777777" w:rsidR="00C9098B" w:rsidRPr="00181EF3" w:rsidRDefault="00C9098B" w:rsidP="00C9098B"/>
    <w:p w14:paraId="21F3190F" w14:textId="18131D44" w:rsidR="00C9098B" w:rsidRPr="00181EF3" w:rsidRDefault="00C9098B" w:rsidP="00C9098B">
      <w:r w:rsidRPr="00181EF3">
        <w:t xml:space="preserve">Figure </w:t>
      </w:r>
      <w:r>
        <w:t>8</w:t>
      </w:r>
      <w:r w:rsidRPr="00181EF3">
        <w:t xml:space="preserve">2 shows that suicide mortality rates have increased over time for young Māori females aged 15–24 years, an increase of 29 percent from 1996–98 to 2012–14 (from 21.0 deaths per 100,000 to 27.1 deaths per 100,000). The difference between Māori and </w:t>
      </w:r>
      <w:r w:rsidR="00EC03A3">
        <w:t>non</w:t>
      </w:r>
      <w:r w:rsidR="00EC03A3">
        <w:noBreakHyphen/>
        <w:t>M</w:t>
      </w:r>
      <w:r w:rsidRPr="00181EF3">
        <w:t xml:space="preserve">āori females aged 15–24 years has also widened over time. In 1999–01, young Māori females were over 1½ times as likely to die by suicide as </w:t>
      </w:r>
      <w:r w:rsidR="00EC03A3">
        <w:t>non</w:t>
      </w:r>
      <w:r w:rsidR="00EC03A3">
        <w:noBreakHyphen/>
        <w:t>M</w:t>
      </w:r>
      <w:r w:rsidRPr="00181EF3">
        <w:t>āori young females, in 2012–14 this difference had widened to four times as likely.</w:t>
      </w:r>
    </w:p>
    <w:p w14:paraId="06152334" w14:textId="77777777" w:rsidR="00C9098B" w:rsidRDefault="00C9098B" w:rsidP="00FF4B52"/>
    <w:p w14:paraId="73F431B1" w14:textId="030B53D3" w:rsidR="00FF4B52" w:rsidRPr="00181EF3" w:rsidRDefault="00FF4B52" w:rsidP="00FF4B52">
      <w:r w:rsidRPr="00181EF3">
        <w:t>For Māori aged 25–44</w:t>
      </w:r>
      <w:r>
        <w:t xml:space="preserve"> years</w:t>
      </w:r>
      <w:r w:rsidRPr="00181EF3">
        <w:t xml:space="preserve">, there is a similar pattern over time, showing that Māori continue to have higher suicide mortality rates than </w:t>
      </w:r>
      <w:r w:rsidR="00EC03A3">
        <w:t>non</w:t>
      </w:r>
      <w:r w:rsidR="00EC03A3">
        <w:noBreakHyphen/>
        <w:t>M</w:t>
      </w:r>
      <w:r w:rsidRPr="00181EF3">
        <w:t>āori</w:t>
      </w:r>
      <w:r>
        <w:t>,</w:t>
      </w:r>
      <w:r w:rsidRPr="00181EF3">
        <w:t xml:space="preserve"> with males experiencing higher rates than females. There has been little change over time for Māori females aged 25–44, whereas suicide mortality rates for Māori males aged 25–44 have decreased over time (with some fluctuation) by 23 percent (from 52.8 deaths per 100,000 in 1996–98 to 40.7 deaths per 100,000 in 2012–14).</w:t>
      </w:r>
    </w:p>
    <w:p w14:paraId="7A234F27" w14:textId="77777777" w:rsidR="00FF4B52" w:rsidRPr="00181EF3" w:rsidRDefault="00FF4B52" w:rsidP="00FF4B52"/>
    <w:p w14:paraId="26853C73" w14:textId="77777777" w:rsidR="00FF4B52" w:rsidRPr="00181EF3" w:rsidRDefault="009E35F3" w:rsidP="005B6F74">
      <w:pPr>
        <w:pStyle w:val="Heading3"/>
        <w:pageBreakBefore/>
        <w:spacing w:before="0"/>
      </w:pPr>
      <w:bookmarkStart w:id="255" w:name="_Toc19102382"/>
      <w:r>
        <w:lastRenderedPageBreak/>
        <w:t>Intentional s</w:t>
      </w:r>
      <w:r w:rsidR="00FF4B52" w:rsidRPr="00181EF3">
        <w:t>elf-harm hospitalisation</w:t>
      </w:r>
      <w:bookmarkEnd w:id="255"/>
    </w:p>
    <w:p w14:paraId="606CC31E" w14:textId="3A12C938" w:rsidR="00FF4B52" w:rsidRPr="00181EF3" w:rsidRDefault="00FF4B52" w:rsidP="00FF4B52">
      <w:pPr>
        <w:pStyle w:val="Figure"/>
      </w:pPr>
      <w:bookmarkStart w:id="256" w:name="_Toc19101934"/>
      <w:r w:rsidRPr="00181EF3">
        <w:t xml:space="preserve">Figure </w:t>
      </w:r>
      <w:r w:rsidR="00C9098B">
        <w:t>8</w:t>
      </w:r>
      <w:r w:rsidRPr="00181EF3">
        <w:t>3: Intentional self-harm hospitalisation</w:t>
      </w:r>
      <w:r w:rsidR="00C9098B">
        <w:t xml:space="preserve"> rates</w:t>
      </w:r>
      <w:r w:rsidRPr="00181EF3">
        <w:t>, all age groups</w:t>
      </w:r>
      <w:r w:rsidR="00C9098B">
        <w:t xml:space="preserve">, by gender, </w:t>
      </w:r>
      <w:r w:rsidR="00C9098B" w:rsidRPr="00181EF3">
        <w:t xml:space="preserve">Māori and </w:t>
      </w:r>
      <w:r w:rsidR="00EC03A3">
        <w:t>non</w:t>
      </w:r>
      <w:r w:rsidR="00EC03A3">
        <w:noBreakHyphen/>
        <w:t>M</w:t>
      </w:r>
      <w:r w:rsidR="00C9098B" w:rsidRPr="00181EF3">
        <w:t>āori, 1996–98 to 2014–16</w:t>
      </w:r>
      <w:bookmarkEnd w:id="256"/>
    </w:p>
    <w:p w14:paraId="478650B5" w14:textId="77777777" w:rsidR="00FF4B52" w:rsidRPr="00181EF3" w:rsidRDefault="00FF4B52" w:rsidP="00FF4B52">
      <w:r w:rsidRPr="00181EF3">
        <w:rPr>
          <w:noProof/>
          <w:lang w:eastAsia="en-NZ"/>
        </w:rPr>
        <w:drawing>
          <wp:inline distT="0" distB="0" distL="0" distR="0" wp14:anchorId="2F5F0445" wp14:editId="6690B71F">
            <wp:extent cx="5130165" cy="2616603"/>
            <wp:effectExtent l="0" t="0" r="0" b="0"/>
            <wp:docPr id="258" name="Picture 258" descr="Women of both groups have seen an increase in the rate of hospitalisation for intentional self-harm. While the rates have mostly been very similar, the gap between the two has increased since 2012-14, when Māori women began a large increase. For men, the rates have always been lower and were relatively steady until 2012-14, when they also saw an increase. The rate for Māori men is consistently higher than the rate for non-Māori men." title="Figure 83: Intentional self-harm hospitalisation, all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130165" cy="2616603"/>
                    </a:xfrm>
                    <a:prstGeom prst="rect">
                      <a:avLst/>
                    </a:prstGeom>
                  </pic:spPr>
                </pic:pic>
              </a:graphicData>
            </a:graphic>
          </wp:inline>
        </w:drawing>
      </w:r>
    </w:p>
    <w:p w14:paraId="06D2FE6F" w14:textId="77777777" w:rsidR="00C9098B" w:rsidRPr="00D37C7B" w:rsidRDefault="00C9098B" w:rsidP="00D37C7B">
      <w:pPr>
        <w:pStyle w:val="Note"/>
        <w:rPr>
          <w:rFonts w:eastAsia="Calibri"/>
        </w:rPr>
      </w:pPr>
      <w:r w:rsidRPr="00D37C7B">
        <w:rPr>
          <w:rFonts w:eastAsia="Calibri"/>
        </w:rPr>
        <w:t>Notes:</w:t>
      </w:r>
    </w:p>
    <w:p w14:paraId="1379C203" w14:textId="06667300" w:rsidR="008A5642" w:rsidRPr="00D37C7B" w:rsidRDefault="00446D86" w:rsidP="00D37C7B">
      <w:pPr>
        <w:pStyle w:val="Note"/>
        <w:rPr>
          <w:rFonts w:eastAsia="Calibri"/>
        </w:rPr>
      </w:pPr>
      <w:r w:rsidRPr="00D37C7B">
        <w:rPr>
          <w:rFonts w:eastAsia="Calibri"/>
        </w:rPr>
        <w:t>Figures are age-standardised to the 2001 Census total Māori population</w:t>
      </w:r>
      <w:r w:rsidR="00C9098B" w:rsidRPr="00D37C7B">
        <w:rPr>
          <w:rFonts w:eastAsia="Calibri"/>
        </w:rPr>
        <w:t>.</w:t>
      </w:r>
    </w:p>
    <w:p w14:paraId="7108AB82" w14:textId="24595E0C" w:rsidR="00C9098B" w:rsidRPr="00D37C7B" w:rsidRDefault="00C9098B" w:rsidP="00D37C7B">
      <w:pPr>
        <w:pStyle w:val="Note"/>
        <w:rPr>
          <w:rFonts w:eastAsia="Calibri"/>
        </w:rPr>
      </w:pPr>
      <w:r w:rsidRPr="00D37C7B">
        <w:rPr>
          <w:rFonts w:eastAsia="Calibri"/>
        </w:rPr>
        <w:t>Prioritised ethnicity has been used.</w:t>
      </w:r>
    </w:p>
    <w:p w14:paraId="4FDC46C9" w14:textId="77777777" w:rsidR="008A5642" w:rsidRPr="00D37C7B" w:rsidRDefault="00C9098B" w:rsidP="00D37C7B">
      <w:pPr>
        <w:pStyle w:val="Note"/>
        <w:ind w:left="0" w:firstLine="0"/>
        <w:rPr>
          <w:rFonts w:eastAsia="Calibri"/>
        </w:rPr>
      </w:pPr>
      <w:r w:rsidRPr="00D37C7B">
        <w:rPr>
          <w:rFonts w:eastAsia="Calibri"/>
        </w:rPr>
        <w:t>If the confidence intervals of two rates do not overlap, the difference in rates is said to be statistically significant.</w:t>
      </w:r>
    </w:p>
    <w:p w14:paraId="7EDDF1E2" w14:textId="4114A3CA" w:rsidR="00FF4B52" w:rsidRPr="00D37C7B" w:rsidRDefault="00C9098B" w:rsidP="00D37C7B">
      <w:pPr>
        <w:pStyle w:val="Note"/>
        <w:rPr>
          <w:rFonts w:eastAsia="Calibri"/>
        </w:rPr>
      </w:pPr>
      <w:r w:rsidRPr="00D37C7B">
        <w:rPr>
          <w:rFonts w:eastAsia="Calibri"/>
        </w:rPr>
        <w:t>Source: National Minimum Data Set (NMDS), Ministry of Health, 1996–98 to 2014–16.</w:t>
      </w:r>
    </w:p>
    <w:p w14:paraId="2395659D" w14:textId="77777777" w:rsidR="00C9098B" w:rsidRPr="00181EF3" w:rsidRDefault="00C9098B" w:rsidP="00C9098B"/>
    <w:p w14:paraId="3567EAEA" w14:textId="0355BF97" w:rsidR="00C9098B" w:rsidRPr="00181EF3" w:rsidRDefault="00C9098B" w:rsidP="00C9098B">
      <w:r w:rsidRPr="00181EF3">
        <w:t xml:space="preserve">Māori were more likely than </w:t>
      </w:r>
      <w:r w:rsidR="00EC03A3">
        <w:t>non</w:t>
      </w:r>
      <w:r w:rsidR="00EC03A3">
        <w:noBreakHyphen/>
        <w:t>M</w:t>
      </w:r>
      <w:r w:rsidRPr="00181EF3">
        <w:t>āori to be hospitalised for intentional self-harm, particularly since the early 2000s. Over time, self-harm hospitalisation rates increased for Māori by around 60 percent (from 83.3 events per 100,000 in 1996–98 to 132.7 in 2014–16).</w:t>
      </w:r>
    </w:p>
    <w:p w14:paraId="6EABD34B" w14:textId="77777777" w:rsidR="00C9098B" w:rsidRPr="00181EF3" w:rsidRDefault="00C9098B" w:rsidP="00C9098B"/>
    <w:p w14:paraId="50D5DE9A" w14:textId="626B773C" w:rsidR="00C9098B" w:rsidRPr="00181EF3" w:rsidRDefault="00C9098B" w:rsidP="00C9098B">
      <w:r w:rsidRPr="00181EF3">
        <w:t xml:space="preserve">The difference between Māori and </w:t>
      </w:r>
      <w:r w:rsidR="00EC03A3">
        <w:t>non</w:t>
      </w:r>
      <w:r w:rsidR="00EC03A3">
        <w:noBreakHyphen/>
        <w:t>M</w:t>
      </w:r>
      <w:r w:rsidRPr="00181EF3">
        <w:t xml:space="preserve">āori also increased over time. From 1996–98 to the mid-2000s there was little difference between Māori females and </w:t>
      </w:r>
      <w:r w:rsidR="00EC03A3">
        <w:t>non</w:t>
      </w:r>
      <w:r w:rsidR="00EC03A3">
        <w:noBreakHyphen/>
        <w:t>M</w:t>
      </w:r>
      <w:r w:rsidRPr="00181EF3">
        <w:t xml:space="preserve">āori females with similar rates of hospitalisation for self-harm. However since the mid-2000s, Māori females have been increasingly more likely than </w:t>
      </w:r>
      <w:r w:rsidR="00EC03A3">
        <w:t>non</w:t>
      </w:r>
      <w:r w:rsidR="00EC03A3">
        <w:noBreakHyphen/>
        <w:t>M</w:t>
      </w:r>
      <w:r w:rsidRPr="00181EF3">
        <w:t>āori females to be hospitalised for self-harm.</w:t>
      </w:r>
    </w:p>
    <w:p w14:paraId="37C9AB9D" w14:textId="77777777" w:rsidR="00C9098B" w:rsidRPr="00181EF3" w:rsidRDefault="00C9098B" w:rsidP="00C9098B"/>
    <w:p w14:paraId="4EC96E91" w14:textId="77777777" w:rsidR="00C9098B" w:rsidRPr="00181EF3" w:rsidRDefault="00C9098B" w:rsidP="00C9098B">
      <w:r w:rsidRPr="00181EF3">
        <w:t xml:space="preserve">Figure </w:t>
      </w:r>
      <w:r>
        <w:t>8</w:t>
      </w:r>
      <w:r w:rsidRPr="00181EF3">
        <w:t>3 shows that females are more likely to be hospitalised for intentional self-harm than males. For Māori females</w:t>
      </w:r>
      <w:r>
        <w:t>,</w:t>
      </w:r>
      <w:r w:rsidRPr="00181EF3">
        <w:t xml:space="preserve"> rates of hospitalisation for self-harm have increased over time by around 80 percent (from 94.6 events per 100,000 in 1996–98 to 170.8 events per 100,000 in 2014–16). For Māori males, there is a more fluctuating pattern over time, with an indication of increasing rates of self-harm hospitalisation from 2012–14.</w:t>
      </w:r>
    </w:p>
    <w:p w14:paraId="20A383EC" w14:textId="77777777" w:rsidR="00C9098B" w:rsidRPr="00181EF3" w:rsidRDefault="00C9098B" w:rsidP="00C9098B"/>
    <w:p w14:paraId="3C08C702" w14:textId="35DDC93A" w:rsidR="00C9098B" w:rsidRPr="00181EF3" w:rsidRDefault="00C9098B" w:rsidP="00C9098B">
      <w:r w:rsidRPr="00181EF3">
        <w:t xml:space="preserve">Māori males are more likely than </w:t>
      </w:r>
      <w:r w:rsidR="00EC03A3">
        <w:t>non</w:t>
      </w:r>
      <w:r w:rsidR="00EC03A3">
        <w:noBreakHyphen/>
        <w:t>M</w:t>
      </w:r>
      <w:r w:rsidRPr="00181EF3">
        <w:t xml:space="preserve">āori males to be hospitalised for intentional self-harm, and from 1996–98 the difference appears to be increasing. In 2014–16 Māori males were over 1½ times as likely as </w:t>
      </w:r>
      <w:r w:rsidR="00EC03A3">
        <w:t>non</w:t>
      </w:r>
      <w:r w:rsidR="00EC03A3">
        <w:noBreakHyphen/>
        <w:t>M</w:t>
      </w:r>
      <w:r w:rsidRPr="00181EF3">
        <w:t xml:space="preserve">āori males to be hospitalised. Unlike males, there was little difference between Māori females and </w:t>
      </w:r>
      <w:r w:rsidR="00EC03A3">
        <w:t>non</w:t>
      </w:r>
      <w:r w:rsidR="00EC03A3">
        <w:noBreakHyphen/>
        <w:t>M</w:t>
      </w:r>
      <w:r w:rsidRPr="00181EF3">
        <w:t>āori females over time. However</w:t>
      </w:r>
      <w:r>
        <w:t>,</w:t>
      </w:r>
      <w:r w:rsidRPr="00181EF3">
        <w:t xml:space="preserve"> since 2013–15</w:t>
      </w:r>
      <w:r>
        <w:t>,</w:t>
      </w:r>
      <w:r w:rsidRPr="00181EF3">
        <w:t xml:space="preserve"> Māori females are slightly more likely than </w:t>
      </w:r>
      <w:r w:rsidR="00EC03A3">
        <w:t>non</w:t>
      </w:r>
      <w:r w:rsidR="00EC03A3">
        <w:noBreakHyphen/>
        <w:t>M</w:t>
      </w:r>
      <w:r w:rsidRPr="00181EF3">
        <w:t>āori females to be hospitalised for intentional self-harm.</w:t>
      </w:r>
    </w:p>
    <w:p w14:paraId="37C75C23" w14:textId="77777777" w:rsidR="00C9098B" w:rsidRPr="00181EF3" w:rsidRDefault="00C9098B" w:rsidP="00C9098B"/>
    <w:p w14:paraId="76267E55" w14:textId="77777777" w:rsidR="00FF4B52" w:rsidRPr="00181EF3" w:rsidRDefault="009E35F3" w:rsidP="009E35F3">
      <w:pPr>
        <w:pStyle w:val="Heading4"/>
      </w:pPr>
      <w:r>
        <w:t>Intentional self-harm hospitalisation t</w:t>
      </w:r>
      <w:r w:rsidR="00FF4B52" w:rsidRPr="00181EF3">
        <w:t>rends by age group</w:t>
      </w:r>
    </w:p>
    <w:p w14:paraId="3DC977FE" w14:textId="200D1D1A" w:rsidR="00FF4B52" w:rsidRPr="00181EF3" w:rsidRDefault="00FF4B52" w:rsidP="00FF4B52">
      <w:pPr>
        <w:pStyle w:val="Figure"/>
      </w:pPr>
      <w:bookmarkStart w:id="257" w:name="_Toc19101935"/>
      <w:r w:rsidRPr="00181EF3">
        <w:t xml:space="preserve">Figure </w:t>
      </w:r>
      <w:r w:rsidR="00C9098B">
        <w:t>8</w:t>
      </w:r>
      <w:r w:rsidRPr="00181EF3">
        <w:t>4: Intentional self-harm hospitalisation, 15–24 years</w:t>
      </w:r>
      <w:r w:rsidR="00C9098B">
        <w:t xml:space="preserve">, by gender, </w:t>
      </w:r>
      <w:r w:rsidR="00C9098B" w:rsidRPr="00181EF3">
        <w:t xml:space="preserve">Māori and </w:t>
      </w:r>
      <w:r w:rsidR="00EC03A3">
        <w:t>non</w:t>
      </w:r>
      <w:r w:rsidR="00EC03A3">
        <w:noBreakHyphen/>
        <w:t>M</w:t>
      </w:r>
      <w:r w:rsidR="00C9098B" w:rsidRPr="00181EF3">
        <w:t>āori, 1996–98 to 2014–16</w:t>
      </w:r>
      <w:bookmarkEnd w:id="257"/>
    </w:p>
    <w:p w14:paraId="750D2183" w14:textId="77777777" w:rsidR="00FF4B52" w:rsidRPr="00181EF3" w:rsidRDefault="00FF4B52" w:rsidP="00FF4B52">
      <w:r w:rsidRPr="00181EF3">
        <w:rPr>
          <w:noProof/>
          <w:lang w:eastAsia="en-NZ"/>
        </w:rPr>
        <w:drawing>
          <wp:inline distT="0" distB="0" distL="0" distR="0" wp14:anchorId="32A9DF3D" wp14:editId="447808B6">
            <wp:extent cx="5130165" cy="2616603"/>
            <wp:effectExtent l="0" t="0" r="0" b="0"/>
            <wp:docPr id="259" name="Picture 259" descr="The rate of hospitalisation due to intentional self-harm is relatively steady for young men of both groups, with Māori men experiencing a slightly higher rate. Young women of both groups have a very similar rate of self-harm, which is higher than that for young men of both groups, and that rate has increased substantially from a low point in 2006-08." title="Figure 84: Intentional self-harm hospitalisation, 15–2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130165" cy="2616603"/>
                    </a:xfrm>
                    <a:prstGeom prst="rect">
                      <a:avLst/>
                    </a:prstGeom>
                  </pic:spPr>
                </pic:pic>
              </a:graphicData>
            </a:graphic>
          </wp:inline>
        </w:drawing>
      </w:r>
    </w:p>
    <w:p w14:paraId="13CBA16B" w14:textId="77777777" w:rsidR="00C9098B" w:rsidRDefault="00C9098B" w:rsidP="00C9098B">
      <w:pPr>
        <w:pStyle w:val="Note"/>
      </w:pPr>
      <w:r w:rsidRPr="00181EF3">
        <w:t>Note</w:t>
      </w:r>
      <w:r>
        <w:t>s</w:t>
      </w:r>
      <w:r w:rsidRPr="00181EF3">
        <w:t>:</w:t>
      </w:r>
    </w:p>
    <w:p w14:paraId="6A5A1F26" w14:textId="47BF4AD4" w:rsidR="008A5642" w:rsidRDefault="00446D86" w:rsidP="00C9098B">
      <w:pPr>
        <w:pStyle w:val="Note"/>
      </w:pPr>
      <w:r>
        <w:t>Figures are age-standardised to the 2001 Census total Māori population</w:t>
      </w:r>
      <w:r w:rsidR="00C9098B" w:rsidRPr="00181EF3">
        <w:t>.</w:t>
      </w:r>
    </w:p>
    <w:p w14:paraId="390B532D" w14:textId="50947505" w:rsidR="00C9098B" w:rsidRPr="00181EF3" w:rsidRDefault="00C9098B" w:rsidP="00C9098B">
      <w:pPr>
        <w:pStyle w:val="Note"/>
      </w:pPr>
      <w:r>
        <w:t>Prioritised ethnicity has been used.</w:t>
      </w:r>
    </w:p>
    <w:p w14:paraId="601A5438" w14:textId="77777777" w:rsidR="008A5642" w:rsidRDefault="00C9098B" w:rsidP="00B6364B">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6BEAB1BF" w14:textId="1E69E8F2" w:rsidR="00C9098B" w:rsidRPr="00181EF3" w:rsidRDefault="00C9098B" w:rsidP="00C9098B">
      <w:pPr>
        <w:pStyle w:val="Source"/>
        <w:rPr>
          <w:rFonts w:eastAsia="Calibri"/>
        </w:rPr>
      </w:pPr>
      <w:r w:rsidRPr="00181EF3">
        <w:rPr>
          <w:rFonts w:eastAsia="Calibri"/>
        </w:rPr>
        <w:t>Source: National Minimum Data Set (NMDS), Ministry of Health</w:t>
      </w:r>
      <w:r>
        <w:rPr>
          <w:rFonts w:eastAsia="Calibri"/>
        </w:rPr>
        <w:t>,</w:t>
      </w:r>
      <w:r w:rsidRPr="00507AA7">
        <w:t xml:space="preserve"> </w:t>
      </w:r>
      <w:r w:rsidRPr="00181EF3">
        <w:t>1996–98 to 201</w:t>
      </w:r>
      <w:r>
        <w:t>4</w:t>
      </w:r>
      <w:r w:rsidRPr="00181EF3">
        <w:t>–1</w:t>
      </w:r>
      <w:r>
        <w:t>6</w:t>
      </w:r>
      <w:r w:rsidRPr="00181EF3">
        <w:rPr>
          <w:rFonts w:eastAsia="Calibri"/>
        </w:rPr>
        <w:t>.</w:t>
      </w:r>
    </w:p>
    <w:p w14:paraId="25B1DF68" w14:textId="77777777" w:rsidR="00FF4B52" w:rsidRPr="00181EF3" w:rsidRDefault="00FF4B52" w:rsidP="00FF4B52"/>
    <w:p w14:paraId="42EB0F03" w14:textId="77777777" w:rsidR="00D37C7B" w:rsidRDefault="00C9098B" w:rsidP="00C9098B">
      <w:r w:rsidRPr="00181EF3">
        <w:t xml:space="preserve">Young people aged 15–24 years had the highest rates of self-harm hospitalisations out of all age groups, with little difference between Māori and </w:t>
      </w:r>
      <w:r w:rsidR="00EC03A3">
        <w:t>non</w:t>
      </w:r>
      <w:r w:rsidR="00EC03A3">
        <w:noBreakHyphen/>
        <w:t>M</w:t>
      </w:r>
      <w:r w:rsidRPr="00181EF3">
        <w:t>āori until around 2013–15</w:t>
      </w:r>
      <w:r>
        <w:t>,</w:t>
      </w:r>
      <w:r w:rsidRPr="00181EF3">
        <w:t xml:space="preserve"> when rates become slightly higher for Māori. Self-harm hospitalisations have increased over time for Māori by 64 percent (from 177.8 events per 100,000 in 1996–98 to 291.2 events per 100,000 in 2014–16).</w:t>
      </w:r>
    </w:p>
    <w:p w14:paraId="30280587" w14:textId="77777777" w:rsidR="00D37C7B" w:rsidRDefault="00D37C7B" w:rsidP="00C9098B"/>
    <w:p w14:paraId="33D45C4B" w14:textId="4EABCEC4" w:rsidR="00C9098B" w:rsidRPr="00181EF3" w:rsidRDefault="00C9098B" w:rsidP="00C9098B">
      <w:r w:rsidRPr="00181EF3">
        <w:t xml:space="preserve">Figure </w:t>
      </w:r>
      <w:r>
        <w:t>8</w:t>
      </w:r>
      <w:r w:rsidRPr="00181EF3">
        <w:t>4 shows that females have higher rates of self-harm hospitalisations than males. There has not been much change over time for males, however</w:t>
      </w:r>
      <w:r>
        <w:t>,</w:t>
      </w:r>
      <w:r w:rsidRPr="00181EF3">
        <w:t xml:space="preserve"> for females there has been a steep increase in self-harm hospitalisations particularly since the late 2000s. Over time, hospitalisations for self-harm for Māori females aged 15–24 years have increased by over 100 percent from 2007–09 to 2014–16 (from 189.9 events per 100,000 to 423.8 events per 100,000).</w:t>
      </w:r>
    </w:p>
    <w:p w14:paraId="74E575F8" w14:textId="77777777" w:rsidR="00C9098B" w:rsidRDefault="00C9098B" w:rsidP="00FF4B52"/>
    <w:p w14:paraId="6917545B" w14:textId="1B3EC6D6" w:rsidR="00FF4B52" w:rsidRPr="00181EF3" w:rsidRDefault="00FF4B52" w:rsidP="00FF4B52">
      <w:pPr>
        <w:pStyle w:val="Figure"/>
      </w:pPr>
      <w:bookmarkStart w:id="258" w:name="_Toc19101936"/>
      <w:r w:rsidRPr="00181EF3">
        <w:lastRenderedPageBreak/>
        <w:t xml:space="preserve">Figure </w:t>
      </w:r>
      <w:r w:rsidR="00C9098B">
        <w:t>8</w:t>
      </w:r>
      <w:r w:rsidRPr="00181EF3">
        <w:t>5: Intentional self-harm hospitalisation, 25–44 years</w:t>
      </w:r>
      <w:r w:rsidR="00C9098B">
        <w:t xml:space="preserve">, by gender, </w:t>
      </w:r>
      <w:r w:rsidR="00C9098B" w:rsidRPr="00181EF3">
        <w:t xml:space="preserve">Māori and </w:t>
      </w:r>
      <w:r w:rsidR="00EC03A3">
        <w:t>non</w:t>
      </w:r>
      <w:r w:rsidR="00EC03A3">
        <w:noBreakHyphen/>
        <w:t>M</w:t>
      </w:r>
      <w:r w:rsidR="00C9098B" w:rsidRPr="00181EF3">
        <w:t>āori, 1996–98 to 2014–16</w:t>
      </w:r>
      <w:bookmarkEnd w:id="258"/>
    </w:p>
    <w:p w14:paraId="3F0C076B" w14:textId="77777777" w:rsidR="00FF4B52" w:rsidRPr="00181EF3" w:rsidRDefault="00FF4B52" w:rsidP="005B6F74">
      <w:pPr>
        <w:keepNext/>
      </w:pPr>
      <w:r w:rsidRPr="00181EF3">
        <w:rPr>
          <w:noProof/>
          <w:lang w:eastAsia="en-NZ"/>
        </w:rPr>
        <w:drawing>
          <wp:inline distT="0" distB="0" distL="0" distR="0" wp14:anchorId="43716055" wp14:editId="5AA2256E">
            <wp:extent cx="5130165" cy="2616603"/>
            <wp:effectExtent l="0" t="0" r="0" b="0"/>
            <wp:docPr id="260" name="Picture 260" descr="Rates of self-harm hospitalisation for women of both groups are historically very similar, although the gap has widened and grown for Māori women especially since 2012-14. The rate for non-Māori men has generally decreased over the years with a recent slight increase, while the rate for Māori men has fluctuated over time and increased substantially since 2011-13." title="Figure 85: Intentional self-harm hospitalisation, 25–4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130165" cy="2616603"/>
                    </a:xfrm>
                    <a:prstGeom prst="rect">
                      <a:avLst/>
                    </a:prstGeom>
                  </pic:spPr>
                </pic:pic>
              </a:graphicData>
            </a:graphic>
          </wp:inline>
        </w:drawing>
      </w:r>
    </w:p>
    <w:p w14:paraId="4B855DFA" w14:textId="77777777" w:rsidR="00C9098B" w:rsidRDefault="00C9098B" w:rsidP="00C9098B">
      <w:pPr>
        <w:pStyle w:val="Note"/>
      </w:pPr>
      <w:r w:rsidRPr="00181EF3">
        <w:t>Note</w:t>
      </w:r>
      <w:r>
        <w:t>s</w:t>
      </w:r>
      <w:r w:rsidRPr="00181EF3">
        <w:t>:</w:t>
      </w:r>
    </w:p>
    <w:p w14:paraId="2B5023FF" w14:textId="5EC9C1CE" w:rsidR="008A5642" w:rsidRDefault="00446D86" w:rsidP="00C9098B">
      <w:pPr>
        <w:pStyle w:val="Note"/>
      </w:pPr>
      <w:r>
        <w:t>Figures are age-standardised to the 2001 Census total Māori population</w:t>
      </w:r>
      <w:r w:rsidR="00C9098B" w:rsidRPr="00181EF3">
        <w:t>.</w:t>
      </w:r>
    </w:p>
    <w:p w14:paraId="169E31BC" w14:textId="6D1DCD0C" w:rsidR="00C9098B" w:rsidRPr="00181EF3" w:rsidRDefault="00C9098B" w:rsidP="00C9098B">
      <w:pPr>
        <w:pStyle w:val="Note"/>
      </w:pPr>
      <w:r>
        <w:t>Prioritised ethnicity has been used.</w:t>
      </w:r>
    </w:p>
    <w:p w14:paraId="56700BCA" w14:textId="77777777" w:rsidR="008A5642" w:rsidRDefault="00C9098B" w:rsidP="00B6364B">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w:t>
      </w:r>
      <w:r w:rsidRPr="00B6364B">
        <w:t>significant</w:t>
      </w:r>
      <w:r w:rsidRPr="00181EF3">
        <w:t>.</w:t>
      </w:r>
    </w:p>
    <w:p w14:paraId="29366ECC" w14:textId="3C81B0FF" w:rsidR="00C9098B" w:rsidRPr="00181EF3" w:rsidRDefault="00C9098B" w:rsidP="00C9098B">
      <w:pPr>
        <w:pStyle w:val="Source"/>
        <w:rPr>
          <w:rFonts w:eastAsia="Calibri"/>
        </w:rPr>
      </w:pPr>
      <w:r w:rsidRPr="00181EF3">
        <w:rPr>
          <w:rFonts w:eastAsia="Calibri"/>
        </w:rPr>
        <w:t>Source: National Minimum Data Set (NMDS), Ministry of Health</w:t>
      </w:r>
      <w:r>
        <w:rPr>
          <w:rFonts w:eastAsia="Calibri"/>
        </w:rPr>
        <w:t>,</w:t>
      </w:r>
      <w:r w:rsidRPr="00507AA7">
        <w:t xml:space="preserve"> </w:t>
      </w:r>
      <w:r w:rsidRPr="00181EF3">
        <w:t>1996–98 to 201</w:t>
      </w:r>
      <w:r>
        <w:t>4</w:t>
      </w:r>
      <w:r w:rsidRPr="00181EF3">
        <w:t>–1</w:t>
      </w:r>
      <w:r>
        <w:t>6</w:t>
      </w:r>
      <w:r w:rsidRPr="00181EF3">
        <w:rPr>
          <w:rFonts w:eastAsia="Calibri"/>
        </w:rPr>
        <w:t>.</w:t>
      </w:r>
    </w:p>
    <w:p w14:paraId="28454C25" w14:textId="77777777" w:rsidR="00C9098B" w:rsidRDefault="00C9098B" w:rsidP="00C9098B"/>
    <w:p w14:paraId="0586FE96" w14:textId="19B23127" w:rsidR="00C9098B" w:rsidRPr="00181EF3" w:rsidRDefault="00C9098B" w:rsidP="00C9098B">
      <w:r w:rsidRPr="00181EF3">
        <w:t xml:space="preserve">Over time, self-harm hospitalisations have increased for Māori aged 25–44 years with a widening disparity particularly evident between Māori males and </w:t>
      </w:r>
      <w:r w:rsidR="00EC03A3">
        <w:t>non</w:t>
      </w:r>
      <w:r w:rsidR="00EC03A3">
        <w:noBreakHyphen/>
        <w:t>M</w:t>
      </w:r>
      <w:r w:rsidRPr="00181EF3">
        <w:t xml:space="preserve">āori males (Figure </w:t>
      </w:r>
      <w:r>
        <w:t>8</w:t>
      </w:r>
      <w:r w:rsidRPr="00181EF3">
        <w:t xml:space="preserve">5). In 2014–16, Māori males aged 25–44 years were twice as likely as </w:t>
      </w:r>
      <w:r w:rsidR="00EC03A3">
        <w:t>non</w:t>
      </w:r>
      <w:r w:rsidR="00EC03A3">
        <w:noBreakHyphen/>
        <w:t>M</w:t>
      </w:r>
      <w:r w:rsidRPr="00181EF3">
        <w:t>āori males to be hospitalised for self-harm.</w:t>
      </w:r>
    </w:p>
    <w:p w14:paraId="26E17D7C" w14:textId="77777777" w:rsidR="00C9098B" w:rsidRPr="00181EF3" w:rsidRDefault="00C9098B" w:rsidP="00C9098B"/>
    <w:p w14:paraId="3397D258" w14:textId="7DEF68B6" w:rsidR="00C9098B" w:rsidRPr="00181EF3" w:rsidRDefault="00C9098B" w:rsidP="00C9098B">
      <w:r w:rsidRPr="00181EF3">
        <w:t xml:space="preserve">For females aged 25–44 years, there was little difference between Māori and </w:t>
      </w:r>
      <w:r w:rsidR="00EC03A3">
        <w:t>non</w:t>
      </w:r>
      <w:r w:rsidR="00EC03A3">
        <w:noBreakHyphen/>
        <w:t>M</w:t>
      </w:r>
      <w:r w:rsidRPr="00181EF3">
        <w:t>āori females until 2005–07 when Māori females were slightly more likely to be hospitalised for intentional self-harm. The hospitalisation rates for self-harm for Māori females aged 25–44 years have increased by 30 percent from 2005–07 to 2014–16 (from 152.8 events per 100,000 to 195.4 events per 100,000).</w:t>
      </w:r>
    </w:p>
    <w:p w14:paraId="626D3AB4" w14:textId="77777777" w:rsidR="00C9098B" w:rsidRDefault="00C9098B" w:rsidP="00FF4B52"/>
    <w:p w14:paraId="18D79C08" w14:textId="29D40913" w:rsidR="00FF4B52" w:rsidRPr="00181EF3" w:rsidRDefault="00FF4B52" w:rsidP="00FF4B52">
      <w:pPr>
        <w:pStyle w:val="Figure"/>
      </w:pPr>
      <w:bookmarkStart w:id="259" w:name="_Toc19101937"/>
      <w:r w:rsidRPr="00181EF3">
        <w:lastRenderedPageBreak/>
        <w:t xml:space="preserve">Figure </w:t>
      </w:r>
      <w:r w:rsidR="00C9098B">
        <w:t>8</w:t>
      </w:r>
      <w:r w:rsidRPr="00181EF3">
        <w:t>6: Intentional self-harm hospitalisation, 45–64 years</w:t>
      </w:r>
      <w:r w:rsidR="00C9098B">
        <w:t xml:space="preserve">, by gender, </w:t>
      </w:r>
      <w:r w:rsidR="00C9098B" w:rsidRPr="00181EF3">
        <w:t xml:space="preserve">Māori and </w:t>
      </w:r>
      <w:r w:rsidR="00EC03A3">
        <w:t>non</w:t>
      </w:r>
      <w:r w:rsidR="00EC03A3">
        <w:noBreakHyphen/>
        <w:t>M</w:t>
      </w:r>
      <w:r w:rsidR="00C9098B" w:rsidRPr="00181EF3">
        <w:t>āori, 1996–98 to 2014–16</w:t>
      </w:r>
      <w:bookmarkEnd w:id="259"/>
    </w:p>
    <w:p w14:paraId="2289A2B8" w14:textId="77777777" w:rsidR="00FF4B52" w:rsidRPr="00181EF3" w:rsidRDefault="00FF4B52" w:rsidP="00FF4B52">
      <w:r w:rsidRPr="00181EF3">
        <w:rPr>
          <w:noProof/>
          <w:lang w:eastAsia="en-NZ"/>
        </w:rPr>
        <w:drawing>
          <wp:inline distT="0" distB="0" distL="0" distR="0" wp14:anchorId="08FAF2BE" wp14:editId="4DEFE24C">
            <wp:extent cx="5130165" cy="2616603"/>
            <wp:effectExtent l="0" t="0" r="0" b="0"/>
            <wp:docPr id="261" name="Picture 261" descr="Intentional self harm for all groups has increased since 2011-13 and is higher for women of both groups than men. While the rate for Māori of genders was lower initially, it has out paced the non-Māori rate since 2008-10 for men and 2009-11 for women. " title="Figure 86: Intentional self-harm hospitalisation, 45–6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130165" cy="2616603"/>
                    </a:xfrm>
                    <a:prstGeom prst="rect">
                      <a:avLst/>
                    </a:prstGeom>
                  </pic:spPr>
                </pic:pic>
              </a:graphicData>
            </a:graphic>
          </wp:inline>
        </w:drawing>
      </w:r>
    </w:p>
    <w:p w14:paraId="15342F15" w14:textId="77777777" w:rsidR="00C9098B" w:rsidRDefault="00C9098B" w:rsidP="00C9098B">
      <w:pPr>
        <w:pStyle w:val="Note"/>
      </w:pPr>
      <w:r w:rsidRPr="00181EF3">
        <w:t>Note</w:t>
      </w:r>
      <w:r>
        <w:t>s</w:t>
      </w:r>
      <w:r w:rsidRPr="00181EF3">
        <w:t>:</w:t>
      </w:r>
    </w:p>
    <w:p w14:paraId="2CAD7428" w14:textId="5AE14A1B" w:rsidR="008A5642" w:rsidRDefault="00446D86" w:rsidP="00C9098B">
      <w:pPr>
        <w:pStyle w:val="Note"/>
      </w:pPr>
      <w:r>
        <w:t>Figures are age-standardised to the 2001 Census total Māori population</w:t>
      </w:r>
      <w:r w:rsidR="00C9098B" w:rsidRPr="00181EF3">
        <w:t>.</w:t>
      </w:r>
    </w:p>
    <w:p w14:paraId="0AFBF3B9" w14:textId="23812677" w:rsidR="00C9098B" w:rsidRPr="00181EF3" w:rsidRDefault="00C9098B" w:rsidP="00C9098B">
      <w:pPr>
        <w:pStyle w:val="Note"/>
      </w:pPr>
      <w:r>
        <w:t>Prioritised ethnicity has been used.</w:t>
      </w:r>
    </w:p>
    <w:p w14:paraId="6714D104" w14:textId="77777777" w:rsidR="008A5642" w:rsidRDefault="00C9098B" w:rsidP="00B6364B">
      <w:pPr>
        <w:pStyle w:val="Note"/>
        <w:ind w:left="0" w:firstLine="0"/>
      </w:pPr>
      <w:r w:rsidRPr="00181EF3">
        <w:t xml:space="preserve">If the </w:t>
      </w:r>
      <w:r w:rsidRPr="00B6364B">
        <w:t>confidence</w:t>
      </w:r>
      <w:r w:rsidRPr="00181EF3">
        <w:t xml:space="preserv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65E96B55" w14:textId="154DDC9B" w:rsidR="00C9098B" w:rsidRPr="00181EF3" w:rsidRDefault="00C9098B" w:rsidP="00C9098B">
      <w:pPr>
        <w:pStyle w:val="Source"/>
        <w:rPr>
          <w:rFonts w:eastAsia="Calibri"/>
        </w:rPr>
      </w:pPr>
      <w:r w:rsidRPr="00181EF3">
        <w:rPr>
          <w:rFonts w:eastAsia="Calibri"/>
        </w:rPr>
        <w:t>Source: National Minimum Data Set (NMDS), Ministry of Health</w:t>
      </w:r>
      <w:r>
        <w:rPr>
          <w:rFonts w:eastAsia="Calibri"/>
        </w:rPr>
        <w:t>,</w:t>
      </w:r>
      <w:r w:rsidRPr="00507AA7">
        <w:t xml:space="preserve"> </w:t>
      </w:r>
      <w:r w:rsidRPr="00181EF3">
        <w:t>1996–98 to 201</w:t>
      </w:r>
      <w:r>
        <w:t>4</w:t>
      </w:r>
      <w:r w:rsidRPr="00181EF3">
        <w:t>–1</w:t>
      </w:r>
      <w:r>
        <w:t>6</w:t>
      </w:r>
      <w:r w:rsidRPr="00181EF3">
        <w:rPr>
          <w:rFonts w:eastAsia="Calibri"/>
        </w:rPr>
        <w:t>.</w:t>
      </w:r>
    </w:p>
    <w:p w14:paraId="46C7957D" w14:textId="77777777" w:rsidR="00C9098B" w:rsidRDefault="00C9098B" w:rsidP="00C9098B"/>
    <w:p w14:paraId="71BEAEAE" w14:textId="19D3B551" w:rsidR="00C9098B" w:rsidRDefault="00C9098B" w:rsidP="00C9098B">
      <w:r w:rsidRPr="00181EF3">
        <w:t xml:space="preserve">Figure </w:t>
      </w:r>
      <w:r>
        <w:t>8</w:t>
      </w:r>
      <w:r w:rsidRPr="00181EF3">
        <w:t xml:space="preserve">6 shows that self-harm hospitalisation rates have increased over time for Māori aged 45–64 years. </w:t>
      </w:r>
      <w:r>
        <w:t>Before</w:t>
      </w:r>
      <w:r w:rsidRPr="00181EF3">
        <w:t xml:space="preserve"> 2010–12, Māori aged 45–64 years were less likely than </w:t>
      </w:r>
      <w:r w:rsidR="00EC03A3">
        <w:t>non</w:t>
      </w:r>
      <w:r w:rsidR="00EC03A3">
        <w:noBreakHyphen/>
        <w:t>M</w:t>
      </w:r>
      <w:r w:rsidRPr="00181EF3">
        <w:t>āori of the same age group to be hospitalised for self-harm</w:t>
      </w:r>
      <w:r>
        <w:t>,</w:t>
      </w:r>
      <w:r w:rsidRPr="00181EF3">
        <w:t xml:space="preserve"> however</w:t>
      </w:r>
      <w:r>
        <w:t>,</w:t>
      </w:r>
      <w:r w:rsidRPr="00181EF3">
        <w:t xml:space="preserve"> since this time period, both Māori males and females were more likely than </w:t>
      </w:r>
      <w:r w:rsidR="00EC03A3">
        <w:t>non</w:t>
      </w:r>
      <w:r w:rsidR="00EC03A3">
        <w:noBreakHyphen/>
        <w:t>M</w:t>
      </w:r>
      <w:r w:rsidRPr="00181EF3">
        <w:t>āori to be hospitalised for self-harm</w:t>
      </w:r>
      <w:r>
        <w:t>,</w:t>
      </w:r>
      <w:r w:rsidRPr="00181EF3">
        <w:t xml:space="preserve"> with an increasing upward trend. The hospitalisation rates for self-harm for Māori aged 45–64 years have increased by around 30 percent from</w:t>
      </w:r>
      <w:r>
        <w:t xml:space="preserve"> </w:t>
      </w:r>
      <w:r w:rsidRPr="00181EF3">
        <w:t>2010–12 to 2014–16 (from 67.3 events per 100,000 to 86.5 events per 100,000 for males, from 83.4 events per 100,000 to 111.5 events per 100,000 for females).</w:t>
      </w:r>
    </w:p>
    <w:p w14:paraId="40431DD0" w14:textId="77777777" w:rsidR="005B6F74" w:rsidRPr="00181EF3" w:rsidRDefault="005B6F74" w:rsidP="00C9098B"/>
    <w:p w14:paraId="29171E3E" w14:textId="77777777" w:rsidR="007E7699" w:rsidRPr="00181EF3" w:rsidRDefault="007E7699" w:rsidP="005B6F74">
      <w:pPr>
        <w:pStyle w:val="Heading2"/>
        <w:pageBreakBefore/>
        <w:spacing w:before="0"/>
        <w:rPr>
          <w:noProof/>
          <w:lang w:eastAsia="en-NZ"/>
        </w:rPr>
      </w:pPr>
      <w:bookmarkStart w:id="260" w:name="_Toc14718634"/>
      <w:bookmarkStart w:id="261" w:name="_Toc14775057"/>
      <w:bookmarkStart w:id="262" w:name="_Toc19102383"/>
      <w:r>
        <w:rPr>
          <w:noProof/>
          <w:lang w:eastAsia="en-NZ"/>
        </w:rPr>
        <w:lastRenderedPageBreak/>
        <w:t>I</w:t>
      </w:r>
      <w:r w:rsidRPr="00181EF3">
        <w:rPr>
          <w:noProof/>
          <w:lang w:eastAsia="en-NZ"/>
        </w:rPr>
        <w:t>nterpersonal violence</w:t>
      </w:r>
      <w:bookmarkEnd w:id="260"/>
      <w:bookmarkEnd w:id="261"/>
      <w:bookmarkEnd w:id="262"/>
    </w:p>
    <w:p w14:paraId="76F0063D" w14:textId="46317848" w:rsidR="007E7699" w:rsidRDefault="007E7699" w:rsidP="007E7699">
      <w:r w:rsidRPr="00181EF3">
        <w:rPr>
          <w:noProof/>
          <w:lang w:eastAsia="en-NZ"/>
        </w:rPr>
        <w:t xml:space="preserve">This </w:t>
      </w:r>
      <w:r w:rsidR="00DC6588">
        <w:rPr>
          <w:noProof/>
          <w:lang w:eastAsia="en-NZ"/>
        </w:rPr>
        <w:t>section</w:t>
      </w:r>
      <w:r w:rsidRPr="00181EF3">
        <w:rPr>
          <w:noProof/>
          <w:lang w:eastAsia="en-NZ"/>
        </w:rPr>
        <w:t xml:space="preserve"> </w:t>
      </w:r>
      <w:r w:rsidR="004D12AC">
        <w:rPr>
          <w:noProof/>
          <w:lang w:eastAsia="en-NZ"/>
        </w:rPr>
        <w:t>present</w:t>
      </w:r>
      <w:r w:rsidR="00DC6588">
        <w:rPr>
          <w:noProof/>
          <w:lang w:eastAsia="en-NZ"/>
        </w:rPr>
        <w:t>s</w:t>
      </w:r>
      <w:r w:rsidRPr="00181EF3">
        <w:rPr>
          <w:noProof/>
          <w:lang w:eastAsia="en-NZ"/>
        </w:rPr>
        <w:t xml:space="preserve"> the trends in assault and homicide mortality</w:t>
      </w:r>
      <w:r w:rsidR="00DC6588">
        <w:rPr>
          <w:noProof/>
          <w:lang w:eastAsia="en-NZ"/>
        </w:rPr>
        <w:t xml:space="preserve"> and </w:t>
      </w:r>
      <w:r w:rsidR="00DC6588" w:rsidRPr="00181EF3">
        <w:t>assault and attempted homicide</w:t>
      </w:r>
      <w:r w:rsidR="00DC6588">
        <w:t xml:space="preserve"> hospitalisation</w:t>
      </w:r>
      <w:r w:rsidR="00DC6588">
        <w:rPr>
          <w:noProof/>
          <w:lang w:eastAsia="en-NZ"/>
        </w:rPr>
        <w:t xml:space="preserve"> </w:t>
      </w:r>
      <w:r w:rsidRPr="00181EF3">
        <w:rPr>
          <w:noProof/>
          <w:lang w:eastAsia="en-NZ"/>
        </w:rPr>
        <w:t xml:space="preserve">for </w:t>
      </w:r>
      <w:r w:rsidRPr="00181EF3">
        <w:t xml:space="preserve">Māori and </w:t>
      </w:r>
      <w:r w:rsidR="00EC03A3">
        <w:t>non</w:t>
      </w:r>
      <w:r w:rsidR="00EC03A3">
        <w:noBreakHyphen/>
        <w:t>M</w:t>
      </w:r>
      <w:r w:rsidRPr="00181EF3">
        <w:t>āori adults aged 15 years and over.</w:t>
      </w:r>
    </w:p>
    <w:p w14:paraId="3C6CDCD2" w14:textId="77777777" w:rsidR="005B6F74" w:rsidRPr="00181EF3" w:rsidRDefault="005B6F74" w:rsidP="007E7699"/>
    <w:p w14:paraId="712C4A91" w14:textId="77777777" w:rsidR="007E7699" w:rsidRPr="00181EF3" w:rsidRDefault="007E7699" w:rsidP="00DC6588">
      <w:pPr>
        <w:pStyle w:val="Heading3"/>
      </w:pPr>
      <w:bookmarkStart w:id="263" w:name="_Toc19102384"/>
      <w:r w:rsidRPr="00181EF3">
        <w:t>What is the data telling us?</w:t>
      </w:r>
      <w:bookmarkEnd w:id="263"/>
    </w:p>
    <w:p w14:paraId="4B3598FB" w14:textId="77777777" w:rsidR="007E7699" w:rsidRPr="00181EF3" w:rsidRDefault="00DC6588" w:rsidP="007E7699">
      <w:pPr>
        <w:pStyle w:val="Shadedboxheading"/>
      </w:pPr>
      <w:r>
        <w:t>Assault and homicide m</w:t>
      </w:r>
      <w:r w:rsidR="007E7699" w:rsidRPr="00181EF3">
        <w:t>ortality</w:t>
      </w:r>
    </w:p>
    <w:p w14:paraId="623ABC35" w14:textId="209289FE" w:rsidR="007E7699" w:rsidRPr="00181EF3" w:rsidRDefault="007E7699" w:rsidP="007E7699">
      <w:pPr>
        <w:pStyle w:val="Shadedboxbullet"/>
        <w:ind w:left="568" w:hanging="284"/>
      </w:pPr>
      <w:r w:rsidRPr="00181EF3">
        <w:t xml:space="preserve">Māori have a higher incidence of assault and homicide mortality than </w:t>
      </w:r>
      <w:r w:rsidR="00EC03A3">
        <w:t>non</w:t>
      </w:r>
      <w:r w:rsidR="00EC03A3">
        <w:noBreakHyphen/>
        <w:t>M</w:t>
      </w:r>
      <w:r w:rsidRPr="00181EF3">
        <w:t>āori and this has not changed over time.</w:t>
      </w:r>
    </w:p>
    <w:p w14:paraId="02533418" w14:textId="7E51C455" w:rsidR="007E7699" w:rsidRPr="00181EF3" w:rsidRDefault="007E7699" w:rsidP="007E7699">
      <w:pPr>
        <w:pStyle w:val="Shadedboxbullet"/>
        <w:ind w:left="568" w:hanging="284"/>
      </w:pPr>
      <w:r w:rsidRPr="00181EF3">
        <w:t xml:space="preserve">Māori males have disproportionally higher incidence of assault and homicide mortality. In 2012–14, Māori males were nearly six times as likely to have died from assault and homicide as </w:t>
      </w:r>
      <w:r w:rsidR="00EC03A3">
        <w:t>non</w:t>
      </w:r>
      <w:r w:rsidR="00EC03A3">
        <w:noBreakHyphen/>
        <w:t>M</w:t>
      </w:r>
      <w:r w:rsidRPr="00181EF3">
        <w:t>āori males.</w:t>
      </w:r>
    </w:p>
    <w:p w14:paraId="4D023357" w14:textId="0DC5FFB9" w:rsidR="007E7699" w:rsidRPr="00181EF3" w:rsidRDefault="007E7699" w:rsidP="007E7699">
      <w:pPr>
        <w:pStyle w:val="Shadedboxbullet"/>
        <w:ind w:left="568" w:hanging="284"/>
      </w:pPr>
      <w:r w:rsidRPr="00181EF3">
        <w:t xml:space="preserve">Between 1996–98 and 2012–14, age-standardised rates of assault and homicide mortality for Māori females has decreased but still remain almost twice as high as those of </w:t>
      </w:r>
      <w:r w:rsidR="00EC03A3">
        <w:t>non</w:t>
      </w:r>
      <w:r w:rsidR="00EC03A3">
        <w:noBreakHyphen/>
        <w:t>M</w:t>
      </w:r>
      <w:r w:rsidRPr="00181EF3">
        <w:t>āori females.</w:t>
      </w:r>
    </w:p>
    <w:p w14:paraId="68787A68" w14:textId="77777777" w:rsidR="007E7699" w:rsidRPr="00181EF3" w:rsidRDefault="00DC6588" w:rsidP="007E7699">
      <w:pPr>
        <w:pStyle w:val="Shadedboxheading"/>
      </w:pPr>
      <w:r>
        <w:t>Assault and attempted homicide h</w:t>
      </w:r>
      <w:r w:rsidR="007E7699" w:rsidRPr="00181EF3">
        <w:t>ospitalisations</w:t>
      </w:r>
    </w:p>
    <w:p w14:paraId="70FCC48A" w14:textId="39540A34" w:rsidR="007E7699" w:rsidRPr="00181EF3" w:rsidRDefault="007E7699" w:rsidP="005B6F74">
      <w:pPr>
        <w:pStyle w:val="Shadedboxbullet"/>
        <w:ind w:left="568" w:hanging="284"/>
      </w:pPr>
      <w:r w:rsidRPr="00181EF3">
        <w:t xml:space="preserve">Māori age-standardised rates of hospitalisation as the result of assault or attempted homicide remain higher than those of </w:t>
      </w:r>
      <w:r w:rsidR="00EC03A3">
        <w:t>non</w:t>
      </w:r>
      <w:r w:rsidR="00EC03A3">
        <w:noBreakHyphen/>
        <w:t>M</w:t>
      </w:r>
      <w:r w:rsidRPr="00181EF3">
        <w:t>āori over time.</w:t>
      </w:r>
    </w:p>
    <w:p w14:paraId="2C0CDD64" w14:textId="0292B152" w:rsidR="007E7699" w:rsidRPr="00181EF3" w:rsidRDefault="007E7699" w:rsidP="005B6F74">
      <w:pPr>
        <w:pStyle w:val="Shadedboxbullet"/>
        <w:ind w:left="568" w:hanging="284"/>
      </w:pPr>
      <w:r w:rsidRPr="00181EF3">
        <w:t xml:space="preserve">The difference between Māori and </w:t>
      </w:r>
      <w:r w:rsidR="00EC03A3">
        <w:t>non</w:t>
      </w:r>
      <w:r w:rsidR="00EC03A3">
        <w:noBreakHyphen/>
        <w:t>M</w:t>
      </w:r>
      <w:r w:rsidRPr="00181EF3">
        <w:t xml:space="preserve">āori has steadily increased over time. In the mid to late 1990s, Māori were around 2½ times </w:t>
      </w:r>
      <w:r w:rsidR="00DC6588">
        <w:t>as</w:t>
      </w:r>
      <w:r w:rsidRPr="00181EF3">
        <w:t xml:space="preserve"> likely to be hospitalised for assault or attempted homicide in the mid to late 1990s with the difference increasing to over 3½ times in 2014–16.</w:t>
      </w:r>
    </w:p>
    <w:p w14:paraId="04961787" w14:textId="77777777" w:rsidR="007E7699" w:rsidRPr="00181EF3" w:rsidRDefault="007E7699" w:rsidP="005B6F74">
      <w:pPr>
        <w:pStyle w:val="Shadedboxbullet"/>
        <w:ind w:left="568" w:hanging="284"/>
      </w:pPr>
      <w:r w:rsidRPr="00181EF3">
        <w:t>Māori males continue to experience the highest rates of interpersonal violence when looking at hospitalisations.</w:t>
      </w:r>
    </w:p>
    <w:p w14:paraId="0D11537D" w14:textId="0B47D0B9" w:rsidR="007E7699" w:rsidRPr="00181EF3" w:rsidRDefault="007E7699" w:rsidP="007E7699">
      <w:pPr>
        <w:pStyle w:val="Shadedboxbullet"/>
        <w:ind w:left="568" w:hanging="284"/>
      </w:pPr>
      <w:r w:rsidRPr="00181EF3">
        <w:t xml:space="preserve">Māori females also experience much higher rates of hospitalisations from assault and attempted homicide than </w:t>
      </w:r>
      <w:r w:rsidR="00EC03A3">
        <w:t>non</w:t>
      </w:r>
      <w:r w:rsidR="00EC03A3">
        <w:noBreakHyphen/>
        <w:t>M</w:t>
      </w:r>
      <w:r w:rsidRPr="00181EF3">
        <w:t>āori females with little change apparent over time.</w:t>
      </w:r>
    </w:p>
    <w:p w14:paraId="6CBC93C9" w14:textId="77777777" w:rsidR="007E7699" w:rsidRPr="00181EF3" w:rsidRDefault="007E7699" w:rsidP="007E7699"/>
    <w:p w14:paraId="24383E51" w14:textId="77777777" w:rsidR="007E7699" w:rsidRPr="00181EF3" w:rsidRDefault="007E7699" w:rsidP="005B6F74">
      <w:pPr>
        <w:pStyle w:val="Heading3"/>
        <w:pageBreakBefore/>
        <w:spacing w:before="0"/>
      </w:pPr>
      <w:bookmarkStart w:id="264" w:name="_Toc19102385"/>
      <w:r w:rsidRPr="00181EF3">
        <w:lastRenderedPageBreak/>
        <w:t>Assault and homicide mortality</w:t>
      </w:r>
      <w:bookmarkEnd w:id="264"/>
    </w:p>
    <w:p w14:paraId="1CBB7B1A" w14:textId="0A4EE60D" w:rsidR="007E7699" w:rsidRDefault="007E7699" w:rsidP="00DC6588">
      <w:pPr>
        <w:pStyle w:val="Figure"/>
      </w:pPr>
      <w:bookmarkStart w:id="265" w:name="_Toc19101938"/>
      <w:r w:rsidRPr="00181EF3">
        <w:t xml:space="preserve">Figure </w:t>
      </w:r>
      <w:r w:rsidR="00DC6588">
        <w:t>87</w:t>
      </w:r>
      <w:r w:rsidRPr="00181EF3">
        <w:t xml:space="preserve">: </w:t>
      </w:r>
      <w:r w:rsidR="00DC6588">
        <w:t>A</w:t>
      </w:r>
      <w:r w:rsidRPr="00181EF3">
        <w:t xml:space="preserve">ssault and homicide mortality rates, 15+ years, </w:t>
      </w:r>
      <w:r w:rsidR="00DC6588">
        <w:t xml:space="preserve">by gender, </w:t>
      </w:r>
      <w:r w:rsidRPr="00181EF3">
        <w:t xml:space="preserve">Māori and </w:t>
      </w:r>
      <w:r w:rsidR="00EC03A3">
        <w:t>non</w:t>
      </w:r>
      <w:r w:rsidR="00EC03A3">
        <w:noBreakHyphen/>
        <w:t>M</w:t>
      </w:r>
      <w:r w:rsidRPr="00181EF3">
        <w:t xml:space="preserve">āori, </w:t>
      </w:r>
      <w:r w:rsidR="00DC6588" w:rsidRPr="00181EF3">
        <w:t>1996–98 to 2012–14</w:t>
      </w:r>
      <w:bookmarkEnd w:id="265"/>
    </w:p>
    <w:p w14:paraId="5F6E4778" w14:textId="77777777" w:rsidR="007E7699" w:rsidRPr="00181EF3" w:rsidRDefault="007E7699" w:rsidP="007E7699">
      <w:r w:rsidRPr="001D50DA">
        <w:rPr>
          <w:noProof/>
          <w:lang w:eastAsia="en-NZ"/>
        </w:rPr>
        <w:drawing>
          <wp:inline distT="0" distB="0" distL="0" distR="0" wp14:anchorId="74A285EE" wp14:editId="3A65824E">
            <wp:extent cx="5130165" cy="2721610"/>
            <wp:effectExtent l="0" t="0" r="0" b="2540"/>
            <wp:docPr id="262" name="Picture 262" descr="Rates of homicide and assault mortality are highest among Māori men, with a relatively steady rate over time. The next highest rate is for Māori women, who have a fluctuating rate that appears to be generally decreasing. The rate for non-Māori men and women is lower and relatively steady." title="Figure 87: Assault and homicide mortality rates, 15+ years, by gender, Māori and non-Māori, 1996-98 to 20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130165" cy="2721610"/>
                    </a:xfrm>
                    <a:prstGeom prst="rect">
                      <a:avLst/>
                    </a:prstGeom>
                  </pic:spPr>
                </pic:pic>
              </a:graphicData>
            </a:graphic>
          </wp:inline>
        </w:drawing>
      </w:r>
    </w:p>
    <w:p w14:paraId="24B8BB2F" w14:textId="77777777" w:rsidR="00DC6588" w:rsidRDefault="00DC6588" w:rsidP="00DC6588">
      <w:pPr>
        <w:pStyle w:val="Note"/>
      </w:pPr>
      <w:r w:rsidRPr="00181EF3">
        <w:t>Note</w:t>
      </w:r>
      <w:r>
        <w:t>s</w:t>
      </w:r>
      <w:r w:rsidRPr="00181EF3">
        <w:t>:</w:t>
      </w:r>
    </w:p>
    <w:p w14:paraId="2DC58B7C" w14:textId="5A63D397" w:rsidR="008A5642" w:rsidRDefault="00446D86" w:rsidP="00DC6588">
      <w:pPr>
        <w:pStyle w:val="Note"/>
      </w:pPr>
      <w:r>
        <w:t>Figures are age-standardised to the 2001 Census total Māori population</w:t>
      </w:r>
      <w:r w:rsidR="00DC6588" w:rsidRPr="00181EF3">
        <w:t>.</w:t>
      </w:r>
    </w:p>
    <w:p w14:paraId="1F3F21FF" w14:textId="24A374D3" w:rsidR="00DC6588" w:rsidRPr="00181EF3" w:rsidRDefault="00DC6588" w:rsidP="00DC6588">
      <w:pPr>
        <w:pStyle w:val="Note"/>
      </w:pPr>
      <w:r>
        <w:t>Prioritised ethnicity has been used.</w:t>
      </w:r>
    </w:p>
    <w:p w14:paraId="1A178CA0" w14:textId="77777777" w:rsidR="008A5642" w:rsidRDefault="00DC6588" w:rsidP="00B6364B">
      <w:pPr>
        <w:pStyle w:val="Note"/>
        <w:ind w:left="0" w:firstLine="0"/>
      </w:pPr>
      <w:r w:rsidRPr="00181EF3">
        <w:t xml:space="preserve">If the </w:t>
      </w:r>
      <w:r w:rsidRPr="00B6364B">
        <w:t>confidence</w:t>
      </w:r>
      <w:r w:rsidRPr="00181EF3">
        <w:t xml:space="preserv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4F48490D" w14:textId="0E84DCCE" w:rsidR="00DC6588" w:rsidRPr="00181EF3" w:rsidRDefault="00DC6588" w:rsidP="00DC6588">
      <w:pPr>
        <w:pStyle w:val="Source"/>
        <w:rPr>
          <w:rFonts w:eastAsia="Calibri"/>
        </w:rPr>
      </w:pPr>
      <w:r w:rsidRPr="00181EF3">
        <w:rPr>
          <w:rFonts w:eastAsia="Calibri"/>
        </w:rPr>
        <w:t>Source: Mortality Collection Data Set (MORT), Ministry of Health</w:t>
      </w:r>
      <w:r>
        <w:rPr>
          <w:rFonts w:eastAsia="Calibri"/>
        </w:rPr>
        <w:t xml:space="preserve">, </w:t>
      </w:r>
      <w:r w:rsidRPr="00181EF3">
        <w:t>1996–98 to 2012–14</w:t>
      </w:r>
      <w:r w:rsidRPr="00181EF3">
        <w:rPr>
          <w:rFonts w:eastAsia="Calibri"/>
        </w:rPr>
        <w:t>.</w:t>
      </w:r>
    </w:p>
    <w:p w14:paraId="23274D5E" w14:textId="77777777" w:rsidR="007E7699" w:rsidRDefault="007E7699" w:rsidP="007E7699"/>
    <w:p w14:paraId="35CFDA3A" w14:textId="342B2BE4" w:rsidR="00DC6588" w:rsidRPr="00181EF3" w:rsidRDefault="00DC6588" w:rsidP="00DC6588">
      <w:r w:rsidRPr="00181EF3">
        <w:t xml:space="preserve">Māori aged 15 years and over have higher incidence of assault and homicide mortality than </w:t>
      </w:r>
      <w:r w:rsidR="00EC03A3">
        <w:t>non</w:t>
      </w:r>
      <w:r w:rsidR="00EC03A3">
        <w:noBreakHyphen/>
        <w:t>M</w:t>
      </w:r>
      <w:r w:rsidRPr="00181EF3">
        <w:t xml:space="preserve">āori and this has not changed over time since the mid-1990s. In 2012–14, Māori were over four times as likely as </w:t>
      </w:r>
      <w:r w:rsidR="00EC03A3">
        <w:t>non</w:t>
      </w:r>
      <w:r w:rsidR="00EC03A3">
        <w:noBreakHyphen/>
        <w:t>M</w:t>
      </w:r>
      <w:r w:rsidRPr="00181EF3">
        <w:t xml:space="preserve">āori to die from assault </w:t>
      </w:r>
      <w:r w:rsidR="00D37C7B">
        <w:t>and</w:t>
      </w:r>
      <w:r w:rsidRPr="00181EF3">
        <w:t xml:space="preserve"> homicide.</w:t>
      </w:r>
    </w:p>
    <w:p w14:paraId="01F3BD10" w14:textId="77777777" w:rsidR="00DC6588" w:rsidRPr="00181EF3" w:rsidRDefault="00DC6588" w:rsidP="00DC6588"/>
    <w:p w14:paraId="7EA8C80E" w14:textId="7CB5E4D7" w:rsidR="00DC6588" w:rsidRPr="00181EF3" w:rsidRDefault="00DC6588" w:rsidP="00DC6588">
      <w:r w:rsidRPr="00181EF3">
        <w:t xml:space="preserve">Figure </w:t>
      </w:r>
      <w:r>
        <w:t>87</w:t>
      </w:r>
      <w:r w:rsidRPr="00181EF3">
        <w:t xml:space="preserve"> shows that Māori males are disproportionally affected by assault and homicide, with Māori males having far higher age-standardised rates than Māori females and </w:t>
      </w:r>
      <w:r w:rsidR="00EC03A3">
        <w:t>non</w:t>
      </w:r>
      <w:r w:rsidR="00EC03A3">
        <w:noBreakHyphen/>
        <w:t>M</w:t>
      </w:r>
      <w:r w:rsidRPr="00181EF3">
        <w:t xml:space="preserve">āori males and females. Age-standardised rates fluctuated over time for Māori males but remained at least over 3½ times as high as that of </w:t>
      </w:r>
      <w:r w:rsidR="00EC03A3">
        <w:t>non</w:t>
      </w:r>
      <w:r w:rsidR="00EC03A3">
        <w:noBreakHyphen/>
        <w:t>M</w:t>
      </w:r>
      <w:r w:rsidRPr="00181EF3">
        <w:t xml:space="preserve">āori males. In 2012–14, Māori males were nearly six times as likely to have died from assault and homicide as </w:t>
      </w:r>
      <w:r w:rsidR="00EC03A3">
        <w:t>non</w:t>
      </w:r>
      <w:r w:rsidR="00EC03A3">
        <w:noBreakHyphen/>
        <w:t>M</w:t>
      </w:r>
      <w:r w:rsidRPr="00181EF3">
        <w:t>āori males, the highest rate difference over the time series.</w:t>
      </w:r>
    </w:p>
    <w:p w14:paraId="2C0FB89A" w14:textId="77777777" w:rsidR="00DC6588" w:rsidRPr="00181EF3" w:rsidRDefault="00DC6588" w:rsidP="00DC6588"/>
    <w:p w14:paraId="7229AB8F" w14:textId="6EEFBEA5" w:rsidR="00DC6588" w:rsidRPr="00181EF3" w:rsidRDefault="00DC6588" w:rsidP="00DC6588">
      <w:r w:rsidRPr="00181EF3">
        <w:t xml:space="preserve">Between 1996–98 and 2012–14, age-standardised rates of assault and homicide mortality for Māori females have not changed much. Similarly, there was little change over time in the difference between Māori and </w:t>
      </w:r>
      <w:r w:rsidR="00EC03A3">
        <w:t>non</w:t>
      </w:r>
      <w:r w:rsidR="00EC03A3">
        <w:noBreakHyphen/>
        <w:t>M</w:t>
      </w:r>
      <w:r w:rsidRPr="00181EF3">
        <w:t xml:space="preserve">āori women, with rates for Māori women remaining twice as high as that of </w:t>
      </w:r>
      <w:r w:rsidR="00EC03A3">
        <w:t>non</w:t>
      </w:r>
      <w:r w:rsidR="00EC03A3">
        <w:noBreakHyphen/>
        <w:t>M</w:t>
      </w:r>
      <w:r w:rsidRPr="00181EF3">
        <w:t>āori women for most years in the time series.</w:t>
      </w:r>
    </w:p>
    <w:p w14:paraId="43A76EF5" w14:textId="77777777" w:rsidR="00DC6588" w:rsidRPr="00181EF3" w:rsidRDefault="00DC6588" w:rsidP="00DC6588"/>
    <w:p w14:paraId="21D8798F" w14:textId="77777777" w:rsidR="007E7699" w:rsidRPr="00181EF3" w:rsidRDefault="007E7699" w:rsidP="005B6F74">
      <w:pPr>
        <w:pStyle w:val="Heading3"/>
        <w:pageBreakBefore/>
        <w:spacing w:before="0"/>
      </w:pPr>
      <w:bookmarkStart w:id="266" w:name="_Toc19102386"/>
      <w:r w:rsidRPr="00181EF3">
        <w:lastRenderedPageBreak/>
        <w:t>Assault and attempted homicide hospitalisation</w:t>
      </w:r>
      <w:bookmarkEnd w:id="266"/>
    </w:p>
    <w:p w14:paraId="08BC33A7" w14:textId="69FC9E9B" w:rsidR="007E7699" w:rsidRPr="00181EF3" w:rsidRDefault="007E7699" w:rsidP="007E7699">
      <w:pPr>
        <w:pStyle w:val="Figure"/>
      </w:pPr>
      <w:bookmarkStart w:id="267" w:name="_Toc19101939"/>
      <w:r w:rsidRPr="00181EF3">
        <w:t xml:space="preserve">Figure </w:t>
      </w:r>
      <w:r w:rsidR="00DC6588">
        <w:t>88</w:t>
      </w:r>
      <w:r w:rsidRPr="00181EF3">
        <w:t xml:space="preserve">: </w:t>
      </w:r>
      <w:r w:rsidR="00DC6588">
        <w:t>A</w:t>
      </w:r>
      <w:r w:rsidRPr="00181EF3">
        <w:t xml:space="preserve">ssault and attempted homicide hospitalisation rates, 15+ years, </w:t>
      </w:r>
      <w:r w:rsidR="00DC6588">
        <w:t xml:space="preserve">by gender, </w:t>
      </w:r>
      <w:r w:rsidRPr="00181EF3">
        <w:t xml:space="preserve">Māori and </w:t>
      </w:r>
      <w:r w:rsidR="00EC03A3">
        <w:t>non</w:t>
      </w:r>
      <w:r w:rsidR="00EC03A3">
        <w:noBreakHyphen/>
        <w:t>M</w:t>
      </w:r>
      <w:r w:rsidRPr="00181EF3">
        <w:t xml:space="preserve">āori, </w:t>
      </w:r>
      <w:r w:rsidR="00DC6588" w:rsidRPr="00181EF3">
        <w:t>1996–98 to 2014–16</w:t>
      </w:r>
      <w:bookmarkEnd w:id="267"/>
    </w:p>
    <w:p w14:paraId="371632D5" w14:textId="77777777" w:rsidR="007E7699" w:rsidRPr="00181EF3" w:rsidRDefault="007E7699" w:rsidP="007E7699">
      <w:r w:rsidRPr="00181EF3">
        <w:rPr>
          <w:noProof/>
          <w:lang w:eastAsia="en-NZ"/>
        </w:rPr>
        <w:drawing>
          <wp:inline distT="0" distB="0" distL="0" distR="0" wp14:anchorId="7C99E001" wp14:editId="3DD11350">
            <wp:extent cx="5130165" cy="2600161"/>
            <wp:effectExtent l="0" t="0" r="0" b="0"/>
            <wp:docPr id="263" name="Picture 263" descr="Māori men have the highest hospitalisation rates for assault and attempted homicide, which have decreased since a peak in 2009-11. The rates for non-Māori men are lower and decreasing slightly over time. The rates for women of both groups have remained fairly steady, with the rate for Māori women much higher than the rate for non-Māori women." title="Figure 88: Age-standardised assault and attempted homicide hospitalisation rates, 15+ years, Māori and non-Māori, by sex, 1996–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130165" cy="2600161"/>
                    </a:xfrm>
                    <a:prstGeom prst="rect">
                      <a:avLst/>
                    </a:prstGeom>
                  </pic:spPr>
                </pic:pic>
              </a:graphicData>
            </a:graphic>
          </wp:inline>
        </w:drawing>
      </w:r>
    </w:p>
    <w:p w14:paraId="69A8F2D0" w14:textId="77777777" w:rsidR="00DC6588" w:rsidRDefault="00DC6588" w:rsidP="00DC6588">
      <w:pPr>
        <w:pStyle w:val="Note"/>
      </w:pPr>
      <w:r w:rsidRPr="00181EF3">
        <w:t>Note</w:t>
      </w:r>
      <w:r>
        <w:t>s</w:t>
      </w:r>
      <w:r w:rsidRPr="00181EF3">
        <w:t>:</w:t>
      </w:r>
    </w:p>
    <w:p w14:paraId="3EC0CACE" w14:textId="56D512BA" w:rsidR="008A5642" w:rsidRDefault="00446D86" w:rsidP="00DC6588">
      <w:pPr>
        <w:pStyle w:val="Note"/>
      </w:pPr>
      <w:r>
        <w:t>Figures are age-standardised to the 2001 Census total Māori population</w:t>
      </w:r>
      <w:r w:rsidR="00DC6588" w:rsidRPr="00181EF3">
        <w:t>.</w:t>
      </w:r>
    </w:p>
    <w:p w14:paraId="44109298" w14:textId="147A9C09" w:rsidR="00DC6588" w:rsidRPr="00181EF3" w:rsidRDefault="00DC6588" w:rsidP="00DC6588">
      <w:pPr>
        <w:pStyle w:val="Note"/>
      </w:pPr>
      <w:r>
        <w:t>Prioritised ethnicity has been used.</w:t>
      </w:r>
    </w:p>
    <w:p w14:paraId="45554D7D" w14:textId="77777777" w:rsidR="008A5642" w:rsidRDefault="00DC6588" w:rsidP="00B6364B">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w:t>
      </w:r>
      <w:r w:rsidRPr="00B6364B">
        <w:t>significant</w:t>
      </w:r>
      <w:r w:rsidRPr="00181EF3">
        <w:t>.</w:t>
      </w:r>
    </w:p>
    <w:p w14:paraId="5CA78520" w14:textId="053109E5" w:rsidR="00DC6588" w:rsidRPr="00181EF3" w:rsidRDefault="00DC6588" w:rsidP="00DC6588">
      <w:pPr>
        <w:pStyle w:val="Source"/>
        <w:rPr>
          <w:rFonts w:eastAsia="Calibri"/>
        </w:rPr>
      </w:pPr>
      <w:r w:rsidRPr="00181EF3">
        <w:rPr>
          <w:rFonts w:eastAsia="Calibri"/>
        </w:rPr>
        <w:t>Source: National Minimum Data Set (NMDS), Ministry of Health</w:t>
      </w:r>
      <w:r>
        <w:rPr>
          <w:rFonts w:eastAsia="Calibri"/>
        </w:rPr>
        <w:t>,</w:t>
      </w:r>
      <w:r w:rsidRPr="00507AA7">
        <w:t xml:space="preserve"> </w:t>
      </w:r>
      <w:r w:rsidRPr="00181EF3">
        <w:t>1996–98 to 201</w:t>
      </w:r>
      <w:r>
        <w:t>4</w:t>
      </w:r>
      <w:r w:rsidRPr="00181EF3">
        <w:t>–1</w:t>
      </w:r>
      <w:r>
        <w:t>6</w:t>
      </w:r>
      <w:r w:rsidRPr="00181EF3">
        <w:rPr>
          <w:rFonts w:eastAsia="Calibri"/>
        </w:rPr>
        <w:t>.</w:t>
      </w:r>
    </w:p>
    <w:p w14:paraId="21AB175C" w14:textId="77777777" w:rsidR="00DC6588" w:rsidRDefault="00DC6588" w:rsidP="00DC6588"/>
    <w:p w14:paraId="3BABEC21" w14:textId="70CF9FAD" w:rsidR="00DC6588" w:rsidRPr="00181EF3" w:rsidRDefault="00DC6588" w:rsidP="00DC6588">
      <w:r w:rsidRPr="00181EF3">
        <w:t xml:space="preserve">Māori age-standardised rates of hospitalisation as the result of assault or attempted homicide remain higher than that of </w:t>
      </w:r>
      <w:r w:rsidR="00EC03A3">
        <w:t>non</w:t>
      </w:r>
      <w:r w:rsidR="00EC03A3">
        <w:noBreakHyphen/>
        <w:t>M</w:t>
      </w:r>
      <w:r w:rsidRPr="00181EF3">
        <w:t>āori over time.</w:t>
      </w:r>
    </w:p>
    <w:p w14:paraId="4D8E814F" w14:textId="77777777" w:rsidR="00DC6588" w:rsidRPr="00181EF3" w:rsidRDefault="00DC6588" w:rsidP="00DC6588"/>
    <w:p w14:paraId="6F038CF0" w14:textId="18E11528" w:rsidR="00DC6588" w:rsidRPr="00181EF3" w:rsidRDefault="00DC6588" w:rsidP="00DC6588">
      <w:r w:rsidRPr="00181EF3">
        <w:t xml:space="preserve">The disparity between Māori and </w:t>
      </w:r>
      <w:r w:rsidR="00EC03A3">
        <w:t>non</w:t>
      </w:r>
      <w:r w:rsidR="00EC03A3">
        <w:noBreakHyphen/>
        <w:t>M</w:t>
      </w:r>
      <w:r w:rsidRPr="00181EF3">
        <w:t xml:space="preserve">āori has steadily increased over time. In the mid to late 1990s, Māori were around 2½ times as likely as </w:t>
      </w:r>
      <w:r w:rsidR="00EC03A3">
        <w:t>non</w:t>
      </w:r>
      <w:r w:rsidR="00EC03A3">
        <w:noBreakHyphen/>
        <w:t>M</w:t>
      </w:r>
      <w:r w:rsidRPr="00181EF3">
        <w:t>āori to be hospitalised for assault or attempted homicide with the difference increasing to over 3½ times in 2014–16.</w:t>
      </w:r>
    </w:p>
    <w:p w14:paraId="7642B9D6" w14:textId="77777777" w:rsidR="00DC6588" w:rsidRPr="00181EF3" w:rsidRDefault="00DC6588" w:rsidP="00DC6588"/>
    <w:p w14:paraId="78E0413F" w14:textId="1F43D67F" w:rsidR="00DC6588" w:rsidRPr="00181EF3" w:rsidRDefault="00DC6588" w:rsidP="00DC6588">
      <w:r w:rsidRPr="00181EF3">
        <w:t xml:space="preserve">Figure </w:t>
      </w:r>
      <w:r>
        <w:t>88</w:t>
      </w:r>
      <w:r w:rsidRPr="00181EF3">
        <w:t xml:space="preserve"> shows that Māori males continue to experience the highest rates of interpersonal violence when looking at hospitalisations for assault and attempted homicide. Māori male age-standardised rates of hospitalisations for assault and attempted homicide increased until 2009–11 and then appear to have started to slowly decrease again – however by 2014–16 rates still remain higher than they were in the mid to late 1990s. In contrast, hospitalisations for assault and attempted homicide for </w:t>
      </w:r>
      <w:r w:rsidR="00EC03A3">
        <w:t>non</w:t>
      </w:r>
      <w:r w:rsidR="00EC03A3">
        <w:noBreakHyphen/>
        <w:t>M</w:t>
      </w:r>
      <w:r w:rsidRPr="00181EF3">
        <w:t xml:space="preserve">āori decreased over time (a decrease of 40 percent from 162.1 admissions per 100,000 people in 1996–98 to 97.1 admissions in 2014–16). This has resulted in the difference between Māori and </w:t>
      </w:r>
      <w:r w:rsidR="00EC03A3">
        <w:t>non</w:t>
      </w:r>
      <w:r w:rsidR="00EC03A3">
        <w:noBreakHyphen/>
        <w:t>M</w:t>
      </w:r>
      <w:r w:rsidRPr="00181EF3">
        <w:t xml:space="preserve">āori males increasing over time. In 1996–98 Māori males were nearly twice as likely to be hospitalised as </w:t>
      </w:r>
      <w:r w:rsidR="00EC03A3">
        <w:t>non</w:t>
      </w:r>
      <w:r w:rsidR="00EC03A3">
        <w:noBreakHyphen/>
        <w:t>M</w:t>
      </w:r>
      <w:r w:rsidRPr="00181EF3">
        <w:t>āori males and by</w:t>
      </w:r>
      <w:r w:rsidRPr="00181EF3">
        <w:br/>
        <w:t>2014–16 this difference increased to be over three times as likely.</w:t>
      </w:r>
    </w:p>
    <w:p w14:paraId="4E340D7D" w14:textId="77777777" w:rsidR="00DC6588" w:rsidRPr="00181EF3" w:rsidRDefault="00DC6588" w:rsidP="00DC6588"/>
    <w:p w14:paraId="3DF65B23" w14:textId="14CFD493" w:rsidR="00E830F9" w:rsidRDefault="00DC6588" w:rsidP="005B6F74">
      <w:pPr>
        <w:keepNext/>
        <w:keepLines/>
      </w:pPr>
      <w:r w:rsidRPr="00181EF3">
        <w:lastRenderedPageBreak/>
        <w:t xml:space="preserve">Figure </w:t>
      </w:r>
      <w:r>
        <w:t>88</w:t>
      </w:r>
      <w:r w:rsidRPr="00181EF3">
        <w:t xml:space="preserve"> shows that Māori females have experienced a slight decline in hospitalisations for assault and attempted homicide (a decrease of 27 percent from 137.3 assault and homicide admissions per 100,000 people in 1996–98 to 123.6</w:t>
      </w:r>
      <w:r w:rsidR="005B6F74">
        <w:t> </w:t>
      </w:r>
      <w:r w:rsidRPr="00181EF3">
        <w:t xml:space="preserve">admissions in 2014–16). This compares to a similar decrease of 26 percent over the same time period for </w:t>
      </w:r>
      <w:r w:rsidR="00EC03A3">
        <w:t>non</w:t>
      </w:r>
      <w:r w:rsidR="00EC03A3">
        <w:noBreakHyphen/>
        <w:t>M</w:t>
      </w:r>
      <w:r w:rsidRPr="00181EF3">
        <w:t xml:space="preserve">āori females. Over time it is apparent that Māori females continue to experience much higher rates of hospitalisations from assault and attempted homicide than </w:t>
      </w:r>
      <w:r w:rsidR="00EC03A3">
        <w:t>non</w:t>
      </w:r>
      <w:r w:rsidR="00EC03A3">
        <w:noBreakHyphen/>
        <w:t>M</w:t>
      </w:r>
      <w:r w:rsidRPr="00181EF3">
        <w:t xml:space="preserve">āori females, with Māori females consistently around five to six times as likely as </w:t>
      </w:r>
      <w:r w:rsidR="00EC03A3">
        <w:t>non</w:t>
      </w:r>
      <w:r w:rsidR="00EC03A3">
        <w:noBreakHyphen/>
        <w:t>M</w:t>
      </w:r>
      <w:r w:rsidRPr="00181EF3">
        <w:t>āori females to be hospitalised from interpersonal violence.</w:t>
      </w:r>
      <w:bookmarkStart w:id="268" w:name="_Toc14718632"/>
      <w:bookmarkStart w:id="269" w:name="_Toc14775055"/>
    </w:p>
    <w:p w14:paraId="2F1328AE" w14:textId="01E51BDD" w:rsidR="00E830F9" w:rsidRDefault="00E830F9"/>
    <w:p w14:paraId="0D0C6252" w14:textId="77777777" w:rsidR="002D68F3" w:rsidRPr="00181EF3" w:rsidRDefault="002D68F3" w:rsidP="005B6F74">
      <w:pPr>
        <w:pStyle w:val="Heading2"/>
        <w:pageBreakBefore/>
        <w:spacing w:before="0"/>
        <w:rPr>
          <w:noProof/>
          <w:lang w:eastAsia="en-NZ"/>
        </w:rPr>
      </w:pPr>
      <w:bookmarkStart w:id="270" w:name="_Toc19102387"/>
      <w:r w:rsidRPr="00181EF3">
        <w:rPr>
          <w:noProof/>
          <w:lang w:eastAsia="en-NZ"/>
        </w:rPr>
        <w:lastRenderedPageBreak/>
        <w:t>Oral health</w:t>
      </w:r>
      <w:bookmarkEnd w:id="268"/>
      <w:bookmarkEnd w:id="269"/>
      <w:bookmarkEnd w:id="270"/>
    </w:p>
    <w:p w14:paraId="2F24A5BA" w14:textId="77777777" w:rsidR="002D68F3" w:rsidRPr="00181EF3" w:rsidRDefault="002D68F3" w:rsidP="002D68F3">
      <w:pPr>
        <w:rPr>
          <w:lang w:eastAsia="en-NZ"/>
        </w:rPr>
      </w:pPr>
      <w:r w:rsidRPr="00181EF3">
        <w:rPr>
          <w:lang w:eastAsia="en-NZ"/>
        </w:rPr>
        <w:t>Oral health refers to the health of our teeth and mouth. It is critical to the good health and wellbeing of children and adults. Oral diseases are among the most prevalent chronic diseases in New Zealand and represent a considerable burden on the health of the public</w:t>
      </w:r>
      <w:r w:rsidR="00294EFD">
        <w:rPr>
          <w:lang w:eastAsia="en-NZ"/>
        </w:rPr>
        <w:t xml:space="preserve"> (Ministry of Health 2010a)</w:t>
      </w:r>
      <w:r w:rsidRPr="00181EF3">
        <w:rPr>
          <w:lang w:eastAsia="en-NZ"/>
        </w:rPr>
        <w:t>.</w:t>
      </w:r>
    </w:p>
    <w:p w14:paraId="2BF6A46B" w14:textId="77777777" w:rsidR="002D68F3" w:rsidRPr="00181EF3" w:rsidRDefault="002D68F3" w:rsidP="002D68F3">
      <w:pPr>
        <w:rPr>
          <w:lang w:eastAsia="en-NZ"/>
        </w:rPr>
      </w:pPr>
    </w:p>
    <w:p w14:paraId="300E5A2A" w14:textId="04DD8DF2" w:rsidR="002D68F3" w:rsidRPr="00181EF3" w:rsidRDefault="002D68F3" w:rsidP="002D68F3">
      <w:pPr>
        <w:rPr>
          <w:lang w:eastAsia="en-NZ"/>
        </w:rPr>
      </w:pPr>
      <w:r w:rsidRPr="00181EF3">
        <w:rPr>
          <w:lang w:eastAsia="en-NZ"/>
        </w:rPr>
        <w:t xml:space="preserve">This </w:t>
      </w:r>
      <w:r w:rsidR="00294EFD">
        <w:rPr>
          <w:lang w:eastAsia="en-NZ"/>
        </w:rPr>
        <w:t>section</w:t>
      </w:r>
      <w:r w:rsidRPr="00181EF3">
        <w:rPr>
          <w:lang w:eastAsia="en-NZ"/>
        </w:rPr>
        <w:t xml:space="preserve"> </w:t>
      </w:r>
      <w:r w:rsidR="000D102F">
        <w:rPr>
          <w:lang w:eastAsia="en-NZ"/>
        </w:rPr>
        <w:t>present</w:t>
      </w:r>
      <w:r w:rsidRPr="00181EF3">
        <w:rPr>
          <w:lang w:eastAsia="en-NZ"/>
        </w:rPr>
        <w:t xml:space="preserve">s the trends related to oral health for Māori and </w:t>
      </w:r>
      <w:r w:rsidR="00EC03A3">
        <w:rPr>
          <w:lang w:eastAsia="en-NZ"/>
        </w:rPr>
        <w:t>non</w:t>
      </w:r>
      <w:r w:rsidR="00EC03A3">
        <w:rPr>
          <w:lang w:eastAsia="en-NZ"/>
        </w:rPr>
        <w:noBreakHyphen/>
        <w:t>M</w:t>
      </w:r>
      <w:r w:rsidRPr="00181EF3">
        <w:rPr>
          <w:lang w:eastAsia="en-NZ"/>
        </w:rPr>
        <w:t xml:space="preserve">āori </w:t>
      </w:r>
      <w:r w:rsidR="00294EFD">
        <w:rPr>
          <w:lang w:eastAsia="en-NZ"/>
        </w:rPr>
        <w:t>children and adults</w:t>
      </w:r>
      <w:r w:rsidRPr="00181EF3">
        <w:rPr>
          <w:lang w:eastAsia="en-NZ"/>
        </w:rPr>
        <w:t>.</w:t>
      </w:r>
      <w:r w:rsidR="00294EFD">
        <w:rPr>
          <w:lang w:eastAsia="en-NZ"/>
        </w:rPr>
        <w:t xml:space="preserve"> </w:t>
      </w:r>
      <w:r w:rsidRPr="00181EF3">
        <w:rPr>
          <w:lang w:eastAsia="en-NZ"/>
        </w:rPr>
        <w:t xml:space="preserve">For the purpose of this </w:t>
      </w:r>
      <w:r w:rsidR="00294EFD">
        <w:rPr>
          <w:lang w:eastAsia="en-NZ"/>
        </w:rPr>
        <w:t>report</w:t>
      </w:r>
      <w:r w:rsidRPr="00181EF3">
        <w:rPr>
          <w:lang w:eastAsia="en-NZ"/>
        </w:rPr>
        <w:t xml:space="preserve"> whether a child lives within a fluoridated area or not is determined by their school’s fluoridation status not the location of their residence. Also, in some DHB areas without community water fluoridation, the Community Oral Health Service provides regular fluoride varnish application for children at higher risk of poor oral health outcomes, this is not accounted for in this </w:t>
      </w:r>
      <w:r w:rsidR="00D37C7B">
        <w:rPr>
          <w:lang w:eastAsia="en-NZ"/>
        </w:rPr>
        <w:t>report</w:t>
      </w:r>
      <w:r w:rsidRPr="00181EF3">
        <w:rPr>
          <w:lang w:eastAsia="en-NZ"/>
        </w:rPr>
        <w:t xml:space="preserve"> and therefore the data may not accurately represent the fluoride exposure. The figures for fluoridated and non-fluoridated areas are included in the accompanying Excel tool and are commented on but not shown </w:t>
      </w:r>
      <w:r w:rsidR="00294EFD">
        <w:rPr>
          <w:lang w:eastAsia="en-NZ"/>
        </w:rPr>
        <w:t>here</w:t>
      </w:r>
      <w:r w:rsidRPr="00181EF3">
        <w:rPr>
          <w:lang w:eastAsia="en-NZ"/>
        </w:rPr>
        <w:t>.</w:t>
      </w:r>
    </w:p>
    <w:p w14:paraId="31A5C710" w14:textId="77777777" w:rsidR="002D68F3" w:rsidRPr="00181EF3" w:rsidRDefault="002D68F3" w:rsidP="002D68F3">
      <w:pPr>
        <w:rPr>
          <w:lang w:eastAsia="en-NZ"/>
        </w:rPr>
      </w:pPr>
    </w:p>
    <w:p w14:paraId="3FD2876E" w14:textId="77777777" w:rsidR="002D68F3" w:rsidRPr="00181EF3" w:rsidRDefault="002D68F3" w:rsidP="002D68F3">
      <w:pPr>
        <w:rPr>
          <w:lang w:eastAsia="en-NZ"/>
        </w:rPr>
      </w:pPr>
      <w:r w:rsidRPr="00181EF3">
        <w:rPr>
          <w:lang w:eastAsia="en-NZ"/>
        </w:rPr>
        <w:t>Decayed, missing and filled teeth is, by convention, abbreviated to ‘dmft’ for primary/deciduous teeth and ‘DMFT’ for permanent teeth.</w:t>
      </w:r>
    </w:p>
    <w:p w14:paraId="0AA25FE8" w14:textId="77777777" w:rsidR="002D68F3" w:rsidRPr="00181EF3" w:rsidRDefault="002D68F3" w:rsidP="002D68F3">
      <w:pPr>
        <w:rPr>
          <w:lang w:eastAsia="en-NZ"/>
        </w:rPr>
      </w:pPr>
    </w:p>
    <w:p w14:paraId="1245EBB3" w14:textId="77777777" w:rsidR="002D68F3" w:rsidRPr="00181EF3" w:rsidRDefault="002D68F3" w:rsidP="00C148E5">
      <w:pPr>
        <w:pStyle w:val="Heading3"/>
        <w:spacing w:before="240"/>
      </w:pPr>
      <w:bookmarkStart w:id="271" w:name="_Toc19102388"/>
      <w:r w:rsidRPr="00181EF3">
        <w:t>What is the data telling us?</w:t>
      </w:r>
      <w:bookmarkEnd w:id="271"/>
    </w:p>
    <w:p w14:paraId="1F6FF025" w14:textId="633F50AA" w:rsidR="002D68F3" w:rsidRPr="00C148E5" w:rsidRDefault="002D68F3" w:rsidP="005B6F74">
      <w:pPr>
        <w:pStyle w:val="Shadedboxbullet"/>
        <w:ind w:left="568" w:hanging="284"/>
        <w:rPr>
          <w:spacing w:val="-2"/>
        </w:rPr>
      </w:pPr>
      <w:r w:rsidRPr="00C148E5">
        <w:rPr>
          <w:spacing w:val="-2"/>
        </w:rPr>
        <w:t xml:space="preserve">On average, the mean dmft of Māori children aged five was nearly 1½ times the mean dmft of </w:t>
      </w:r>
      <w:r w:rsidR="00EC03A3">
        <w:rPr>
          <w:spacing w:val="-2"/>
        </w:rPr>
        <w:t>non</w:t>
      </w:r>
      <w:r w:rsidR="00EC03A3">
        <w:rPr>
          <w:spacing w:val="-2"/>
        </w:rPr>
        <w:noBreakHyphen/>
        <w:t>M</w:t>
      </w:r>
      <w:r w:rsidRPr="00C148E5">
        <w:rPr>
          <w:spacing w:val="-2"/>
        </w:rPr>
        <w:t>āori children of the same age between 2002 and 2016.</w:t>
      </w:r>
    </w:p>
    <w:p w14:paraId="245C852C" w14:textId="0888984F" w:rsidR="002D68F3" w:rsidRPr="00181EF3" w:rsidRDefault="002D68F3" w:rsidP="005B6F74">
      <w:pPr>
        <w:pStyle w:val="Shadedboxbullet"/>
        <w:ind w:left="568" w:hanging="284"/>
      </w:pPr>
      <w:r w:rsidRPr="00181EF3">
        <w:t xml:space="preserve">The mean DMFT of Māori children in Year 8 was, on average, 1.3 times the mean DMFT of </w:t>
      </w:r>
      <w:r w:rsidR="00EC03A3">
        <w:t>non</w:t>
      </w:r>
      <w:r w:rsidR="00EC03A3">
        <w:noBreakHyphen/>
        <w:t>M</w:t>
      </w:r>
      <w:r w:rsidRPr="00181EF3">
        <w:t>āori children in Year 8 regardless of whether they were living in a fluoridated area or not between 2002 and 2016.</w:t>
      </w:r>
    </w:p>
    <w:p w14:paraId="0C6DB8A3" w14:textId="0E01C6B8" w:rsidR="002D68F3" w:rsidRPr="00181EF3" w:rsidRDefault="002D68F3" w:rsidP="005B6F74">
      <w:pPr>
        <w:pStyle w:val="Shadedboxbullet"/>
        <w:ind w:left="568" w:hanging="284"/>
      </w:pPr>
      <w:r w:rsidRPr="00181EF3">
        <w:t xml:space="preserve">Māori children aged five were less likely to be caries free than </w:t>
      </w:r>
      <w:r w:rsidR="00EC03A3">
        <w:t>non</w:t>
      </w:r>
      <w:r w:rsidR="00EC03A3">
        <w:noBreakHyphen/>
        <w:t>M</w:t>
      </w:r>
      <w:r w:rsidRPr="00181EF3">
        <w:t>āori within the same age group between 2002 and 2016.</w:t>
      </w:r>
    </w:p>
    <w:p w14:paraId="6850FBE9" w14:textId="79C295B4" w:rsidR="002D68F3" w:rsidRPr="00181EF3" w:rsidRDefault="002D68F3" w:rsidP="005B6F74">
      <w:pPr>
        <w:pStyle w:val="Shadedboxbullet"/>
        <w:ind w:left="568" w:hanging="284"/>
      </w:pPr>
      <w:r w:rsidRPr="00181EF3">
        <w:t xml:space="preserve">Māori children in Year 8 were less likely to be caries free than </w:t>
      </w:r>
      <w:r w:rsidR="00EC03A3">
        <w:t>non</w:t>
      </w:r>
      <w:r w:rsidR="00EC03A3">
        <w:noBreakHyphen/>
        <w:t>M</w:t>
      </w:r>
      <w:r w:rsidRPr="00181EF3">
        <w:t>āori within the same age group between 2002 and 2016.</w:t>
      </w:r>
    </w:p>
    <w:p w14:paraId="05DD0A6A" w14:textId="51536E66" w:rsidR="002D68F3" w:rsidRPr="00181EF3" w:rsidRDefault="002D68F3" w:rsidP="005B6F74">
      <w:pPr>
        <w:pStyle w:val="Shadedboxbullet"/>
        <w:ind w:left="568" w:hanging="284"/>
      </w:pPr>
      <w:r w:rsidRPr="00181EF3">
        <w:t xml:space="preserve">In 2006/07 </w:t>
      </w:r>
      <w:r w:rsidR="00EC03A3">
        <w:t>non</w:t>
      </w:r>
      <w:r w:rsidR="00EC03A3">
        <w:noBreakHyphen/>
        <w:t>M</w:t>
      </w:r>
      <w:r w:rsidRPr="00181EF3">
        <w:t>āori were under 1.3 times as likely to visit a dental health care worker as Māori, this decreased to under 1</w:t>
      </w:r>
      <w:r w:rsidRPr="00181EF3">
        <w:rPr>
          <w:rFonts w:cs="Segoe UI"/>
        </w:rPr>
        <w:t>¼</w:t>
      </w:r>
      <w:r w:rsidRPr="00181EF3">
        <w:t xml:space="preserve"> in 2016/17.</w:t>
      </w:r>
    </w:p>
    <w:p w14:paraId="0BE54626" w14:textId="29A312E7" w:rsidR="002D68F3" w:rsidRPr="00181EF3" w:rsidRDefault="002D68F3" w:rsidP="002D68F3">
      <w:pPr>
        <w:pStyle w:val="Shadedboxbullet"/>
        <w:ind w:left="568" w:hanging="284"/>
      </w:pPr>
      <w:r w:rsidRPr="00181EF3">
        <w:t xml:space="preserve">In 2006/07 Māori children aged 14 or below were over 1.6 times as likely as </w:t>
      </w:r>
      <w:r w:rsidR="00EC03A3">
        <w:t>non</w:t>
      </w:r>
      <w:r w:rsidR="00EC03A3">
        <w:noBreakHyphen/>
        <w:t>M</w:t>
      </w:r>
      <w:r w:rsidRPr="00181EF3">
        <w:t>āori children of the same age to have had teeth extracted in the previous year.</w:t>
      </w:r>
    </w:p>
    <w:p w14:paraId="75C0D7C6" w14:textId="09376EBB" w:rsidR="002D68F3" w:rsidRPr="00181EF3" w:rsidRDefault="002D68F3" w:rsidP="002D68F3">
      <w:pPr>
        <w:pStyle w:val="Shadedboxbullet"/>
        <w:ind w:left="568" w:hanging="284"/>
      </w:pPr>
      <w:r w:rsidRPr="00181EF3">
        <w:t xml:space="preserve">In 2016/17 Māori children aged 14 or below were under 1.3 times as likely as </w:t>
      </w:r>
      <w:r w:rsidR="00EC03A3">
        <w:t>non</w:t>
      </w:r>
      <w:r w:rsidR="00EC03A3">
        <w:noBreakHyphen/>
        <w:t>M</w:t>
      </w:r>
      <w:r w:rsidRPr="00181EF3">
        <w:t>āori in the same age group to have teeth extracted.</w:t>
      </w:r>
    </w:p>
    <w:p w14:paraId="0222BB13" w14:textId="40A5CEF8" w:rsidR="002D68F3" w:rsidRPr="00181EF3" w:rsidRDefault="002D68F3" w:rsidP="002D68F3">
      <w:pPr>
        <w:pStyle w:val="Shadedboxbullet"/>
        <w:ind w:left="568" w:hanging="284"/>
      </w:pPr>
      <w:r w:rsidRPr="00181EF3">
        <w:t xml:space="preserve">Between 2006/07 and 2016/17 Māori adults were, on average, more than 1½ times as likely as </w:t>
      </w:r>
      <w:r w:rsidR="00EC03A3">
        <w:t>non</w:t>
      </w:r>
      <w:r w:rsidR="00EC03A3">
        <w:noBreakHyphen/>
        <w:t>M</w:t>
      </w:r>
      <w:r w:rsidRPr="00181EF3">
        <w:t>āori adults to have had teeth extracted.</w:t>
      </w:r>
    </w:p>
    <w:p w14:paraId="096F6A00" w14:textId="4703ECA2" w:rsidR="002D68F3" w:rsidRPr="00181EF3" w:rsidRDefault="002D68F3" w:rsidP="002D68F3">
      <w:pPr>
        <w:pStyle w:val="Shadedboxbullet"/>
        <w:ind w:left="568" w:hanging="284"/>
      </w:pPr>
      <w:r w:rsidRPr="00181EF3">
        <w:t xml:space="preserve">Between 2006/07 and 2016/17 Māori adults were, on average, under 1½ times as likely as </w:t>
      </w:r>
      <w:r w:rsidR="00EC03A3">
        <w:t>non</w:t>
      </w:r>
      <w:r w:rsidR="00EC03A3">
        <w:noBreakHyphen/>
        <w:t>M</w:t>
      </w:r>
      <w:r w:rsidRPr="00181EF3">
        <w:t>āori adults to only visit a dental health care worker for dental problems, or never visit.</w:t>
      </w:r>
    </w:p>
    <w:p w14:paraId="124227EB" w14:textId="77777777" w:rsidR="002D68F3" w:rsidRDefault="002D68F3" w:rsidP="005B6F74">
      <w:pPr>
        <w:pStyle w:val="Heading3"/>
        <w:pageBreakBefore/>
        <w:spacing w:before="0"/>
      </w:pPr>
      <w:bookmarkStart w:id="272" w:name="_Toc19102389"/>
      <w:r w:rsidRPr="00181EF3">
        <w:lastRenderedPageBreak/>
        <w:t>Mean number of decayed, missing and filled teeth (dmft) at five years of age</w:t>
      </w:r>
      <w:bookmarkEnd w:id="272"/>
    </w:p>
    <w:p w14:paraId="0F022966" w14:textId="3580864D" w:rsidR="00E830F9" w:rsidRDefault="00E830F9" w:rsidP="00E830F9">
      <w:pPr>
        <w:pStyle w:val="Figure"/>
      </w:pPr>
      <w:bookmarkStart w:id="273" w:name="_Toc19101940"/>
      <w:r w:rsidRPr="00181EF3">
        <w:t xml:space="preserve">Figure </w:t>
      </w:r>
      <w:r>
        <w:rPr>
          <w:noProof/>
        </w:rPr>
        <w:t>89</w:t>
      </w:r>
      <w:r w:rsidRPr="00181EF3">
        <w:t>: Mean</w:t>
      </w:r>
      <w:r w:rsidRPr="00E830F9">
        <w:t xml:space="preserve"> number of decayed, missing and filled teeth</w:t>
      </w:r>
      <w:r w:rsidRPr="00181EF3">
        <w:t xml:space="preserve"> </w:t>
      </w:r>
      <w:r>
        <w:t>(</w:t>
      </w:r>
      <w:r w:rsidRPr="00181EF3">
        <w:t>dmft</w:t>
      </w:r>
      <w:r>
        <w:t>), 5 years,</w:t>
      </w:r>
      <w:r w:rsidRPr="00181EF3">
        <w:t xml:space="preserve"> Māori and </w:t>
      </w:r>
      <w:r w:rsidR="00EC03A3">
        <w:t>non</w:t>
      </w:r>
      <w:r w:rsidR="00EC03A3">
        <w:noBreakHyphen/>
        <w:t>M</w:t>
      </w:r>
      <w:r w:rsidRPr="00181EF3">
        <w:t>āori</w:t>
      </w:r>
      <w:r>
        <w:t>,</w:t>
      </w:r>
      <w:r w:rsidRPr="00181EF3">
        <w:t xml:space="preserve"> 2002–2016</w:t>
      </w:r>
      <w:bookmarkEnd w:id="273"/>
    </w:p>
    <w:p w14:paraId="60FAD9C6" w14:textId="77777777" w:rsidR="00E830F9" w:rsidRPr="002C22EB" w:rsidRDefault="00E830F9" w:rsidP="00E830F9">
      <w:r w:rsidRPr="002C22EB">
        <w:rPr>
          <w:noProof/>
          <w:lang w:eastAsia="en-NZ"/>
        </w:rPr>
        <w:drawing>
          <wp:inline distT="0" distB="0" distL="0" distR="0" wp14:anchorId="73988502" wp14:editId="512A2FCA">
            <wp:extent cx="5130165" cy="2798571"/>
            <wp:effectExtent l="0" t="0" r="0" b="1905"/>
            <wp:docPr id="271" name="Picture 271" descr="Māori have a higher rate of dmft than non-Māori. The gap has decreased over time, as the rate for Māori has decreased somewhat." title="Figure 89: Mean dmft for Māori and non-Māori at five years of age, 2002–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130165" cy="2798571"/>
                    </a:xfrm>
                    <a:prstGeom prst="rect">
                      <a:avLst/>
                    </a:prstGeom>
                  </pic:spPr>
                </pic:pic>
              </a:graphicData>
            </a:graphic>
          </wp:inline>
        </w:drawing>
      </w:r>
    </w:p>
    <w:p w14:paraId="12816D77" w14:textId="4E6D7181" w:rsidR="00E830F9" w:rsidRPr="00181EF3" w:rsidRDefault="00E830F9" w:rsidP="00B6364B">
      <w:pPr>
        <w:pStyle w:val="Note"/>
        <w:ind w:left="0" w:firstLine="0"/>
        <w:rPr>
          <w:noProof/>
          <w:lang w:eastAsia="en-NZ"/>
        </w:rPr>
      </w:pPr>
      <w:r w:rsidRPr="00181EF3">
        <w:rPr>
          <w:noProof/>
          <w:lang w:eastAsia="en-NZ"/>
        </w:rPr>
        <w:t xml:space="preserve">Note: If </w:t>
      </w:r>
      <w:r>
        <w:rPr>
          <w:noProof/>
          <w:lang w:eastAsia="en-NZ"/>
        </w:rPr>
        <w:t xml:space="preserve">the </w:t>
      </w:r>
      <w:r w:rsidRPr="00181EF3">
        <w:rPr>
          <w:noProof/>
          <w:lang w:eastAsia="en-NZ"/>
        </w:rPr>
        <w:t xml:space="preserve">confidence intervals </w:t>
      </w:r>
      <w:r>
        <w:rPr>
          <w:noProof/>
          <w:lang w:eastAsia="en-NZ"/>
        </w:rPr>
        <w:t xml:space="preserve">of two </w:t>
      </w:r>
      <w:r w:rsidR="00D37C7B">
        <w:rPr>
          <w:noProof/>
          <w:lang w:eastAsia="en-NZ"/>
        </w:rPr>
        <w:t>mean</w:t>
      </w:r>
      <w:r>
        <w:rPr>
          <w:noProof/>
          <w:lang w:eastAsia="en-NZ"/>
        </w:rPr>
        <w:t xml:space="preserve">s </w:t>
      </w:r>
      <w:r w:rsidRPr="00181EF3">
        <w:rPr>
          <w:noProof/>
          <w:lang w:eastAsia="en-NZ"/>
        </w:rPr>
        <w:t>do not overlap</w:t>
      </w:r>
      <w:r>
        <w:rPr>
          <w:noProof/>
          <w:lang w:eastAsia="en-NZ"/>
        </w:rPr>
        <w:t>,</w:t>
      </w:r>
      <w:r w:rsidRPr="00181EF3">
        <w:rPr>
          <w:noProof/>
          <w:lang w:eastAsia="en-NZ"/>
        </w:rPr>
        <w:t xml:space="preserve"> the difference </w:t>
      </w:r>
      <w:r>
        <w:rPr>
          <w:noProof/>
          <w:lang w:eastAsia="en-NZ"/>
        </w:rPr>
        <w:t xml:space="preserve">in </w:t>
      </w:r>
      <w:r w:rsidR="00D37C7B">
        <w:rPr>
          <w:noProof/>
          <w:lang w:eastAsia="en-NZ"/>
        </w:rPr>
        <w:t>mean</w:t>
      </w:r>
      <w:r>
        <w:rPr>
          <w:noProof/>
          <w:lang w:eastAsia="en-NZ"/>
        </w:rPr>
        <w:t xml:space="preserve">s </w:t>
      </w:r>
      <w:r w:rsidRPr="00181EF3">
        <w:rPr>
          <w:noProof/>
          <w:lang w:eastAsia="en-NZ"/>
        </w:rPr>
        <w:t xml:space="preserve">is said to be </w:t>
      </w:r>
      <w:r>
        <w:rPr>
          <w:noProof/>
          <w:lang w:eastAsia="en-NZ"/>
        </w:rPr>
        <w:t xml:space="preserve">statistically </w:t>
      </w:r>
      <w:r w:rsidRPr="00181EF3">
        <w:rPr>
          <w:noProof/>
          <w:lang w:eastAsia="en-NZ"/>
        </w:rPr>
        <w:t>significant.</w:t>
      </w:r>
    </w:p>
    <w:p w14:paraId="0A513903" w14:textId="7E60B30D" w:rsidR="00E830F9" w:rsidRPr="00181EF3" w:rsidRDefault="00E830F9" w:rsidP="00E830F9">
      <w:pPr>
        <w:pStyle w:val="Source"/>
        <w:rPr>
          <w:noProof/>
          <w:lang w:eastAsia="en-NZ"/>
        </w:rPr>
      </w:pPr>
      <w:r w:rsidRPr="00181EF3">
        <w:rPr>
          <w:noProof/>
          <w:lang w:eastAsia="en-NZ"/>
        </w:rPr>
        <w:t>Source: Community Oral Health Services</w:t>
      </w:r>
      <w:r w:rsidR="00830F04">
        <w:rPr>
          <w:noProof/>
          <w:lang w:eastAsia="en-NZ"/>
        </w:rPr>
        <w:t>,</w:t>
      </w:r>
      <w:r w:rsidRPr="00181EF3">
        <w:rPr>
          <w:noProof/>
          <w:lang w:eastAsia="en-NZ"/>
        </w:rPr>
        <w:t xml:space="preserve"> 2002–2016.</w:t>
      </w:r>
    </w:p>
    <w:p w14:paraId="6904E634" w14:textId="77777777" w:rsidR="00E830F9" w:rsidRPr="00181EF3" w:rsidRDefault="00E830F9" w:rsidP="00E830F9">
      <w:pPr>
        <w:rPr>
          <w:noProof/>
          <w:lang w:eastAsia="en-NZ"/>
        </w:rPr>
      </w:pPr>
    </w:p>
    <w:p w14:paraId="7C0048FB" w14:textId="701E2F68" w:rsidR="002D68F3" w:rsidRDefault="002D68F3" w:rsidP="002D68F3">
      <w:r w:rsidRPr="00181EF3">
        <w:t xml:space="preserve">Figure </w:t>
      </w:r>
      <w:r w:rsidR="00E830F9">
        <w:t>89</w:t>
      </w:r>
      <w:r w:rsidRPr="00181EF3">
        <w:t xml:space="preserve"> shows the difference in the mean number of decayed, missing and filled teeth (dmft) between 2002 and 2016 for Māori and </w:t>
      </w:r>
      <w:r w:rsidR="00EC03A3">
        <w:t>non</w:t>
      </w:r>
      <w:r w:rsidR="00EC03A3">
        <w:noBreakHyphen/>
        <w:t>M</w:t>
      </w:r>
      <w:r w:rsidRPr="00181EF3">
        <w:t>āori children at five years of age. See the attached Excel tool for figures showing the rate ratio, fluoridated and non</w:t>
      </w:r>
      <w:r w:rsidRPr="00181EF3">
        <w:noBreakHyphen/>
        <w:t>fluoridated data.</w:t>
      </w:r>
    </w:p>
    <w:p w14:paraId="39170714" w14:textId="77777777" w:rsidR="00C148E5" w:rsidRPr="00181EF3" w:rsidRDefault="00C148E5" w:rsidP="002D68F3"/>
    <w:p w14:paraId="31FCBB32" w14:textId="77777777" w:rsidR="002D68F3" w:rsidRPr="00181EF3" w:rsidRDefault="002D68F3" w:rsidP="00E830F9">
      <w:pPr>
        <w:pStyle w:val="Heading4"/>
      </w:pPr>
      <w:r w:rsidRPr="00181EF3">
        <w:t>Decrease in mean dmft for Māori children aged five between 2002 and 2016</w:t>
      </w:r>
    </w:p>
    <w:p w14:paraId="47A64A4D" w14:textId="77777777" w:rsidR="002D68F3" w:rsidRPr="00181EF3" w:rsidRDefault="002D68F3" w:rsidP="002D68F3">
      <w:r w:rsidRPr="00181EF3">
        <w:t>The mean dmft for Māori aged five in 2002 decreased by 18.2 percent from 3.6 teeth in 2002 to 2.9 teeth in 2016. Māori five-year-olds living in fluoridated areas had a decrease in the mean dmft by 7.7 percent between 2002 and 2016, whereas those living in non-fluoridated areas had a decrease of 24.8 percent over this period.</w:t>
      </w:r>
    </w:p>
    <w:p w14:paraId="517D3D58" w14:textId="77777777" w:rsidR="002D68F3" w:rsidRPr="00181EF3" w:rsidRDefault="002D68F3" w:rsidP="002D68F3"/>
    <w:p w14:paraId="4CA73CD9" w14:textId="66562833" w:rsidR="00E830F9" w:rsidRDefault="002D68F3" w:rsidP="002D68F3">
      <w:r w:rsidRPr="00181EF3">
        <w:t xml:space="preserve">The mean dmft for </w:t>
      </w:r>
      <w:r w:rsidR="00EC03A3">
        <w:t>non</w:t>
      </w:r>
      <w:r w:rsidR="00EC03A3">
        <w:noBreakHyphen/>
        <w:t>M</w:t>
      </w:r>
      <w:r w:rsidRPr="00181EF3">
        <w:t xml:space="preserve">āori remained constant between 2002 and 2016, with an average of 2.5 teeth. </w:t>
      </w:r>
      <w:r w:rsidR="00E830F9" w:rsidRPr="00181EF3">
        <w:t xml:space="preserve">In 2016, the mean dmft for </w:t>
      </w:r>
      <w:r w:rsidR="00EC03A3">
        <w:t>non</w:t>
      </w:r>
      <w:r w:rsidR="00EC03A3">
        <w:noBreakHyphen/>
        <w:t>M</w:t>
      </w:r>
      <w:r w:rsidR="00E830F9" w:rsidRPr="00181EF3">
        <w:t>āori aged five was 2.4 teeth.</w:t>
      </w:r>
    </w:p>
    <w:p w14:paraId="46D62F8B" w14:textId="77777777" w:rsidR="00E830F9" w:rsidRDefault="00E830F9" w:rsidP="002D68F3"/>
    <w:p w14:paraId="21EAB1C1" w14:textId="50882954" w:rsidR="002D68F3" w:rsidRPr="00181EF3" w:rsidRDefault="00EC03A3" w:rsidP="002D68F3">
      <w:r>
        <w:t>Non</w:t>
      </w:r>
      <w:r>
        <w:noBreakHyphen/>
        <w:t>M</w:t>
      </w:r>
      <w:r w:rsidR="002D68F3" w:rsidRPr="00181EF3">
        <w:t xml:space="preserve">āori five-year-olds living in non- fluoridated areas showed a decrease in mean dmft, dropping by 16.6 percent, whereas </w:t>
      </w:r>
      <w:r>
        <w:t>non</w:t>
      </w:r>
      <w:r>
        <w:noBreakHyphen/>
        <w:t>M</w:t>
      </w:r>
      <w:r w:rsidR="002D68F3" w:rsidRPr="00181EF3">
        <w:t>āori five-year-olds living in fluoridated areas showed an increase of 26.9 percent in mean dmft between 2002 and 2016.</w:t>
      </w:r>
    </w:p>
    <w:p w14:paraId="43B1ECD0" w14:textId="77777777" w:rsidR="002D68F3" w:rsidRPr="00181EF3" w:rsidRDefault="002D68F3" w:rsidP="002D68F3"/>
    <w:p w14:paraId="1BD6CE24" w14:textId="3BE05460" w:rsidR="002D68F3" w:rsidRPr="00181EF3" w:rsidRDefault="002D68F3" w:rsidP="00E830F9">
      <w:pPr>
        <w:pStyle w:val="Heading4"/>
      </w:pPr>
      <w:r w:rsidRPr="00181EF3">
        <w:lastRenderedPageBreak/>
        <w:t>Difference</w:t>
      </w:r>
      <w:r w:rsidR="00192B48">
        <w:t xml:space="preserve"> in mean dmft</w:t>
      </w:r>
      <w:r w:rsidRPr="00181EF3">
        <w:t xml:space="preserve"> between Māori and </w:t>
      </w:r>
      <w:r w:rsidR="00EC03A3">
        <w:t>non</w:t>
      </w:r>
      <w:r w:rsidR="00EC03A3">
        <w:noBreakHyphen/>
        <w:t>M</w:t>
      </w:r>
      <w:r w:rsidRPr="00181EF3">
        <w:t>āori aged five remained significant over time</w:t>
      </w:r>
    </w:p>
    <w:p w14:paraId="1AAF081B" w14:textId="2914CAA9" w:rsidR="002D68F3" w:rsidRPr="00181EF3" w:rsidRDefault="002D68F3" w:rsidP="002D68F3">
      <w:r w:rsidRPr="00181EF3">
        <w:t xml:space="preserve">The difference in mean dmft between Māori and </w:t>
      </w:r>
      <w:r w:rsidR="00EC03A3">
        <w:t>non</w:t>
      </w:r>
      <w:r w:rsidR="00EC03A3">
        <w:noBreakHyphen/>
        <w:t>M</w:t>
      </w:r>
      <w:r w:rsidRPr="00181EF3">
        <w:t xml:space="preserve">āori for children aged five remained significant between 2002 and 2016. On average, the mean dmft of Māori five-year-olds was nearly 1½ times that of </w:t>
      </w:r>
      <w:r w:rsidR="00EC03A3">
        <w:t>non</w:t>
      </w:r>
      <w:r w:rsidR="00EC03A3">
        <w:noBreakHyphen/>
        <w:t>M</w:t>
      </w:r>
      <w:r w:rsidRPr="00181EF3">
        <w:t>āori, regardless of whether they lived in a fluoridated area or not, between 2002 and 2016</w:t>
      </w:r>
      <w:r w:rsidR="00E830F9">
        <w:t xml:space="preserve"> </w:t>
      </w:r>
      <w:r w:rsidRPr="00181EF3">
        <w:t>(the average rate ratio over time was 1.4 while the rate ratio in 2016 was 1.2).</w:t>
      </w:r>
    </w:p>
    <w:p w14:paraId="47D6C328" w14:textId="77777777" w:rsidR="002D68F3" w:rsidRPr="00181EF3" w:rsidRDefault="002D68F3" w:rsidP="002D68F3"/>
    <w:p w14:paraId="1509BD16" w14:textId="110BB47F" w:rsidR="002D68F3" w:rsidRDefault="00C148E5" w:rsidP="00C148E5">
      <w:pPr>
        <w:pStyle w:val="Heading3"/>
        <w:pageBreakBefore/>
        <w:spacing w:before="0"/>
      </w:pPr>
      <w:bookmarkStart w:id="274" w:name="_Toc19102390"/>
      <w:r>
        <w:lastRenderedPageBreak/>
        <w:t>M</w:t>
      </w:r>
      <w:r w:rsidR="002D68F3" w:rsidRPr="00181EF3">
        <w:t>ean number of decayed, missing and filled teeth (DMFT) at school Year 8</w:t>
      </w:r>
      <w:bookmarkEnd w:id="274"/>
    </w:p>
    <w:p w14:paraId="31A7A985" w14:textId="709B7F0C" w:rsidR="00E830F9" w:rsidRDefault="00E830F9" w:rsidP="00E830F9">
      <w:pPr>
        <w:pStyle w:val="Figure"/>
      </w:pPr>
      <w:bookmarkStart w:id="275" w:name="_Toc19101941"/>
      <w:r w:rsidRPr="00181EF3">
        <w:t xml:space="preserve">Figure </w:t>
      </w:r>
      <w:r>
        <w:rPr>
          <w:noProof/>
        </w:rPr>
        <w:t>90</w:t>
      </w:r>
      <w:r w:rsidRPr="00181EF3">
        <w:t xml:space="preserve">: Mean </w:t>
      </w:r>
      <w:r w:rsidRPr="00E830F9">
        <w:t xml:space="preserve">number of decayed, missing and filled teeth </w:t>
      </w:r>
      <w:r>
        <w:t>(</w:t>
      </w:r>
      <w:r w:rsidRPr="00181EF3">
        <w:t>DMFT</w:t>
      </w:r>
      <w:r>
        <w:t>), Year 8,</w:t>
      </w:r>
      <w:r w:rsidRPr="00181EF3">
        <w:t xml:space="preserve"> Māori and </w:t>
      </w:r>
      <w:r w:rsidR="00EC03A3">
        <w:t>non</w:t>
      </w:r>
      <w:r w:rsidR="00EC03A3">
        <w:noBreakHyphen/>
        <w:t>M</w:t>
      </w:r>
      <w:r w:rsidRPr="00181EF3">
        <w:t>āori, 2002–2016</w:t>
      </w:r>
      <w:bookmarkEnd w:id="275"/>
    </w:p>
    <w:p w14:paraId="081F1375" w14:textId="77777777" w:rsidR="00E830F9" w:rsidRPr="002C22EB" w:rsidRDefault="00E830F9" w:rsidP="00E830F9">
      <w:r w:rsidRPr="002C22EB">
        <w:rPr>
          <w:noProof/>
          <w:lang w:eastAsia="en-NZ"/>
        </w:rPr>
        <w:drawing>
          <wp:inline distT="0" distB="0" distL="0" distR="0" wp14:anchorId="7C02D609" wp14:editId="42A0A3E7">
            <wp:extent cx="5130165" cy="2798571"/>
            <wp:effectExtent l="0" t="0" r="0" b="1905"/>
            <wp:docPr id="272" name="Picture 272" descr="The rate of DMFT for children has decreased over time. The rate for Māori children is generally higher, but was almost in parity with non-Māori children in 2002 and 2011 and is relatively small in 2015 and 2016." title="Figure 90: Mean DMFT for Māori and non-Māori children in Year 8, 2002–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130165" cy="2798571"/>
                    </a:xfrm>
                    <a:prstGeom prst="rect">
                      <a:avLst/>
                    </a:prstGeom>
                  </pic:spPr>
                </pic:pic>
              </a:graphicData>
            </a:graphic>
          </wp:inline>
        </w:drawing>
      </w:r>
    </w:p>
    <w:p w14:paraId="2B3A3590" w14:textId="07CA541E" w:rsidR="00E830F9" w:rsidRPr="00181EF3" w:rsidRDefault="00E830F9" w:rsidP="00B6364B">
      <w:pPr>
        <w:pStyle w:val="Note"/>
        <w:ind w:left="0" w:firstLine="0"/>
      </w:pPr>
      <w:r w:rsidRPr="00181EF3">
        <w:t xml:space="preserve">Note: If </w:t>
      </w:r>
      <w:r>
        <w:t xml:space="preserve">the </w:t>
      </w:r>
      <w:r w:rsidRPr="00181EF3">
        <w:t xml:space="preserve">confidence intervals </w:t>
      </w:r>
      <w:r>
        <w:t xml:space="preserve">of two </w:t>
      </w:r>
      <w:r w:rsidR="00D37C7B">
        <w:t>mean</w:t>
      </w:r>
      <w:r>
        <w:t xml:space="preserve">s </w:t>
      </w:r>
      <w:r w:rsidRPr="00181EF3">
        <w:t>do not overlap</w:t>
      </w:r>
      <w:r>
        <w:t>,</w:t>
      </w:r>
      <w:r w:rsidRPr="00181EF3">
        <w:t xml:space="preserve"> the difference </w:t>
      </w:r>
      <w:r>
        <w:t xml:space="preserve">in </w:t>
      </w:r>
      <w:r w:rsidR="00D37C7B">
        <w:t>mean</w:t>
      </w:r>
      <w:r>
        <w:t xml:space="preserve">s </w:t>
      </w:r>
      <w:r w:rsidRPr="00181EF3">
        <w:t xml:space="preserve">is said to be </w:t>
      </w:r>
      <w:r>
        <w:rPr>
          <w:noProof/>
          <w:lang w:eastAsia="en-NZ"/>
        </w:rPr>
        <w:t xml:space="preserve">statistically </w:t>
      </w:r>
      <w:r w:rsidRPr="00181EF3">
        <w:t>significant.</w:t>
      </w:r>
    </w:p>
    <w:p w14:paraId="7325A8C8" w14:textId="5EC200F7" w:rsidR="00E830F9" w:rsidRPr="00181EF3" w:rsidRDefault="00E830F9" w:rsidP="00E830F9">
      <w:pPr>
        <w:pStyle w:val="Source"/>
      </w:pPr>
      <w:r w:rsidRPr="00181EF3">
        <w:t>Source: Community Oral Health Services</w:t>
      </w:r>
      <w:r w:rsidR="00830F04">
        <w:t>,</w:t>
      </w:r>
      <w:r w:rsidRPr="00181EF3">
        <w:t xml:space="preserve"> 2002–2016.</w:t>
      </w:r>
    </w:p>
    <w:p w14:paraId="06C8E7D6" w14:textId="77777777" w:rsidR="00E830F9" w:rsidRPr="00E830F9" w:rsidRDefault="00E830F9" w:rsidP="00E830F9"/>
    <w:p w14:paraId="6472B4DD" w14:textId="1814AAF7" w:rsidR="002D68F3" w:rsidRDefault="002D68F3" w:rsidP="002D68F3">
      <w:r w:rsidRPr="00181EF3">
        <w:t xml:space="preserve">Figure </w:t>
      </w:r>
      <w:r w:rsidR="00E830F9">
        <w:t>90</w:t>
      </w:r>
      <w:r w:rsidRPr="00181EF3">
        <w:t xml:space="preserve"> shows the mean DMFT for Māori and </w:t>
      </w:r>
      <w:r w:rsidR="00EC03A3">
        <w:t>non</w:t>
      </w:r>
      <w:r w:rsidR="00EC03A3">
        <w:noBreakHyphen/>
        <w:t>M</w:t>
      </w:r>
      <w:r w:rsidRPr="00181EF3">
        <w:t>āori children in Year 8, between 2002 and 2016. See the attached Excel tool for figures showing the rate ratio, fluoridated and non-fluoridated data.</w:t>
      </w:r>
    </w:p>
    <w:p w14:paraId="4B53FC16" w14:textId="77777777" w:rsidR="00C148E5" w:rsidRPr="00181EF3" w:rsidRDefault="00C148E5" w:rsidP="002D68F3"/>
    <w:p w14:paraId="1F915E00" w14:textId="77777777" w:rsidR="002D68F3" w:rsidRPr="00181EF3" w:rsidRDefault="002D68F3" w:rsidP="00E830F9">
      <w:pPr>
        <w:pStyle w:val="Heading4"/>
      </w:pPr>
      <w:r w:rsidRPr="00181EF3">
        <w:t>Mean DMFT in Māori children in Year 8 in a fluoridated area increased</w:t>
      </w:r>
    </w:p>
    <w:p w14:paraId="26CFE611" w14:textId="5C93DD3A" w:rsidR="00E830F9" w:rsidRPr="00181EF3" w:rsidRDefault="002D68F3" w:rsidP="00E830F9">
      <w:r w:rsidRPr="00181EF3">
        <w:t>Overall, the mean DMFT for Māori children in Year 8 increased from 2002 to 2007 by 40.9 percent (1.7 to 2.4 teeth) and decreased from 2007 to 2016 by 44.8 percent (2.4 to 1.4 teeth).</w:t>
      </w:r>
      <w:r w:rsidR="00E830F9">
        <w:t xml:space="preserve"> </w:t>
      </w:r>
      <w:r w:rsidR="00E830F9" w:rsidRPr="00181EF3">
        <w:t xml:space="preserve">In 2016, the mean DMFT for Māori was 1.4 teeth. In comparison, the mean DMFT for </w:t>
      </w:r>
      <w:r w:rsidR="00EC03A3">
        <w:t>non</w:t>
      </w:r>
      <w:r w:rsidR="00EC03A3">
        <w:noBreakHyphen/>
        <w:t>M</w:t>
      </w:r>
      <w:r w:rsidR="00E830F9" w:rsidRPr="00181EF3">
        <w:t>āori was 1.1 teeth.</w:t>
      </w:r>
    </w:p>
    <w:p w14:paraId="10B9D945" w14:textId="77777777" w:rsidR="002D68F3" w:rsidRPr="00181EF3" w:rsidRDefault="002D68F3" w:rsidP="002D68F3"/>
    <w:p w14:paraId="44D0DD4B" w14:textId="6903B01C" w:rsidR="002D68F3" w:rsidRPr="00181EF3" w:rsidRDefault="002D68F3" w:rsidP="002D68F3">
      <w:r w:rsidRPr="00181EF3">
        <w:t xml:space="preserve">The mean DMFT of </w:t>
      </w:r>
      <w:r w:rsidR="00EC03A3">
        <w:t>non</w:t>
      </w:r>
      <w:r w:rsidR="00EC03A3">
        <w:noBreakHyphen/>
        <w:t>M</w:t>
      </w:r>
      <w:r w:rsidRPr="00181EF3">
        <w:t xml:space="preserve">āori children in Year 8 followed a similar trend increasing from 2.4 teeth in 2002 to 3.0 teeth in 2007, an increase of 23.7 percent. The mean DMFT of </w:t>
      </w:r>
      <w:r w:rsidR="00EC03A3">
        <w:t>non</w:t>
      </w:r>
      <w:r w:rsidR="00EC03A3">
        <w:noBreakHyphen/>
        <w:t>M</w:t>
      </w:r>
      <w:r w:rsidRPr="00181EF3">
        <w:t>āori also decreased from 3.0 teeth in 2007 to 1.1 in 2016, a decrease of 36.4 percent.</w:t>
      </w:r>
    </w:p>
    <w:p w14:paraId="1BC66D0D" w14:textId="77777777" w:rsidR="002D68F3" w:rsidRPr="00181EF3" w:rsidRDefault="002D68F3" w:rsidP="002D68F3"/>
    <w:p w14:paraId="2652474B" w14:textId="77777777" w:rsidR="002D68F3" w:rsidRDefault="002D68F3" w:rsidP="002D68F3">
      <w:r w:rsidRPr="00181EF3">
        <w:t>Year 8s living in non-fluoridated areas had higher mean DMFT numbers than those living in fluoridated areas, regardless of ethnicity.</w:t>
      </w:r>
    </w:p>
    <w:p w14:paraId="6FFAA23E" w14:textId="77777777" w:rsidR="00C148E5" w:rsidRPr="00181EF3" w:rsidRDefault="00C148E5" w:rsidP="002D68F3"/>
    <w:p w14:paraId="3D85CB3C" w14:textId="75600ACF" w:rsidR="002D68F3" w:rsidRPr="00181EF3" w:rsidRDefault="002D68F3" w:rsidP="00E830F9">
      <w:pPr>
        <w:pStyle w:val="Heading4"/>
      </w:pPr>
      <w:r w:rsidRPr="00181EF3">
        <w:lastRenderedPageBreak/>
        <w:t xml:space="preserve">Difference in mean DMFT between Māori and </w:t>
      </w:r>
      <w:r w:rsidR="00EC03A3">
        <w:t>non</w:t>
      </w:r>
      <w:r w:rsidR="00EC03A3">
        <w:noBreakHyphen/>
        <w:t>M</w:t>
      </w:r>
      <w:r w:rsidRPr="00181EF3">
        <w:t>āori decreased from 2003</w:t>
      </w:r>
    </w:p>
    <w:p w14:paraId="50D27F1C" w14:textId="08E6E911" w:rsidR="002D68F3" w:rsidRPr="00181EF3" w:rsidRDefault="002D68F3" w:rsidP="002D68F3">
      <w:r w:rsidRPr="00181EF3">
        <w:t xml:space="preserve">The difference in mean DMFT for children in Year 8 between Māori and </w:t>
      </w:r>
      <w:r w:rsidR="00EC03A3">
        <w:t>non</w:t>
      </w:r>
      <w:r w:rsidR="00EC03A3">
        <w:noBreakHyphen/>
        <w:t>M</w:t>
      </w:r>
      <w:r w:rsidRPr="00181EF3">
        <w:t>āori decreased from 0.5 teeth in 2003 to 0.3 teeth in 2016, a decrease of 43.3 percent.</w:t>
      </w:r>
    </w:p>
    <w:p w14:paraId="3663257F" w14:textId="77777777" w:rsidR="002D68F3" w:rsidRPr="00181EF3" w:rsidRDefault="002D68F3" w:rsidP="002D68F3"/>
    <w:p w14:paraId="14A24830" w14:textId="4C072EBD" w:rsidR="002D68F3" w:rsidRPr="00181EF3" w:rsidRDefault="00E830F9" w:rsidP="002D68F3">
      <w:r w:rsidRPr="00181EF3">
        <w:t xml:space="preserve">The difference between Māori and </w:t>
      </w:r>
      <w:r w:rsidR="00EC03A3">
        <w:t>non</w:t>
      </w:r>
      <w:r w:rsidR="00EC03A3">
        <w:noBreakHyphen/>
        <w:t>M</w:t>
      </w:r>
      <w:r w:rsidRPr="00181EF3">
        <w:t xml:space="preserve">āori Year 8s remained constant. </w:t>
      </w:r>
      <w:r w:rsidR="002D68F3" w:rsidRPr="00181EF3">
        <w:t xml:space="preserve">Between 2002 and 2016 the mean DMFT of Māori children in Year 8 was, on average, 1.3 times the mean DMFT of </w:t>
      </w:r>
      <w:r w:rsidR="00EC03A3">
        <w:t>non</w:t>
      </w:r>
      <w:r w:rsidR="00EC03A3">
        <w:noBreakHyphen/>
        <w:t>M</w:t>
      </w:r>
      <w:r w:rsidR="002D68F3" w:rsidRPr="00181EF3">
        <w:t>āori children in Year 8 of the same age group regardless of whether their living area was fluoridated or not.</w:t>
      </w:r>
    </w:p>
    <w:p w14:paraId="30B8251E" w14:textId="77777777" w:rsidR="002D68F3" w:rsidRPr="00181EF3" w:rsidRDefault="002D68F3" w:rsidP="002D68F3"/>
    <w:p w14:paraId="2374B4E9" w14:textId="441C294E" w:rsidR="002D68F3" w:rsidRDefault="002D68F3" w:rsidP="00C148E5">
      <w:pPr>
        <w:pStyle w:val="Heading3"/>
        <w:pageBreakBefore/>
        <w:spacing w:before="0"/>
      </w:pPr>
      <w:bookmarkStart w:id="276" w:name="_Toc19102391"/>
      <w:r w:rsidRPr="00181EF3">
        <w:lastRenderedPageBreak/>
        <w:t>Caries free at five years of age</w:t>
      </w:r>
      <w:bookmarkEnd w:id="276"/>
    </w:p>
    <w:p w14:paraId="4F4D0D49" w14:textId="65AF0040" w:rsidR="002C376C" w:rsidRDefault="002C376C" w:rsidP="002C376C">
      <w:pPr>
        <w:pStyle w:val="Figure"/>
      </w:pPr>
      <w:bookmarkStart w:id="277" w:name="_Toc19101942"/>
      <w:r w:rsidRPr="00181EF3">
        <w:t xml:space="preserve">Figure </w:t>
      </w:r>
      <w:r>
        <w:rPr>
          <w:noProof/>
        </w:rPr>
        <w:t>91</w:t>
      </w:r>
      <w:r w:rsidRPr="00181EF3">
        <w:t>: Percentage of caries-free children</w:t>
      </w:r>
      <w:r>
        <w:t>,</w:t>
      </w:r>
      <w:r w:rsidRPr="00181EF3">
        <w:t xml:space="preserve"> </w:t>
      </w:r>
      <w:r>
        <w:t xml:space="preserve">5 years, </w:t>
      </w:r>
      <w:r w:rsidRPr="00181EF3">
        <w:t xml:space="preserve">Māori and </w:t>
      </w:r>
      <w:r w:rsidR="00EC03A3">
        <w:t>non</w:t>
      </w:r>
      <w:r w:rsidR="00EC03A3">
        <w:noBreakHyphen/>
        <w:t>M</w:t>
      </w:r>
      <w:r w:rsidRPr="00181EF3">
        <w:t>āori</w:t>
      </w:r>
      <w:r>
        <w:t>,</w:t>
      </w:r>
      <w:r w:rsidR="00C148E5">
        <w:br/>
      </w:r>
      <w:r>
        <w:t>2002–2016</w:t>
      </w:r>
      <w:bookmarkEnd w:id="277"/>
    </w:p>
    <w:p w14:paraId="5A037DAA" w14:textId="77777777" w:rsidR="002C376C" w:rsidRPr="002C22EB" w:rsidRDefault="002C376C" w:rsidP="002C376C">
      <w:r w:rsidRPr="002C22EB">
        <w:rPr>
          <w:noProof/>
          <w:lang w:eastAsia="en-NZ"/>
        </w:rPr>
        <w:drawing>
          <wp:inline distT="0" distB="0" distL="0" distR="0" wp14:anchorId="2FE5F8BD" wp14:editId="0720142E">
            <wp:extent cx="5130165" cy="2798571"/>
            <wp:effectExtent l="0" t="0" r="0" b="1905"/>
            <wp:docPr id="273" name="Picture 273" descr="A higher percentage of non-Māori  children are caries free than Māori children. The rate for non-Māori children is relatively steady over time, while the rate for Māori children has increased." title="Figure 91: Percentage of Māori and non-Māori caries-free children aged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130165" cy="2798571"/>
                    </a:xfrm>
                    <a:prstGeom prst="rect">
                      <a:avLst/>
                    </a:prstGeom>
                  </pic:spPr>
                </pic:pic>
              </a:graphicData>
            </a:graphic>
          </wp:inline>
        </w:drawing>
      </w:r>
    </w:p>
    <w:p w14:paraId="52F8BBEC" w14:textId="77777777" w:rsidR="002C376C" w:rsidRPr="00181EF3" w:rsidRDefault="002C376C" w:rsidP="00B6364B">
      <w:pPr>
        <w:pStyle w:val="Note"/>
        <w:ind w:left="0" w:firstLine="0"/>
      </w:pPr>
      <w:r w:rsidRPr="00181EF3">
        <w:t xml:space="preserve">Note: If </w:t>
      </w:r>
      <w:r>
        <w:t xml:space="preserve">the </w:t>
      </w:r>
      <w:r w:rsidRPr="00181EF3">
        <w:t xml:space="preserve">confidence intervals </w:t>
      </w:r>
      <w:r>
        <w:t xml:space="preserve">of two rates </w:t>
      </w:r>
      <w:r w:rsidRPr="00181EF3">
        <w:t>do not overlap</w:t>
      </w:r>
      <w:r>
        <w:t>,</w:t>
      </w:r>
      <w:r w:rsidRPr="00181EF3">
        <w:t xml:space="preserve"> the difference</w:t>
      </w:r>
      <w:r>
        <w:t xml:space="preserve"> in rates</w:t>
      </w:r>
      <w:r w:rsidRPr="00181EF3">
        <w:t xml:space="preserve"> is said to be </w:t>
      </w:r>
      <w:r>
        <w:rPr>
          <w:noProof/>
          <w:lang w:eastAsia="en-NZ"/>
        </w:rPr>
        <w:t xml:space="preserve">statistically </w:t>
      </w:r>
      <w:r w:rsidRPr="00181EF3">
        <w:t>significant.</w:t>
      </w:r>
    </w:p>
    <w:p w14:paraId="2B4E2C6B" w14:textId="50F623FF" w:rsidR="002C376C" w:rsidRPr="00181EF3" w:rsidRDefault="002C376C" w:rsidP="002C376C">
      <w:pPr>
        <w:pStyle w:val="Source"/>
      </w:pPr>
      <w:r w:rsidRPr="00181EF3">
        <w:t>Source: Community Oral Health Services</w:t>
      </w:r>
      <w:r w:rsidR="00E0548D">
        <w:t>,</w:t>
      </w:r>
      <w:r w:rsidRPr="00181EF3">
        <w:t xml:space="preserve"> 2002–2016.</w:t>
      </w:r>
    </w:p>
    <w:p w14:paraId="710ADCFC" w14:textId="77777777" w:rsidR="002C376C" w:rsidRPr="002C376C" w:rsidRDefault="002C376C" w:rsidP="002C376C"/>
    <w:p w14:paraId="48CCA0C3" w14:textId="509AEE92" w:rsidR="002D68F3" w:rsidRDefault="002D68F3" w:rsidP="00C148E5">
      <w:r w:rsidRPr="00181EF3">
        <w:t xml:space="preserve">Figure </w:t>
      </w:r>
      <w:r w:rsidR="00E830F9">
        <w:t xml:space="preserve">91 </w:t>
      </w:r>
      <w:r w:rsidRPr="00181EF3">
        <w:t xml:space="preserve">shows the percentage of Māori and </w:t>
      </w:r>
      <w:r w:rsidR="00EC03A3">
        <w:t>non</w:t>
      </w:r>
      <w:r w:rsidR="00EC03A3">
        <w:noBreakHyphen/>
        <w:t>M</w:t>
      </w:r>
      <w:r w:rsidRPr="00181EF3">
        <w:t>āori children who are caries free at five years of age between 2002 and 2016. See the attached Excel tool for figures showing the rate ratio, fluoridated and non-fluoridated data.</w:t>
      </w:r>
    </w:p>
    <w:p w14:paraId="7BB8E069" w14:textId="77777777" w:rsidR="00C148E5" w:rsidRPr="00181EF3" w:rsidRDefault="00C148E5" w:rsidP="00C148E5"/>
    <w:p w14:paraId="6D40445C" w14:textId="77777777" w:rsidR="002D68F3" w:rsidRPr="00181EF3" w:rsidRDefault="002D68F3" w:rsidP="00E830F9">
      <w:pPr>
        <w:pStyle w:val="Heading4"/>
      </w:pPr>
      <w:r w:rsidRPr="00181EF3">
        <w:t>Percentage of Māori children aged five who are caries free and not fluoridated decreased</w:t>
      </w:r>
    </w:p>
    <w:p w14:paraId="558B705C" w14:textId="5B755CE7" w:rsidR="002C376C" w:rsidRDefault="002C376C" w:rsidP="002D68F3">
      <w:r w:rsidRPr="00181EF3">
        <w:t xml:space="preserve">The percentage of Māori children aged five who are caries free increased by 24.5 percent between 2002 and 2016. In 2016, 41.4 percent of Māori aged five were caries free. In comparison, 51.5 percent of </w:t>
      </w:r>
      <w:r w:rsidR="00EC03A3">
        <w:t>non</w:t>
      </w:r>
      <w:r w:rsidR="00EC03A3">
        <w:noBreakHyphen/>
        <w:t>M</w:t>
      </w:r>
      <w:r w:rsidRPr="00181EF3">
        <w:t>āori were caries free.</w:t>
      </w:r>
    </w:p>
    <w:p w14:paraId="61626BD6" w14:textId="77777777" w:rsidR="002C376C" w:rsidRDefault="002C376C" w:rsidP="002D68F3"/>
    <w:p w14:paraId="17CFD898" w14:textId="1E7F8286" w:rsidR="002D68F3" w:rsidRPr="00181EF3" w:rsidRDefault="002D68F3" w:rsidP="002D68F3">
      <w:r w:rsidRPr="00181EF3">
        <w:t xml:space="preserve">Children aged five living in non-fluoridated areas showed the largest changes. Māori who were caries free in this group increased by 71.3 percent between 2002 and 2016 (22.5 to 38.6 percent) and </w:t>
      </w:r>
      <w:r w:rsidR="00EC03A3">
        <w:t>non</w:t>
      </w:r>
      <w:r w:rsidR="00EC03A3">
        <w:noBreakHyphen/>
        <w:t>M</w:t>
      </w:r>
      <w:r w:rsidRPr="00181EF3">
        <w:t>āori children in this group increased by 23.6 percent between 2002 and 2016 (40.8 to 50.4 percent).</w:t>
      </w:r>
    </w:p>
    <w:p w14:paraId="1BB50F9F" w14:textId="77777777" w:rsidR="002D68F3" w:rsidRPr="00181EF3" w:rsidRDefault="002D68F3" w:rsidP="002D68F3"/>
    <w:p w14:paraId="0C24F66B" w14:textId="77777777" w:rsidR="002D68F3" w:rsidRDefault="002D68F3" w:rsidP="002D68F3">
      <w:r w:rsidRPr="00181EF3">
        <w:t>The caries-free rate was greater in fluoridated areas than non-fluoridated areas for five</w:t>
      </w:r>
      <w:r w:rsidRPr="00181EF3">
        <w:noBreakHyphen/>
        <w:t>year</w:t>
      </w:r>
      <w:r w:rsidRPr="00181EF3">
        <w:noBreakHyphen/>
        <w:t>olds, regardless of ethnicity.</w:t>
      </w:r>
    </w:p>
    <w:p w14:paraId="7E861EE4" w14:textId="77777777" w:rsidR="00C148E5" w:rsidRDefault="00C148E5" w:rsidP="002D68F3"/>
    <w:p w14:paraId="010E2E6F" w14:textId="676662D4" w:rsidR="002D68F3" w:rsidRPr="00181EF3" w:rsidRDefault="002D68F3" w:rsidP="00E830F9">
      <w:pPr>
        <w:pStyle w:val="Heading4"/>
      </w:pPr>
      <w:r w:rsidRPr="00181EF3">
        <w:lastRenderedPageBreak/>
        <w:t xml:space="preserve">Difference </w:t>
      </w:r>
      <w:r w:rsidR="00192B48">
        <w:t xml:space="preserve">in caries-free percentages </w:t>
      </w:r>
      <w:r w:rsidRPr="00181EF3">
        <w:t xml:space="preserve">between Māori and </w:t>
      </w:r>
      <w:r w:rsidR="00EC03A3">
        <w:t>non</w:t>
      </w:r>
      <w:r w:rsidR="00EC03A3">
        <w:noBreakHyphen/>
        <w:t>M</w:t>
      </w:r>
      <w:r w:rsidRPr="00181EF3">
        <w:t>āori decreased between 2002 and 2016</w:t>
      </w:r>
    </w:p>
    <w:p w14:paraId="1817F759" w14:textId="7DBB39B4" w:rsidR="002D68F3" w:rsidRDefault="002D68F3" w:rsidP="00C148E5">
      <w:pPr>
        <w:keepNext/>
        <w:keepLines/>
      </w:pPr>
      <w:r w:rsidRPr="00181EF3">
        <w:t xml:space="preserve">The difference between the percentage of Māori and </w:t>
      </w:r>
      <w:r w:rsidR="00EC03A3">
        <w:t>non</w:t>
      </w:r>
      <w:r w:rsidR="00EC03A3">
        <w:noBreakHyphen/>
        <w:t>M</w:t>
      </w:r>
      <w:r w:rsidRPr="00181EF3">
        <w:t xml:space="preserve">āori children aged five who are caries free decreased. However, Māori children aged five were less likely to be caries free than </w:t>
      </w:r>
      <w:r w:rsidR="00EC03A3">
        <w:t>non</w:t>
      </w:r>
      <w:r w:rsidR="00EC03A3">
        <w:noBreakHyphen/>
        <w:t>M</w:t>
      </w:r>
      <w:r w:rsidRPr="00181EF3">
        <w:t>āori of the same age group between 2002 and 2016, regardless of whether the area they were living in was fluoridated or not.</w:t>
      </w:r>
    </w:p>
    <w:p w14:paraId="6F9C03AE" w14:textId="77777777" w:rsidR="00C148E5" w:rsidRPr="00181EF3" w:rsidRDefault="00C148E5" w:rsidP="00C148E5"/>
    <w:p w14:paraId="292A6117" w14:textId="77777777" w:rsidR="00D37C7B" w:rsidRDefault="00D37C7B">
      <w:pPr>
        <w:rPr>
          <w:color w:val="0A6AB4"/>
          <w:spacing w:val="-5"/>
          <w:sz w:val="36"/>
        </w:rPr>
      </w:pPr>
      <w:r>
        <w:br w:type="page"/>
      </w:r>
    </w:p>
    <w:p w14:paraId="6A78CC73" w14:textId="7809C07D" w:rsidR="002D68F3" w:rsidRDefault="002D68F3" w:rsidP="002C376C">
      <w:pPr>
        <w:pStyle w:val="Heading3"/>
      </w:pPr>
      <w:bookmarkStart w:id="278" w:name="_Toc19102392"/>
      <w:r w:rsidRPr="00181EF3">
        <w:lastRenderedPageBreak/>
        <w:t>Caries free at school Year 8</w:t>
      </w:r>
      <w:bookmarkEnd w:id="278"/>
    </w:p>
    <w:p w14:paraId="3748492F" w14:textId="5D357DAB" w:rsidR="002C376C" w:rsidRDefault="002C376C" w:rsidP="002C376C">
      <w:pPr>
        <w:pStyle w:val="Figure"/>
      </w:pPr>
      <w:bookmarkStart w:id="279" w:name="_Toc19101943"/>
      <w:r w:rsidRPr="00181EF3">
        <w:t xml:space="preserve">Figure </w:t>
      </w:r>
      <w:r>
        <w:rPr>
          <w:noProof/>
        </w:rPr>
        <w:t>92</w:t>
      </w:r>
      <w:r w:rsidRPr="00181EF3">
        <w:t>: Percentage of caries</w:t>
      </w:r>
      <w:r>
        <w:t>-</w:t>
      </w:r>
      <w:r w:rsidRPr="00181EF3">
        <w:t xml:space="preserve">free children, </w:t>
      </w:r>
      <w:r>
        <w:t xml:space="preserve">Year 8, </w:t>
      </w:r>
      <w:r w:rsidRPr="00181EF3">
        <w:t xml:space="preserve">Māori and </w:t>
      </w:r>
      <w:r w:rsidR="00EC03A3">
        <w:t>non</w:t>
      </w:r>
      <w:r w:rsidR="00EC03A3">
        <w:noBreakHyphen/>
        <w:t>M</w:t>
      </w:r>
      <w:r w:rsidRPr="00181EF3">
        <w:t>āori</w:t>
      </w:r>
      <w:r>
        <w:t>,</w:t>
      </w:r>
      <w:r w:rsidR="00C148E5">
        <w:br/>
      </w:r>
      <w:r w:rsidRPr="00181EF3">
        <w:t>2002–2016</w:t>
      </w:r>
      <w:bookmarkEnd w:id="279"/>
    </w:p>
    <w:p w14:paraId="6B2C535C" w14:textId="77777777" w:rsidR="002C376C" w:rsidRPr="002C22EB" w:rsidRDefault="002C376C" w:rsidP="002C376C">
      <w:r w:rsidRPr="002C22EB">
        <w:rPr>
          <w:noProof/>
          <w:lang w:eastAsia="en-NZ"/>
        </w:rPr>
        <w:drawing>
          <wp:inline distT="0" distB="0" distL="0" distR="0" wp14:anchorId="7F19ED21" wp14:editId="77ECF057">
            <wp:extent cx="5130165" cy="2798571"/>
            <wp:effectExtent l="0" t="0" r="0" b="1905"/>
            <wp:docPr id="274" name="Picture 274" descr="The percentage of caries-free children in year 8 has increased over time for all groups. Non-Māori children are more likely to be caries-free than Māori children, but the gap is narrowing." title="Figure 92: Percentage of Māori and non-Māori children in Year 8 who are caries free, 2002–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130165" cy="2798571"/>
                    </a:xfrm>
                    <a:prstGeom prst="rect">
                      <a:avLst/>
                    </a:prstGeom>
                  </pic:spPr>
                </pic:pic>
              </a:graphicData>
            </a:graphic>
          </wp:inline>
        </w:drawing>
      </w:r>
    </w:p>
    <w:p w14:paraId="1E86CE9C" w14:textId="77777777" w:rsidR="002C376C" w:rsidRPr="00181EF3" w:rsidRDefault="002C376C" w:rsidP="00B6364B">
      <w:pPr>
        <w:pStyle w:val="Note"/>
        <w:ind w:left="0" w:firstLine="0"/>
      </w:pPr>
      <w:r w:rsidRPr="00181EF3">
        <w:t xml:space="preserve">Note: If </w:t>
      </w:r>
      <w:r>
        <w:t xml:space="preserve">the </w:t>
      </w:r>
      <w:r w:rsidRPr="00181EF3">
        <w:t xml:space="preserve">confidence intervals </w:t>
      </w:r>
      <w:r>
        <w:t xml:space="preserve">of two rates </w:t>
      </w:r>
      <w:r w:rsidRPr="00181EF3">
        <w:t>do not overlap</w:t>
      </w:r>
      <w:r>
        <w:t>,</w:t>
      </w:r>
      <w:r w:rsidRPr="00181EF3">
        <w:t xml:space="preserve"> the difference </w:t>
      </w:r>
      <w:r>
        <w:t xml:space="preserve">in rates </w:t>
      </w:r>
      <w:r w:rsidRPr="00181EF3">
        <w:t xml:space="preserve">is said to be </w:t>
      </w:r>
      <w:r>
        <w:rPr>
          <w:noProof/>
          <w:lang w:eastAsia="en-NZ"/>
        </w:rPr>
        <w:t xml:space="preserve">statistically </w:t>
      </w:r>
      <w:r w:rsidRPr="00181EF3">
        <w:t>significant.</w:t>
      </w:r>
    </w:p>
    <w:p w14:paraId="34B0F696" w14:textId="0DCFE168" w:rsidR="002C376C" w:rsidRPr="00181EF3" w:rsidRDefault="002C376C" w:rsidP="002C376C">
      <w:pPr>
        <w:pStyle w:val="Source"/>
      </w:pPr>
      <w:r w:rsidRPr="00181EF3">
        <w:t>Source: Community Oral Health Services</w:t>
      </w:r>
      <w:r w:rsidR="00E0548D">
        <w:t>,</w:t>
      </w:r>
      <w:r w:rsidRPr="00181EF3">
        <w:t xml:space="preserve"> 2002–2016.</w:t>
      </w:r>
    </w:p>
    <w:p w14:paraId="439D1C8F" w14:textId="77777777" w:rsidR="002C376C" w:rsidRPr="002C376C" w:rsidRDefault="002C376C" w:rsidP="002C376C"/>
    <w:p w14:paraId="7D5D8000" w14:textId="203B4895" w:rsidR="002D68F3" w:rsidRDefault="002D68F3" w:rsidP="002D68F3">
      <w:r w:rsidRPr="00181EF3">
        <w:t xml:space="preserve">Figure </w:t>
      </w:r>
      <w:r w:rsidR="002C376C">
        <w:t>92</w:t>
      </w:r>
      <w:r w:rsidRPr="00181EF3">
        <w:t xml:space="preserve"> shows the percentage of Māori and </w:t>
      </w:r>
      <w:r w:rsidR="00EC03A3">
        <w:t>non</w:t>
      </w:r>
      <w:r w:rsidR="00EC03A3">
        <w:noBreakHyphen/>
        <w:t>M</w:t>
      </w:r>
      <w:r w:rsidRPr="00181EF3">
        <w:t>āori children who are caries free at Year 8, recorded between 2002 and 2016. See the attached Excel tool for figures showing the rate ratio, fluoridated and non-fluoridated data.</w:t>
      </w:r>
    </w:p>
    <w:p w14:paraId="151FE583" w14:textId="77777777" w:rsidR="00C148E5" w:rsidRPr="00181EF3" w:rsidRDefault="00C148E5" w:rsidP="002D68F3"/>
    <w:p w14:paraId="070468FA" w14:textId="77777777" w:rsidR="002D68F3" w:rsidRPr="00181EF3" w:rsidRDefault="002D68F3" w:rsidP="002C376C">
      <w:pPr>
        <w:pStyle w:val="Heading4"/>
      </w:pPr>
      <w:r w:rsidRPr="00181EF3">
        <w:t>Percentage of caries free Māori children in Year 8 increased between 2002 and 2016</w:t>
      </w:r>
    </w:p>
    <w:p w14:paraId="4F3C04BA" w14:textId="74C07D4C" w:rsidR="002C376C" w:rsidRPr="00181EF3" w:rsidRDefault="002C376C" w:rsidP="002C376C">
      <w:r w:rsidRPr="00181EF3">
        <w:t xml:space="preserve">The percentage of Māori children in Year 8 who were caries free increased by 53.9 percent between 2002 and 2016. In 2016, 52.1 percent of Māori in Year 8 were caries free. In comparison, 57.6 percent of </w:t>
      </w:r>
      <w:r w:rsidR="00EC03A3">
        <w:t>non</w:t>
      </w:r>
      <w:r w:rsidR="00EC03A3">
        <w:noBreakHyphen/>
        <w:t>M</w:t>
      </w:r>
      <w:r w:rsidRPr="00181EF3">
        <w:t>āori were caries free.</w:t>
      </w:r>
    </w:p>
    <w:p w14:paraId="4C8E3F77" w14:textId="77777777" w:rsidR="002C376C" w:rsidRDefault="002C376C" w:rsidP="002D68F3"/>
    <w:p w14:paraId="0825A7A7" w14:textId="19CC5444" w:rsidR="002D68F3" w:rsidRPr="00181EF3" w:rsidRDefault="002D68F3" w:rsidP="002D68F3">
      <w:r w:rsidRPr="00181EF3">
        <w:t xml:space="preserve">The percentage of Māori children living in non-fluoridated areas who were caries free at Year 8 increased by 70.0 percent between 2002 and 2016 (28.6 to 48.7 percent). The percentage of </w:t>
      </w:r>
      <w:r w:rsidR="00EC03A3">
        <w:t>non</w:t>
      </w:r>
      <w:r w:rsidR="00EC03A3">
        <w:noBreakHyphen/>
        <w:t>M</w:t>
      </w:r>
      <w:r w:rsidRPr="00181EF3">
        <w:t>āori children in Year 8 living in non-fluoridated area who were caries free also increased by 39.4 percent over the same period (39.5 to 55.1 percent).</w:t>
      </w:r>
    </w:p>
    <w:p w14:paraId="279D68F8" w14:textId="77777777" w:rsidR="002D68F3" w:rsidRPr="00181EF3" w:rsidRDefault="002D68F3" w:rsidP="002D68F3"/>
    <w:p w14:paraId="5CD0A784" w14:textId="257CB21F" w:rsidR="002D68F3" w:rsidRDefault="002D68F3" w:rsidP="002D68F3">
      <w:r w:rsidRPr="00181EF3">
        <w:t xml:space="preserve">The percentage of children in Year 8 living in fluoridated areas who were caries free also increased, although at a slower rate. The percentage of Māori children who are caries free increased by 42.0 percent between 2002 and 2016 (39.1 to 55.5 percent). The percentage of </w:t>
      </w:r>
      <w:r w:rsidR="00EC03A3">
        <w:t>non</w:t>
      </w:r>
      <w:r w:rsidR="00EC03A3">
        <w:noBreakHyphen/>
        <w:t>M</w:t>
      </w:r>
      <w:r w:rsidRPr="00181EF3">
        <w:t xml:space="preserve">āori children in Year 8 living in fluoridated areas increased by 13.5 percent over this period (from 53.0 to 60.2 percent). Despite the slower rate of increase those in fluoridated areas had a higher percentage caries free between 2002 and 2016 for both Māori and </w:t>
      </w:r>
      <w:r w:rsidR="00EC03A3">
        <w:t>non</w:t>
      </w:r>
      <w:r w:rsidR="00EC03A3">
        <w:noBreakHyphen/>
        <w:t>M</w:t>
      </w:r>
      <w:r w:rsidRPr="00181EF3">
        <w:t>āori.</w:t>
      </w:r>
    </w:p>
    <w:p w14:paraId="3E04B853" w14:textId="77777777" w:rsidR="00C148E5" w:rsidRPr="00181EF3" w:rsidRDefault="00C148E5" w:rsidP="002D68F3"/>
    <w:p w14:paraId="4BB76059" w14:textId="557ADD69" w:rsidR="002D68F3" w:rsidRPr="00181EF3" w:rsidRDefault="002D68F3" w:rsidP="002C376C">
      <w:pPr>
        <w:pStyle w:val="Heading4"/>
      </w:pPr>
      <w:r w:rsidRPr="00181EF3">
        <w:lastRenderedPageBreak/>
        <w:t xml:space="preserve">Difference </w:t>
      </w:r>
      <w:r w:rsidR="00192B48">
        <w:t xml:space="preserve">in caries-free percentages </w:t>
      </w:r>
      <w:r w:rsidRPr="00181EF3">
        <w:t xml:space="preserve">between Māori and </w:t>
      </w:r>
      <w:r w:rsidR="00EC03A3">
        <w:t>non</w:t>
      </w:r>
      <w:r w:rsidR="00EC03A3">
        <w:noBreakHyphen/>
        <w:t>M</w:t>
      </w:r>
      <w:r w:rsidRPr="00181EF3">
        <w:t>āori children in Year 8 decreased between 2002 and 2016</w:t>
      </w:r>
    </w:p>
    <w:p w14:paraId="54F817AA" w14:textId="63607D02" w:rsidR="002D68F3" w:rsidRPr="00181EF3" w:rsidRDefault="002D68F3" w:rsidP="002D68F3">
      <w:r w:rsidRPr="00181EF3">
        <w:t xml:space="preserve">The difference in the percentage of caries-free children in Year 8 between Māori and </w:t>
      </w:r>
      <w:r w:rsidR="00EC03A3">
        <w:t>non</w:t>
      </w:r>
      <w:r w:rsidR="00EC03A3">
        <w:noBreakHyphen/>
        <w:t>M</w:t>
      </w:r>
      <w:r w:rsidRPr="00181EF3">
        <w:t xml:space="preserve">āori decreased between 2002 and 2016 by 55.2 percent (12.43 to 5.6 percentage points). Despite this decrease Māori children in Year 8 were less likely to be caries free than </w:t>
      </w:r>
      <w:r w:rsidR="00EC03A3">
        <w:t>non</w:t>
      </w:r>
      <w:r w:rsidR="00EC03A3">
        <w:noBreakHyphen/>
        <w:t>M</w:t>
      </w:r>
      <w:r w:rsidRPr="00181EF3">
        <w:t>āori within the same age group.</w:t>
      </w:r>
    </w:p>
    <w:p w14:paraId="4CB0ACB9" w14:textId="77777777" w:rsidR="002D68F3" w:rsidRPr="00181EF3" w:rsidRDefault="002D68F3" w:rsidP="002D68F3"/>
    <w:p w14:paraId="79BB40BC" w14:textId="77777777" w:rsidR="002C376C" w:rsidRPr="002C376C" w:rsidRDefault="002D68F3" w:rsidP="00C148E5">
      <w:pPr>
        <w:pStyle w:val="Heading3"/>
        <w:pageBreakBefore/>
        <w:spacing w:before="0"/>
      </w:pPr>
      <w:bookmarkStart w:id="280" w:name="_Toc19102393"/>
      <w:r w:rsidRPr="00181EF3">
        <w:lastRenderedPageBreak/>
        <w:t>Visited a dental health care worker in previous year</w:t>
      </w:r>
      <w:bookmarkEnd w:id="280"/>
    </w:p>
    <w:p w14:paraId="1FAF5786" w14:textId="6C97D14E" w:rsidR="002C376C" w:rsidRDefault="002C376C" w:rsidP="002C376C">
      <w:pPr>
        <w:pStyle w:val="Figure"/>
      </w:pPr>
      <w:bookmarkStart w:id="281" w:name="_Toc19101944"/>
      <w:r w:rsidRPr="00181EF3">
        <w:t xml:space="preserve">Figure </w:t>
      </w:r>
      <w:r>
        <w:rPr>
          <w:noProof/>
        </w:rPr>
        <w:t>93</w:t>
      </w:r>
      <w:r w:rsidRPr="00181EF3">
        <w:t xml:space="preserve">: </w:t>
      </w:r>
      <w:r>
        <w:t>V</w:t>
      </w:r>
      <w:r w:rsidRPr="00181EF3">
        <w:t xml:space="preserve">isiting dental health care worker in previous year, </w:t>
      </w:r>
      <w:r>
        <w:t xml:space="preserve">1–14 years, Māori and </w:t>
      </w:r>
      <w:r w:rsidR="00EC03A3">
        <w:t>non</w:t>
      </w:r>
      <w:r w:rsidR="00EC03A3">
        <w:noBreakHyphen/>
        <w:t>M</w:t>
      </w:r>
      <w:r>
        <w:t xml:space="preserve">āori, </w:t>
      </w:r>
      <w:r w:rsidRPr="00181EF3">
        <w:t>2006/07–2016/17</w:t>
      </w:r>
      <w:bookmarkEnd w:id="281"/>
    </w:p>
    <w:p w14:paraId="24BD6076" w14:textId="77777777" w:rsidR="002C376C" w:rsidRPr="002C22EB" w:rsidRDefault="002C376C" w:rsidP="002C376C">
      <w:r w:rsidRPr="002C22EB">
        <w:rPr>
          <w:noProof/>
          <w:lang w:eastAsia="en-NZ"/>
        </w:rPr>
        <w:drawing>
          <wp:inline distT="0" distB="0" distL="0" distR="0" wp14:anchorId="5B3E1AF7" wp14:editId="22CEA3B6">
            <wp:extent cx="5130165" cy="2928469"/>
            <wp:effectExtent l="0" t="0" r="0" b="5715"/>
            <wp:docPr id="276" name="Picture 276" descr="Māori and non-Māori children visit dental health care workers at very similar rates, which have increased slightly since 2006-07." title="Figure 93: Age-standardised percentage (%) of children visiting dental health care worker in previous year, 2006/07–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130165" cy="2928469"/>
                    </a:xfrm>
                    <a:prstGeom prst="rect">
                      <a:avLst/>
                    </a:prstGeom>
                  </pic:spPr>
                </pic:pic>
              </a:graphicData>
            </a:graphic>
          </wp:inline>
        </w:drawing>
      </w:r>
    </w:p>
    <w:p w14:paraId="02CABB90" w14:textId="77777777" w:rsidR="008A5642" w:rsidRDefault="002C376C" w:rsidP="00B6364B">
      <w:pPr>
        <w:pStyle w:val="Note"/>
        <w:rPr>
          <w:rFonts w:eastAsia="Calibri"/>
        </w:rPr>
      </w:pPr>
      <w:r w:rsidRPr="00892068">
        <w:rPr>
          <w:rFonts w:eastAsia="Calibri"/>
        </w:rPr>
        <w:t>Notes:</w:t>
      </w:r>
    </w:p>
    <w:p w14:paraId="7084281F" w14:textId="6F6E53BE" w:rsidR="008A5642" w:rsidRDefault="00446D86" w:rsidP="00B6364B">
      <w:pPr>
        <w:pStyle w:val="Note"/>
        <w:rPr>
          <w:rFonts w:eastAsia="Calibri"/>
        </w:rPr>
      </w:pPr>
      <w:r>
        <w:rPr>
          <w:rFonts w:eastAsia="Calibri"/>
        </w:rPr>
        <w:t>Figures are age-standardised to the 2001 Census total Māori population</w:t>
      </w:r>
      <w:r w:rsidR="002C376C" w:rsidRPr="00892068">
        <w:rPr>
          <w:rFonts w:eastAsia="Calibri"/>
        </w:rPr>
        <w:t>.</w:t>
      </w:r>
    </w:p>
    <w:p w14:paraId="26942415" w14:textId="368A3E48" w:rsidR="002C376C" w:rsidRPr="00892068" w:rsidRDefault="002C376C" w:rsidP="00B6364B">
      <w:pPr>
        <w:pStyle w:val="Note"/>
        <w:rPr>
          <w:rFonts w:eastAsia="Calibri"/>
        </w:rPr>
      </w:pPr>
      <w:r w:rsidRPr="00892068">
        <w:rPr>
          <w:rFonts w:eastAsia="Calibri"/>
        </w:rPr>
        <w:t>Prioritised ethnicity has been used.</w:t>
      </w:r>
    </w:p>
    <w:p w14:paraId="1C391113" w14:textId="77777777" w:rsidR="002C376C" w:rsidRDefault="002C376C" w:rsidP="00B6364B">
      <w:pPr>
        <w:pStyle w:val="Note"/>
        <w:ind w:left="0" w:firstLine="0"/>
        <w:rPr>
          <w:rFonts w:eastAsia="Calibri"/>
        </w:rPr>
      </w:pPr>
      <w:r w:rsidRPr="00892068">
        <w:rPr>
          <w:rFonts w:eastAsia="Calibri"/>
        </w:rPr>
        <w:t>If the confidence intervals of two rates do not overlap, the difference in rates is said to be statistically significant.</w:t>
      </w:r>
    </w:p>
    <w:p w14:paraId="5450B867" w14:textId="77777777" w:rsidR="002C376C" w:rsidRPr="00892068" w:rsidRDefault="002C376C" w:rsidP="00B6364B">
      <w:pPr>
        <w:pStyle w:val="Note"/>
        <w:ind w:left="0" w:firstLine="0"/>
        <w:rPr>
          <w:rFonts w:eastAsia="Calibri"/>
        </w:rPr>
      </w:pPr>
      <w:r w:rsidRPr="002C376C">
        <w:rPr>
          <w:rFonts w:eastAsia="Calibri"/>
        </w:rPr>
        <w:t>The term ‘dental health care worker’ refers to dentists and other dental health care professionals, such as dental therapists and dental hygienists, as well as dental specialists, such as orthodontists.</w:t>
      </w:r>
    </w:p>
    <w:p w14:paraId="37BF3198" w14:textId="0FEF3D8C" w:rsidR="002C376C" w:rsidRDefault="002C376C" w:rsidP="00B6364B">
      <w:pPr>
        <w:pStyle w:val="Note"/>
      </w:pPr>
      <w:r w:rsidRPr="00892068">
        <w:rPr>
          <w:rFonts w:eastAsia="Calibri"/>
        </w:rPr>
        <w:t xml:space="preserve">Source: </w:t>
      </w:r>
      <w:r w:rsidR="009116B8">
        <w:rPr>
          <w:rFonts w:eastAsia="Calibri"/>
        </w:rPr>
        <w:t>New Zealand Health Survey (NZHS), Ministry of Health, 2006/07–2016/17.</w:t>
      </w:r>
    </w:p>
    <w:p w14:paraId="3CDE5675" w14:textId="77777777" w:rsidR="002C376C" w:rsidRPr="002C376C" w:rsidRDefault="002C376C" w:rsidP="002C376C"/>
    <w:p w14:paraId="38A78FDC" w14:textId="3FE0CED4" w:rsidR="002C376C" w:rsidRDefault="002C376C" w:rsidP="002C376C">
      <w:r w:rsidRPr="00181EF3">
        <w:t xml:space="preserve">Figure </w:t>
      </w:r>
      <w:r>
        <w:t>93</w:t>
      </w:r>
      <w:r w:rsidRPr="00181EF3">
        <w:t xml:space="preserve"> shows, after adjusting for age, the percentage of Māori and </w:t>
      </w:r>
      <w:r w:rsidR="00EC03A3">
        <w:t>non</w:t>
      </w:r>
      <w:r w:rsidR="00EC03A3">
        <w:noBreakHyphen/>
        <w:t>M</w:t>
      </w:r>
      <w:r w:rsidRPr="00181EF3">
        <w:t>āori children that have visited a dental health care worker in the previous year between 2006/07 and 2016/17.</w:t>
      </w:r>
      <w:r>
        <w:t xml:space="preserve"> </w:t>
      </w:r>
      <w:r w:rsidRPr="00181EF3">
        <w:t>In 2016/17, the percentage of Māori children who had visited a dental health care worker in the previous year was 82.9 percent. In comparison, 83.</w:t>
      </w:r>
      <w:r w:rsidR="003F3EA8" w:rsidRPr="00181EF3">
        <w:t>5</w:t>
      </w:r>
      <w:r w:rsidR="003F3EA8">
        <w:t> </w:t>
      </w:r>
      <w:r w:rsidRPr="00181EF3">
        <w:t xml:space="preserve">percent of </w:t>
      </w:r>
      <w:r w:rsidR="00EC03A3">
        <w:t>non</w:t>
      </w:r>
      <w:r w:rsidR="00EC03A3">
        <w:noBreakHyphen/>
        <w:t>M</w:t>
      </w:r>
      <w:r w:rsidRPr="00181EF3">
        <w:t>āori children had visited a dental health care worker in the previous year.</w:t>
      </w:r>
    </w:p>
    <w:p w14:paraId="16382058" w14:textId="77777777" w:rsidR="00C148E5" w:rsidRPr="00181EF3" w:rsidRDefault="00C148E5" w:rsidP="002C376C"/>
    <w:p w14:paraId="27F76A06" w14:textId="77777777" w:rsidR="007B2CA8" w:rsidRDefault="007B2CA8" w:rsidP="007B2CA8">
      <w:pPr>
        <w:pStyle w:val="Heading4"/>
      </w:pPr>
      <w:r w:rsidRPr="00181EF3">
        <w:t>Percentage of Māori children who visited dental health care worker has increased</w:t>
      </w:r>
    </w:p>
    <w:p w14:paraId="59AB30B6" w14:textId="77777777" w:rsidR="002D68F3" w:rsidRPr="00181EF3" w:rsidRDefault="002D68F3" w:rsidP="002D68F3">
      <w:r w:rsidRPr="00181EF3">
        <w:t>The age-standardised percentage of Māori children who had visited a dental health care worker in the previous year increased from 74.4 percent in 2006/07 to 82.9 percent in 2016/17, an increase of 11.4 percent.</w:t>
      </w:r>
    </w:p>
    <w:p w14:paraId="1778895E" w14:textId="77777777" w:rsidR="002D68F3" w:rsidRPr="00181EF3" w:rsidRDefault="002D68F3" w:rsidP="002D68F3"/>
    <w:p w14:paraId="063A870F" w14:textId="68FF034B" w:rsidR="002D68F3" w:rsidRPr="00181EF3" w:rsidRDefault="002D68F3" w:rsidP="002D68F3">
      <w:r w:rsidRPr="00181EF3">
        <w:t xml:space="preserve">The age-standardised percentage of </w:t>
      </w:r>
      <w:r w:rsidR="00EC03A3">
        <w:t>non</w:t>
      </w:r>
      <w:r w:rsidR="00EC03A3">
        <w:noBreakHyphen/>
        <w:t>M</w:t>
      </w:r>
      <w:r w:rsidRPr="00181EF3">
        <w:t>āori children who had visited a dental health care worker in the previous year increased from 75.6 percent in 2006/07 to 83.5 percent in 2016/17, an increase of 10.5 percent.</w:t>
      </w:r>
    </w:p>
    <w:p w14:paraId="0E5C0EDD" w14:textId="77777777" w:rsidR="002D68F3" w:rsidRPr="00181EF3" w:rsidRDefault="002D68F3" w:rsidP="002D68F3"/>
    <w:p w14:paraId="7CB2E18A" w14:textId="69D3410D" w:rsidR="002D68F3" w:rsidRDefault="002D68F3" w:rsidP="002D68F3">
      <w:r w:rsidRPr="00181EF3">
        <w:lastRenderedPageBreak/>
        <w:t xml:space="preserve">After adjusting for age, the percentage of Māori children who had visited a dental health care worker in the previous year increased faster than </w:t>
      </w:r>
      <w:r w:rsidR="00EC03A3">
        <w:t>non</w:t>
      </w:r>
      <w:r w:rsidR="00EC03A3">
        <w:noBreakHyphen/>
        <w:t>M</w:t>
      </w:r>
      <w:r w:rsidRPr="00181EF3">
        <w:t xml:space="preserve">āori children. The difference between Māori and </w:t>
      </w:r>
      <w:r w:rsidR="00EC03A3">
        <w:t>non</w:t>
      </w:r>
      <w:r w:rsidR="00EC03A3">
        <w:noBreakHyphen/>
        <w:t>M</w:t>
      </w:r>
      <w:r w:rsidRPr="00181EF3">
        <w:t>āori children showed little change between 2006/07 and 2016/17.</w:t>
      </w:r>
    </w:p>
    <w:p w14:paraId="023D9428" w14:textId="77777777" w:rsidR="00C148E5" w:rsidRPr="00181EF3" w:rsidRDefault="00C148E5" w:rsidP="002D68F3"/>
    <w:p w14:paraId="7583603E" w14:textId="3206C40F" w:rsidR="00D60C05" w:rsidRDefault="00D60C05" w:rsidP="00D60C05">
      <w:pPr>
        <w:pStyle w:val="Figure"/>
      </w:pPr>
      <w:bookmarkStart w:id="282" w:name="_Toc19101945"/>
      <w:r w:rsidRPr="00181EF3">
        <w:t xml:space="preserve">Figure </w:t>
      </w:r>
      <w:r>
        <w:rPr>
          <w:noProof/>
        </w:rPr>
        <w:t>94</w:t>
      </w:r>
      <w:r w:rsidRPr="00181EF3">
        <w:t xml:space="preserve">: </w:t>
      </w:r>
      <w:r>
        <w:t>V</w:t>
      </w:r>
      <w:r w:rsidRPr="00181EF3">
        <w:t xml:space="preserve">isiting dental health care worker in previous year, </w:t>
      </w:r>
      <w:r>
        <w:t xml:space="preserve">15+ years, Māori and </w:t>
      </w:r>
      <w:r w:rsidR="00EC03A3">
        <w:t>non</w:t>
      </w:r>
      <w:r w:rsidR="00EC03A3">
        <w:noBreakHyphen/>
        <w:t>M</w:t>
      </w:r>
      <w:r>
        <w:t>āori</w:t>
      </w:r>
      <w:r w:rsidRPr="00181EF3">
        <w:t xml:space="preserve"> with natural teeth, 2006/07–2016/17</w:t>
      </w:r>
      <w:bookmarkEnd w:id="282"/>
    </w:p>
    <w:p w14:paraId="4C102721" w14:textId="77777777" w:rsidR="00D60C05" w:rsidRPr="002C22EB" w:rsidRDefault="00D60C05" w:rsidP="00D60C05">
      <w:r w:rsidRPr="002C22EB">
        <w:rPr>
          <w:noProof/>
          <w:lang w:eastAsia="en-NZ"/>
        </w:rPr>
        <w:drawing>
          <wp:inline distT="0" distB="0" distL="0" distR="0" wp14:anchorId="4804EE90" wp14:editId="01605472">
            <wp:extent cx="5130165" cy="2673057"/>
            <wp:effectExtent l="0" t="0" r="0" b="0"/>
            <wp:docPr id="287" name="Picture 287" descr="Māori adults were less likely than non-Māori adults to have visited a dental health care worker in the previous year. The rate for non-Māori has gone down slightly since 2006-07, while the rate for Māori has fluctuated without an upward or downward trend." title="Figure 6: Age-adjusted percentage (%) of adults with natural teeth wh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130165" cy="2673057"/>
                    </a:xfrm>
                    <a:prstGeom prst="rect">
                      <a:avLst/>
                    </a:prstGeom>
                  </pic:spPr>
                </pic:pic>
              </a:graphicData>
            </a:graphic>
          </wp:inline>
        </w:drawing>
      </w:r>
    </w:p>
    <w:p w14:paraId="4F6DEA1E" w14:textId="77777777" w:rsidR="008A5642" w:rsidRDefault="00D60C05" w:rsidP="00B6364B">
      <w:pPr>
        <w:pStyle w:val="Note"/>
        <w:ind w:left="0" w:firstLine="0"/>
        <w:rPr>
          <w:rFonts w:eastAsia="Calibri"/>
        </w:rPr>
      </w:pPr>
      <w:r w:rsidRPr="00892068">
        <w:rPr>
          <w:rFonts w:eastAsia="Calibri"/>
        </w:rPr>
        <w:t>Notes:</w:t>
      </w:r>
    </w:p>
    <w:p w14:paraId="1F4F56E8" w14:textId="7DE8EF7D" w:rsidR="008A5642" w:rsidRDefault="00446D86" w:rsidP="00B6364B">
      <w:pPr>
        <w:pStyle w:val="Note"/>
        <w:ind w:left="0" w:firstLine="0"/>
        <w:rPr>
          <w:rFonts w:eastAsia="Calibri"/>
        </w:rPr>
      </w:pPr>
      <w:r>
        <w:rPr>
          <w:rFonts w:eastAsia="Calibri"/>
        </w:rPr>
        <w:t>Figures are age-standardised to the 2001 Census total Māori population</w:t>
      </w:r>
      <w:r w:rsidR="00D60C05" w:rsidRPr="00892068">
        <w:rPr>
          <w:rFonts w:eastAsia="Calibri"/>
        </w:rPr>
        <w:t>.</w:t>
      </w:r>
    </w:p>
    <w:p w14:paraId="3324C164" w14:textId="46BB6CF2" w:rsidR="00D60C05" w:rsidRPr="00892068" w:rsidRDefault="00D60C05" w:rsidP="00B6364B">
      <w:pPr>
        <w:pStyle w:val="Note"/>
        <w:ind w:left="0" w:firstLine="0"/>
        <w:rPr>
          <w:rFonts w:eastAsia="Calibri"/>
        </w:rPr>
      </w:pPr>
      <w:r w:rsidRPr="00892068">
        <w:rPr>
          <w:rFonts w:eastAsia="Calibri"/>
        </w:rPr>
        <w:t>Prioritised ethnicity has been used.</w:t>
      </w:r>
    </w:p>
    <w:p w14:paraId="241BF50B" w14:textId="77777777" w:rsidR="00D60C05" w:rsidRDefault="00D60C05" w:rsidP="00B6364B">
      <w:pPr>
        <w:pStyle w:val="Note"/>
        <w:ind w:left="0" w:firstLine="0"/>
        <w:rPr>
          <w:rFonts w:eastAsia="Calibri"/>
        </w:rPr>
      </w:pPr>
      <w:r w:rsidRPr="00892068">
        <w:rPr>
          <w:rFonts w:eastAsia="Calibri"/>
        </w:rPr>
        <w:t>If the confidence intervals of two rates do not overlap, the difference in rates is said to be statistically significant.</w:t>
      </w:r>
    </w:p>
    <w:p w14:paraId="5F94670F" w14:textId="77777777" w:rsidR="00D60C05" w:rsidRPr="00892068" w:rsidRDefault="00D60C05" w:rsidP="00B6364B">
      <w:pPr>
        <w:pStyle w:val="Note"/>
        <w:ind w:left="0" w:firstLine="0"/>
        <w:rPr>
          <w:rFonts w:eastAsia="Calibri"/>
        </w:rPr>
      </w:pPr>
      <w:r w:rsidRPr="002C376C">
        <w:rPr>
          <w:rFonts w:eastAsia="Calibri"/>
        </w:rPr>
        <w:t>The term ‘dental health care worker’ refers to dentists and other dental health care professionals, such as dental therapists and dental hygienists, as well as dental specialists, such as orthodontists.</w:t>
      </w:r>
    </w:p>
    <w:p w14:paraId="5B428FE7" w14:textId="1BCD72A2" w:rsidR="00D60C05" w:rsidRDefault="00D60C05" w:rsidP="00B6364B">
      <w:pPr>
        <w:pStyle w:val="Note"/>
        <w:ind w:left="0" w:firstLine="0"/>
      </w:pPr>
      <w:r w:rsidRPr="00892068">
        <w:rPr>
          <w:rFonts w:eastAsia="Calibri"/>
        </w:rPr>
        <w:t xml:space="preserve">Source: </w:t>
      </w:r>
      <w:r w:rsidR="009116B8">
        <w:rPr>
          <w:rFonts w:eastAsia="Calibri"/>
        </w:rPr>
        <w:t>New Zealand Health Survey (NZHS), Ministry of Health, 2006/07–2016/17.</w:t>
      </w:r>
    </w:p>
    <w:p w14:paraId="23976883" w14:textId="77777777" w:rsidR="00D60C05" w:rsidRPr="00D60C05" w:rsidRDefault="00D60C05" w:rsidP="00D60C05"/>
    <w:p w14:paraId="02912A08" w14:textId="41D71A28" w:rsidR="00D60C05" w:rsidRDefault="00D60C05" w:rsidP="002D68F3">
      <w:r w:rsidRPr="00181EF3">
        <w:t xml:space="preserve">Figure </w:t>
      </w:r>
      <w:r>
        <w:t>94</w:t>
      </w:r>
      <w:r w:rsidRPr="00181EF3">
        <w:t xml:space="preserve"> shows, after adjusting for age, the percentage of Māori and </w:t>
      </w:r>
      <w:r w:rsidR="00EC03A3">
        <w:t>non</w:t>
      </w:r>
      <w:r w:rsidR="00EC03A3">
        <w:noBreakHyphen/>
        <w:t>M</w:t>
      </w:r>
      <w:r w:rsidRPr="00181EF3">
        <w:t>āori adults aged 15 years and above who have visited a dental health care worker in the previous year between 2006/07 and 2016/17.</w:t>
      </w:r>
      <w:r w:rsidRPr="00D60C05">
        <w:t xml:space="preserve"> </w:t>
      </w:r>
      <w:r>
        <w:t>I</w:t>
      </w:r>
      <w:r w:rsidRPr="00181EF3">
        <w:t xml:space="preserve">n 2016/17, 37.7 percent of Māori adults had visited a dental health care worker in the previous year. In comparison, 46.0 percent of </w:t>
      </w:r>
      <w:r w:rsidR="00EC03A3">
        <w:t>non</w:t>
      </w:r>
      <w:r w:rsidR="00EC03A3">
        <w:noBreakHyphen/>
        <w:t>M</w:t>
      </w:r>
      <w:r w:rsidRPr="00181EF3">
        <w:t>āori adults had visited a dental health care worker in the previous year.</w:t>
      </w:r>
    </w:p>
    <w:p w14:paraId="0F698140" w14:textId="77777777" w:rsidR="00C148E5" w:rsidRDefault="00C148E5" w:rsidP="002D68F3"/>
    <w:p w14:paraId="1606307A" w14:textId="77777777" w:rsidR="007B2CA8" w:rsidRDefault="007B2CA8" w:rsidP="007B2CA8">
      <w:pPr>
        <w:pStyle w:val="Heading4"/>
      </w:pPr>
      <w:r w:rsidRPr="00181EF3">
        <w:t>Percentage of Māori adults that visited dental health care worker has remained constant</w:t>
      </w:r>
    </w:p>
    <w:p w14:paraId="067E7B50" w14:textId="77777777" w:rsidR="002D68F3" w:rsidRPr="00181EF3" w:rsidRDefault="002D68F3" w:rsidP="002D68F3">
      <w:r w:rsidRPr="00181EF3">
        <w:t>After adjusting for age, the percentage of Māori adults who visited a dental health care worker in the previous year has remained stationary between 2006/07 and 2016/17 at an average of 37.1 percent.</w:t>
      </w:r>
    </w:p>
    <w:p w14:paraId="3D4D5F04" w14:textId="77777777" w:rsidR="002D68F3" w:rsidRPr="00181EF3" w:rsidRDefault="002D68F3" w:rsidP="002D68F3"/>
    <w:p w14:paraId="5C42E3B5" w14:textId="22699813" w:rsidR="002D68F3" w:rsidRDefault="002D68F3" w:rsidP="002D68F3">
      <w:r w:rsidRPr="00181EF3">
        <w:t xml:space="preserve">In contrast the age-adjusted percentage of </w:t>
      </w:r>
      <w:r w:rsidR="00EC03A3">
        <w:t>non</w:t>
      </w:r>
      <w:r w:rsidR="00EC03A3">
        <w:noBreakHyphen/>
        <w:t>M</w:t>
      </w:r>
      <w:r w:rsidRPr="00181EF3">
        <w:t>āori adults who visited a dental health care worker in the previous year has decreased from 51.3 percent in 2006/07 to 46.0 percent in 2016/17 a decrease of 10.3 percent.</w:t>
      </w:r>
    </w:p>
    <w:p w14:paraId="5D902900" w14:textId="77777777" w:rsidR="00C148E5" w:rsidRPr="00181EF3" w:rsidRDefault="00C148E5" w:rsidP="002D68F3"/>
    <w:p w14:paraId="0D268CFF" w14:textId="23C8AAF6" w:rsidR="002D68F3" w:rsidRPr="00181EF3" w:rsidRDefault="002D68F3" w:rsidP="00D60C05">
      <w:pPr>
        <w:pStyle w:val="Heading4"/>
      </w:pPr>
      <w:r w:rsidRPr="00181EF3">
        <w:lastRenderedPageBreak/>
        <w:t xml:space="preserve">The difference in percentage between Māori and </w:t>
      </w:r>
      <w:r w:rsidR="00EC03A3">
        <w:t>non</w:t>
      </w:r>
      <w:r w:rsidR="00EC03A3">
        <w:noBreakHyphen/>
        <w:t>M</w:t>
      </w:r>
      <w:r w:rsidRPr="00181EF3">
        <w:t>āori adults who have visited a dental health care worker has decreased over time</w:t>
      </w:r>
    </w:p>
    <w:p w14:paraId="1AFBB7E1" w14:textId="1FA2A6E0" w:rsidR="002D68F3" w:rsidRPr="00181EF3" w:rsidRDefault="002D68F3" w:rsidP="002D68F3">
      <w:r w:rsidRPr="00181EF3">
        <w:t xml:space="preserve">The difference in age-standardised percentage between Māori and </w:t>
      </w:r>
      <w:r w:rsidR="00EC03A3">
        <w:t>non</w:t>
      </w:r>
      <w:r w:rsidR="00EC03A3">
        <w:noBreakHyphen/>
        <w:t>M</w:t>
      </w:r>
      <w:r w:rsidRPr="00181EF3">
        <w:t>āori adults who visited a dental health care worker in the previous year has decreased from 13.3 percent in 2006/07 to 8.3 percent in 2016/17, a decrease of 37.6 percent.</w:t>
      </w:r>
      <w:r w:rsidR="00D60C05">
        <w:t xml:space="preserve"> </w:t>
      </w:r>
      <w:r w:rsidR="00D60C05" w:rsidRPr="00181EF3">
        <w:t>The change in the difference came from a decrease in the percentage</w:t>
      </w:r>
      <w:r w:rsidR="00D60C05">
        <w:t xml:space="preserve"> (10.3 percent)</w:t>
      </w:r>
      <w:r w:rsidR="00D60C05" w:rsidRPr="00181EF3">
        <w:t xml:space="preserve"> of </w:t>
      </w:r>
      <w:r w:rsidR="00EC03A3">
        <w:t>non</w:t>
      </w:r>
      <w:r w:rsidR="00EC03A3">
        <w:noBreakHyphen/>
        <w:t>M</w:t>
      </w:r>
      <w:r w:rsidR="00D60C05" w:rsidRPr="00181EF3">
        <w:t>āori adults who had visited a dental health care worker in the previous year</w:t>
      </w:r>
      <w:r w:rsidR="00D60C05">
        <w:t>.</w:t>
      </w:r>
    </w:p>
    <w:p w14:paraId="45C9F0C7" w14:textId="77777777" w:rsidR="002D68F3" w:rsidRPr="00181EF3" w:rsidRDefault="002D68F3" w:rsidP="002D68F3"/>
    <w:p w14:paraId="6F26EB6A" w14:textId="1DFD6AE1" w:rsidR="002D68F3" w:rsidRPr="00181EF3" w:rsidRDefault="002D68F3" w:rsidP="002D68F3">
      <w:r w:rsidRPr="00181EF3">
        <w:t xml:space="preserve">Between 2006/07 and 2016/17 Māori were less likely to visit a dental health care worker than </w:t>
      </w:r>
      <w:r w:rsidR="00EC03A3">
        <w:t>non</w:t>
      </w:r>
      <w:r w:rsidR="00EC03A3">
        <w:noBreakHyphen/>
        <w:t>M</w:t>
      </w:r>
      <w:r w:rsidRPr="00181EF3">
        <w:t>āori.</w:t>
      </w:r>
    </w:p>
    <w:p w14:paraId="43223BA4" w14:textId="77777777" w:rsidR="002D68F3" w:rsidRPr="00181EF3" w:rsidRDefault="002D68F3" w:rsidP="002D68F3"/>
    <w:p w14:paraId="1356DF6B" w14:textId="46939825" w:rsidR="002D68F3" w:rsidRDefault="002D68F3" w:rsidP="00C148E5">
      <w:pPr>
        <w:pStyle w:val="Heading3"/>
        <w:pageBreakBefore/>
        <w:spacing w:before="0"/>
      </w:pPr>
      <w:bookmarkStart w:id="283" w:name="_Toc19102394"/>
      <w:r w:rsidRPr="00181EF3">
        <w:lastRenderedPageBreak/>
        <w:t>Had any teeth extracted due to decay, abscess or infection in previous year for children aged</w:t>
      </w:r>
      <w:r w:rsidR="00C148E5">
        <w:br/>
      </w:r>
      <w:r w:rsidRPr="00181EF3">
        <w:t>1</w:t>
      </w:r>
      <w:r w:rsidR="00D60C05">
        <w:t>–1</w:t>
      </w:r>
      <w:r w:rsidRPr="00181EF3">
        <w:t>4</w:t>
      </w:r>
      <w:r w:rsidR="00D60C05">
        <w:t xml:space="preserve"> years</w:t>
      </w:r>
      <w:bookmarkEnd w:id="283"/>
    </w:p>
    <w:p w14:paraId="06C5C160" w14:textId="4DA192C1" w:rsidR="00D60C05" w:rsidRDefault="00D60C05" w:rsidP="00D60C05">
      <w:pPr>
        <w:pStyle w:val="Figure"/>
        <w:rPr>
          <w:noProof/>
        </w:rPr>
      </w:pPr>
      <w:bookmarkStart w:id="284" w:name="_Toc19101946"/>
      <w:r w:rsidRPr="00181EF3">
        <w:t xml:space="preserve">Figure </w:t>
      </w:r>
      <w:r>
        <w:rPr>
          <w:noProof/>
        </w:rPr>
        <w:t>95</w:t>
      </w:r>
      <w:r w:rsidRPr="00181EF3">
        <w:t xml:space="preserve">: </w:t>
      </w:r>
      <w:r>
        <w:t>H</w:t>
      </w:r>
      <w:r w:rsidRPr="00181EF3">
        <w:t>ad teeth extracted</w:t>
      </w:r>
      <w:r w:rsidRPr="00181EF3">
        <w:rPr>
          <w:noProof/>
        </w:rPr>
        <w:t xml:space="preserve"> due to decay, abscess or infection in previous year,</w:t>
      </w:r>
      <w:r w:rsidR="00C148E5">
        <w:rPr>
          <w:noProof/>
        </w:rPr>
        <w:br/>
      </w:r>
      <w:r>
        <w:t xml:space="preserve">1–14 years, Māori and </w:t>
      </w:r>
      <w:r w:rsidR="00EC03A3">
        <w:t>non</w:t>
      </w:r>
      <w:r w:rsidR="00EC03A3">
        <w:noBreakHyphen/>
        <w:t>M</w:t>
      </w:r>
      <w:r>
        <w:t xml:space="preserve">āori, </w:t>
      </w:r>
      <w:r w:rsidRPr="00181EF3">
        <w:t>20</w:t>
      </w:r>
      <w:r w:rsidR="00AE55BA">
        <w:t>11</w:t>
      </w:r>
      <w:r w:rsidRPr="00181EF3">
        <w:t>/</w:t>
      </w:r>
      <w:r w:rsidR="00AE55BA">
        <w:t>12</w:t>
      </w:r>
      <w:r w:rsidRPr="00181EF3">
        <w:t>–2016/</w:t>
      </w:r>
      <w:r w:rsidR="006B0919">
        <w:t>17</w:t>
      </w:r>
      <w:bookmarkEnd w:id="284"/>
    </w:p>
    <w:p w14:paraId="6B982782" w14:textId="77777777" w:rsidR="00D60C05" w:rsidRPr="002C22EB" w:rsidRDefault="00D60C05" w:rsidP="00D60C05">
      <w:r w:rsidRPr="002C22EB">
        <w:rPr>
          <w:noProof/>
          <w:lang w:eastAsia="en-NZ"/>
        </w:rPr>
        <w:drawing>
          <wp:inline distT="0" distB="0" distL="0" distR="0" wp14:anchorId="531ECD9E" wp14:editId="21934ECE">
            <wp:extent cx="5062451" cy="2799508"/>
            <wp:effectExtent l="0" t="0" r="5080" b="1270"/>
            <wp:docPr id="289" name="Picture 289" descr="Māori children were more likely to have had teeth extracted due to decay, but the rate has dropped since 2011/12. While non-Māori children had lower rate of extraction due to decay, their rate has fluctuated more and has gone up since 2014/15." title="Figure 95: Age-standardised percentage (%) of Māori and non-Māori children who had teeth extracted due to decay, abscess or infection in previous year, 2006/07–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5"/>
                    <a:srcRect t="1420" b="1705"/>
                    <a:stretch/>
                  </pic:blipFill>
                  <pic:spPr bwMode="auto">
                    <a:xfrm>
                      <a:off x="0" y="0"/>
                      <a:ext cx="5066584" cy="2801793"/>
                    </a:xfrm>
                    <a:prstGeom prst="rect">
                      <a:avLst/>
                    </a:prstGeom>
                    <a:ln>
                      <a:noFill/>
                    </a:ln>
                    <a:extLst>
                      <a:ext uri="{53640926-AAD7-44D8-BBD7-CCE9431645EC}">
                        <a14:shadowObscured xmlns:a14="http://schemas.microsoft.com/office/drawing/2010/main"/>
                      </a:ext>
                    </a:extLst>
                  </pic:spPr>
                </pic:pic>
              </a:graphicData>
            </a:graphic>
          </wp:inline>
        </w:drawing>
      </w:r>
    </w:p>
    <w:p w14:paraId="5DF0CA90" w14:textId="77777777" w:rsidR="008A5642" w:rsidRDefault="00D60C05" w:rsidP="00B6364B">
      <w:pPr>
        <w:pStyle w:val="Note"/>
        <w:ind w:left="0" w:firstLine="0"/>
        <w:rPr>
          <w:rFonts w:eastAsia="Calibri"/>
        </w:rPr>
      </w:pPr>
      <w:r w:rsidRPr="00892068">
        <w:rPr>
          <w:rFonts w:eastAsia="Calibri"/>
        </w:rPr>
        <w:t>Notes:</w:t>
      </w:r>
    </w:p>
    <w:p w14:paraId="51F9443E" w14:textId="4F0942B3" w:rsidR="008A5642" w:rsidRDefault="00446D86" w:rsidP="00B6364B">
      <w:pPr>
        <w:pStyle w:val="Note"/>
        <w:ind w:left="0" w:firstLine="0"/>
        <w:rPr>
          <w:rFonts w:eastAsia="Calibri"/>
        </w:rPr>
      </w:pPr>
      <w:r>
        <w:rPr>
          <w:rFonts w:eastAsia="Calibri"/>
        </w:rPr>
        <w:t>Figures are age-standardised to the 2001 Census total Māori population</w:t>
      </w:r>
      <w:r w:rsidR="00D60C05" w:rsidRPr="00892068">
        <w:rPr>
          <w:rFonts w:eastAsia="Calibri"/>
        </w:rPr>
        <w:t>.</w:t>
      </w:r>
    </w:p>
    <w:p w14:paraId="5A590C52" w14:textId="7997DCA9" w:rsidR="00D60C05" w:rsidRPr="00892068" w:rsidRDefault="00D60C05" w:rsidP="00B6364B">
      <w:pPr>
        <w:pStyle w:val="Note"/>
        <w:ind w:left="0" w:firstLine="0"/>
        <w:rPr>
          <w:rFonts w:eastAsia="Calibri"/>
        </w:rPr>
      </w:pPr>
      <w:r w:rsidRPr="00892068">
        <w:rPr>
          <w:rFonts w:eastAsia="Calibri"/>
        </w:rPr>
        <w:t>Prioritised ethnicity has been used.</w:t>
      </w:r>
    </w:p>
    <w:p w14:paraId="253A84E0" w14:textId="77777777" w:rsidR="00D60C05" w:rsidRDefault="00D60C05" w:rsidP="00B6364B">
      <w:pPr>
        <w:pStyle w:val="Note"/>
        <w:ind w:left="0" w:firstLine="0"/>
        <w:rPr>
          <w:rFonts w:eastAsia="Calibri"/>
        </w:rPr>
      </w:pPr>
      <w:r w:rsidRPr="00892068">
        <w:rPr>
          <w:rFonts w:eastAsia="Calibri"/>
        </w:rPr>
        <w:t>If the confidence intervals of two rates do not overlap, the difference in rates is said to be statistically significant.</w:t>
      </w:r>
    </w:p>
    <w:p w14:paraId="51084C1B" w14:textId="73E6CC12" w:rsidR="00D60C05" w:rsidRDefault="00D60C05" w:rsidP="00B6364B">
      <w:pPr>
        <w:pStyle w:val="Note"/>
        <w:ind w:left="0" w:firstLine="0"/>
      </w:pPr>
      <w:r w:rsidRPr="00892068">
        <w:rPr>
          <w:rFonts w:eastAsia="Calibri"/>
        </w:rPr>
        <w:t xml:space="preserve">Source: </w:t>
      </w:r>
      <w:r w:rsidR="009116B8">
        <w:rPr>
          <w:rFonts w:eastAsia="Calibri"/>
        </w:rPr>
        <w:t>New Zealand Health Survey (NZHS), Ministry of Health, 20</w:t>
      </w:r>
      <w:r w:rsidR="00AE55BA">
        <w:rPr>
          <w:rFonts w:eastAsia="Calibri"/>
        </w:rPr>
        <w:t>11</w:t>
      </w:r>
      <w:r w:rsidR="009116B8">
        <w:rPr>
          <w:rFonts w:eastAsia="Calibri"/>
        </w:rPr>
        <w:t>/</w:t>
      </w:r>
      <w:r w:rsidR="00AE55BA">
        <w:rPr>
          <w:rFonts w:eastAsia="Calibri"/>
        </w:rPr>
        <w:t>12</w:t>
      </w:r>
      <w:r w:rsidR="009116B8">
        <w:rPr>
          <w:rFonts w:eastAsia="Calibri"/>
        </w:rPr>
        <w:t>–2016/17.</w:t>
      </w:r>
    </w:p>
    <w:p w14:paraId="465C93A1" w14:textId="77777777" w:rsidR="00D60C05" w:rsidRPr="00D60C05" w:rsidRDefault="00D60C05" w:rsidP="00D60C05"/>
    <w:p w14:paraId="5BB2F618" w14:textId="5F4DE6B9" w:rsidR="008A5642" w:rsidRDefault="002D68F3" w:rsidP="00D60C05">
      <w:r w:rsidRPr="00181EF3">
        <w:t xml:space="preserve">Figure </w:t>
      </w:r>
      <w:r w:rsidR="00D60C05">
        <w:t>95</w:t>
      </w:r>
      <w:r w:rsidRPr="00181EF3">
        <w:t xml:space="preserve"> shows, after adjusting for age, the percentage of Māori and </w:t>
      </w:r>
      <w:r w:rsidR="00EC03A3">
        <w:t>non</w:t>
      </w:r>
      <w:r w:rsidR="00EC03A3">
        <w:noBreakHyphen/>
        <w:t>M</w:t>
      </w:r>
      <w:r w:rsidRPr="00181EF3">
        <w:t>āori children</w:t>
      </w:r>
      <w:r w:rsidR="00D60C05">
        <w:t>,</w:t>
      </w:r>
      <w:r w:rsidRPr="00181EF3">
        <w:t xml:space="preserve"> aged </w:t>
      </w:r>
      <w:r w:rsidR="00D60C05">
        <w:t>1–</w:t>
      </w:r>
      <w:r w:rsidRPr="00181EF3">
        <w:t xml:space="preserve">14 </w:t>
      </w:r>
      <w:r w:rsidR="00D60C05">
        <w:t>years,</w:t>
      </w:r>
      <w:r w:rsidRPr="00181EF3">
        <w:t xml:space="preserve"> who had teeth extracted</w:t>
      </w:r>
      <w:r w:rsidR="006B0919">
        <w:t xml:space="preserve"> due to decay, abscess or infection</w:t>
      </w:r>
      <w:r w:rsidRPr="00181EF3">
        <w:t xml:space="preserve"> in the previous year between 2011/12 and 2016/17.</w:t>
      </w:r>
    </w:p>
    <w:p w14:paraId="3B0B2BF8" w14:textId="62BBDA4F" w:rsidR="006B0919" w:rsidRDefault="006B0919" w:rsidP="00D60C05"/>
    <w:p w14:paraId="36A2A482" w14:textId="736F8EAB" w:rsidR="00D60C05" w:rsidRDefault="00D60C05" w:rsidP="00D60C05">
      <w:r w:rsidRPr="00181EF3">
        <w:t xml:space="preserve">In 2016/17, the percentage of Māori children who had teeth extracted was 4.9 percent. In comparison, 3.8 percent of </w:t>
      </w:r>
      <w:r w:rsidR="00EC03A3">
        <w:t>non</w:t>
      </w:r>
      <w:r w:rsidR="00EC03A3">
        <w:noBreakHyphen/>
        <w:t>M</w:t>
      </w:r>
      <w:r w:rsidRPr="00181EF3">
        <w:t>āori children had teeth extracted in the previous year.</w:t>
      </w:r>
    </w:p>
    <w:p w14:paraId="04F7F01C" w14:textId="77777777" w:rsidR="00C148E5" w:rsidRPr="00181EF3" w:rsidRDefault="00C148E5" w:rsidP="00D60C05"/>
    <w:p w14:paraId="188DD9C8" w14:textId="77777777" w:rsidR="002D68F3" w:rsidRPr="00181EF3" w:rsidRDefault="002D68F3" w:rsidP="00D60C05">
      <w:pPr>
        <w:pStyle w:val="Heading4"/>
      </w:pPr>
      <w:r w:rsidRPr="00181EF3">
        <w:t>Percentage of Māori children with teeth extracted remained constant</w:t>
      </w:r>
    </w:p>
    <w:p w14:paraId="14E89D3C" w14:textId="77777777" w:rsidR="002D68F3" w:rsidRPr="00181EF3" w:rsidRDefault="00D60C05" w:rsidP="002D68F3">
      <w:r w:rsidRPr="00181EF3">
        <w:t>There was no significant change in the age-standardised percentage of Māori children who had teeth extracted between 2011/12 and 2016/17</w:t>
      </w:r>
      <w:r w:rsidR="006B0919">
        <w:t>.</w:t>
      </w:r>
      <w:r>
        <w:t xml:space="preserve"> </w:t>
      </w:r>
      <w:r w:rsidR="006B0919">
        <w:t>T</w:t>
      </w:r>
      <w:r w:rsidR="002D68F3" w:rsidRPr="00181EF3">
        <w:t xml:space="preserve">he age-standardised percentage of Māori children who had teeth extracted in the previous year remained constant with an average of 5.3 </w:t>
      </w:r>
      <w:r w:rsidR="002D68F3">
        <w:t>percent</w:t>
      </w:r>
      <w:r w:rsidR="002D68F3" w:rsidRPr="00181EF3">
        <w:t xml:space="preserve"> between 2011/12 and 2016/17.</w:t>
      </w:r>
    </w:p>
    <w:p w14:paraId="3AE4B687" w14:textId="77777777" w:rsidR="002D68F3" w:rsidRPr="00181EF3" w:rsidRDefault="002D68F3" w:rsidP="002D68F3"/>
    <w:p w14:paraId="733B2791" w14:textId="251FB663" w:rsidR="002D68F3" w:rsidRDefault="002D68F3" w:rsidP="002D68F3">
      <w:r w:rsidRPr="00181EF3">
        <w:lastRenderedPageBreak/>
        <w:t xml:space="preserve">In contrast the age-standardised percentage of </w:t>
      </w:r>
      <w:r w:rsidR="00EC03A3">
        <w:t>non</w:t>
      </w:r>
      <w:r w:rsidR="00EC03A3">
        <w:noBreakHyphen/>
        <w:t>M</w:t>
      </w:r>
      <w:r w:rsidRPr="00181EF3">
        <w:t>āori children who had teeth extracted remained constant between 2011/12 and 2016/17, with an average of 3.3 percent. The percentage for 2016/17 was 3.8 percent.</w:t>
      </w:r>
    </w:p>
    <w:p w14:paraId="36C30850" w14:textId="77777777" w:rsidR="00C148E5" w:rsidRPr="00181EF3" w:rsidRDefault="00C148E5" w:rsidP="002D68F3"/>
    <w:p w14:paraId="3F69CD4D" w14:textId="64900205" w:rsidR="002D68F3" w:rsidRPr="00181EF3" w:rsidRDefault="002D68F3" w:rsidP="00D60C05">
      <w:pPr>
        <w:pStyle w:val="Heading4"/>
      </w:pPr>
      <w:r w:rsidRPr="00181EF3">
        <w:t xml:space="preserve">Difference in teeth extracted between Māori and </w:t>
      </w:r>
      <w:r w:rsidR="00EC03A3">
        <w:t>non</w:t>
      </w:r>
      <w:r w:rsidR="00EC03A3">
        <w:noBreakHyphen/>
        <w:t>M</w:t>
      </w:r>
      <w:r w:rsidRPr="00181EF3">
        <w:t xml:space="preserve">āori decreased </w:t>
      </w:r>
      <w:r>
        <w:t>from</w:t>
      </w:r>
      <w:r w:rsidRPr="00181EF3">
        <w:t xml:space="preserve"> 2011/12 to 2016/17</w:t>
      </w:r>
    </w:p>
    <w:p w14:paraId="58F5E4E7" w14:textId="72858E99" w:rsidR="002D68F3" w:rsidRPr="00181EF3" w:rsidRDefault="00D60C05" w:rsidP="002D68F3">
      <w:r w:rsidRPr="00181EF3">
        <w:rPr>
          <w:spacing w:val="-2"/>
        </w:rPr>
        <w:t xml:space="preserve">There was a decrease in the difference between Māori and </w:t>
      </w:r>
      <w:r w:rsidR="00EC03A3">
        <w:rPr>
          <w:spacing w:val="-2"/>
        </w:rPr>
        <w:t>non</w:t>
      </w:r>
      <w:r w:rsidR="00EC03A3">
        <w:rPr>
          <w:spacing w:val="-2"/>
        </w:rPr>
        <w:noBreakHyphen/>
        <w:t>M</w:t>
      </w:r>
      <w:r w:rsidRPr="00181EF3">
        <w:rPr>
          <w:spacing w:val="-2"/>
        </w:rPr>
        <w:t xml:space="preserve">āori children </w:t>
      </w:r>
      <w:r w:rsidR="006B0919">
        <w:rPr>
          <w:spacing w:val="-2"/>
        </w:rPr>
        <w:t>who</w:t>
      </w:r>
      <w:r w:rsidRPr="00181EF3">
        <w:rPr>
          <w:spacing w:val="-2"/>
        </w:rPr>
        <w:t xml:space="preserve"> had teeth extracted. </w:t>
      </w:r>
      <w:r w:rsidR="002D68F3" w:rsidRPr="00181EF3">
        <w:t xml:space="preserve">In 2011/12 Māori children were over 1.6 times as likely as </w:t>
      </w:r>
      <w:r w:rsidR="00EC03A3">
        <w:t>non</w:t>
      </w:r>
      <w:r w:rsidR="00EC03A3">
        <w:noBreakHyphen/>
        <w:t>M</w:t>
      </w:r>
      <w:r w:rsidR="002D68F3" w:rsidRPr="00181EF3">
        <w:t>āori children</w:t>
      </w:r>
      <w:r w:rsidR="006B0919">
        <w:t xml:space="preserve"> </w:t>
      </w:r>
      <w:r w:rsidR="002D68F3" w:rsidRPr="00181EF3">
        <w:t>to have had teeth extracted in the previous year. This difference declined to under 1.3 times by 2016/17.</w:t>
      </w:r>
    </w:p>
    <w:p w14:paraId="6C5B5B44" w14:textId="77777777" w:rsidR="002D68F3" w:rsidRPr="00181EF3" w:rsidRDefault="002D68F3" w:rsidP="002D68F3"/>
    <w:p w14:paraId="07C92862" w14:textId="18CEC764" w:rsidR="002D68F3" w:rsidRDefault="002D68F3" w:rsidP="00C148E5">
      <w:pPr>
        <w:pStyle w:val="Heading3"/>
        <w:pageBreakBefore/>
        <w:spacing w:before="0"/>
      </w:pPr>
      <w:bookmarkStart w:id="285" w:name="_Toc19102395"/>
      <w:r w:rsidRPr="00181EF3">
        <w:lastRenderedPageBreak/>
        <w:t>Had any teeth extracted due to decay, abscess, infection or gum disease in previous year for adults 15</w:t>
      </w:r>
      <w:r w:rsidR="006B0919">
        <w:t>+ years</w:t>
      </w:r>
      <w:bookmarkEnd w:id="285"/>
    </w:p>
    <w:p w14:paraId="4B1EE1A3" w14:textId="55019C41" w:rsidR="006B0919" w:rsidRDefault="006B0919" w:rsidP="006B0919">
      <w:pPr>
        <w:pStyle w:val="Figure"/>
        <w:spacing w:before="60" w:after="60"/>
      </w:pPr>
      <w:bookmarkStart w:id="286" w:name="_Toc19101947"/>
      <w:r w:rsidRPr="00181EF3">
        <w:t xml:space="preserve">Figure </w:t>
      </w:r>
      <w:r>
        <w:rPr>
          <w:noProof/>
        </w:rPr>
        <w:t>96</w:t>
      </w:r>
      <w:r w:rsidRPr="00181EF3">
        <w:t xml:space="preserve">: </w:t>
      </w:r>
      <w:r>
        <w:t>H</w:t>
      </w:r>
      <w:r w:rsidRPr="00181EF3">
        <w:t>ad teeth extracted</w:t>
      </w:r>
      <w:r w:rsidRPr="00181EF3">
        <w:rPr>
          <w:noProof/>
        </w:rPr>
        <w:t xml:space="preserve"> due to decay, abscess</w:t>
      </w:r>
      <w:r>
        <w:rPr>
          <w:noProof/>
        </w:rPr>
        <w:t>,</w:t>
      </w:r>
      <w:r w:rsidRPr="00181EF3">
        <w:rPr>
          <w:noProof/>
        </w:rPr>
        <w:t xml:space="preserve"> infection</w:t>
      </w:r>
      <w:r>
        <w:rPr>
          <w:noProof/>
        </w:rPr>
        <w:t xml:space="preserve"> or gum disease</w:t>
      </w:r>
      <w:r w:rsidRPr="00181EF3">
        <w:rPr>
          <w:noProof/>
        </w:rPr>
        <w:t xml:space="preserve"> in previous year,</w:t>
      </w:r>
      <w:r>
        <w:rPr>
          <w:noProof/>
        </w:rPr>
        <w:t xml:space="preserve"> </w:t>
      </w:r>
      <w:r>
        <w:t xml:space="preserve">15+ years, Māori and </w:t>
      </w:r>
      <w:r w:rsidR="00EC03A3">
        <w:t>non</w:t>
      </w:r>
      <w:r w:rsidR="00EC03A3">
        <w:noBreakHyphen/>
        <w:t>M</w:t>
      </w:r>
      <w:r>
        <w:t xml:space="preserve">āori, </w:t>
      </w:r>
      <w:r w:rsidRPr="00181EF3">
        <w:t>20</w:t>
      </w:r>
      <w:r w:rsidR="00AE55BA">
        <w:t>11</w:t>
      </w:r>
      <w:r w:rsidRPr="00181EF3">
        <w:t>/</w:t>
      </w:r>
      <w:r w:rsidR="00AE55BA">
        <w:t>12</w:t>
      </w:r>
      <w:r w:rsidRPr="00181EF3">
        <w:t>–2016/</w:t>
      </w:r>
      <w:r>
        <w:t>17</w:t>
      </w:r>
      <w:bookmarkEnd w:id="286"/>
    </w:p>
    <w:p w14:paraId="7AC3003B" w14:textId="77777777" w:rsidR="006B0919" w:rsidRPr="002C22EB" w:rsidRDefault="006B0919" w:rsidP="006B0919">
      <w:r w:rsidRPr="002C22EB">
        <w:rPr>
          <w:noProof/>
          <w:lang w:eastAsia="en-NZ"/>
        </w:rPr>
        <w:drawing>
          <wp:inline distT="0" distB="0" distL="0" distR="0" wp14:anchorId="5776FE02" wp14:editId="5F9BC2D1">
            <wp:extent cx="5130165" cy="2673057"/>
            <wp:effectExtent l="0" t="0" r="0" b="0"/>
            <wp:docPr id="290" name="Picture 290" descr="Māori had higher rates of tooth extraction than non-Māori adults. The rate for non-Māori has decreased slightly since 2011/12, while the rate for Māori has fluctuated without a discernable year-to-year trend." title="Figure 96: Age-standardised percentage (%) of Māori and non-Māori adults who had teeth extracted due to decay, abscess, infection or gum disease in previous year, 2006/07–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130165" cy="2673057"/>
                    </a:xfrm>
                    <a:prstGeom prst="rect">
                      <a:avLst/>
                    </a:prstGeom>
                  </pic:spPr>
                </pic:pic>
              </a:graphicData>
            </a:graphic>
          </wp:inline>
        </w:drawing>
      </w:r>
    </w:p>
    <w:p w14:paraId="0B4842B1" w14:textId="77777777" w:rsidR="008A5642" w:rsidRDefault="006B0919" w:rsidP="00B6364B">
      <w:pPr>
        <w:pStyle w:val="Note"/>
        <w:ind w:left="0" w:firstLine="0"/>
        <w:rPr>
          <w:rFonts w:eastAsia="Calibri"/>
        </w:rPr>
      </w:pPr>
      <w:r w:rsidRPr="00892068">
        <w:rPr>
          <w:rFonts w:eastAsia="Calibri"/>
        </w:rPr>
        <w:t>Notes:</w:t>
      </w:r>
    </w:p>
    <w:p w14:paraId="3EC05AAC" w14:textId="7C7AB733" w:rsidR="008A5642" w:rsidRDefault="00446D86" w:rsidP="00B6364B">
      <w:pPr>
        <w:pStyle w:val="Note"/>
        <w:ind w:left="0" w:firstLine="0"/>
        <w:rPr>
          <w:rFonts w:eastAsia="Calibri"/>
        </w:rPr>
      </w:pPr>
      <w:r>
        <w:rPr>
          <w:rFonts w:eastAsia="Calibri"/>
        </w:rPr>
        <w:t>Figures are age-standardised to the 2001 Census total Māori population</w:t>
      </w:r>
      <w:r w:rsidR="006B0919" w:rsidRPr="00892068">
        <w:rPr>
          <w:rFonts w:eastAsia="Calibri"/>
        </w:rPr>
        <w:t>.</w:t>
      </w:r>
    </w:p>
    <w:p w14:paraId="6E802567" w14:textId="6E333D37" w:rsidR="006B0919" w:rsidRPr="00892068" w:rsidRDefault="006B0919" w:rsidP="00B6364B">
      <w:pPr>
        <w:pStyle w:val="Note"/>
        <w:ind w:left="0" w:firstLine="0"/>
        <w:rPr>
          <w:rFonts w:eastAsia="Calibri"/>
        </w:rPr>
      </w:pPr>
      <w:r w:rsidRPr="00892068">
        <w:rPr>
          <w:rFonts w:eastAsia="Calibri"/>
        </w:rPr>
        <w:t>Prioritised ethnicity has been used.</w:t>
      </w:r>
    </w:p>
    <w:p w14:paraId="4527C233" w14:textId="77777777" w:rsidR="006B0919" w:rsidRDefault="006B0919" w:rsidP="00B6364B">
      <w:pPr>
        <w:pStyle w:val="Note"/>
        <w:ind w:left="0" w:firstLine="0"/>
        <w:rPr>
          <w:rFonts w:eastAsia="Calibri"/>
        </w:rPr>
      </w:pPr>
      <w:r w:rsidRPr="00892068">
        <w:rPr>
          <w:rFonts w:eastAsia="Calibri"/>
        </w:rPr>
        <w:t>If the confidence intervals of two rates do not overlap, the difference in rates is said to be statistically significant.</w:t>
      </w:r>
    </w:p>
    <w:p w14:paraId="2151FA04" w14:textId="77777777" w:rsidR="006B0919" w:rsidRDefault="006B0919" w:rsidP="00B6364B">
      <w:pPr>
        <w:pStyle w:val="Note"/>
        <w:ind w:left="0" w:firstLine="0"/>
        <w:rPr>
          <w:rFonts w:eastAsia="Calibri"/>
        </w:rPr>
      </w:pPr>
      <w:r w:rsidRPr="006B0919">
        <w:rPr>
          <w:rFonts w:eastAsia="Calibri"/>
        </w:rPr>
        <w:t>Teeth lost for other reasons, such as injury, a crowded mouth or orthodontics, were excluded.</w:t>
      </w:r>
    </w:p>
    <w:p w14:paraId="60F13CF9" w14:textId="7F86A83F" w:rsidR="006B0919" w:rsidRDefault="006B0919" w:rsidP="00B6364B">
      <w:pPr>
        <w:pStyle w:val="Note"/>
        <w:ind w:left="0" w:firstLine="0"/>
      </w:pPr>
      <w:r w:rsidRPr="00892068">
        <w:rPr>
          <w:rFonts w:eastAsia="Calibri"/>
        </w:rPr>
        <w:t xml:space="preserve">Source: </w:t>
      </w:r>
      <w:r w:rsidR="009116B8">
        <w:rPr>
          <w:rFonts w:eastAsia="Calibri"/>
        </w:rPr>
        <w:t>New Zealand Health Survey (NZHS), Ministry of Health, 20</w:t>
      </w:r>
      <w:r w:rsidR="00AE55BA">
        <w:rPr>
          <w:rFonts w:eastAsia="Calibri"/>
        </w:rPr>
        <w:t>11</w:t>
      </w:r>
      <w:r w:rsidR="009116B8">
        <w:rPr>
          <w:rFonts w:eastAsia="Calibri"/>
        </w:rPr>
        <w:t>/</w:t>
      </w:r>
      <w:r w:rsidR="00AE55BA">
        <w:rPr>
          <w:rFonts w:eastAsia="Calibri"/>
        </w:rPr>
        <w:t>12</w:t>
      </w:r>
      <w:r w:rsidR="009116B8">
        <w:rPr>
          <w:rFonts w:eastAsia="Calibri"/>
        </w:rPr>
        <w:t>–2016/17.</w:t>
      </w:r>
    </w:p>
    <w:p w14:paraId="21BD0E46" w14:textId="77777777" w:rsidR="006B0919" w:rsidRPr="006B0919" w:rsidRDefault="006B0919" w:rsidP="006B0919"/>
    <w:p w14:paraId="1E35300A" w14:textId="4EEF1682" w:rsidR="008A5642" w:rsidRDefault="002D68F3" w:rsidP="002D68F3">
      <w:r w:rsidRPr="00181EF3">
        <w:t xml:space="preserve">Figure </w:t>
      </w:r>
      <w:r w:rsidR="006B0919">
        <w:t>96</w:t>
      </w:r>
      <w:r w:rsidRPr="00181EF3">
        <w:t xml:space="preserve"> shows, after adjusting for age, the percentage of Māori and </w:t>
      </w:r>
      <w:r w:rsidR="00EC03A3">
        <w:t>non</w:t>
      </w:r>
      <w:r w:rsidR="00EC03A3">
        <w:noBreakHyphen/>
        <w:t>M</w:t>
      </w:r>
      <w:r w:rsidRPr="00181EF3">
        <w:t>āori adults, aged 15 and above, who had teeth extracted</w:t>
      </w:r>
      <w:r w:rsidR="006B0919">
        <w:t xml:space="preserve"> due to decay, abscess, infection or gum disease</w:t>
      </w:r>
      <w:r w:rsidRPr="00181EF3">
        <w:t xml:space="preserve"> in the previous year between 2011/12 and 2016/17.</w:t>
      </w:r>
    </w:p>
    <w:p w14:paraId="6BC0678E" w14:textId="74633D57" w:rsidR="006B0919" w:rsidRDefault="006B0919" w:rsidP="002D68F3"/>
    <w:p w14:paraId="4F51AC0B" w14:textId="28B8EC7B" w:rsidR="002D68F3" w:rsidRDefault="006B0919" w:rsidP="002D68F3">
      <w:r w:rsidRPr="00181EF3">
        <w:t xml:space="preserve">In 2016/17, the percentage of Māori adults who had teeth extracted was 10.3 percent. In comparison, 5.6 percent of </w:t>
      </w:r>
      <w:r w:rsidR="00EC03A3">
        <w:t>non</w:t>
      </w:r>
      <w:r w:rsidR="00EC03A3">
        <w:noBreakHyphen/>
        <w:t>M</w:t>
      </w:r>
      <w:r w:rsidRPr="00181EF3">
        <w:t>āori adults had teeth extracted in the previous year.</w:t>
      </w:r>
    </w:p>
    <w:p w14:paraId="7C93BA2A" w14:textId="77777777" w:rsidR="00C148E5" w:rsidRPr="00181EF3" w:rsidRDefault="00C148E5" w:rsidP="002D68F3"/>
    <w:p w14:paraId="0B420CC6" w14:textId="77777777" w:rsidR="002D68F3" w:rsidRPr="00181EF3" w:rsidRDefault="002D68F3" w:rsidP="006B0919">
      <w:pPr>
        <w:pStyle w:val="Heading4"/>
      </w:pPr>
      <w:r w:rsidRPr="00181EF3">
        <w:t>Percentage of Māori adults who had teeth extracted remained constant</w:t>
      </w:r>
    </w:p>
    <w:p w14:paraId="7FF0B52F" w14:textId="77777777" w:rsidR="002D68F3" w:rsidRPr="00181EF3" w:rsidRDefault="002D68F3" w:rsidP="002D68F3">
      <w:r w:rsidRPr="00181EF3">
        <w:t>The percentage, once age-adjusted, of Māori adults who had teeth extracted remained constant between 2011/12 and 2016/17, with an average of 10.0 percent.</w:t>
      </w:r>
    </w:p>
    <w:p w14:paraId="5063C130" w14:textId="77777777" w:rsidR="002D68F3" w:rsidRPr="00181EF3" w:rsidRDefault="002D68F3" w:rsidP="002D68F3"/>
    <w:p w14:paraId="1DF724AF" w14:textId="77777777" w:rsidR="002D68F3" w:rsidRPr="00181EF3" w:rsidRDefault="002D68F3" w:rsidP="002D68F3">
      <w:r w:rsidRPr="00181EF3">
        <w:t>The lowest percentage of Māori adults with teeth extracted was recorded in 2012/13 at 8.2 percent.</w:t>
      </w:r>
    </w:p>
    <w:p w14:paraId="2D4703AD" w14:textId="77777777" w:rsidR="002D68F3" w:rsidRPr="00181EF3" w:rsidRDefault="002D68F3" w:rsidP="002D68F3"/>
    <w:p w14:paraId="1864BCDF" w14:textId="29BBA6F8" w:rsidR="002D68F3" w:rsidRDefault="002D68F3" w:rsidP="002D68F3">
      <w:r w:rsidRPr="00181EF3">
        <w:lastRenderedPageBreak/>
        <w:t xml:space="preserve">The percentage, once age-adjusted, of </w:t>
      </w:r>
      <w:r w:rsidR="00EC03A3">
        <w:t>non</w:t>
      </w:r>
      <w:r w:rsidR="00EC03A3">
        <w:noBreakHyphen/>
        <w:t>M</w:t>
      </w:r>
      <w:r w:rsidRPr="00181EF3">
        <w:t>āori adults who had teeth extracted remained constant between 2011/12 and 2016/17, with an average of 5.8 percent.</w:t>
      </w:r>
    </w:p>
    <w:p w14:paraId="4A59C914" w14:textId="77777777" w:rsidR="00C148E5" w:rsidRPr="00181EF3" w:rsidRDefault="00C148E5" w:rsidP="002D68F3"/>
    <w:p w14:paraId="6BAE7340" w14:textId="10F8EC44" w:rsidR="002D68F3" w:rsidRPr="00181EF3" w:rsidRDefault="002D68F3" w:rsidP="006B0919">
      <w:pPr>
        <w:pStyle w:val="Heading4"/>
      </w:pPr>
      <w:r w:rsidRPr="00181EF3">
        <w:t xml:space="preserve">The difference between Māori and </w:t>
      </w:r>
      <w:r w:rsidR="00EC03A3">
        <w:t>non</w:t>
      </w:r>
      <w:r w:rsidR="00EC03A3">
        <w:noBreakHyphen/>
        <w:t>M</w:t>
      </w:r>
      <w:r w:rsidRPr="00181EF3">
        <w:t>āori adults is statistically significant</w:t>
      </w:r>
    </w:p>
    <w:p w14:paraId="1E885FF4" w14:textId="605C8A16" w:rsidR="002D68F3" w:rsidRPr="00181EF3" w:rsidRDefault="006B0919" w:rsidP="002D68F3">
      <w:r w:rsidRPr="00181EF3">
        <w:t xml:space="preserve">The difference in percentage between Māori and </w:t>
      </w:r>
      <w:r w:rsidR="00EC03A3">
        <w:t>non</w:t>
      </w:r>
      <w:r w:rsidR="00EC03A3">
        <w:noBreakHyphen/>
        <w:t>M</w:t>
      </w:r>
      <w:r w:rsidRPr="00181EF3">
        <w:t xml:space="preserve">āori adults who had teeth extracted between 2011/12 and 2016/17 remained significant. </w:t>
      </w:r>
      <w:r w:rsidR="002D68F3" w:rsidRPr="00181EF3">
        <w:t xml:space="preserve">Between 2011/12 and 2016/17 Māori adults were, on average, more than 1½ times as likely as </w:t>
      </w:r>
      <w:r w:rsidR="00EC03A3">
        <w:t>non</w:t>
      </w:r>
      <w:r w:rsidR="00EC03A3">
        <w:noBreakHyphen/>
        <w:t>M</w:t>
      </w:r>
      <w:r w:rsidR="002D68F3" w:rsidRPr="00181EF3">
        <w:t xml:space="preserve">āori to have had teeth extracted than </w:t>
      </w:r>
      <w:r w:rsidR="00EC03A3">
        <w:t>non</w:t>
      </w:r>
      <w:r w:rsidR="00EC03A3">
        <w:noBreakHyphen/>
        <w:t>M</w:t>
      </w:r>
      <w:r w:rsidR="002D68F3" w:rsidRPr="00181EF3">
        <w:t>āori adults.</w:t>
      </w:r>
    </w:p>
    <w:p w14:paraId="70D5D74C" w14:textId="77777777" w:rsidR="002D68F3" w:rsidRPr="00181EF3" w:rsidRDefault="002D68F3" w:rsidP="002D68F3"/>
    <w:p w14:paraId="56B17FA3" w14:textId="4A653643" w:rsidR="002D68F3" w:rsidRPr="00181EF3" w:rsidRDefault="002D68F3" w:rsidP="002D68F3">
      <w:r w:rsidRPr="00181EF3">
        <w:t xml:space="preserve">The smallest difference occurred in 2012/13 where Māori were less than 1.3 times as likely as </w:t>
      </w:r>
      <w:r w:rsidR="00EC03A3">
        <w:t>non</w:t>
      </w:r>
      <w:r w:rsidR="00EC03A3">
        <w:noBreakHyphen/>
        <w:t>M</w:t>
      </w:r>
      <w:r w:rsidRPr="00181EF3">
        <w:t>āori to have had teeth extracted in the previous year.</w:t>
      </w:r>
    </w:p>
    <w:p w14:paraId="727A61F5" w14:textId="77777777" w:rsidR="002D68F3" w:rsidRPr="00181EF3" w:rsidRDefault="002D68F3" w:rsidP="002D68F3"/>
    <w:p w14:paraId="5C0CFAB9" w14:textId="2CC71F04" w:rsidR="002D68F3" w:rsidRDefault="002D68F3" w:rsidP="00C148E5">
      <w:pPr>
        <w:pStyle w:val="Heading3"/>
        <w:pageBreakBefore/>
        <w:spacing w:before="0"/>
      </w:pPr>
      <w:bookmarkStart w:id="287" w:name="_Toc19102396"/>
      <w:r w:rsidRPr="00181EF3">
        <w:lastRenderedPageBreak/>
        <w:t>Only visits a dental health care worker for dental problems or never visits, among adults 15 and above with natural teeth</w:t>
      </w:r>
      <w:bookmarkEnd w:id="287"/>
    </w:p>
    <w:p w14:paraId="78FB7BD2" w14:textId="4272A8D3" w:rsidR="006B0919" w:rsidRDefault="006B0919" w:rsidP="006B0919">
      <w:pPr>
        <w:pStyle w:val="Figure"/>
      </w:pPr>
      <w:bookmarkStart w:id="288" w:name="_Toc19101948"/>
      <w:r w:rsidRPr="00181EF3">
        <w:t xml:space="preserve">Figure </w:t>
      </w:r>
      <w:r>
        <w:rPr>
          <w:noProof/>
        </w:rPr>
        <w:t>97</w:t>
      </w:r>
      <w:r w:rsidRPr="00181EF3">
        <w:t xml:space="preserve">: </w:t>
      </w:r>
      <w:r>
        <w:t>O</w:t>
      </w:r>
      <w:r w:rsidRPr="00181EF3">
        <w:t>nly visit a dental health care worker for dental problems, or never visits,</w:t>
      </w:r>
      <w:r>
        <w:t xml:space="preserve"> 15+ years, Māori and </w:t>
      </w:r>
      <w:r w:rsidR="00EC03A3">
        <w:t>non</w:t>
      </w:r>
      <w:r w:rsidR="00EC03A3">
        <w:noBreakHyphen/>
        <w:t>M</w:t>
      </w:r>
      <w:r>
        <w:t>āori</w:t>
      </w:r>
      <w:r w:rsidRPr="00181EF3">
        <w:t xml:space="preserve"> with natural teeth, 2006/07–2016/17</w:t>
      </w:r>
      <w:bookmarkEnd w:id="288"/>
    </w:p>
    <w:p w14:paraId="62CA27B7" w14:textId="77777777" w:rsidR="006B0919" w:rsidRPr="002C22EB" w:rsidRDefault="006B0919" w:rsidP="006B0919">
      <w:r w:rsidRPr="002C22EB">
        <w:rPr>
          <w:noProof/>
          <w:lang w:eastAsia="en-NZ"/>
        </w:rPr>
        <w:drawing>
          <wp:inline distT="0" distB="0" distL="0" distR="0" wp14:anchorId="6E915987" wp14:editId="69426405">
            <wp:extent cx="5130165" cy="2673057"/>
            <wp:effectExtent l="0" t="0" r="0" b="0"/>
            <wp:docPr id="291" name="Picture 291" descr="Māori were more likely than non-Māori to either never visit a dental health care worker or to only visit for a specific dental problem. The rates for both groups have remained fairly steady over time." title="Figure 97: Age-standardised percentage (%) of Māori and non-Māori who only visit a dental health care worker for dental problems, or never visits, among adults with natural teeth, 2006/07–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130165" cy="2673057"/>
                    </a:xfrm>
                    <a:prstGeom prst="rect">
                      <a:avLst/>
                    </a:prstGeom>
                  </pic:spPr>
                </pic:pic>
              </a:graphicData>
            </a:graphic>
          </wp:inline>
        </w:drawing>
      </w:r>
    </w:p>
    <w:p w14:paraId="575FF672" w14:textId="77777777" w:rsidR="008A5642" w:rsidRDefault="006B0919" w:rsidP="00B6364B">
      <w:pPr>
        <w:pStyle w:val="Note"/>
        <w:ind w:left="0" w:firstLine="0"/>
        <w:rPr>
          <w:rFonts w:eastAsia="Calibri"/>
        </w:rPr>
      </w:pPr>
      <w:r w:rsidRPr="00892068">
        <w:rPr>
          <w:rFonts w:eastAsia="Calibri"/>
        </w:rPr>
        <w:t>Notes:</w:t>
      </w:r>
    </w:p>
    <w:p w14:paraId="6554F20A" w14:textId="5E923068" w:rsidR="008A5642" w:rsidRDefault="00446D86" w:rsidP="00B6364B">
      <w:pPr>
        <w:pStyle w:val="Note"/>
        <w:ind w:left="0" w:firstLine="0"/>
        <w:rPr>
          <w:rFonts w:eastAsia="Calibri"/>
        </w:rPr>
      </w:pPr>
      <w:r>
        <w:rPr>
          <w:rFonts w:eastAsia="Calibri"/>
        </w:rPr>
        <w:t>Figures are age-standardised to the 2001 Census total Māori population</w:t>
      </w:r>
      <w:r w:rsidR="006B0919" w:rsidRPr="00892068">
        <w:rPr>
          <w:rFonts w:eastAsia="Calibri"/>
        </w:rPr>
        <w:t>.</w:t>
      </w:r>
    </w:p>
    <w:p w14:paraId="0E463575" w14:textId="177E5A25" w:rsidR="006B0919" w:rsidRPr="00892068" w:rsidRDefault="006B0919" w:rsidP="00B6364B">
      <w:pPr>
        <w:pStyle w:val="Note"/>
        <w:ind w:left="0" w:firstLine="0"/>
        <w:rPr>
          <w:rFonts w:eastAsia="Calibri"/>
        </w:rPr>
      </w:pPr>
      <w:r w:rsidRPr="00892068">
        <w:rPr>
          <w:rFonts w:eastAsia="Calibri"/>
        </w:rPr>
        <w:t>Prioritised ethnicity has been used.</w:t>
      </w:r>
    </w:p>
    <w:p w14:paraId="367D7377" w14:textId="77777777" w:rsidR="006B0919" w:rsidRPr="00C148E5" w:rsidRDefault="006B0919" w:rsidP="00C148E5">
      <w:pPr>
        <w:pStyle w:val="Note"/>
        <w:ind w:left="0" w:right="-284" w:firstLine="0"/>
        <w:rPr>
          <w:rFonts w:eastAsia="Calibri"/>
          <w:spacing w:val="-2"/>
        </w:rPr>
      </w:pPr>
      <w:r w:rsidRPr="00C148E5">
        <w:rPr>
          <w:rFonts w:eastAsia="Calibri"/>
          <w:spacing w:val="-2"/>
        </w:rPr>
        <w:t>If the confidence intervals of two rates do not overlap, the difference in rates is said to be statistically significant.</w:t>
      </w:r>
    </w:p>
    <w:p w14:paraId="05C36B49" w14:textId="57243213" w:rsidR="006B0919" w:rsidRDefault="006B0919" w:rsidP="00B6364B">
      <w:pPr>
        <w:pStyle w:val="Note"/>
        <w:ind w:left="0" w:firstLine="0"/>
      </w:pPr>
      <w:r w:rsidRPr="00892068">
        <w:rPr>
          <w:rFonts w:eastAsia="Calibri"/>
        </w:rPr>
        <w:t xml:space="preserve">Source: </w:t>
      </w:r>
      <w:r w:rsidR="009116B8">
        <w:rPr>
          <w:rFonts w:eastAsia="Calibri"/>
        </w:rPr>
        <w:t>New Zealand Health Survey (NZHS), Ministry of Health, 2006/07–2016/17.</w:t>
      </w:r>
    </w:p>
    <w:p w14:paraId="34F774D6" w14:textId="77777777" w:rsidR="006B0919" w:rsidRPr="006B0919" w:rsidRDefault="006B0919" w:rsidP="006B0919"/>
    <w:p w14:paraId="1449FAC1" w14:textId="3FD1802D" w:rsidR="002D68F3" w:rsidRDefault="002D68F3" w:rsidP="002D68F3">
      <w:r w:rsidRPr="00181EF3">
        <w:t>Figure 9</w:t>
      </w:r>
      <w:r w:rsidR="006B0919">
        <w:t>7</w:t>
      </w:r>
      <w:r w:rsidRPr="00181EF3">
        <w:t xml:space="preserve"> shows, after adjusting for age, the percentage of Māori and </w:t>
      </w:r>
      <w:r w:rsidR="00EC03A3">
        <w:t>non</w:t>
      </w:r>
      <w:r w:rsidR="00EC03A3">
        <w:noBreakHyphen/>
        <w:t>M</w:t>
      </w:r>
      <w:r w:rsidRPr="00181EF3">
        <w:t xml:space="preserve">āori adults </w:t>
      </w:r>
      <w:r w:rsidR="006B0919">
        <w:t xml:space="preserve">with natural teeth </w:t>
      </w:r>
      <w:r w:rsidRPr="00181EF3">
        <w:t>who only visit dental health care workers for dental health problems or never visit between 2006/07 and 2016/17.</w:t>
      </w:r>
    </w:p>
    <w:p w14:paraId="75257CC0" w14:textId="77777777" w:rsidR="006B0919" w:rsidRDefault="006B0919" w:rsidP="002D68F3"/>
    <w:p w14:paraId="3A2FCC42" w14:textId="20A5DC47" w:rsidR="006B0919" w:rsidRDefault="006B0919" w:rsidP="002D68F3">
      <w:r w:rsidRPr="00181EF3">
        <w:t xml:space="preserve">In 2016/17, the percentage of Māori adults that only visited for dental health problems, or never visited, was 69.7 percent. In comparison, 51.5 percent of </w:t>
      </w:r>
      <w:r w:rsidR="00EC03A3">
        <w:t>non</w:t>
      </w:r>
      <w:r w:rsidR="00EC03A3">
        <w:noBreakHyphen/>
        <w:t>M</w:t>
      </w:r>
      <w:r w:rsidRPr="00181EF3">
        <w:t>āori adults only visited for dental health problems, or never visited.</w:t>
      </w:r>
    </w:p>
    <w:p w14:paraId="797AEB7F" w14:textId="77777777" w:rsidR="00C148E5" w:rsidRPr="00181EF3" w:rsidRDefault="00C148E5" w:rsidP="002D68F3"/>
    <w:p w14:paraId="56BBD937" w14:textId="77777777" w:rsidR="002D68F3" w:rsidRPr="00181EF3" w:rsidRDefault="002D68F3" w:rsidP="006B0919">
      <w:pPr>
        <w:pStyle w:val="Heading4"/>
      </w:pPr>
      <w:r w:rsidRPr="00181EF3">
        <w:t>Percentage of Māori adults who only visit for dental health problems remained constant</w:t>
      </w:r>
    </w:p>
    <w:p w14:paraId="7F88F9A1" w14:textId="77777777" w:rsidR="002D68F3" w:rsidRPr="00181EF3" w:rsidRDefault="002D68F3" w:rsidP="002D68F3">
      <w:r w:rsidRPr="00181EF3">
        <w:t>The age-standardised percentage of Māori adults who only visited for dental health problems or never visited remained constant between 2006/07 and 2016/17 at an average of 72.6 percent. The highest percentage that was recorded for Māori adults was in 2012/13 at 76.2 percent.</w:t>
      </w:r>
    </w:p>
    <w:p w14:paraId="44DD8FD9" w14:textId="77777777" w:rsidR="002D68F3" w:rsidRPr="00181EF3" w:rsidRDefault="002D68F3" w:rsidP="002D68F3"/>
    <w:p w14:paraId="02E44324" w14:textId="22DF62B7" w:rsidR="002D68F3" w:rsidRDefault="002D68F3" w:rsidP="002D68F3">
      <w:r w:rsidRPr="00181EF3">
        <w:t xml:space="preserve">The age-standardised percentage of </w:t>
      </w:r>
      <w:r w:rsidR="00EC03A3">
        <w:t>non</w:t>
      </w:r>
      <w:r w:rsidR="00EC03A3">
        <w:noBreakHyphen/>
        <w:t>M</w:t>
      </w:r>
      <w:r w:rsidRPr="00181EF3">
        <w:t>āori adults who only visited for dental health problems or never visited remained constant between 2006/07 and 2016/17, with an average of 51.4 percent.</w:t>
      </w:r>
    </w:p>
    <w:p w14:paraId="09F05E40" w14:textId="5AC03F48" w:rsidR="002D68F3" w:rsidRPr="00181EF3" w:rsidRDefault="002D68F3" w:rsidP="00C148E5">
      <w:pPr>
        <w:pStyle w:val="Heading4"/>
        <w:spacing w:before="480"/>
      </w:pPr>
      <w:r w:rsidRPr="00181EF3">
        <w:lastRenderedPageBreak/>
        <w:t xml:space="preserve">Difference between Māori and </w:t>
      </w:r>
      <w:r w:rsidR="00EC03A3">
        <w:t>non</w:t>
      </w:r>
      <w:r w:rsidR="00EC03A3">
        <w:noBreakHyphen/>
        <w:t>M</w:t>
      </w:r>
      <w:r w:rsidRPr="00181EF3">
        <w:t>āori remains significant</w:t>
      </w:r>
    </w:p>
    <w:p w14:paraId="655C6A22" w14:textId="311BC40A" w:rsidR="002D68F3" w:rsidRPr="00181EF3" w:rsidRDefault="002D68F3" w:rsidP="002D68F3">
      <w:r w:rsidRPr="00181EF3">
        <w:t xml:space="preserve">The difference in percentage, when age-adjusted, between Māori and </w:t>
      </w:r>
      <w:r w:rsidR="00EC03A3">
        <w:t>non</w:t>
      </w:r>
      <w:r w:rsidR="00EC03A3">
        <w:noBreakHyphen/>
        <w:t>M</w:t>
      </w:r>
      <w:r w:rsidRPr="00181EF3">
        <w:t>āori adults who only visited a dental health worker for dental health problems remained significant in the 2006/07 and 2016/17 period. On average Māori adults were under 1½</w:t>
      </w:r>
      <w:r w:rsidR="00C148E5">
        <w:t> </w:t>
      </w:r>
      <w:r w:rsidRPr="00181EF3">
        <w:t xml:space="preserve">times as likely as </w:t>
      </w:r>
      <w:r w:rsidR="00EC03A3">
        <w:t>non</w:t>
      </w:r>
      <w:r w:rsidR="00EC03A3">
        <w:noBreakHyphen/>
        <w:t>M</w:t>
      </w:r>
      <w:r w:rsidRPr="00181EF3">
        <w:t>āori adults to only visit for dental health problems or never visit between 2006/07 and 2016/17.</w:t>
      </w:r>
    </w:p>
    <w:p w14:paraId="2560839E" w14:textId="77777777" w:rsidR="002D68F3" w:rsidRPr="00181EF3" w:rsidRDefault="002D68F3" w:rsidP="002D68F3"/>
    <w:p w14:paraId="29DD6099" w14:textId="67B07711" w:rsidR="000D102F" w:rsidRPr="00181EF3" w:rsidRDefault="000D102F" w:rsidP="00C148E5">
      <w:pPr>
        <w:pStyle w:val="Heading2"/>
        <w:pageBreakBefore/>
        <w:spacing w:before="0"/>
        <w:rPr>
          <w:noProof/>
          <w:lang w:eastAsia="en-NZ"/>
        </w:rPr>
      </w:pPr>
      <w:bookmarkStart w:id="289" w:name="_Toc14718635"/>
      <w:bookmarkStart w:id="290" w:name="_Toc14775058"/>
      <w:bookmarkStart w:id="291" w:name="_Toc19102397"/>
      <w:r w:rsidRPr="00181EF3">
        <w:rPr>
          <w:noProof/>
          <w:lang w:eastAsia="en-NZ"/>
        </w:rPr>
        <w:lastRenderedPageBreak/>
        <w:t>Self-rated health</w:t>
      </w:r>
      <w:bookmarkEnd w:id="289"/>
      <w:bookmarkEnd w:id="290"/>
      <w:bookmarkEnd w:id="291"/>
    </w:p>
    <w:p w14:paraId="2CCF8DB9" w14:textId="588E0957" w:rsidR="000D102F" w:rsidRDefault="000D102F" w:rsidP="000D102F">
      <w:pPr>
        <w:rPr>
          <w:noProof/>
          <w:lang w:eastAsia="en-NZ"/>
        </w:rPr>
      </w:pPr>
      <w:r w:rsidRPr="00181EF3">
        <w:rPr>
          <w:noProof/>
          <w:lang w:eastAsia="en-NZ"/>
        </w:rPr>
        <w:t xml:space="preserve">This </w:t>
      </w:r>
      <w:r>
        <w:rPr>
          <w:noProof/>
          <w:lang w:eastAsia="en-NZ"/>
        </w:rPr>
        <w:t>section</w:t>
      </w:r>
      <w:r w:rsidRPr="00181EF3">
        <w:rPr>
          <w:noProof/>
          <w:lang w:eastAsia="en-NZ"/>
        </w:rPr>
        <w:t xml:space="preserve"> presents results over time for self-rated health for Māori and </w:t>
      </w:r>
      <w:r w:rsidR="00EC03A3">
        <w:rPr>
          <w:noProof/>
          <w:lang w:eastAsia="en-NZ"/>
        </w:rPr>
        <w:t>non</w:t>
      </w:r>
      <w:r w:rsidR="00EC03A3">
        <w:rPr>
          <w:noProof/>
          <w:lang w:eastAsia="en-NZ"/>
        </w:rPr>
        <w:noBreakHyphen/>
        <w:t>M</w:t>
      </w:r>
      <w:r w:rsidRPr="00181EF3">
        <w:rPr>
          <w:noProof/>
          <w:lang w:eastAsia="en-NZ"/>
        </w:rPr>
        <w:t>āori</w:t>
      </w:r>
      <w:r w:rsidR="004D12AC">
        <w:rPr>
          <w:noProof/>
          <w:lang w:eastAsia="en-NZ"/>
        </w:rPr>
        <w:t xml:space="preserve"> adults aged 15 years and over</w:t>
      </w:r>
      <w:r w:rsidRPr="00181EF3">
        <w:rPr>
          <w:noProof/>
          <w:lang w:eastAsia="en-NZ"/>
        </w:rPr>
        <w:t>.</w:t>
      </w:r>
    </w:p>
    <w:p w14:paraId="317CB844" w14:textId="77777777" w:rsidR="004D12AC" w:rsidRPr="00181EF3" w:rsidRDefault="004D12AC" w:rsidP="000D102F"/>
    <w:p w14:paraId="18B5DC2D" w14:textId="77777777" w:rsidR="000D102F" w:rsidRDefault="000D102F" w:rsidP="000D102F">
      <w:r w:rsidRPr="00181EF3">
        <w:t>Self-rated health (also known as self-assessed health or self-perceived health) is a health measure that is based on a person’s own perception of their health. Individuals rate the current status of their own health on a scale from excellent to poor</w:t>
      </w:r>
      <w:r w:rsidR="004D12AC">
        <w:t xml:space="preserve"> (Bombak 2013)</w:t>
      </w:r>
      <w:r w:rsidRPr="00181EF3">
        <w:t>.</w:t>
      </w:r>
      <w:r w:rsidRPr="00181EF3">
        <w:rPr>
          <w:color w:val="222222"/>
        </w:rPr>
        <w:t xml:space="preserve"> </w:t>
      </w:r>
      <w:r w:rsidRPr="00181EF3">
        <w:t>This provides an alternative source of data from objective measures of health such as hospital rates and disease prevalence, which is useful for placing more emphasis on quality of life and wellbeing</w:t>
      </w:r>
      <w:r w:rsidR="004D12AC">
        <w:t xml:space="preserve"> (Ministry of Health 2010</w:t>
      </w:r>
      <w:r w:rsidR="00FC6DDF">
        <w:t>d</w:t>
      </w:r>
      <w:r w:rsidR="004D12AC">
        <w:t>)</w:t>
      </w:r>
      <w:r w:rsidRPr="00181EF3">
        <w:t>.</w:t>
      </w:r>
    </w:p>
    <w:p w14:paraId="23B95B39" w14:textId="77777777" w:rsidR="00C148E5" w:rsidRPr="00181EF3" w:rsidRDefault="00C148E5" w:rsidP="000D102F"/>
    <w:p w14:paraId="13CC6B2A" w14:textId="77777777" w:rsidR="000D102F" w:rsidRPr="00181EF3" w:rsidRDefault="000D102F" w:rsidP="004D12AC">
      <w:pPr>
        <w:pStyle w:val="Heading3"/>
      </w:pPr>
      <w:bookmarkStart w:id="292" w:name="_Toc19102398"/>
      <w:r w:rsidRPr="00181EF3">
        <w:t>What is the data telling us?</w:t>
      </w:r>
      <w:bookmarkEnd w:id="292"/>
    </w:p>
    <w:p w14:paraId="2437E24E" w14:textId="656FF9F3" w:rsidR="000D102F" w:rsidRPr="00181EF3" w:rsidRDefault="000D102F" w:rsidP="000D102F">
      <w:pPr>
        <w:pStyle w:val="Shadedboxbullet"/>
        <w:ind w:left="568" w:hanging="284"/>
      </w:pPr>
      <w:r w:rsidRPr="00181EF3">
        <w:t xml:space="preserve">Māori adults aged 15 years and over were less likely to self-rate their health as good, very good or excellent than </w:t>
      </w:r>
      <w:r w:rsidR="00EC03A3">
        <w:t>non</w:t>
      </w:r>
      <w:r w:rsidR="00EC03A3">
        <w:noBreakHyphen/>
        <w:t>M</w:t>
      </w:r>
      <w:r w:rsidRPr="00181EF3">
        <w:t>āori adults, regardless of sex.</w:t>
      </w:r>
    </w:p>
    <w:p w14:paraId="0EF19F15" w14:textId="62DFC4CB" w:rsidR="000D102F" w:rsidRPr="00181EF3" w:rsidRDefault="000D102F" w:rsidP="000D102F">
      <w:pPr>
        <w:pStyle w:val="Shadedboxbullet"/>
        <w:ind w:left="568" w:hanging="284"/>
      </w:pPr>
      <w:r w:rsidRPr="00181EF3">
        <w:t xml:space="preserve">Self-rated health scores have decreased slightly for both Māori and </w:t>
      </w:r>
      <w:r w:rsidR="00EC03A3">
        <w:t>non</w:t>
      </w:r>
      <w:r w:rsidR="00EC03A3">
        <w:noBreakHyphen/>
        <w:t>M</w:t>
      </w:r>
      <w:r w:rsidRPr="00181EF3">
        <w:t>āori, but the rate ratio has had no significant change.</w:t>
      </w:r>
    </w:p>
    <w:p w14:paraId="75FA4AB0" w14:textId="77777777" w:rsidR="004D12AC" w:rsidRPr="00181EF3" w:rsidRDefault="004D12AC" w:rsidP="000D102F"/>
    <w:p w14:paraId="1E103D59" w14:textId="79782A66" w:rsidR="000D102F" w:rsidRDefault="000D102F" w:rsidP="000D102F">
      <w:pPr>
        <w:pStyle w:val="Figure"/>
      </w:pPr>
      <w:bookmarkStart w:id="293" w:name="_Toc19101949"/>
      <w:r w:rsidRPr="00181EF3">
        <w:lastRenderedPageBreak/>
        <w:t xml:space="preserve">Figure </w:t>
      </w:r>
      <w:r w:rsidR="004D12AC">
        <w:t>98</w:t>
      </w:r>
      <w:r w:rsidRPr="00181EF3">
        <w:t>: Excellent, very good or good self-rated health</w:t>
      </w:r>
      <w:r w:rsidR="004D12AC">
        <w:t xml:space="preserve">, 15+ years, Māori and </w:t>
      </w:r>
      <w:r w:rsidR="00EC03A3">
        <w:t>non</w:t>
      </w:r>
      <w:r w:rsidR="00EC03A3">
        <w:noBreakHyphen/>
        <w:t>M</w:t>
      </w:r>
      <w:r w:rsidR="004D12AC">
        <w:t>āori</w:t>
      </w:r>
      <w:r w:rsidRPr="00181EF3">
        <w:t>, 2006/07–2016/17</w:t>
      </w:r>
      <w:bookmarkEnd w:id="293"/>
    </w:p>
    <w:p w14:paraId="700E3919" w14:textId="77777777" w:rsidR="000D102F" w:rsidRPr="009E5A03" w:rsidRDefault="000D102F" w:rsidP="00C148E5">
      <w:pPr>
        <w:keepNext/>
      </w:pPr>
      <w:r w:rsidRPr="009E5A03">
        <w:rPr>
          <w:noProof/>
          <w:lang w:eastAsia="en-NZ"/>
        </w:rPr>
        <w:drawing>
          <wp:inline distT="0" distB="0" distL="0" distR="0" wp14:anchorId="6B540BE8" wp14:editId="5A9456C6">
            <wp:extent cx="5128952" cy="2951018"/>
            <wp:effectExtent l="0" t="0" r="0" b="1905"/>
            <wp:docPr id="292" name="Picture 292" descr="A higher percentage of non-Māori rate their health as good or better compared to Māori. The rates for both groups have gone up and down over time, with a decline for both between 2013/14 and 2015/16 with a slight increase since." title="Figure 98: Excellent, very good or good self-rated health – adults, age-standardised percentages (%), 2006/07–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8"/>
                    <a:srcRect t="1631" b="1874"/>
                    <a:stretch/>
                  </pic:blipFill>
                  <pic:spPr bwMode="auto">
                    <a:xfrm>
                      <a:off x="0" y="0"/>
                      <a:ext cx="5130165" cy="2951716"/>
                    </a:xfrm>
                    <a:prstGeom prst="rect">
                      <a:avLst/>
                    </a:prstGeom>
                    <a:ln>
                      <a:noFill/>
                    </a:ln>
                    <a:extLst>
                      <a:ext uri="{53640926-AAD7-44D8-BBD7-CCE9431645EC}">
                        <a14:shadowObscured xmlns:a14="http://schemas.microsoft.com/office/drawing/2010/main"/>
                      </a:ext>
                    </a:extLst>
                  </pic:spPr>
                </pic:pic>
              </a:graphicData>
            </a:graphic>
          </wp:inline>
        </w:drawing>
      </w:r>
    </w:p>
    <w:p w14:paraId="67D868BE" w14:textId="77777777" w:rsidR="008A5642" w:rsidRDefault="004D12AC" w:rsidP="00C148E5">
      <w:pPr>
        <w:pStyle w:val="Note"/>
        <w:keepNext/>
        <w:ind w:left="0" w:firstLine="0"/>
        <w:rPr>
          <w:rFonts w:eastAsia="Calibri"/>
        </w:rPr>
      </w:pPr>
      <w:r w:rsidRPr="00892068">
        <w:rPr>
          <w:rFonts w:eastAsia="Calibri"/>
        </w:rPr>
        <w:t>Notes:</w:t>
      </w:r>
    </w:p>
    <w:p w14:paraId="05E82A18" w14:textId="2C69BA14" w:rsidR="008A5642" w:rsidRDefault="00446D86" w:rsidP="00C148E5">
      <w:pPr>
        <w:pStyle w:val="Note"/>
        <w:keepNext/>
        <w:ind w:left="0" w:firstLine="0"/>
        <w:rPr>
          <w:rFonts w:eastAsia="Calibri"/>
        </w:rPr>
      </w:pPr>
      <w:r>
        <w:rPr>
          <w:rFonts w:eastAsia="Calibri"/>
        </w:rPr>
        <w:t>Figures are age-standardised to the 2001 Census total Māori population</w:t>
      </w:r>
      <w:r w:rsidR="004D12AC" w:rsidRPr="00892068">
        <w:rPr>
          <w:rFonts w:eastAsia="Calibri"/>
        </w:rPr>
        <w:t>.</w:t>
      </w:r>
    </w:p>
    <w:p w14:paraId="47D3027E" w14:textId="74373B3B" w:rsidR="004D12AC" w:rsidRPr="00892068" w:rsidRDefault="004D12AC" w:rsidP="00C148E5">
      <w:pPr>
        <w:pStyle w:val="Note"/>
        <w:keepNext/>
        <w:ind w:left="0" w:firstLine="0"/>
        <w:rPr>
          <w:rFonts w:eastAsia="Calibri"/>
        </w:rPr>
      </w:pPr>
      <w:r w:rsidRPr="00892068">
        <w:rPr>
          <w:rFonts w:eastAsia="Calibri"/>
        </w:rPr>
        <w:t>Prioritised ethnicity has been used.</w:t>
      </w:r>
    </w:p>
    <w:p w14:paraId="392BC183" w14:textId="77777777" w:rsidR="008A5642" w:rsidRDefault="004D12AC" w:rsidP="00C148E5">
      <w:pPr>
        <w:pStyle w:val="Note"/>
        <w:keepNext/>
        <w:ind w:left="0" w:firstLine="0"/>
        <w:rPr>
          <w:rFonts w:eastAsia="Calibri"/>
        </w:rPr>
      </w:pPr>
      <w:r w:rsidRPr="00892068">
        <w:rPr>
          <w:rFonts w:eastAsia="Calibri"/>
        </w:rPr>
        <w:t>If the confidence intervals of two rates do not overlap, the difference in rates is said to be statistically significant.</w:t>
      </w:r>
    </w:p>
    <w:p w14:paraId="55F2E0F3" w14:textId="36A37E29" w:rsidR="004D12AC" w:rsidRDefault="004D12AC" w:rsidP="00C148E5">
      <w:pPr>
        <w:pStyle w:val="Note"/>
        <w:keepNext/>
        <w:ind w:left="0" w:firstLine="0"/>
      </w:pPr>
      <w:r w:rsidRPr="00892068">
        <w:rPr>
          <w:rFonts w:eastAsia="Calibri"/>
        </w:rPr>
        <w:t xml:space="preserve">Source: </w:t>
      </w:r>
      <w:r w:rsidR="009116B8">
        <w:rPr>
          <w:rFonts w:eastAsia="Calibri"/>
        </w:rPr>
        <w:t>New Zealand Health Survey (NZHS), Ministry of Health, 2006/07–2016/17.</w:t>
      </w:r>
    </w:p>
    <w:p w14:paraId="61ACA444" w14:textId="77777777" w:rsidR="000D102F" w:rsidRPr="00181EF3" w:rsidRDefault="000D102F" w:rsidP="00C148E5">
      <w:pPr>
        <w:keepNext/>
      </w:pPr>
    </w:p>
    <w:p w14:paraId="3726A450" w14:textId="66CCCEA1" w:rsidR="004D12AC" w:rsidRDefault="004D12AC" w:rsidP="00C148E5">
      <w:r w:rsidRPr="00181EF3">
        <w:t xml:space="preserve">Figure </w:t>
      </w:r>
      <w:r>
        <w:t>98</w:t>
      </w:r>
      <w:r w:rsidRPr="00181EF3">
        <w:t xml:space="preserve"> shows that Māori adults have been less likely to self-rate their health as good, very good or excellent than </w:t>
      </w:r>
      <w:r w:rsidR="00EC03A3">
        <w:t>non</w:t>
      </w:r>
      <w:r w:rsidR="00EC03A3">
        <w:noBreakHyphen/>
        <w:t>M</w:t>
      </w:r>
      <w:r w:rsidRPr="00181EF3">
        <w:t xml:space="preserve">āori adults across time, from 2006/07 to 2016/17. The percentages of people rating their health as good or above have decreased slightly for both Māori and </w:t>
      </w:r>
      <w:r w:rsidR="00EC03A3">
        <w:t>non</w:t>
      </w:r>
      <w:r w:rsidR="00EC03A3">
        <w:noBreakHyphen/>
        <w:t>M</w:t>
      </w:r>
      <w:r w:rsidRPr="00181EF3">
        <w:t>āori over time, but the rate ratio has had no significant change.</w:t>
      </w:r>
    </w:p>
    <w:p w14:paraId="5A1FF185" w14:textId="16815EE6" w:rsidR="00AE55BA" w:rsidRDefault="00AE55BA" w:rsidP="00C148E5"/>
    <w:p w14:paraId="7C226063" w14:textId="4DD8B711" w:rsidR="00AE55BA" w:rsidRPr="00181EF3" w:rsidRDefault="00AE55BA" w:rsidP="00C148E5">
      <w:r w:rsidRPr="00181EF3">
        <w:t xml:space="preserve">This trend is reflected in the age-standardised percentages by sex. In general, Māori males were less likely to rate their health as good or above than </w:t>
      </w:r>
      <w:r>
        <w:t>non</w:t>
      </w:r>
      <w:r>
        <w:noBreakHyphen/>
        <w:t>M</w:t>
      </w:r>
      <w:r w:rsidRPr="00181EF3">
        <w:t xml:space="preserve">āori males, and Māori females were less likely to rate their health as good or above compared </w:t>
      </w:r>
      <w:r>
        <w:t>with</w:t>
      </w:r>
      <w:r w:rsidRPr="00181EF3">
        <w:t xml:space="preserve"> </w:t>
      </w:r>
      <w:r>
        <w:t>non</w:t>
      </w:r>
      <w:r>
        <w:noBreakHyphen/>
        <w:t>M</w:t>
      </w:r>
      <w:r w:rsidRPr="00181EF3">
        <w:t xml:space="preserve">āori females (Figure </w:t>
      </w:r>
      <w:r>
        <w:t>99</w:t>
      </w:r>
      <w:r w:rsidRPr="00181EF3">
        <w:t>).</w:t>
      </w:r>
    </w:p>
    <w:p w14:paraId="52168097" w14:textId="77777777" w:rsidR="000D102F" w:rsidRPr="00181EF3" w:rsidRDefault="000D102F" w:rsidP="000D102F"/>
    <w:p w14:paraId="44500BEE" w14:textId="01782A8D" w:rsidR="000D102F" w:rsidRDefault="000D102F" w:rsidP="000D102F">
      <w:pPr>
        <w:pStyle w:val="Figure"/>
      </w:pPr>
      <w:bookmarkStart w:id="294" w:name="_Toc19101950"/>
      <w:r w:rsidRPr="00181EF3">
        <w:lastRenderedPageBreak/>
        <w:t xml:space="preserve">Figure </w:t>
      </w:r>
      <w:r w:rsidR="004D12AC">
        <w:t>99</w:t>
      </w:r>
      <w:r w:rsidRPr="00181EF3">
        <w:t>: Excellent, very good or good self-rated health</w:t>
      </w:r>
      <w:r w:rsidR="004D12AC">
        <w:t xml:space="preserve">, 15+ years, by gender, Māori and </w:t>
      </w:r>
      <w:r w:rsidR="00EC03A3">
        <w:t>non</w:t>
      </w:r>
      <w:r w:rsidR="00EC03A3">
        <w:noBreakHyphen/>
        <w:t>M</w:t>
      </w:r>
      <w:r w:rsidR="004D12AC">
        <w:t>āori</w:t>
      </w:r>
      <w:r w:rsidRPr="00181EF3">
        <w:t>, 2006/07–2016/17</w:t>
      </w:r>
      <w:bookmarkEnd w:id="294"/>
    </w:p>
    <w:p w14:paraId="4DE67297" w14:textId="77777777" w:rsidR="000D102F" w:rsidRPr="009E5A03" w:rsidRDefault="000D102F" w:rsidP="00C148E5">
      <w:pPr>
        <w:keepNext/>
      </w:pPr>
      <w:r w:rsidRPr="009E5A03">
        <w:rPr>
          <w:noProof/>
          <w:lang w:eastAsia="en-NZ"/>
        </w:rPr>
        <w:drawing>
          <wp:inline distT="0" distB="0" distL="0" distR="0" wp14:anchorId="1648F96B" wp14:editId="2C7F45F9">
            <wp:extent cx="5120640" cy="2566926"/>
            <wp:effectExtent l="0" t="0" r="3810" b="5080"/>
            <wp:docPr id="293" name="Picture 293" descr="A higher percentage of non-Māori consider their health good or better than Māori. Non-Māori men and women have very similar patterns of self-rated good health. Māori men had higher rates of self-rated good health, increasing year-to-year, until 2014/15, when the rate dropped about 7 percent. Māori women meanwhile had relatively stable rates, with a spike in 2013/14." title="Figure 99: Excellent, very good or good self-rated health – adults, age-standardised percentages (%), by sex, 2006/07–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9"/>
                    <a:srcRect b="1592"/>
                    <a:stretch/>
                  </pic:blipFill>
                  <pic:spPr bwMode="auto">
                    <a:xfrm>
                      <a:off x="0" y="0"/>
                      <a:ext cx="5130165" cy="2571701"/>
                    </a:xfrm>
                    <a:prstGeom prst="rect">
                      <a:avLst/>
                    </a:prstGeom>
                    <a:ln>
                      <a:noFill/>
                    </a:ln>
                    <a:extLst>
                      <a:ext uri="{53640926-AAD7-44D8-BBD7-CCE9431645EC}">
                        <a14:shadowObscured xmlns:a14="http://schemas.microsoft.com/office/drawing/2010/main"/>
                      </a:ext>
                    </a:extLst>
                  </pic:spPr>
                </pic:pic>
              </a:graphicData>
            </a:graphic>
          </wp:inline>
        </w:drawing>
      </w:r>
    </w:p>
    <w:p w14:paraId="77E1072E" w14:textId="77777777" w:rsidR="008A5642" w:rsidRDefault="004D12AC" w:rsidP="00C148E5">
      <w:pPr>
        <w:pStyle w:val="Note"/>
        <w:keepNext/>
        <w:ind w:left="0" w:firstLine="0"/>
        <w:rPr>
          <w:rFonts w:eastAsia="Calibri"/>
        </w:rPr>
      </w:pPr>
      <w:r w:rsidRPr="00892068">
        <w:rPr>
          <w:rFonts w:eastAsia="Calibri"/>
        </w:rPr>
        <w:t>Notes:</w:t>
      </w:r>
    </w:p>
    <w:p w14:paraId="61B36363" w14:textId="7DBC9836" w:rsidR="008A5642" w:rsidRDefault="00446D86" w:rsidP="00B6364B">
      <w:pPr>
        <w:pStyle w:val="Note"/>
        <w:ind w:left="0" w:firstLine="0"/>
        <w:rPr>
          <w:rFonts w:eastAsia="Calibri"/>
        </w:rPr>
      </w:pPr>
      <w:r>
        <w:rPr>
          <w:rFonts w:eastAsia="Calibri"/>
        </w:rPr>
        <w:t>Figures are age-standardised to the 2001 Census total Māori population</w:t>
      </w:r>
      <w:r w:rsidR="004D12AC" w:rsidRPr="00892068">
        <w:rPr>
          <w:rFonts w:eastAsia="Calibri"/>
        </w:rPr>
        <w:t>.</w:t>
      </w:r>
    </w:p>
    <w:p w14:paraId="673F16E3" w14:textId="0EDD7A8E" w:rsidR="004D12AC" w:rsidRPr="00892068" w:rsidRDefault="004D12AC" w:rsidP="00B6364B">
      <w:pPr>
        <w:pStyle w:val="Note"/>
        <w:ind w:left="0" w:firstLine="0"/>
        <w:rPr>
          <w:rFonts w:eastAsia="Calibri"/>
        </w:rPr>
      </w:pPr>
      <w:r w:rsidRPr="00892068">
        <w:rPr>
          <w:rFonts w:eastAsia="Calibri"/>
        </w:rPr>
        <w:t>Prioritised ethnicity has been used.</w:t>
      </w:r>
    </w:p>
    <w:p w14:paraId="186821DB" w14:textId="77777777" w:rsidR="008A5642" w:rsidRDefault="004D12AC" w:rsidP="00B6364B">
      <w:pPr>
        <w:pStyle w:val="Note"/>
        <w:ind w:left="0" w:firstLine="0"/>
        <w:rPr>
          <w:rFonts w:eastAsia="Calibri"/>
        </w:rPr>
      </w:pPr>
      <w:r w:rsidRPr="00892068">
        <w:rPr>
          <w:rFonts w:eastAsia="Calibri"/>
        </w:rPr>
        <w:t>If the confidence intervals of two rates do not overlap, the difference in rates is said to be statistically significant.</w:t>
      </w:r>
    </w:p>
    <w:p w14:paraId="7E71C726" w14:textId="39F8C9F2" w:rsidR="004D12AC" w:rsidRDefault="004D12AC" w:rsidP="00B6364B">
      <w:pPr>
        <w:pStyle w:val="Note"/>
        <w:ind w:left="0" w:firstLine="0"/>
      </w:pPr>
      <w:r w:rsidRPr="00892068">
        <w:rPr>
          <w:rFonts w:eastAsia="Calibri"/>
        </w:rPr>
        <w:t xml:space="preserve">Source: </w:t>
      </w:r>
      <w:r w:rsidR="009116B8">
        <w:rPr>
          <w:rFonts w:eastAsia="Calibri"/>
        </w:rPr>
        <w:t>New Zealand Health Survey (NZHS), Ministry of Health, 2006/07–2016/17.</w:t>
      </w:r>
    </w:p>
    <w:p w14:paraId="6DF20865" w14:textId="77777777" w:rsidR="002D68F3" w:rsidRDefault="002D68F3">
      <w:pPr>
        <w:rPr>
          <w:highlight w:val="yellow"/>
        </w:rPr>
      </w:pPr>
    </w:p>
    <w:p w14:paraId="7938F3D0" w14:textId="2B012A9F" w:rsidR="004D12AC" w:rsidRDefault="004D12AC" w:rsidP="004D12AC"/>
    <w:p w14:paraId="52BBA3DF" w14:textId="77777777" w:rsidR="00C148E5" w:rsidRPr="00181EF3" w:rsidRDefault="00C148E5" w:rsidP="004D12AC"/>
    <w:p w14:paraId="0DCFA54D" w14:textId="77777777" w:rsidR="004D12AC" w:rsidRPr="00181EF3" w:rsidRDefault="004D12AC" w:rsidP="00C148E5">
      <w:pPr>
        <w:pStyle w:val="Heading2"/>
        <w:pageBreakBefore/>
        <w:spacing w:before="0"/>
        <w:rPr>
          <w:noProof/>
          <w:lang w:eastAsia="en-NZ"/>
        </w:rPr>
      </w:pPr>
      <w:bookmarkStart w:id="295" w:name="_Toc14718636"/>
      <w:bookmarkStart w:id="296" w:name="_Toc14775059"/>
      <w:bookmarkStart w:id="297" w:name="_Toc19102399"/>
      <w:r w:rsidRPr="00181EF3">
        <w:rPr>
          <w:noProof/>
          <w:lang w:eastAsia="en-NZ"/>
        </w:rPr>
        <w:lastRenderedPageBreak/>
        <w:t>Mental health</w:t>
      </w:r>
      <w:bookmarkEnd w:id="295"/>
      <w:bookmarkEnd w:id="296"/>
      <w:bookmarkEnd w:id="297"/>
    </w:p>
    <w:p w14:paraId="72052561" w14:textId="5FCB6C5A" w:rsidR="004D12AC" w:rsidRDefault="004D12AC" w:rsidP="004D12AC">
      <w:pPr>
        <w:rPr>
          <w:noProof/>
          <w:lang w:eastAsia="en-NZ"/>
        </w:rPr>
      </w:pPr>
      <w:r w:rsidRPr="00181EF3">
        <w:rPr>
          <w:noProof/>
          <w:lang w:eastAsia="en-NZ"/>
        </w:rPr>
        <w:t xml:space="preserve">This </w:t>
      </w:r>
      <w:r w:rsidR="00090D3A">
        <w:rPr>
          <w:noProof/>
          <w:lang w:eastAsia="en-NZ"/>
        </w:rPr>
        <w:t>section</w:t>
      </w:r>
      <w:r w:rsidRPr="00181EF3">
        <w:rPr>
          <w:noProof/>
          <w:lang w:eastAsia="en-NZ"/>
        </w:rPr>
        <w:t xml:space="preserve"> presents results over time for mental health for Māori and </w:t>
      </w:r>
      <w:r w:rsidR="00EC03A3">
        <w:rPr>
          <w:noProof/>
          <w:lang w:eastAsia="en-NZ"/>
        </w:rPr>
        <w:t>non</w:t>
      </w:r>
      <w:r w:rsidR="00EC03A3">
        <w:rPr>
          <w:noProof/>
          <w:lang w:eastAsia="en-NZ"/>
        </w:rPr>
        <w:noBreakHyphen/>
        <w:t>M</w:t>
      </w:r>
      <w:r w:rsidRPr="00181EF3">
        <w:rPr>
          <w:noProof/>
          <w:lang w:eastAsia="en-NZ"/>
        </w:rPr>
        <w:t>āori, including scores of psychological distress and self-reported diagnosis of common mental disorders.</w:t>
      </w:r>
    </w:p>
    <w:p w14:paraId="642BDEC3" w14:textId="77777777" w:rsidR="00C148E5" w:rsidRPr="00181EF3" w:rsidRDefault="00C148E5" w:rsidP="004D12AC">
      <w:pPr>
        <w:rPr>
          <w:noProof/>
          <w:lang w:eastAsia="en-NZ"/>
        </w:rPr>
      </w:pPr>
    </w:p>
    <w:p w14:paraId="4A77F319" w14:textId="77777777" w:rsidR="004D12AC" w:rsidRPr="00181EF3" w:rsidRDefault="004D12AC" w:rsidP="00090D3A">
      <w:pPr>
        <w:pStyle w:val="Heading3"/>
      </w:pPr>
      <w:bookmarkStart w:id="298" w:name="_Toc19102400"/>
      <w:r w:rsidRPr="00181EF3">
        <w:t>What is the data telling us?</w:t>
      </w:r>
      <w:bookmarkEnd w:id="298"/>
    </w:p>
    <w:p w14:paraId="76B5DF78" w14:textId="77777777" w:rsidR="004D12AC" w:rsidRPr="00181EF3" w:rsidRDefault="004D12AC" w:rsidP="004D12AC">
      <w:pPr>
        <w:pStyle w:val="Shadedboxheading"/>
      </w:pPr>
      <w:r w:rsidRPr="00181EF3">
        <w:t>Psychological distress</w:t>
      </w:r>
    </w:p>
    <w:p w14:paraId="3A4AF32F" w14:textId="58F28086" w:rsidR="004D12AC" w:rsidRPr="00181EF3" w:rsidRDefault="004D12AC" w:rsidP="004D12AC">
      <w:pPr>
        <w:pStyle w:val="Shadedboxbullet"/>
        <w:ind w:left="568" w:hanging="284"/>
      </w:pPr>
      <w:r w:rsidRPr="00181EF3">
        <w:t xml:space="preserve">Māori had higher levels of psychological distress than </w:t>
      </w:r>
      <w:r w:rsidR="00EC03A3">
        <w:t>non</w:t>
      </w:r>
      <w:r w:rsidR="00EC03A3">
        <w:noBreakHyphen/>
        <w:t>M</w:t>
      </w:r>
      <w:r w:rsidRPr="00181EF3">
        <w:t>āori.</w:t>
      </w:r>
    </w:p>
    <w:p w14:paraId="68601DD3" w14:textId="00E0CA94" w:rsidR="004D12AC" w:rsidRPr="00181EF3" w:rsidRDefault="004D12AC" w:rsidP="004D12AC">
      <w:pPr>
        <w:pStyle w:val="Shadedboxbullet"/>
        <w:ind w:left="568" w:hanging="284"/>
      </w:pPr>
      <w:r w:rsidRPr="00181EF3">
        <w:t xml:space="preserve">The percentage of people with a high psychological distress score has increased for both Māori and </w:t>
      </w:r>
      <w:r w:rsidR="00EC03A3">
        <w:t>non</w:t>
      </w:r>
      <w:r w:rsidR="00EC03A3">
        <w:noBreakHyphen/>
        <w:t>M</w:t>
      </w:r>
      <w:r w:rsidRPr="00181EF3">
        <w:t xml:space="preserve">āori over time, but the difference between Māori and </w:t>
      </w:r>
      <w:r w:rsidR="00EC03A3">
        <w:t>non</w:t>
      </w:r>
      <w:r w:rsidR="00EC03A3">
        <w:noBreakHyphen/>
        <w:t>M</w:t>
      </w:r>
      <w:r w:rsidRPr="00181EF3">
        <w:t>āori has narrowed.</w:t>
      </w:r>
    </w:p>
    <w:p w14:paraId="4A6519FE" w14:textId="01E4DAE3" w:rsidR="004D12AC" w:rsidRPr="00181EF3" w:rsidRDefault="004D12AC" w:rsidP="004D12AC">
      <w:pPr>
        <w:pStyle w:val="Shadedboxbullet"/>
        <w:ind w:left="568" w:hanging="284"/>
      </w:pPr>
      <w:r w:rsidRPr="00181EF3">
        <w:t xml:space="preserve">Māori males and females were more likely to have a high psychological distress score than </w:t>
      </w:r>
      <w:r w:rsidR="00EC03A3">
        <w:t>non</w:t>
      </w:r>
      <w:r w:rsidR="00EC03A3">
        <w:noBreakHyphen/>
        <w:t>M</w:t>
      </w:r>
      <w:r w:rsidRPr="00181EF3">
        <w:t>āori males and females.</w:t>
      </w:r>
    </w:p>
    <w:p w14:paraId="23A30628" w14:textId="77777777" w:rsidR="004D12AC" w:rsidRPr="00181EF3" w:rsidRDefault="004D12AC" w:rsidP="004D12AC">
      <w:pPr>
        <w:pStyle w:val="Shadedboxheading"/>
      </w:pPr>
      <w:r w:rsidRPr="00181EF3">
        <w:t>Diagnosis of common mental disorder</w:t>
      </w:r>
    </w:p>
    <w:p w14:paraId="4030010D" w14:textId="027BAE27" w:rsidR="004D12AC" w:rsidRPr="00181EF3" w:rsidRDefault="004D12AC" w:rsidP="004D12AC">
      <w:pPr>
        <w:pStyle w:val="Shadedboxbullet"/>
        <w:ind w:left="568" w:hanging="284"/>
      </w:pPr>
      <w:r w:rsidRPr="00181EF3">
        <w:t xml:space="preserve">There were no significant differences between Māori and </w:t>
      </w:r>
      <w:r w:rsidR="00EC03A3">
        <w:t>non</w:t>
      </w:r>
      <w:r w:rsidR="00EC03A3">
        <w:noBreakHyphen/>
        <w:t>M</w:t>
      </w:r>
      <w:r w:rsidRPr="00181EF3">
        <w:t>āori in the percentage of people diagnosed with a common mental disorder, regardless of sex.</w:t>
      </w:r>
    </w:p>
    <w:p w14:paraId="0CA5255F" w14:textId="436F4723" w:rsidR="004D12AC" w:rsidRPr="00181EF3" w:rsidRDefault="004D12AC" w:rsidP="004D12AC">
      <w:pPr>
        <w:pStyle w:val="Shadedboxbullet"/>
        <w:ind w:left="568" w:hanging="284"/>
      </w:pPr>
      <w:r w:rsidRPr="00181EF3">
        <w:t xml:space="preserve">Females were more likely to be diagnosed with a common mental disorder than males, for both Māori and </w:t>
      </w:r>
      <w:r w:rsidR="00EC03A3">
        <w:t>non</w:t>
      </w:r>
      <w:r w:rsidR="00EC03A3">
        <w:noBreakHyphen/>
        <w:t>M</w:t>
      </w:r>
      <w:r w:rsidRPr="00181EF3">
        <w:t>āori.</w:t>
      </w:r>
    </w:p>
    <w:p w14:paraId="3697523A" w14:textId="77777777" w:rsidR="004D12AC" w:rsidRPr="00181EF3" w:rsidRDefault="004D12AC" w:rsidP="004D12AC"/>
    <w:p w14:paraId="66DE000E" w14:textId="77777777" w:rsidR="004D12AC" w:rsidRPr="00181EF3" w:rsidRDefault="004D12AC" w:rsidP="00C148E5">
      <w:pPr>
        <w:pStyle w:val="Heading3"/>
        <w:pageBreakBefore/>
        <w:spacing w:before="0"/>
      </w:pPr>
      <w:bookmarkStart w:id="299" w:name="_Toc19102401"/>
      <w:r w:rsidRPr="00181EF3">
        <w:lastRenderedPageBreak/>
        <w:t>Psychological distress</w:t>
      </w:r>
      <w:bookmarkEnd w:id="299"/>
    </w:p>
    <w:p w14:paraId="6DB51098" w14:textId="48EA7879" w:rsidR="00376671" w:rsidRPr="00181EF3" w:rsidRDefault="00376671" w:rsidP="00C148E5">
      <w:r w:rsidRPr="00181EF3">
        <w:t>Psychological distress is a risk factor for mental illness. It is measured in the</w:t>
      </w:r>
      <w:r w:rsidR="00AE55BA">
        <w:t xml:space="preserve"> New Zealand Health Survey</w:t>
      </w:r>
      <w:r w:rsidRPr="00181EF3">
        <w:t xml:space="preserve"> </w:t>
      </w:r>
      <w:r w:rsidR="00AE55BA">
        <w:t>(</w:t>
      </w:r>
      <w:r w:rsidRPr="00181EF3">
        <w:t>NZHS</w:t>
      </w:r>
      <w:r w:rsidR="00AE55BA">
        <w:t>)</w:t>
      </w:r>
      <w:r w:rsidRPr="00181EF3">
        <w:t xml:space="preserve"> using a set of questions called the Kessler Psychological Distress Scale (K10)</w:t>
      </w:r>
      <w:r w:rsidR="009A2BA1">
        <w:t xml:space="preserve"> (Stats NZ 2017)</w:t>
      </w:r>
      <w:r w:rsidRPr="00181EF3">
        <w:t>. It is very likely that a person has an anxiety or depressive disorder if they have a high score on this scale (K10 score of 12 or more)</w:t>
      </w:r>
      <w:r>
        <w:t xml:space="preserve"> (Andrew and Slade 2001)</w:t>
      </w:r>
      <w:r w:rsidRPr="00181EF3">
        <w:t>.</w:t>
      </w:r>
    </w:p>
    <w:p w14:paraId="564A8C8E" w14:textId="77777777" w:rsidR="00376671" w:rsidRPr="00181EF3" w:rsidRDefault="00376671" w:rsidP="00376671"/>
    <w:p w14:paraId="04FF0ED0" w14:textId="46B9CBE5" w:rsidR="00376671" w:rsidRDefault="00376671" w:rsidP="00376671">
      <w:r w:rsidRPr="00181EF3">
        <w:t xml:space="preserve">It is important to note the data was self-reported, which may not be an accurate representation of the true prevalence of these conditions. Therefore, caution should be taken when comparing results from this </w:t>
      </w:r>
      <w:r w:rsidR="00AE55BA">
        <w:t>report</w:t>
      </w:r>
      <w:r w:rsidRPr="00181EF3">
        <w:t xml:space="preserve"> with reports that use a different data source.</w:t>
      </w:r>
    </w:p>
    <w:p w14:paraId="5960B749" w14:textId="77777777" w:rsidR="00C148E5" w:rsidRPr="00181EF3" w:rsidRDefault="00C148E5" w:rsidP="00376671"/>
    <w:p w14:paraId="47E7F244" w14:textId="32B57445" w:rsidR="00376671" w:rsidRDefault="00376671" w:rsidP="00376671">
      <w:pPr>
        <w:pStyle w:val="Figure"/>
      </w:pPr>
      <w:bookmarkStart w:id="300" w:name="_Toc19101951"/>
      <w:r w:rsidRPr="00181EF3">
        <w:t>Figure 1</w:t>
      </w:r>
      <w:r>
        <w:t>00</w:t>
      </w:r>
      <w:r w:rsidRPr="00181EF3">
        <w:t>: Psychological distress (high or very high probability of anxiety or depressive disorder)</w:t>
      </w:r>
      <w:r>
        <w:t xml:space="preserve">, 15+ years, Māori and </w:t>
      </w:r>
      <w:r w:rsidR="00EC03A3">
        <w:t>non</w:t>
      </w:r>
      <w:r w:rsidR="00EC03A3">
        <w:noBreakHyphen/>
        <w:t>M</w:t>
      </w:r>
      <w:r>
        <w:t>āori</w:t>
      </w:r>
      <w:r w:rsidRPr="00181EF3">
        <w:t>, 2006/07–2016/17</w:t>
      </w:r>
      <w:bookmarkEnd w:id="300"/>
    </w:p>
    <w:p w14:paraId="2845F717" w14:textId="77777777" w:rsidR="00376671" w:rsidRPr="009F73A0" w:rsidRDefault="00376671" w:rsidP="00376671">
      <w:r w:rsidRPr="009F73A0">
        <w:rPr>
          <w:noProof/>
          <w:lang w:eastAsia="en-NZ"/>
        </w:rPr>
        <w:drawing>
          <wp:inline distT="0" distB="0" distL="0" distR="0" wp14:anchorId="5FE9059D" wp14:editId="2070C95C">
            <wp:extent cx="5130165" cy="2673057"/>
            <wp:effectExtent l="0" t="0" r="0" b="0"/>
            <wp:docPr id="294" name="Picture 294" descr="Māori adults were more likely to suffer from psychological distress than non-Māori adults. The rate for both groups has increased about the same amount since 2011/12." title="Figure 100: Psychological distress (high or very high probability of anxiety or depressive disorder) – adults, age-standardised percentages (%), 2006/07–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130165" cy="2673057"/>
                    </a:xfrm>
                    <a:prstGeom prst="rect">
                      <a:avLst/>
                    </a:prstGeom>
                  </pic:spPr>
                </pic:pic>
              </a:graphicData>
            </a:graphic>
          </wp:inline>
        </w:drawing>
      </w:r>
    </w:p>
    <w:p w14:paraId="68F25CB8" w14:textId="77777777" w:rsidR="008A5642" w:rsidRDefault="00376671" w:rsidP="00B6364B">
      <w:pPr>
        <w:pStyle w:val="Note"/>
        <w:ind w:left="0" w:firstLine="0"/>
        <w:rPr>
          <w:rFonts w:eastAsia="Calibri"/>
        </w:rPr>
      </w:pPr>
      <w:r w:rsidRPr="00892068">
        <w:rPr>
          <w:rFonts w:eastAsia="Calibri"/>
        </w:rPr>
        <w:t>Notes:</w:t>
      </w:r>
    </w:p>
    <w:p w14:paraId="746D1CB4" w14:textId="6D5AA1C3" w:rsidR="008A5642" w:rsidRDefault="00446D86" w:rsidP="00B6364B">
      <w:pPr>
        <w:pStyle w:val="Note"/>
        <w:ind w:left="0" w:firstLine="0"/>
        <w:rPr>
          <w:rFonts w:eastAsia="Calibri"/>
        </w:rPr>
      </w:pPr>
      <w:r>
        <w:rPr>
          <w:rFonts w:eastAsia="Calibri"/>
        </w:rPr>
        <w:t>Figures are age-standardised to the 2001 Census total Māori population</w:t>
      </w:r>
      <w:r w:rsidR="00376671" w:rsidRPr="00892068">
        <w:rPr>
          <w:rFonts w:eastAsia="Calibri"/>
        </w:rPr>
        <w:t>.</w:t>
      </w:r>
    </w:p>
    <w:p w14:paraId="494B4135" w14:textId="34DBEF03" w:rsidR="00376671" w:rsidRPr="00892068" w:rsidRDefault="00376671" w:rsidP="00B6364B">
      <w:pPr>
        <w:pStyle w:val="Note"/>
        <w:ind w:left="0" w:firstLine="0"/>
        <w:rPr>
          <w:rFonts w:eastAsia="Calibri"/>
        </w:rPr>
      </w:pPr>
      <w:r w:rsidRPr="00892068">
        <w:rPr>
          <w:rFonts w:eastAsia="Calibri"/>
        </w:rPr>
        <w:t>Prioritised ethnicity has been used.</w:t>
      </w:r>
    </w:p>
    <w:p w14:paraId="42D38B85" w14:textId="77777777" w:rsidR="008A5642" w:rsidRDefault="00376671" w:rsidP="00B6364B">
      <w:pPr>
        <w:pStyle w:val="Note"/>
        <w:ind w:left="0" w:firstLine="0"/>
        <w:rPr>
          <w:rFonts w:eastAsia="Calibri"/>
        </w:rPr>
      </w:pPr>
      <w:r w:rsidRPr="00892068">
        <w:rPr>
          <w:rFonts w:eastAsia="Calibri"/>
        </w:rPr>
        <w:t>If the confidence intervals of two rates do not overlap, the difference in rates is said to be statistically significant.</w:t>
      </w:r>
    </w:p>
    <w:p w14:paraId="24C45082" w14:textId="18F324B2" w:rsidR="00376671" w:rsidRDefault="00376671" w:rsidP="00B6364B">
      <w:pPr>
        <w:pStyle w:val="Note"/>
        <w:ind w:left="0" w:firstLine="0"/>
      </w:pPr>
      <w:r w:rsidRPr="00892068">
        <w:rPr>
          <w:rFonts w:eastAsia="Calibri"/>
        </w:rPr>
        <w:t xml:space="preserve">Source: </w:t>
      </w:r>
      <w:r w:rsidR="009116B8">
        <w:rPr>
          <w:rFonts w:eastAsia="Calibri"/>
        </w:rPr>
        <w:t>New Zealand Health Survey (NZHS), Ministry of Health, 2006/07–2016/17.</w:t>
      </w:r>
    </w:p>
    <w:p w14:paraId="1A515F13" w14:textId="77777777" w:rsidR="00376671" w:rsidRDefault="00376671" w:rsidP="00C148E5"/>
    <w:p w14:paraId="3EB91932" w14:textId="32ECE717" w:rsidR="004D12AC" w:rsidRPr="00181EF3" w:rsidRDefault="004D12AC" w:rsidP="004D12AC">
      <w:r w:rsidRPr="00181EF3">
        <w:t>Figure 1</w:t>
      </w:r>
      <w:r w:rsidR="00376671">
        <w:t>00</w:t>
      </w:r>
      <w:r w:rsidRPr="00181EF3">
        <w:t xml:space="preserve"> shows the percentage of people who had a high score for psychological distress (self-reported), for Māori and </w:t>
      </w:r>
      <w:r w:rsidR="00EC03A3">
        <w:t>non</w:t>
      </w:r>
      <w:r w:rsidR="00EC03A3">
        <w:noBreakHyphen/>
        <w:t>M</w:t>
      </w:r>
      <w:r w:rsidRPr="00181EF3">
        <w:t>āori.</w:t>
      </w:r>
    </w:p>
    <w:p w14:paraId="5E085CF8" w14:textId="77777777" w:rsidR="004D12AC" w:rsidRPr="00181EF3" w:rsidRDefault="004D12AC" w:rsidP="004D12AC"/>
    <w:p w14:paraId="01E36CB7" w14:textId="1CF4412F" w:rsidR="004D12AC" w:rsidRPr="00181EF3" w:rsidRDefault="004D12AC" w:rsidP="00C148E5">
      <w:r w:rsidRPr="00181EF3">
        <w:t xml:space="preserve">Māori had higher levels of psychological distress than </w:t>
      </w:r>
      <w:r w:rsidR="00EC03A3">
        <w:t>non</w:t>
      </w:r>
      <w:r w:rsidR="00EC03A3">
        <w:noBreakHyphen/>
        <w:t>M</w:t>
      </w:r>
      <w:r w:rsidRPr="00181EF3">
        <w:t xml:space="preserve">āori across the time period shown, and the percentage of people with a high psychological distress score has increased for both Māori and </w:t>
      </w:r>
      <w:r w:rsidR="00EC03A3">
        <w:t>non</w:t>
      </w:r>
      <w:r w:rsidR="00EC03A3">
        <w:noBreakHyphen/>
        <w:t>M</w:t>
      </w:r>
      <w:r w:rsidRPr="00181EF3">
        <w:t xml:space="preserve">āori over time. In particular, the percentage of Māori with a high psychological distress score increased between 2011/12 and 2016/17, from 7.4 percent to 11.5 percent. This is an increase of 4.1 percentage points. Over the same time period the percentage of </w:t>
      </w:r>
      <w:r w:rsidR="00EC03A3">
        <w:t>non</w:t>
      </w:r>
      <w:r w:rsidR="00EC03A3">
        <w:noBreakHyphen/>
        <w:t>M</w:t>
      </w:r>
      <w:r w:rsidRPr="00181EF3">
        <w:t>āori with a high psychological distress score increased more rapidly, from 4.4 percent to 7.9 percent, an increase of 3.5 percentage points.</w:t>
      </w:r>
    </w:p>
    <w:p w14:paraId="0CCE5B0F" w14:textId="77777777" w:rsidR="004D12AC" w:rsidRPr="00181EF3" w:rsidRDefault="004D12AC" w:rsidP="004D12AC"/>
    <w:p w14:paraId="6388193A" w14:textId="480481B5" w:rsidR="004D12AC" w:rsidRPr="00181EF3" w:rsidRDefault="004D12AC" w:rsidP="004D12AC">
      <w:r w:rsidRPr="00181EF3">
        <w:lastRenderedPageBreak/>
        <w:t xml:space="preserve">This means that although Māori were still more likely to have a high psychological distress score than </w:t>
      </w:r>
      <w:r w:rsidR="00EC03A3">
        <w:t>non</w:t>
      </w:r>
      <w:r w:rsidR="00EC03A3">
        <w:noBreakHyphen/>
        <w:t>M</w:t>
      </w:r>
      <w:r w:rsidRPr="00181EF3">
        <w:t xml:space="preserve">āori, the difference between ethnicities has narrowed slightly. In 2006/07 Māori were 1.7 times as likely as </w:t>
      </w:r>
      <w:r w:rsidR="00EC03A3">
        <w:t>non</w:t>
      </w:r>
      <w:r w:rsidR="00EC03A3">
        <w:noBreakHyphen/>
        <w:t>M</w:t>
      </w:r>
      <w:r w:rsidRPr="00181EF3">
        <w:t>āori to have a high psychological distress score, and this decreased to 1.5 times as likely in 2016/17.</w:t>
      </w:r>
    </w:p>
    <w:p w14:paraId="773CC18A" w14:textId="77777777" w:rsidR="004D12AC" w:rsidRPr="00181EF3" w:rsidRDefault="004D12AC" w:rsidP="004D12AC"/>
    <w:p w14:paraId="70D9C93C" w14:textId="034BCF14" w:rsidR="004D12AC" w:rsidRDefault="004D12AC" w:rsidP="004D12AC">
      <w:pPr>
        <w:pStyle w:val="Figure"/>
      </w:pPr>
      <w:bookmarkStart w:id="301" w:name="_Toc19101952"/>
      <w:r w:rsidRPr="00181EF3">
        <w:t xml:space="preserve">Figure </w:t>
      </w:r>
      <w:r w:rsidR="00376671">
        <w:t>101</w:t>
      </w:r>
      <w:r w:rsidRPr="00181EF3">
        <w:t xml:space="preserve">: Psychological distress (high or very high probability of anxiety or depressive disorder), </w:t>
      </w:r>
      <w:r w:rsidR="00376671">
        <w:t xml:space="preserve">15+ years, </w:t>
      </w:r>
      <w:r w:rsidRPr="00181EF3">
        <w:t xml:space="preserve">by </w:t>
      </w:r>
      <w:r w:rsidR="00376671">
        <w:t>gender</w:t>
      </w:r>
      <w:r w:rsidRPr="00181EF3">
        <w:t>,</w:t>
      </w:r>
      <w:r w:rsidR="00376671">
        <w:t xml:space="preserve"> Māori and </w:t>
      </w:r>
      <w:r w:rsidR="00EC03A3">
        <w:t>non</w:t>
      </w:r>
      <w:r w:rsidR="00EC03A3">
        <w:noBreakHyphen/>
        <w:t>M</w:t>
      </w:r>
      <w:r w:rsidR="00376671">
        <w:t>āori</w:t>
      </w:r>
      <w:r w:rsidRPr="00181EF3">
        <w:t xml:space="preserve"> 2006/07–2016/17</w:t>
      </w:r>
      <w:bookmarkEnd w:id="301"/>
    </w:p>
    <w:p w14:paraId="6E09F79C" w14:textId="77777777" w:rsidR="004D12AC" w:rsidRPr="009F73A0" w:rsidRDefault="004D12AC" w:rsidP="004D12AC">
      <w:r w:rsidRPr="009F73A0">
        <w:rPr>
          <w:noProof/>
          <w:lang w:eastAsia="en-NZ"/>
        </w:rPr>
        <w:drawing>
          <wp:inline distT="0" distB="0" distL="0" distR="0" wp14:anchorId="70790277" wp14:editId="601A9F17">
            <wp:extent cx="5130165" cy="2613315"/>
            <wp:effectExtent l="0" t="0" r="0" b="0"/>
            <wp:docPr id="306" name="Picture 306" descr="Māori women were most likely to suffer from psychological distress, with a rate trending upwards since 2011/12. Māori men have the next highest rate, which has fluctuated over time. Non-Māori men and women have lower rates, with non-Māori men seeing a recent increase and non-Māori women seeing an increase that mostly mirrors the rate for Māori women." title="Figure 101: Psychological distress (high or very high probability of anxiety or depressive disorder) – adults, age-standardised percentages (%), by sex, 2006/07–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130165" cy="2613315"/>
                    </a:xfrm>
                    <a:prstGeom prst="rect">
                      <a:avLst/>
                    </a:prstGeom>
                  </pic:spPr>
                </pic:pic>
              </a:graphicData>
            </a:graphic>
          </wp:inline>
        </w:drawing>
      </w:r>
    </w:p>
    <w:p w14:paraId="2B465F07" w14:textId="77777777" w:rsidR="008A5642" w:rsidRDefault="00376671" w:rsidP="00B6364B">
      <w:pPr>
        <w:pStyle w:val="Note"/>
        <w:ind w:left="0" w:firstLine="0"/>
        <w:rPr>
          <w:rFonts w:eastAsia="Calibri"/>
        </w:rPr>
      </w:pPr>
      <w:r w:rsidRPr="00892068">
        <w:rPr>
          <w:rFonts w:eastAsia="Calibri"/>
        </w:rPr>
        <w:t>Notes:</w:t>
      </w:r>
    </w:p>
    <w:p w14:paraId="4D371737" w14:textId="20064B29" w:rsidR="008A5642" w:rsidRDefault="00446D86" w:rsidP="00B6364B">
      <w:pPr>
        <w:pStyle w:val="Note"/>
        <w:ind w:left="0" w:firstLine="0"/>
        <w:rPr>
          <w:rFonts w:eastAsia="Calibri"/>
        </w:rPr>
      </w:pPr>
      <w:r>
        <w:rPr>
          <w:rFonts w:eastAsia="Calibri"/>
        </w:rPr>
        <w:t>Figures are age-standardised to the 2001 Census total Māori population</w:t>
      </w:r>
      <w:r w:rsidR="00376671" w:rsidRPr="00892068">
        <w:rPr>
          <w:rFonts w:eastAsia="Calibri"/>
        </w:rPr>
        <w:t>.</w:t>
      </w:r>
    </w:p>
    <w:p w14:paraId="40B0F58B" w14:textId="45B85F91" w:rsidR="00376671" w:rsidRPr="00892068" w:rsidRDefault="00376671" w:rsidP="00B6364B">
      <w:pPr>
        <w:pStyle w:val="Note"/>
        <w:ind w:left="0" w:firstLine="0"/>
        <w:rPr>
          <w:rFonts w:eastAsia="Calibri"/>
        </w:rPr>
      </w:pPr>
      <w:r w:rsidRPr="00892068">
        <w:rPr>
          <w:rFonts w:eastAsia="Calibri"/>
        </w:rPr>
        <w:t>Prioritised ethnicity has been used.</w:t>
      </w:r>
    </w:p>
    <w:p w14:paraId="08D4CFF5" w14:textId="77777777" w:rsidR="008A5642" w:rsidRDefault="00376671" w:rsidP="00B6364B">
      <w:pPr>
        <w:pStyle w:val="Note"/>
        <w:ind w:left="0" w:firstLine="0"/>
        <w:rPr>
          <w:rFonts w:eastAsia="Calibri"/>
        </w:rPr>
      </w:pPr>
      <w:r w:rsidRPr="00892068">
        <w:rPr>
          <w:rFonts w:eastAsia="Calibri"/>
        </w:rPr>
        <w:t>If the confidence intervals of two rates do not overlap, the difference in rates is said to be statistically significant.</w:t>
      </w:r>
    </w:p>
    <w:p w14:paraId="2E0A29CC" w14:textId="55827524" w:rsidR="00376671" w:rsidRDefault="00376671" w:rsidP="00B6364B">
      <w:pPr>
        <w:pStyle w:val="Note"/>
        <w:ind w:left="0" w:firstLine="0"/>
      </w:pPr>
      <w:r w:rsidRPr="00892068">
        <w:rPr>
          <w:rFonts w:eastAsia="Calibri"/>
        </w:rPr>
        <w:t xml:space="preserve">Source: </w:t>
      </w:r>
      <w:r w:rsidR="009116B8">
        <w:rPr>
          <w:rFonts w:eastAsia="Calibri"/>
        </w:rPr>
        <w:t>New Zealand Health Survey (NZHS), Ministry of Health, 2006/07–2016/17.</w:t>
      </w:r>
    </w:p>
    <w:p w14:paraId="56F2560B" w14:textId="77777777" w:rsidR="004D12AC" w:rsidRPr="00181EF3" w:rsidRDefault="004D12AC" w:rsidP="004D12AC"/>
    <w:p w14:paraId="29DBC328" w14:textId="44147686" w:rsidR="004D12AC" w:rsidRPr="00181EF3" w:rsidRDefault="004D12AC" w:rsidP="004D12AC">
      <w:r w:rsidRPr="00181EF3">
        <w:t xml:space="preserve">Figure </w:t>
      </w:r>
      <w:r w:rsidR="00376671">
        <w:t>101</w:t>
      </w:r>
      <w:r w:rsidRPr="00181EF3">
        <w:t xml:space="preserve"> shows that, in general, Māori males and females were more likely to have a higher psychological distress score than </w:t>
      </w:r>
      <w:r w:rsidR="00EC03A3">
        <w:t>non</w:t>
      </w:r>
      <w:r w:rsidR="00EC03A3">
        <w:noBreakHyphen/>
        <w:t>M</w:t>
      </w:r>
      <w:r w:rsidRPr="00181EF3">
        <w:t>āori males and females across the time period shown, from 2006/07 to 2016/17.</w:t>
      </w:r>
    </w:p>
    <w:p w14:paraId="6EDAA33B" w14:textId="77777777" w:rsidR="004D12AC" w:rsidRPr="00181EF3" w:rsidRDefault="004D12AC" w:rsidP="004D12AC"/>
    <w:p w14:paraId="3D535F2D" w14:textId="77777777" w:rsidR="004D12AC" w:rsidRPr="00181EF3" w:rsidRDefault="004D12AC" w:rsidP="00C148E5">
      <w:pPr>
        <w:pStyle w:val="Heading3"/>
        <w:pageBreakBefore/>
        <w:spacing w:before="0"/>
      </w:pPr>
      <w:bookmarkStart w:id="302" w:name="_Toc19102402"/>
      <w:r w:rsidRPr="00181EF3">
        <w:lastRenderedPageBreak/>
        <w:t>Diagnosed common mental disorder</w:t>
      </w:r>
      <w:bookmarkEnd w:id="302"/>
    </w:p>
    <w:p w14:paraId="42771F9C" w14:textId="2E0A8B87" w:rsidR="004D12AC" w:rsidRPr="00C148E5" w:rsidRDefault="004D12AC" w:rsidP="00C148E5">
      <w:r w:rsidRPr="009C2D40">
        <w:t>Common mental disorders include depression, bipolar disorder, and anxiety disorders. Depression causes a person to feel sad or miserable most of the time, with a persistently very low mood</w:t>
      </w:r>
      <w:r w:rsidR="00DF00D4">
        <w:t xml:space="preserve"> (</w:t>
      </w:r>
      <w:r w:rsidR="00DF00D4" w:rsidRPr="00DF00D4">
        <w:t>Ministry of Health</w:t>
      </w:r>
      <w:r w:rsidR="00DF00D4">
        <w:t xml:space="preserve"> 2019d)</w:t>
      </w:r>
      <w:r w:rsidRPr="009C2D40">
        <w:t>.</w:t>
      </w:r>
      <w:r w:rsidRPr="009C2D40">
        <w:rPr>
          <w:sz w:val="20"/>
        </w:rPr>
        <w:t xml:space="preserve"> </w:t>
      </w:r>
      <w:r w:rsidRPr="009C2D40">
        <w:t>Bipolar disorder may be diagnosed when a person experiences both periods of elevated mood (known as mania) and low mood (depression). Bipolar disorder was previously known as manic depression</w:t>
      </w:r>
      <w:r w:rsidR="00DF00D4">
        <w:t xml:space="preserve"> (</w:t>
      </w:r>
      <w:r w:rsidR="00DF00D4" w:rsidRPr="00DF00D4">
        <w:t>Ministry of Health</w:t>
      </w:r>
      <w:r w:rsidR="00DF00D4">
        <w:t xml:space="preserve"> 2019b)</w:t>
      </w:r>
      <w:r w:rsidRPr="009C2D40">
        <w:t>. Anxiety disorders include generalised anxiety disorder, panic disorder, phobias, post-traumatic stress disorder, and obsessive-compulsive disorder. They are characterised by a level of worry or fear that is so extreme it interferes with a person’s day to day life and wellbeing</w:t>
      </w:r>
      <w:r w:rsidR="00DF00D4">
        <w:t xml:space="preserve"> (Health Navigator New Zealand 2019a, Ministry of Health 2019a)</w:t>
      </w:r>
      <w:r w:rsidRPr="009C2D40">
        <w:t>.</w:t>
      </w:r>
    </w:p>
    <w:p w14:paraId="6F046A7A" w14:textId="77777777" w:rsidR="004D12AC" w:rsidRPr="00181EF3" w:rsidRDefault="004D12AC" w:rsidP="004D12AC"/>
    <w:p w14:paraId="1775BD1D" w14:textId="49BAF0ED" w:rsidR="004D12AC" w:rsidRPr="00181EF3" w:rsidRDefault="004D12AC" w:rsidP="004D12AC">
      <w:r w:rsidRPr="00181EF3">
        <w:t xml:space="preserve">It is important to note the data on diagnosed common mental disorders sourced from the NZHS is self-reported prevalence, which may not be an accurate representation of the true prevalence of these conditions. Therefore, caution should be taken when comparing results from this </w:t>
      </w:r>
      <w:r w:rsidR="00AE55BA">
        <w:t>report</w:t>
      </w:r>
      <w:r w:rsidRPr="00181EF3">
        <w:t xml:space="preserve"> with reports that use a different data source.</w:t>
      </w:r>
    </w:p>
    <w:p w14:paraId="1AE4BF81" w14:textId="77777777" w:rsidR="004D12AC" w:rsidRPr="00181EF3" w:rsidRDefault="004D12AC" w:rsidP="004D12AC"/>
    <w:p w14:paraId="549373A8" w14:textId="744628B7" w:rsidR="004D12AC" w:rsidRDefault="004D12AC" w:rsidP="004D12AC">
      <w:pPr>
        <w:pStyle w:val="Figure"/>
      </w:pPr>
      <w:bookmarkStart w:id="303" w:name="_Toc19101953"/>
      <w:r w:rsidRPr="00181EF3">
        <w:t xml:space="preserve">Figure </w:t>
      </w:r>
      <w:r w:rsidR="00376671">
        <w:t>102</w:t>
      </w:r>
      <w:r w:rsidRPr="00181EF3">
        <w:t xml:space="preserve">: Diagnosed common mental disorder (depression, bipolar disorder and/or anxiety disorder), </w:t>
      </w:r>
      <w:r w:rsidR="00376671">
        <w:t xml:space="preserve">15+ years, </w:t>
      </w:r>
      <w:r w:rsidRPr="00181EF3">
        <w:t xml:space="preserve">by </w:t>
      </w:r>
      <w:r w:rsidR="00376671">
        <w:t>gender</w:t>
      </w:r>
      <w:r w:rsidRPr="00181EF3">
        <w:t xml:space="preserve">, </w:t>
      </w:r>
      <w:r w:rsidR="00376671">
        <w:t xml:space="preserve">Māori and </w:t>
      </w:r>
      <w:r w:rsidR="00EC03A3">
        <w:t>non</w:t>
      </w:r>
      <w:r w:rsidR="00EC03A3">
        <w:noBreakHyphen/>
        <w:t>M</w:t>
      </w:r>
      <w:r w:rsidR="00376671">
        <w:t xml:space="preserve">āori, </w:t>
      </w:r>
      <w:r w:rsidRPr="00181EF3">
        <w:t>2006/07–2016/17</w:t>
      </w:r>
      <w:bookmarkEnd w:id="303"/>
    </w:p>
    <w:p w14:paraId="37C8CBEC" w14:textId="77777777" w:rsidR="004D12AC" w:rsidRPr="009F73A0" w:rsidRDefault="004D12AC" w:rsidP="004D12AC">
      <w:r w:rsidRPr="009F73A0">
        <w:rPr>
          <w:noProof/>
          <w:lang w:eastAsia="en-NZ"/>
        </w:rPr>
        <w:drawing>
          <wp:inline distT="0" distB="0" distL="0" distR="0" wp14:anchorId="2ABF1A6B" wp14:editId="21BA36A6">
            <wp:extent cx="5130165" cy="2613315"/>
            <wp:effectExtent l="0" t="0" r="0" b="0"/>
            <wp:docPr id="307" name="Picture 307" descr="Māori and non-Māori men have very similar rates of common mental disorder diagnosis, which has increased over time. Māori women had a slightly higher rate than non-Māori women, but the rates for both groups were increasing." title="Figure 102: Diagnosed common mental disorder (depression, bipolar disorder and/or anxiety disorder) – adults, age-standardised percentages (%), by sex, 2006/07–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130165" cy="2613315"/>
                    </a:xfrm>
                    <a:prstGeom prst="rect">
                      <a:avLst/>
                    </a:prstGeom>
                  </pic:spPr>
                </pic:pic>
              </a:graphicData>
            </a:graphic>
          </wp:inline>
        </w:drawing>
      </w:r>
    </w:p>
    <w:p w14:paraId="4CC13FFD" w14:textId="77777777" w:rsidR="008A5642" w:rsidRDefault="00376671" w:rsidP="00B6364B">
      <w:pPr>
        <w:pStyle w:val="Note"/>
        <w:ind w:left="0" w:firstLine="0"/>
        <w:rPr>
          <w:rFonts w:eastAsia="Calibri"/>
        </w:rPr>
      </w:pPr>
      <w:r w:rsidRPr="00892068">
        <w:rPr>
          <w:rFonts w:eastAsia="Calibri"/>
        </w:rPr>
        <w:t>Notes:</w:t>
      </w:r>
    </w:p>
    <w:p w14:paraId="74909384" w14:textId="7CC38423" w:rsidR="008A5642" w:rsidRDefault="00446D86" w:rsidP="00B6364B">
      <w:pPr>
        <w:pStyle w:val="Note"/>
        <w:ind w:left="0" w:firstLine="0"/>
        <w:rPr>
          <w:rFonts w:eastAsia="Calibri"/>
        </w:rPr>
      </w:pPr>
      <w:r>
        <w:rPr>
          <w:rFonts w:eastAsia="Calibri"/>
        </w:rPr>
        <w:t>Figures are age-standardised to the 2001 Census total Māori population</w:t>
      </w:r>
      <w:r w:rsidR="00376671" w:rsidRPr="00892068">
        <w:rPr>
          <w:rFonts w:eastAsia="Calibri"/>
        </w:rPr>
        <w:t>.</w:t>
      </w:r>
    </w:p>
    <w:p w14:paraId="1AFC53B0" w14:textId="2CC09E95" w:rsidR="00376671" w:rsidRPr="00892068" w:rsidRDefault="00376671" w:rsidP="00B6364B">
      <w:pPr>
        <w:pStyle w:val="Note"/>
        <w:ind w:left="0" w:firstLine="0"/>
        <w:rPr>
          <w:rFonts w:eastAsia="Calibri"/>
        </w:rPr>
      </w:pPr>
      <w:r w:rsidRPr="00892068">
        <w:rPr>
          <w:rFonts w:eastAsia="Calibri"/>
        </w:rPr>
        <w:t>Prioritised ethnicity has been used.</w:t>
      </w:r>
    </w:p>
    <w:p w14:paraId="40F85740" w14:textId="77777777" w:rsidR="008A5642" w:rsidRDefault="00376671" w:rsidP="00B6364B">
      <w:pPr>
        <w:pStyle w:val="Note"/>
        <w:ind w:left="0" w:firstLine="0"/>
        <w:rPr>
          <w:rFonts w:eastAsia="Calibri"/>
        </w:rPr>
      </w:pPr>
      <w:r w:rsidRPr="00892068">
        <w:rPr>
          <w:rFonts w:eastAsia="Calibri"/>
        </w:rPr>
        <w:t>If the confidence intervals of two rates do not overlap, the difference in rates is said to be statistically significant.</w:t>
      </w:r>
    </w:p>
    <w:p w14:paraId="2BA184E3" w14:textId="6978238A" w:rsidR="00376671" w:rsidRDefault="00376671" w:rsidP="00B6364B">
      <w:pPr>
        <w:pStyle w:val="Note"/>
        <w:ind w:left="0" w:firstLine="0"/>
      </w:pPr>
      <w:r w:rsidRPr="00892068">
        <w:rPr>
          <w:rFonts w:eastAsia="Calibri"/>
        </w:rPr>
        <w:t xml:space="preserve">Source: </w:t>
      </w:r>
      <w:r w:rsidR="009116B8">
        <w:rPr>
          <w:rFonts w:eastAsia="Calibri"/>
        </w:rPr>
        <w:t>New Zealand Health Survey (NZHS), Ministry of Health, 2006/07–2016/17.</w:t>
      </w:r>
    </w:p>
    <w:p w14:paraId="6E73CF01" w14:textId="77777777" w:rsidR="004D12AC" w:rsidRDefault="004D12AC">
      <w:pPr>
        <w:rPr>
          <w:highlight w:val="yellow"/>
        </w:rPr>
      </w:pPr>
    </w:p>
    <w:p w14:paraId="6BD951B2" w14:textId="44CCE931" w:rsidR="00FE4364" w:rsidRDefault="00376671">
      <w:r w:rsidRPr="00181EF3">
        <w:t xml:space="preserve">Figure </w:t>
      </w:r>
      <w:r>
        <w:t>102</w:t>
      </w:r>
      <w:r w:rsidRPr="00181EF3">
        <w:t xml:space="preserve"> shows there were no significant differences between Māori and </w:t>
      </w:r>
      <w:r w:rsidR="00EC03A3">
        <w:t>non</w:t>
      </w:r>
      <w:r w:rsidR="00EC03A3">
        <w:noBreakHyphen/>
        <w:t>M</w:t>
      </w:r>
      <w:r w:rsidRPr="00181EF3">
        <w:t xml:space="preserve">āori in the percentage of people diagnosed with a common mental disorder, regardless of sex. Females were more likely to be diagnosed with a common mental disorder than males, for both Māori and </w:t>
      </w:r>
      <w:r w:rsidR="00EC03A3">
        <w:t>non</w:t>
      </w:r>
      <w:r w:rsidR="00EC03A3">
        <w:noBreakHyphen/>
        <w:t>M</w:t>
      </w:r>
      <w:r w:rsidRPr="00181EF3">
        <w:t>āori.</w:t>
      </w:r>
    </w:p>
    <w:p w14:paraId="4CC85EE8" w14:textId="77777777" w:rsidR="00C148E5" w:rsidRDefault="00C148E5"/>
    <w:p w14:paraId="67EF3E04" w14:textId="77777777" w:rsidR="00FE4364" w:rsidRPr="00181EF3" w:rsidRDefault="00FE4364" w:rsidP="00C148E5">
      <w:pPr>
        <w:pStyle w:val="Heading2"/>
        <w:pageBreakBefore/>
        <w:spacing w:before="0"/>
        <w:rPr>
          <w:noProof/>
          <w:lang w:eastAsia="en-NZ"/>
        </w:rPr>
      </w:pPr>
      <w:bookmarkStart w:id="304" w:name="_Toc14718644"/>
      <w:bookmarkStart w:id="305" w:name="_Toc14775067"/>
      <w:bookmarkStart w:id="306" w:name="_Toc19102403"/>
      <w:r w:rsidRPr="00181EF3">
        <w:rPr>
          <w:noProof/>
          <w:lang w:eastAsia="en-NZ"/>
        </w:rPr>
        <w:lastRenderedPageBreak/>
        <w:t>Infant health</w:t>
      </w:r>
      <w:bookmarkEnd w:id="304"/>
      <w:bookmarkEnd w:id="305"/>
      <w:bookmarkEnd w:id="306"/>
    </w:p>
    <w:p w14:paraId="602B11CB" w14:textId="174CA4DC" w:rsidR="00FE4364" w:rsidRDefault="00FE4364" w:rsidP="00FE4364">
      <w:r w:rsidRPr="00181EF3">
        <w:rPr>
          <w:noProof/>
          <w:color w:val="000000" w:themeColor="text1"/>
          <w:lang w:eastAsia="en-NZ"/>
        </w:rPr>
        <w:t xml:space="preserve">This </w:t>
      </w:r>
      <w:r>
        <w:rPr>
          <w:noProof/>
          <w:color w:val="000000" w:themeColor="text1"/>
          <w:lang w:eastAsia="en-NZ"/>
        </w:rPr>
        <w:t>section</w:t>
      </w:r>
      <w:r w:rsidRPr="00181EF3">
        <w:rPr>
          <w:noProof/>
          <w:color w:val="000000" w:themeColor="text1"/>
          <w:lang w:eastAsia="en-NZ"/>
        </w:rPr>
        <w:t xml:space="preserve"> presents results over time for two key indicators of infant health status: breastfeeding and low birth weight, for </w:t>
      </w:r>
      <w:r w:rsidRPr="00181EF3">
        <w:t xml:space="preserve">Māori and </w:t>
      </w:r>
      <w:r w:rsidR="00EC03A3">
        <w:t>non</w:t>
      </w:r>
      <w:r w:rsidR="00EC03A3">
        <w:noBreakHyphen/>
        <w:t>M</w:t>
      </w:r>
      <w:r w:rsidRPr="00181EF3">
        <w:t>āori.</w:t>
      </w:r>
    </w:p>
    <w:p w14:paraId="6B3E890F" w14:textId="77777777" w:rsidR="00C148E5" w:rsidRPr="00181EF3" w:rsidRDefault="00C148E5" w:rsidP="00FE4364"/>
    <w:p w14:paraId="6F5679A0" w14:textId="77777777" w:rsidR="00FE4364" w:rsidRPr="00181EF3" w:rsidRDefault="00FE4364" w:rsidP="00FE4364">
      <w:pPr>
        <w:pStyle w:val="Heading3"/>
      </w:pPr>
      <w:bookmarkStart w:id="307" w:name="_Toc19102404"/>
      <w:r w:rsidRPr="00181EF3">
        <w:t>What is the data telling us?</w:t>
      </w:r>
      <w:bookmarkEnd w:id="307"/>
    </w:p>
    <w:p w14:paraId="6384EA01" w14:textId="77777777" w:rsidR="00FE4364" w:rsidRPr="00181EF3" w:rsidRDefault="00FE4364" w:rsidP="00FE4364">
      <w:pPr>
        <w:pStyle w:val="Shadedboxheading"/>
      </w:pPr>
      <w:r w:rsidRPr="00181EF3">
        <w:t>Breastfeeding</w:t>
      </w:r>
    </w:p>
    <w:p w14:paraId="7D12245E" w14:textId="029D2C75" w:rsidR="00FE4364" w:rsidRPr="00181EF3" w:rsidRDefault="00FE4364" w:rsidP="00FE4364">
      <w:pPr>
        <w:pStyle w:val="Shadedboxbullet"/>
        <w:ind w:left="568" w:hanging="284"/>
      </w:pPr>
      <w:r w:rsidRPr="00181EF3">
        <w:t xml:space="preserve">In 2006/07 there were no significant differences in the exclusive breastfeeding rate of Māori and </w:t>
      </w:r>
      <w:r w:rsidR="00EC03A3">
        <w:t>non</w:t>
      </w:r>
      <w:r w:rsidR="00EC03A3">
        <w:noBreakHyphen/>
        <w:t>M</w:t>
      </w:r>
      <w:r w:rsidRPr="00181EF3">
        <w:t>āori babies at three months and six months of age.</w:t>
      </w:r>
    </w:p>
    <w:p w14:paraId="3C0A1B97" w14:textId="5D2F65B8" w:rsidR="00FE4364" w:rsidRPr="00181EF3" w:rsidRDefault="00FE4364" w:rsidP="00FE4364">
      <w:pPr>
        <w:pStyle w:val="Shadedboxbullet"/>
        <w:ind w:left="568" w:hanging="284"/>
      </w:pPr>
      <w:r w:rsidRPr="00181EF3">
        <w:t xml:space="preserve">Māori babies have been less likely than </w:t>
      </w:r>
      <w:r w:rsidR="00EC03A3">
        <w:t>non</w:t>
      </w:r>
      <w:r w:rsidR="00EC03A3">
        <w:noBreakHyphen/>
        <w:t>M</w:t>
      </w:r>
      <w:r w:rsidRPr="00181EF3">
        <w:t>āori babies to have been exclusively breastfed at three months (13 weeks) and six months (26 weeks) of age since 2011/12.</w:t>
      </w:r>
    </w:p>
    <w:p w14:paraId="6AD149FE" w14:textId="7E688793" w:rsidR="00FE4364" w:rsidRPr="00181EF3" w:rsidRDefault="00FE4364" w:rsidP="00FE4364">
      <w:pPr>
        <w:pStyle w:val="Shadedboxbullet"/>
        <w:ind w:left="568" w:hanging="284"/>
      </w:pPr>
      <w:r w:rsidRPr="00181EF3">
        <w:t xml:space="preserve">Exclusive breastfeeding of Māori babies at three months of age decreased between 2006/07 and 2016/17, while exclusive breastfeeding of </w:t>
      </w:r>
      <w:r w:rsidR="00EC03A3">
        <w:t>non</w:t>
      </w:r>
      <w:r w:rsidR="00EC03A3">
        <w:noBreakHyphen/>
        <w:t>M</w:t>
      </w:r>
      <w:r w:rsidRPr="00181EF3">
        <w:t xml:space="preserve">āori babies at three months of age increased. Overall, the difference between rates of exclusive breastfeeding among Māori and </w:t>
      </w:r>
      <w:r w:rsidR="00EC03A3">
        <w:t>non</w:t>
      </w:r>
      <w:r w:rsidR="00EC03A3">
        <w:noBreakHyphen/>
        <w:t>M</w:t>
      </w:r>
      <w:r w:rsidRPr="00181EF3">
        <w:t>āori babies at three months of age has increased since 2006/07, regardless of sex.</w:t>
      </w:r>
    </w:p>
    <w:p w14:paraId="7A1082D1" w14:textId="040FBB1F" w:rsidR="00FE4364" w:rsidRPr="00181EF3" w:rsidRDefault="00FE4364" w:rsidP="00FE4364">
      <w:pPr>
        <w:pStyle w:val="Shadedboxbullet"/>
        <w:ind w:left="568" w:hanging="284"/>
      </w:pPr>
      <w:r w:rsidRPr="00181EF3">
        <w:t xml:space="preserve">Exclusive breastfeeding of Māori babies at six months of age increased slightly between 2006/07 and 2016/17. Exclusive breastfeeding among </w:t>
      </w:r>
      <w:r w:rsidR="00EC03A3">
        <w:t>non</w:t>
      </w:r>
      <w:r w:rsidR="00EC03A3">
        <w:noBreakHyphen/>
        <w:t>M</w:t>
      </w:r>
      <w:r w:rsidRPr="00181EF3">
        <w:t xml:space="preserve">āori babies also increased during the same period. Overall the difference in exclusive breastfeeding at six months of age between Māori and </w:t>
      </w:r>
      <w:r w:rsidR="00EC03A3">
        <w:t>non</w:t>
      </w:r>
      <w:r w:rsidR="00EC03A3">
        <w:noBreakHyphen/>
        <w:t>M</w:t>
      </w:r>
      <w:r w:rsidRPr="00181EF3">
        <w:t>āori babies has increased since 2006/07, regardless of sex.</w:t>
      </w:r>
    </w:p>
    <w:p w14:paraId="66777B58" w14:textId="77777777" w:rsidR="00FE4364" w:rsidRPr="00181EF3" w:rsidRDefault="00FE4364" w:rsidP="00FE4364">
      <w:pPr>
        <w:pStyle w:val="Shadedboxheading"/>
      </w:pPr>
      <w:r w:rsidRPr="00181EF3">
        <w:t>Low birth weight</w:t>
      </w:r>
    </w:p>
    <w:p w14:paraId="10C3BCB5" w14:textId="23B9A325" w:rsidR="00FE4364" w:rsidRPr="00181EF3" w:rsidRDefault="00FE4364" w:rsidP="00FE4364">
      <w:pPr>
        <w:pStyle w:val="Shadedboxbullet"/>
        <w:ind w:left="568" w:hanging="284"/>
      </w:pPr>
      <w:r w:rsidRPr="00181EF3">
        <w:t xml:space="preserve">From 1996 to 2016 Māori babies were more likely than </w:t>
      </w:r>
      <w:r w:rsidR="00EC03A3">
        <w:t>non</w:t>
      </w:r>
      <w:r w:rsidR="00EC03A3">
        <w:noBreakHyphen/>
        <w:t>M</w:t>
      </w:r>
      <w:r w:rsidRPr="00181EF3">
        <w:t>āori babies to be born weigh</w:t>
      </w:r>
      <w:r w:rsidR="00AE55BA">
        <w:t>t</w:t>
      </w:r>
      <w:r w:rsidRPr="00181EF3">
        <w:t>ing less than 2,500 grams.</w:t>
      </w:r>
    </w:p>
    <w:p w14:paraId="402B2825" w14:textId="65F99258" w:rsidR="00FE4364" w:rsidRPr="00181EF3" w:rsidRDefault="00FE4364" w:rsidP="00FE4364">
      <w:pPr>
        <w:pStyle w:val="Shadedboxbullet"/>
        <w:ind w:left="568" w:hanging="284"/>
      </w:pPr>
      <w:r w:rsidRPr="00181EF3">
        <w:t xml:space="preserve">The low birthweight rate has declined over time for both Māori and </w:t>
      </w:r>
      <w:r w:rsidR="00EC03A3">
        <w:t>non</w:t>
      </w:r>
      <w:r w:rsidR="00EC03A3">
        <w:noBreakHyphen/>
        <w:t>M</w:t>
      </w:r>
      <w:r w:rsidRPr="00181EF3">
        <w:t>āori. The decline has happened more rapidly for Māori, meaning the ethnic difference has decreased.</w:t>
      </w:r>
    </w:p>
    <w:p w14:paraId="52AFFCB7" w14:textId="14D68E48" w:rsidR="00FE4364" w:rsidRPr="00181EF3" w:rsidRDefault="00FE4364" w:rsidP="00FE4364">
      <w:pPr>
        <w:pStyle w:val="Shadedboxbullet"/>
        <w:ind w:left="568" w:hanging="284"/>
      </w:pPr>
      <w:r w:rsidRPr="00181EF3">
        <w:t xml:space="preserve">Baby girls were more likely to be born weighting less than 2,500 grams than baby boys, for both Māori and </w:t>
      </w:r>
      <w:r w:rsidR="00EC03A3">
        <w:t>non</w:t>
      </w:r>
      <w:r w:rsidR="00EC03A3">
        <w:noBreakHyphen/>
        <w:t>M</w:t>
      </w:r>
      <w:r w:rsidRPr="00181EF3">
        <w:t>āori.</w:t>
      </w:r>
    </w:p>
    <w:p w14:paraId="447EDA30" w14:textId="77777777" w:rsidR="00FE4364" w:rsidRPr="00181EF3" w:rsidRDefault="00FE4364" w:rsidP="00FE4364"/>
    <w:p w14:paraId="7EBDA7C6" w14:textId="77777777" w:rsidR="00FE4364" w:rsidRDefault="00FE4364" w:rsidP="00C148E5">
      <w:pPr>
        <w:pStyle w:val="Heading3"/>
        <w:pageBreakBefore/>
        <w:spacing w:before="0"/>
      </w:pPr>
      <w:bookmarkStart w:id="308" w:name="_Toc19102405"/>
      <w:r w:rsidRPr="00181EF3">
        <w:lastRenderedPageBreak/>
        <w:t>Breastfeeding</w:t>
      </w:r>
      <w:bookmarkEnd w:id="308"/>
    </w:p>
    <w:p w14:paraId="4CDA4C7E" w14:textId="28DFD95A" w:rsidR="00AC7707" w:rsidRPr="00181EF3" w:rsidRDefault="00AC7707" w:rsidP="00AC7707">
      <w:r w:rsidRPr="00181EF3">
        <w:t>The Ministry of Health recommends that babies are exclusively breastfed until they are around six months of age, with continued breastfeeding until they are at least one year old</w:t>
      </w:r>
      <w:r w:rsidR="000B7F7E">
        <w:t xml:space="preserve"> (Ministry of Health 2016a)</w:t>
      </w:r>
      <w:r w:rsidRPr="00181EF3">
        <w:t>. Exclusive breastfeeding means that, since birth, a baby has only had breast milk (from the breast or expressed) and prescribed medicines. Breastfeeding contributes positively to both infant and maternal health. Breastfed babies have lower rates of common childhood infections such as diarrhoea, respiratory and middle ear infections, and Sudden Infant Death Syndrome</w:t>
      </w:r>
      <w:r w:rsidR="000B7F7E">
        <w:t xml:space="preserve"> (US Department of Health and Human Services 2011)</w:t>
      </w:r>
      <w:r w:rsidRPr="00181EF3">
        <w:t>. Mothers who breastfeed have lower rates of post-partum haemorrhage, breast cancer, and ovarian cancer</w:t>
      </w:r>
      <w:r w:rsidR="000B7F7E">
        <w:t xml:space="preserve"> (</w:t>
      </w:r>
      <w:r w:rsidR="009447BF">
        <w:t>National Breastfeeding Advisory Committee of New Zealand 2009</w:t>
      </w:r>
      <w:r w:rsidR="000B7F7E">
        <w:t>)</w:t>
      </w:r>
      <w:r w:rsidRPr="00181EF3">
        <w:t>.</w:t>
      </w:r>
    </w:p>
    <w:p w14:paraId="6DB55776" w14:textId="77777777" w:rsidR="00AC7707" w:rsidRPr="00AC7707" w:rsidRDefault="00AC7707" w:rsidP="00AC7707"/>
    <w:p w14:paraId="60E933F7" w14:textId="2727A143" w:rsidR="00FE4364" w:rsidRDefault="00FE4364" w:rsidP="00FE4364">
      <w:pPr>
        <w:pStyle w:val="Figure"/>
      </w:pPr>
      <w:bookmarkStart w:id="309" w:name="_Toc19101954"/>
      <w:r w:rsidRPr="00181EF3">
        <w:t xml:space="preserve">Figure </w:t>
      </w:r>
      <w:r w:rsidR="00AC7707">
        <w:t>103</w:t>
      </w:r>
      <w:r w:rsidRPr="00181EF3">
        <w:t>: Exclusively breastfed at 13 weeks (among children aged 13 weeks–4</w:t>
      </w:r>
      <w:r w:rsidR="00C148E5">
        <w:t> </w:t>
      </w:r>
      <w:r w:rsidRPr="00181EF3">
        <w:t>years)</w:t>
      </w:r>
      <w:r w:rsidR="00AC7707">
        <w:t xml:space="preserve">, Māori and </w:t>
      </w:r>
      <w:r w:rsidR="00EC03A3">
        <w:t>non</w:t>
      </w:r>
      <w:r w:rsidR="00EC03A3">
        <w:noBreakHyphen/>
        <w:t>M</w:t>
      </w:r>
      <w:r w:rsidR="00AC7707">
        <w:t xml:space="preserve">āori, </w:t>
      </w:r>
      <w:r w:rsidR="00AC7707" w:rsidRPr="00181EF3">
        <w:t>2006/07–2016/17</w:t>
      </w:r>
      <w:bookmarkEnd w:id="309"/>
    </w:p>
    <w:p w14:paraId="6D7B6C5C" w14:textId="77777777" w:rsidR="00FE4364" w:rsidRPr="002A5251" w:rsidRDefault="00FE4364" w:rsidP="00FE4364">
      <w:r w:rsidRPr="002A5251">
        <w:rPr>
          <w:noProof/>
          <w:lang w:eastAsia="en-NZ"/>
        </w:rPr>
        <w:drawing>
          <wp:inline distT="0" distB="0" distL="0" distR="0" wp14:anchorId="46C0C635" wp14:editId="7DAF79DF">
            <wp:extent cx="5130165" cy="3058916"/>
            <wp:effectExtent l="0" t="0" r="0" b="8255"/>
            <wp:docPr id="315" name="Picture 315" descr="A higher percentage of non-Māori babies were exclusively breastfed at 13 weeks than Māori babies. The rates have remained relatively steady over time." title="Figure 103: Exclusively breastfed at 13 weeks (among children aged 13 weeks–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5130165" cy="3058916"/>
                    </a:xfrm>
                    <a:prstGeom prst="rect">
                      <a:avLst/>
                    </a:prstGeom>
                  </pic:spPr>
                </pic:pic>
              </a:graphicData>
            </a:graphic>
          </wp:inline>
        </w:drawing>
      </w:r>
    </w:p>
    <w:p w14:paraId="0920D7F5" w14:textId="77777777" w:rsidR="008A5642" w:rsidRDefault="00AC7707" w:rsidP="00B6364B">
      <w:pPr>
        <w:pStyle w:val="Note"/>
        <w:ind w:left="0" w:firstLine="0"/>
        <w:rPr>
          <w:rFonts w:eastAsia="Calibri"/>
        </w:rPr>
      </w:pPr>
      <w:r w:rsidRPr="00892068">
        <w:rPr>
          <w:rFonts w:eastAsia="Calibri"/>
        </w:rPr>
        <w:t>Notes:</w:t>
      </w:r>
    </w:p>
    <w:p w14:paraId="23867A8A" w14:textId="6ED3205C" w:rsidR="008A5642" w:rsidRDefault="00446D86" w:rsidP="00B6364B">
      <w:pPr>
        <w:pStyle w:val="Note"/>
        <w:ind w:left="0" w:firstLine="0"/>
        <w:rPr>
          <w:rFonts w:eastAsia="Calibri"/>
        </w:rPr>
      </w:pPr>
      <w:r>
        <w:rPr>
          <w:rFonts w:eastAsia="Calibri"/>
        </w:rPr>
        <w:t>Figures are age-standardised to the 2001 Census total Māori population</w:t>
      </w:r>
      <w:r w:rsidR="00AC7707" w:rsidRPr="00892068">
        <w:rPr>
          <w:rFonts w:eastAsia="Calibri"/>
        </w:rPr>
        <w:t>.</w:t>
      </w:r>
    </w:p>
    <w:p w14:paraId="73849747" w14:textId="4C098029" w:rsidR="00AC7707" w:rsidRPr="00892068" w:rsidRDefault="00AC7707" w:rsidP="00B6364B">
      <w:pPr>
        <w:pStyle w:val="Note"/>
        <w:ind w:left="0" w:firstLine="0"/>
        <w:rPr>
          <w:rFonts w:eastAsia="Calibri"/>
        </w:rPr>
      </w:pPr>
      <w:r w:rsidRPr="00892068">
        <w:rPr>
          <w:rFonts w:eastAsia="Calibri"/>
        </w:rPr>
        <w:t>Prioritised ethnicity has been used.</w:t>
      </w:r>
    </w:p>
    <w:p w14:paraId="20DBB09C" w14:textId="77777777" w:rsidR="008A5642" w:rsidRDefault="00AC7707" w:rsidP="00B6364B">
      <w:pPr>
        <w:pStyle w:val="Note"/>
        <w:ind w:left="0" w:firstLine="0"/>
        <w:rPr>
          <w:rFonts w:eastAsia="Calibri"/>
        </w:rPr>
      </w:pPr>
      <w:r w:rsidRPr="00892068">
        <w:rPr>
          <w:rFonts w:eastAsia="Calibri"/>
        </w:rPr>
        <w:t>If the confidence intervals of two rates do not overlap, the difference in rates is said to be statistically significant.</w:t>
      </w:r>
    </w:p>
    <w:p w14:paraId="33D316EC" w14:textId="7917CB35" w:rsidR="00AC7707" w:rsidRDefault="00AC7707" w:rsidP="00B6364B">
      <w:pPr>
        <w:pStyle w:val="Note"/>
        <w:ind w:left="0" w:firstLine="0"/>
      </w:pPr>
      <w:r w:rsidRPr="00892068">
        <w:rPr>
          <w:rFonts w:eastAsia="Calibri"/>
        </w:rPr>
        <w:t xml:space="preserve">Source: </w:t>
      </w:r>
      <w:r w:rsidR="009116B8">
        <w:rPr>
          <w:rFonts w:eastAsia="Calibri"/>
        </w:rPr>
        <w:t>New Zealand Health Survey (NZHS), Ministry of Health, 2006/07–2016/17.</w:t>
      </w:r>
    </w:p>
    <w:p w14:paraId="4423192D" w14:textId="77777777" w:rsidR="00FE4364" w:rsidRPr="00181EF3" w:rsidRDefault="00FE4364" w:rsidP="00FE4364"/>
    <w:p w14:paraId="69755FBA" w14:textId="0847422B" w:rsidR="00AC7707" w:rsidRDefault="00FE4364" w:rsidP="00AC7707">
      <w:r w:rsidRPr="00181EF3">
        <w:t xml:space="preserve">Māori babies have been less likely than </w:t>
      </w:r>
      <w:r w:rsidR="00EC03A3">
        <w:t>non</w:t>
      </w:r>
      <w:r w:rsidR="00EC03A3">
        <w:noBreakHyphen/>
        <w:t>M</w:t>
      </w:r>
      <w:r w:rsidRPr="00181EF3">
        <w:t>āori babies to be exclusively breastfed at three months (13 weeks) and six months (26 weeks) of age, since 2011/12 (Figures 1</w:t>
      </w:r>
      <w:r w:rsidR="00AC7707">
        <w:t>03</w:t>
      </w:r>
      <w:r w:rsidRPr="00181EF3">
        <w:t xml:space="preserve"> and </w:t>
      </w:r>
      <w:r w:rsidR="00AC7707">
        <w:t>104</w:t>
      </w:r>
      <w:r w:rsidRPr="00181EF3">
        <w:t xml:space="preserve">). In 2006/07 there were no significant differences in exclusive breastfeeding rates between Māori and </w:t>
      </w:r>
      <w:r w:rsidR="00EC03A3">
        <w:t>non</w:t>
      </w:r>
      <w:r w:rsidR="00EC03A3">
        <w:noBreakHyphen/>
        <w:t>M</w:t>
      </w:r>
      <w:r w:rsidRPr="00181EF3">
        <w:t>āori babies.</w:t>
      </w:r>
    </w:p>
    <w:p w14:paraId="56E6629F" w14:textId="77777777" w:rsidR="00AC7707" w:rsidRDefault="00AC7707" w:rsidP="00AC7707"/>
    <w:p w14:paraId="5F6257DC" w14:textId="268C92B7" w:rsidR="00FE4364" w:rsidRPr="00181EF3" w:rsidRDefault="00FE4364" w:rsidP="00C148E5">
      <w:pPr>
        <w:keepLines/>
      </w:pPr>
      <w:r w:rsidRPr="00181EF3">
        <w:lastRenderedPageBreak/>
        <w:t>Figure 1</w:t>
      </w:r>
      <w:r w:rsidR="00AC7707">
        <w:t>03</w:t>
      </w:r>
      <w:r w:rsidRPr="00181EF3">
        <w:t xml:space="preserve"> shows that there were no significant differences between the percentages of Māori and </w:t>
      </w:r>
      <w:r w:rsidR="00EC03A3">
        <w:t>non</w:t>
      </w:r>
      <w:r w:rsidR="00EC03A3">
        <w:noBreakHyphen/>
        <w:t>M</w:t>
      </w:r>
      <w:r w:rsidRPr="00181EF3">
        <w:t>āori babies being exclusively breastfed in 2006/07</w:t>
      </w:r>
      <w:r w:rsidR="00AE55BA">
        <w:t>.</w:t>
      </w:r>
      <w:r w:rsidRPr="00181EF3">
        <w:t xml:space="preserve"> </w:t>
      </w:r>
      <w:r w:rsidR="00AE55BA">
        <w:t>H</w:t>
      </w:r>
      <w:r w:rsidRPr="00181EF3">
        <w:t xml:space="preserve">owever, Māori babies were less likely than </w:t>
      </w:r>
      <w:r w:rsidR="00EC03A3">
        <w:t>non</w:t>
      </w:r>
      <w:r w:rsidR="00EC03A3">
        <w:noBreakHyphen/>
        <w:t>M</w:t>
      </w:r>
      <w:r w:rsidRPr="00181EF3">
        <w:t xml:space="preserve">āori babies to be exclusively breastfed at three months of age in 2016/17. The percentage of Māori babies that were exclusively breastfed has stayed fairly similar across time, while the percentage of </w:t>
      </w:r>
      <w:r w:rsidR="00EC03A3">
        <w:t>non</w:t>
      </w:r>
      <w:r w:rsidR="00EC03A3">
        <w:noBreakHyphen/>
        <w:t>M</w:t>
      </w:r>
      <w:r w:rsidRPr="00181EF3">
        <w:t xml:space="preserve">āori babies that were exclusively breastfed increased by 7 percentage points (from 69 percent in 2006/07 to 76 percent in 2016/17). For every 10 </w:t>
      </w:r>
      <w:r w:rsidR="00EC03A3">
        <w:t>non</w:t>
      </w:r>
      <w:r w:rsidR="00EC03A3">
        <w:noBreakHyphen/>
        <w:t>M</w:t>
      </w:r>
      <w:r w:rsidRPr="00181EF3">
        <w:t>āori babies that were exclusively breastfed, just under 9 Māori babies were exclusively breastfed at three months of age.</w:t>
      </w:r>
    </w:p>
    <w:p w14:paraId="5AD1748D" w14:textId="77777777" w:rsidR="00FE4364" w:rsidRPr="00181EF3" w:rsidRDefault="00FE4364" w:rsidP="00FE4364"/>
    <w:p w14:paraId="30713910" w14:textId="7C52E503" w:rsidR="00FE4364" w:rsidRPr="00181EF3" w:rsidRDefault="00FE4364" w:rsidP="00FE4364">
      <w:pPr>
        <w:pStyle w:val="Figure"/>
      </w:pPr>
      <w:bookmarkStart w:id="310" w:name="_Toc19101955"/>
      <w:r w:rsidRPr="00181EF3">
        <w:t xml:space="preserve">Figure </w:t>
      </w:r>
      <w:r w:rsidR="00AC7707">
        <w:t>104</w:t>
      </w:r>
      <w:r w:rsidRPr="00181EF3">
        <w:t>: Exclusively breastfed at 26 weeks (among children aged 26 weeks–4 years)</w:t>
      </w:r>
      <w:r w:rsidR="00AC7707">
        <w:t xml:space="preserve">, Māori and </w:t>
      </w:r>
      <w:r w:rsidR="00EC03A3">
        <w:t>non</w:t>
      </w:r>
      <w:r w:rsidR="00EC03A3">
        <w:noBreakHyphen/>
        <w:t>M</w:t>
      </w:r>
      <w:r w:rsidR="00AC7707">
        <w:t xml:space="preserve">āori, </w:t>
      </w:r>
      <w:r w:rsidR="00AC7707" w:rsidRPr="00181EF3">
        <w:t>2006/07–2016/17</w:t>
      </w:r>
      <w:bookmarkEnd w:id="310"/>
    </w:p>
    <w:p w14:paraId="02A6ED9D" w14:textId="77777777" w:rsidR="00FE4364" w:rsidRPr="00181EF3" w:rsidRDefault="00FE4364" w:rsidP="00FE4364">
      <w:r w:rsidRPr="002A5251">
        <w:rPr>
          <w:noProof/>
          <w:lang w:eastAsia="en-NZ"/>
        </w:rPr>
        <w:drawing>
          <wp:inline distT="0" distB="0" distL="0" distR="0" wp14:anchorId="22915F09" wp14:editId="58C335BE">
            <wp:extent cx="5130165" cy="3058916"/>
            <wp:effectExtent l="0" t="0" r="0" b="8255"/>
            <wp:docPr id="316" name="Picture 316" descr="A higher percentage of non-Māori babies were exclusively breastfed at 26 weeks than Māori babies. The rates have remained relatively steady over time." title="Figure 104: Exclusively breastfed at 26 weeks (among children aged 26 weeks–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5130165" cy="3058916"/>
                    </a:xfrm>
                    <a:prstGeom prst="rect">
                      <a:avLst/>
                    </a:prstGeom>
                  </pic:spPr>
                </pic:pic>
              </a:graphicData>
            </a:graphic>
          </wp:inline>
        </w:drawing>
      </w:r>
    </w:p>
    <w:p w14:paraId="20732D64" w14:textId="77777777" w:rsidR="008A5642" w:rsidRDefault="00AC7707" w:rsidP="00B6364B">
      <w:pPr>
        <w:pStyle w:val="Note"/>
        <w:ind w:left="0" w:firstLine="0"/>
        <w:rPr>
          <w:rFonts w:eastAsia="Calibri"/>
        </w:rPr>
      </w:pPr>
      <w:r w:rsidRPr="00892068">
        <w:rPr>
          <w:rFonts w:eastAsia="Calibri"/>
        </w:rPr>
        <w:t>Notes:</w:t>
      </w:r>
    </w:p>
    <w:p w14:paraId="295C7029" w14:textId="306A6D40" w:rsidR="008A5642" w:rsidRDefault="00446D86" w:rsidP="00B6364B">
      <w:pPr>
        <w:pStyle w:val="Note"/>
        <w:ind w:left="0" w:firstLine="0"/>
        <w:rPr>
          <w:rFonts w:eastAsia="Calibri"/>
        </w:rPr>
      </w:pPr>
      <w:r>
        <w:rPr>
          <w:rFonts w:eastAsia="Calibri"/>
        </w:rPr>
        <w:t>Figures are age-standardised to the 2001 Census total Māori population</w:t>
      </w:r>
      <w:r w:rsidR="00AC7707" w:rsidRPr="00892068">
        <w:rPr>
          <w:rFonts w:eastAsia="Calibri"/>
        </w:rPr>
        <w:t>.</w:t>
      </w:r>
    </w:p>
    <w:p w14:paraId="16321ECF" w14:textId="7DA1202E" w:rsidR="00AC7707" w:rsidRPr="00892068" w:rsidRDefault="00AC7707" w:rsidP="00B6364B">
      <w:pPr>
        <w:pStyle w:val="Note"/>
        <w:ind w:left="0" w:firstLine="0"/>
        <w:rPr>
          <w:rFonts w:eastAsia="Calibri"/>
        </w:rPr>
      </w:pPr>
      <w:r w:rsidRPr="00892068">
        <w:rPr>
          <w:rFonts w:eastAsia="Calibri"/>
        </w:rPr>
        <w:t>Prioritised ethnicity has been used.</w:t>
      </w:r>
    </w:p>
    <w:p w14:paraId="07FF16E4" w14:textId="77777777" w:rsidR="008A5642" w:rsidRDefault="00AC7707" w:rsidP="00B6364B">
      <w:pPr>
        <w:pStyle w:val="Note"/>
        <w:ind w:left="0" w:firstLine="0"/>
        <w:rPr>
          <w:rFonts w:eastAsia="Calibri"/>
        </w:rPr>
      </w:pPr>
      <w:r w:rsidRPr="00892068">
        <w:rPr>
          <w:rFonts w:eastAsia="Calibri"/>
        </w:rPr>
        <w:t>If the confidence intervals of two rates do not overlap, the difference in rates is said to be statistically significant.</w:t>
      </w:r>
    </w:p>
    <w:p w14:paraId="470062B5" w14:textId="5A479A80" w:rsidR="00AC7707" w:rsidRDefault="00AC7707" w:rsidP="00B6364B">
      <w:pPr>
        <w:pStyle w:val="Note"/>
        <w:ind w:left="0" w:firstLine="0"/>
      </w:pPr>
      <w:r w:rsidRPr="00892068">
        <w:rPr>
          <w:rFonts w:eastAsia="Calibri"/>
        </w:rPr>
        <w:t xml:space="preserve">Source: </w:t>
      </w:r>
      <w:r w:rsidR="009116B8">
        <w:rPr>
          <w:rFonts w:eastAsia="Calibri"/>
        </w:rPr>
        <w:t>New Zealand Health Survey (NZHS), Ministry of Health, 2006/07–2016/17.</w:t>
      </w:r>
    </w:p>
    <w:p w14:paraId="74D7A62C" w14:textId="77777777" w:rsidR="00FE4364" w:rsidRPr="00181EF3" w:rsidRDefault="00FE4364" w:rsidP="00FE4364"/>
    <w:p w14:paraId="100EDFD2" w14:textId="6D4226FA" w:rsidR="00FE4364" w:rsidRPr="00181EF3" w:rsidRDefault="00FE4364" w:rsidP="00FE4364">
      <w:r w:rsidRPr="00181EF3">
        <w:t xml:space="preserve">Although there were no significant differences between the percentages of Māori and </w:t>
      </w:r>
      <w:r w:rsidR="00EC03A3">
        <w:t>non</w:t>
      </w:r>
      <w:r w:rsidR="00EC03A3">
        <w:noBreakHyphen/>
        <w:t>M</w:t>
      </w:r>
      <w:r w:rsidRPr="00181EF3">
        <w:t xml:space="preserve">āori babies being exclusively breastfed in 2006/07, Māori babies were less likely than </w:t>
      </w:r>
      <w:r w:rsidR="00EC03A3">
        <w:t>non</w:t>
      </w:r>
      <w:r w:rsidR="00EC03A3">
        <w:noBreakHyphen/>
        <w:t>M</w:t>
      </w:r>
      <w:r w:rsidRPr="00181EF3">
        <w:t xml:space="preserve">āori babies to be exclusively breastfed at six months of age in 2016/17 (Figure </w:t>
      </w:r>
      <w:r w:rsidR="00AC7707">
        <w:t>104</w:t>
      </w:r>
      <w:r w:rsidRPr="00181EF3">
        <w:t xml:space="preserve">). The percentage of Māori babies that were exclusively breastfed has stayed fairly similar across time, while the percentage of </w:t>
      </w:r>
      <w:r w:rsidR="00EC03A3">
        <w:t>non</w:t>
      </w:r>
      <w:r w:rsidR="00EC03A3">
        <w:noBreakHyphen/>
        <w:t>M</w:t>
      </w:r>
      <w:r w:rsidRPr="00181EF3">
        <w:t xml:space="preserve">āori babies that were exclusively breastfed increased from 55 percent in 2006/07 to 60 percent in 2016/17 (an increase of 6 percentage points or 11 percent). Around 8 Māori babies were exclusively breastfed for every 10 </w:t>
      </w:r>
      <w:r w:rsidR="00EC03A3">
        <w:t>non</w:t>
      </w:r>
      <w:r w:rsidR="00EC03A3">
        <w:noBreakHyphen/>
        <w:t>M</w:t>
      </w:r>
      <w:r w:rsidRPr="00181EF3">
        <w:t>āori babies that are exclusively breastfed at six months of age in 2016/17.</w:t>
      </w:r>
    </w:p>
    <w:p w14:paraId="25AD3C41" w14:textId="77777777" w:rsidR="00FE4364" w:rsidRPr="00181EF3" w:rsidRDefault="00FE4364" w:rsidP="00FE4364"/>
    <w:p w14:paraId="01ED4F9A" w14:textId="77C4EABB" w:rsidR="00FE4364" w:rsidRPr="00181EF3" w:rsidRDefault="00FE4364" w:rsidP="00C148E5">
      <w:pPr>
        <w:pStyle w:val="Heading3"/>
        <w:pageBreakBefore/>
        <w:spacing w:before="0"/>
      </w:pPr>
      <w:bookmarkStart w:id="311" w:name="_Toc19102406"/>
      <w:r w:rsidRPr="00181EF3">
        <w:lastRenderedPageBreak/>
        <w:t>Low birthweight</w:t>
      </w:r>
      <w:bookmarkEnd w:id="311"/>
    </w:p>
    <w:p w14:paraId="08136D16" w14:textId="77777777" w:rsidR="00FE4364" w:rsidRPr="00181EF3" w:rsidRDefault="00FE4364" w:rsidP="00C148E5">
      <w:pPr>
        <w:rPr>
          <w:noProof/>
          <w:lang w:eastAsia="en-NZ"/>
        </w:rPr>
      </w:pPr>
      <w:r w:rsidRPr="00181EF3">
        <w:rPr>
          <w:noProof/>
          <w:lang w:eastAsia="en-NZ"/>
        </w:rPr>
        <w:t>Low birthweight is a major determinant of infant mortality and morbidity. Low birthweight infants are at increased risk of a variety of health problems, such as neurodevelopmental problems and respiratory tract infections. Low birthweight is defined as a birthweight of less than 2,500 grams.</w:t>
      </w:r>
    </w:p>
    <w:p w14:paraId="6C4CA9ED" w14:textId="77777777" w:rsidR="00FE4364" w:rsidRPr="00181EF3" w:rsidRDefault="00FE4364" w:rsidP="00FE4364">
      <w:pPr>
        <w:rPr>
          <w:noProof/>
          <w:lang w:eastAsia="en-NZ"/>
        </w:rPr>
      </w:pPr>
    </w:p>
    <w:p w14:paraId="541FDE20" w14:textId="77777777" w:rsidR="00FE4364" w:rsidRPr="00181EF3" w:rsidRDefault="00FE4364" w:rsidP="00FE4364">
      <w:pPr>
        <w:rPr>
          <w:noProof/>
          <w:lang w:eastAsia="en-NZ"/>
        </w:rPr>
      </w:pPr>
      <w:r w:rsidRPr="00181EF3">
        <w:rPr>
          <w:noProof/>
          <w:lang w:eastAsia="en-NZ"/>
        </w:rPr>
        <w:t>Babies are born with low birthweight either because they are born prematurely (&lt;37 weeks) or because they have not grown adequately during the pregnancy. Risk factors for inadequate growth during pregnancy include poor nutritional status and maternal smoking</w:t>
      </w:r>
      <w:r w:rsidR="00AC7707">
        <w:rPr>
          <w:noProof/>
          <w:lang w:eastAsia="en-NZ"/>
        </w:rPr>
        <w:t xml:space="preserve"> (Kramer 1987)</w:t>
      </w:r>
      <w:r w:rsidRPr="00181EF3">
        <w:rPr>
          <w:noProof/>
          <w:lang w:eastAsia="en-NZ"/>
        </w:rPr>
        <w:t>.</w:t>
      </w:r>
    </w:p>
    <w:p w14:paraId="6599580D" w14:textId="77777777" w:rsidR="00FE4364" w:rsidRPr="00181EF3" w:rsidRDefault="00FE4364" w:rsidP="00FE4364"/>
    <w:p w14:paraId="064A4EFE" w14:textId="7A4C6812" w:rsidR="00FE4364" w:rsidRPr="00181EF3" w:rsidRDefault="00FE4364" w:rsidP="00FE4364">
      <w:pPr>
        <w:pStyle w:val="Figure"/>
      </w:pPr>
      <w:bookmarkStart w:id="312" w:name="_Toc19101956"/>
      <w:r w:rsidRPr="00181EF3">
        <w:t xml:space="preserve">Figure </w:t>
      </w:r>
      <w:r w:rsidR="00AC7707">
        <w:t>105</w:t>
      </w:r>
      <w:r w:rsidRPr="00181EF3">
        <w:t xml:space="preserve">: Low birthweight, Māori and </w:t>
      </w:r>
      <w:r w:rsidR="00EC03A3">
        <w:t>non</w:t>
      </w:r>
      <w:r w:rsidR="00EC03A3">
        <w:noBreakHyphen/>
        <w:t>M</w:t>
      </w:r>
      <w:r w:rsidRPr="00181EF3">
        <w:t>āori, 1996–2016</w:t>
      </w:r>
      <w:bookmarkEnd w:id="312"/>
    </w:p>
    <w:p w14:paraId="6BC521D7" w14:textId="77777777" w:rsidR="00FE4364" w:rsidRPr="00181EF3" w:rsidRDefault="00FE4364" w:rsidP="00FE4364">
      <w:r w:rsidRPr="002A5251">
        <w:rPr>
          <w:noProof/>
          <w:lang w:eastAsia="en-NZ"/>
        </w:rPr>
        <w:drawing>
          <wp:inline distT="0" distB="0" distL="0" distR="0" wp14:anchorId="60DEBB31" wp14:editId="6F255E30">
            <wp:extent cx="5130165" cy="2952037"/>
            <wp:effectExtent l="0" t="0" r="0" b="1270"/>
            <wp:docPr id="317" name="Picture 317" descr="Māori babies were more likely to have a low birthweight than non-Māori babies. The rates have mostly moved together, and both saw a dramatic drop in 1998 before returning to their original, slightly downward trend line." title="Figure 105: Low birthweight, Māori and non-Māori, 1996–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5130165" cy="2952037"/>
                    </a:xfrm>
                    <a:prstGeom prst="rect">
                      <a:avLst/>
                    </a:prstGeom>
                  </pic:spPr>
                </pic:pic>
              </a:graphicData>
            </a:graphic>
          </wp:inline>
        </w:drawing>
      </w:r>
    </w:p>
    <w:p w14:paraId="748DEE86" w14:textId="77777777" w:rsidR="008A5642" w:rsidRDefault="00AC7707" w:rsidP="00B6364B">
      <w:pPr>
        <w:pStyle w:val="Note"/>
        <w:ind w:left="0" w:firstLine="0"/>
        <w:rPr>
          <w:rFonts w:eastAsia="Calibri"/>
        </w:rPr>
      </w:pPr>
      <w:r w:rsidRPr="00892068">
        <w:rPr>
          <w:rFonts w:eastAsia="Calibri"/>
        </w:rPr>
        <w:t>Notes:</w:t>
      </w:r>
    </w:p>
    <w:p w14:paraId="738D30F6" w14:textId="601DDC01" w:rsidR="00AC7707" w:rsidRPr="00892068" w:rsidRDefault="00AC7707" w:rsidP="00B6364B">
      <w:pPr>
        <w:pStyle w:val="Note"/>
        <w:ind w:left="0" w:firstLine="0"/>
        <w:rPr>
          <w:rFonts w:eastAsia="Calibri"/>
        </w:rPr>
      </w:pPr>
      <w:r w:rsidRPr="00892068">
        <w:rPr>
          <w:rFonts w:eastAsia="Calibri"/>
        </w:rPr>
        <w:t>Prioritised ethnicity has been used.</w:t>
      </w:r>
    </w:p>
    <w:p w14:paraId="39F83863" w14:textId="77777777" w:rsidR="008A5642" w:rsidRDefault="00AC7707" w:rsidP="00B6364B">
      <w:pPr>
        <w:pStyle w:val="Note"/>
        <w:ind w:left="0" w:firstLine="0"/>
        <w:rPr>
          <w:rFonts w:eastAsia="Calibri"/>
        </w:rPr>
      </w:pPr>
      <w:r w:rsidRPr="00892068">
        <w:rPr>
          <w:rFonts w:eastAsia="Calibri"/>
        </w:rPr>
        <w:t>If the confidence intervals of two rates do not overlap, the difference in rates is said to be statistically significant.</w:t>
      </w:r>
    </w:p>
    <w:p w14:paraId="2A02443B" w14:textId="0404748F" w:rsidR="00AC7707" w:rsidRPr="00892068" w:rsidRDefault="00AC7707" w:rsidP="00B6364B">
      <w:pPr>
        <w:pStyle w:val="Note"/>
        <w:ind w:left="0" w:firstLine="0"/>
        <w:rPr>
          <w:rFonts w:eastAsia="Calibri"/>
        </w:rPr>
      </w:pPr>
      <w:r w:rsidRPr="00AC7707">
        <w:rPr>
          <w:rFonts w:eastAsia="Calibri"/>
        </w:rPr>
        <w:t>A lot of birthweight records were missing in Year 1998, this was the reason of the sudden drop in the rate.</w:t>
      </w:r>
    </w:p>
    <w:p w14:paraId="340065CC" w14:textId="77777777" w:rsidR="00FE4364" w:rsidRPr="00181EF3" w:rsidRDefault="00FE4364" w:rsidP="00B6364B">
      <w:pPr>
        <w:pStyle w:val="Note"/>
        <w:ind w:left="0" w:firstLine="0"/>
        <w:rPr>
          <w:noProof/>
          <w:lang w:eastAsia="en-NZ"/>
        </w:rPr>
      </w:pPr>
      <w:r w:rsidRPr="00181EF3">
        <w:rPr>
          <w:noProof/>
          <w:lang w:eastAsia="en-NZ"/>
        </w:rPr>
        <w:t>Source: Ministry of Health.</w:t>
      </w:r>
    </w:p>
    <w:p w14:paraId="0E4E1F33" w14:textId="77777777" w:rsidR="00FE4364" w:rsidRPr="00181EF3" w:rsidRDefault="00FE4364" w:rsidP="00FE4364">
      <w:pPr>
        <w:rPr>
          <w:noProof/>
          <w:lang w:eastAsia="en-NZ"/>
        </w:rPr>
      </w:pPr>
    </w:p>
    <w:p w14:paraId="05AF670B" w14:textId="77777777" w:rsidR="00AE55BA" w:rsidRDefault="00AE55BA" w:rsidP="00FE4364">
      <w:r w:rsidRPr="00181EF3">
        <w:t xml:space="preserve">The data shows that more Māori babies were born with low birthweight from 1996 to 2016 (Figure </w:t>
      </w:r>
      <w:r>
        <w:t>105</w:t>
      </w:r>
      <w:r w:rsidRPr="00181EF3">
        <w:t xml:space="preserve">). The low birthweight rate declined over time for both Māori and </w:t>
      </w:r>
      <w:r>
        <w:t>non</w:t>
      </w:r>
      <w:r>
        <w:noBreakHyphen/>
        <w:t>M</w:t>
      </w:r>
      <w:r w:rsidRPr="00181EF3">
        <w:t xml:space="preserve">āori. Baby girls are more likely to be born weighing less than 2,500 grams than baby boys, for both Māori and </w:t>
      </w:r>
      <w:r>
        <w:t>non</w:t>
      </w:r>
      <w:r>
        <w:noBreakHyphen/>
        <w:t>M</w:t>
      </w:r>
      <w:r w:rsidRPr="00181EF3">
        <w:t>āori.</w:t>
      </w:r>
    </w:p>
    <w:p w14:paraId="5F178A16" w14:textId="77777777" w:rsidR="00AE55BA" w:rsidRDefault="00AE55BA" w:rsidP="00FE4364"/>
    <w:p w14:paraId="660FA411" w14:textId="3510C30D" w:rsidR="00FE4364" w:rsidRPr="00181EF3" w:rsidRDefault="00FE4364" w:rsidP="00FE4364">
      <w:pPr>
        <w:rPr>
          <w:noProof/>
          <w:lang w:eastAsia="en-NZ"/>
        </w:rPr>
      </w:pPr>
      <w:r w:rsidRPr="00181EF3">
        <w:rPr>
          <w:noProof/>
          <w:lang w:eastAsia="en-NZ"/>
        </w:rPr>
        <w:t xml:space="preserve">Between 1996 and 2016, the low birthweight rate for Māori babies decreased from 74 babies per 1,000 live births to 65 babies, a reduction of 12 percent (or 9 percentage points). For </w:t>
      </w:r>
      <w:r w:rsidR="00EC03A3">
        <w:rPr>
          <w:noProof/>
          <w:lang w:eastAsia="en-NZ"/>
        </w:rPr>
        <w:t>non</w:t>
      </w:r>
      <w:r w:rsidR="00EC03A3">
        <w:rPr>
          <w:noProof/>
          <w:lang w:eastAsia="en-NZ"/>
        </w:rPr>
        <w:noBreakHyphen/>
        <w:t>M</w:t>
      </w:r>
      <w:r w:rsidRPr="00181EF3">
        <w:rPr>
          <w:noProof/>
          <w:lang w:eastAsia="en-NZ"/>
        </w:rPr>
        <w:t>āori babies, the rate decreased more slowly from 58 babies to 57 babies per 1,000 live births, a reduction of 3 percent (or 1 percentage point).</w:t>
      </w:r>
    </w:p>
    <w:p w14:paraId="01161764" w14:textId="77777777" w:rsidR="00FE4364" w:rsidRPr="00181EF3" w:rsidRDefault="00FE4364" w:rsidP="00FE4364">
      <w:pPr>
        <w:rPr>
          <w:noProof/>
          <w:lang w:eastAsia="en-NZ"/>
        </w:rPr>
      </w:pPr>
    </w:p>
    <w:p w14:paraId="478C0A6E" w14:textId="566B4520" w:rsidR="00FE4364" w:rsidRPr="00181EF3" w:rsidRDefault="00FE4364" w:rsidP="00C148E5">
      <w:pPr>
        <w:keepNext/>
        <w:keepLines/>
        <w:rPr>
          <w:noProof/>
          <w:lang w:eastAsia="en-NZ"/>
        </w:rPr>
      </w:pPr>
      <w:r w:rsidRPr="00181EF3">
        <w:rPr>
          <w:noProof/>
          <w:lang w:eastAsia="en-NZ"/>
        </w:rPr>
        <w:lastRenderedPageBreak/>
        <w:t xml:space="preserve">The difference between the rate of Māori babies born with low birth weight compared </w:t>
      </w:r>
      <w:r w:rsidR="00FF1892">
        <w:rPr>
          <w:noProof/>
          <w:lang w:eastAsia="en-NZ"/>
        </w:rPr>
        <w:t>with</w:t>
      </w:r>
      <w:r w:rsidR="00FF1892" w:rsidRPr="00181EF3">
        <w:rPr>
          <w:noProof/>
          <w:lang w:eastAsia="en-NZ"/>
        </w:rPr>
        <w:t xml:space="preserve"> </w:t>
      </w:r>
      <w:r w:rsidR="00EC03A3">
        <w:rPr>
          <w:noProof/>
          <w:lang w:eastAsia="en-NZ"/>
        </w:rPr>
        <w:t>non</w:t>
      </w:r>
      <w:r w:rsidR="00EC03A3">
        <w:rPr>
          <w:noProof/>
          <w:lang w:eastAsia="en-NZ"/>
        </w:rPr>
        <w:noBreakHyphen/>
        <w:t>M</w:t>
      </w:r>
      <w:r w:rsidRPr="00181EF3">
        <w:rPr>
          <w:noProof/>
          <w:lang w:eastAsia="en-NZ"/>
        </w:rPr>
        <w:t>āori babies born with low birthweight has decreased by 45 percent (or 7 percentage points)</w:t>
      </w:r>
      <w:r w:rsidR="00AE55BA">
        <w:rPr>
          <w:noProof/>
          <w:lang w:eastAsia="en-NZ"/>
        </w:rPr>
        <w:t>.</w:t>
      </w:r>
      <w:r w:rsidRPr="00181EF3">
        <w:rPr>
          <w:noProof/>
          <w:lang w:eastAsia="en-NZ"/>
        </w:rPr>
        <w:t xml:space="preserve"> </w:t>
      </w:r>
      <w:r w:rsidR="00AE55BA">
        <w:rPr>
          <w:noProof/>
          <w:lang w:eastAsia="en-NZ"/>
        </w:rPr>
        <w:t>I</w:t>
      </w:r>
      <w:r w:rsidRPr="00181EF3">
        <w:rPr>
          <w:noProof/>
          <w:lang w:eastAsia="en-NZ"/>
        </w:rPr>
        <w:t>n 1996</w:t>
      </w:r>
      <w:r w:rsidR="00AE55BA">
        <w:rPr>
          <w:noProof/>
          <w:lang w:eastAsia="en-NZ"/>
        </w:rPr>
        <w:t>,</w:t>
      </w:r>
      <w:r w:rsidRPr="00181EF3">
        <w:rPr>
          <w:noProof/>
          <w:lang w:eastAsia="en-NZ"/>
        </w:rPr>
        <w:t xml:space="preserve"> Māori had 16 more babies with low birthweight per 1,000 live births than </w:t>
      </w:r>
      <w:r w:rsidR="00EC03A3">
        <w:rPr>
          <w:noProof/>
          <w:lang w:eastAsia="en-NZ"/>
        </w:rPr>
        <w:t>non</w:t>
      </w:r>
      <w:r w:rsidR="00EC03A3">
        <w:rPr>
          <w:noProof/>
          <w:lang w:eastAsia="en-NZ"/>
        </w:rPr>
        <w:noBreakHyphen/>
        <w:t>M</w:t>
      </w:r>
      <w:r w:rsidRPr="00181EF3">
        <w:rPr>
          <w:noProof/>
          <w:lang w:eastAsia="en-NZ"/>
        </w:rPr>
        <w:t>āori, and this reduced to 9 per 1,000 live births in 2016, a reduction of 45 percent (or 7 percentage points).</w:t>
      </w:r>
    </w:p>
    <w:p w14:paraId="6278F327" w14:textId="77777777" w:rsidR="00FE4364" w:rsidRPr="00181EF3" w:rsidRDefault="00FE4364" w:rsidP="00FE4364">
      <w:pPr>
        <w:rPr>
          <w:noProof/>
          <w:lang w:eastAsia="en-NZ"/>
        </w:rPr>
      </w:pPr>
    </w:p>
    <w:p w14:paraId="551518A0" w14:textId="53AAB554" w:rsidR="00FE4364" w:rsidRPr="00181EF3" w:rsidRDefault="00FE4364" w:rsidP="00FE4364">
      <w:r w:rsidRPr="00181EF3">
        <w:rPr>
          <w:noProof/>
          <w:lang w:eastAsia="en-NZ"/>
        </w:rPr>
        <w:t xml:space="preserve">Māori babies were 1.3 times as likely to be born with a low birthweight rate </w:t>
      </w:r>
      <w:r>
        <w:rPr>
          <w:noProof/>
          <w:lang w:eastAsia="en-NZ"/>
        </w:rPr>
        <w:t>as</w:t>
      </w:r>
      <w:r w:rsidRPr="00181EF3">
        <w:rPr>
          <w:noProof/>
          <w:lang w:eastAsia="en-NZ"/>
        </w:rPr>
        <w:t xml:space="preserve"> </w:t>
      </w:r>
      <w:r w:rsidR="00EC03A3">
        <w:rPr>
          <w:noProof/>
          <w:lang w:eastAsia="en-NZ"/>
        </w:rPr>
        <w:t>non</w:t>
      </w:r>
      <w:r w:rsidR="00EC03A3">
        <w:rPr>
          <w:noProof/>
          <w:lang w:eastAsia="en-NZ"/>
        </w:rPr>
        <w:noBreakHyphen/>
        <w:t>M</w:t>
      </w:r>
      <w:r w:rsidRPr="00181EF3">
        <w:rPr>
          <w:noProof/>
          <w:lang w:eastAsia="en-NZ"/>
        </w:rPr>
        <w:t xml:space="preserve">āori babies in 1996. This difference has reduced so that Māori babies born in 2016 were 1.2 times as likely to be born with a low birthweight as </w:t>
      </w:r>
      <w:r w:rsidR="00EC03A3">
        <w:rPr>
          <w:noProof/>
          <w:lang w:eastAsia="en-NZ"/>
        </w:rPr>
        <w:t>non</w:t>
      </w:r>
      <w:r w:rsidR="00EC03A3">
        <w:rPr>
          <w:noProof/>
          <w:lang w:eastAsia="en-NZ"/>
        </w:rPr>
        <w:noBreakHyphen/>
        <w:t>M</w:t>
      </w:r>
      <w:r w:rsidRPr="00181EF3">
        <w:rPr>
          <w:noProof/>
          <w:lang w:eastAsia="en-NZ"/>
        </w:rPr>
        <w:t xml:space="preserve">āori babies. This is, </w:t>
      </w:r>
      <w:r w:rsidRPr="00181EF3">
        <w:t xml:space="preserve">around 12 Māori babies were born with low birthweight for every 10 </w:t>
      </w:r>
      <w:r w:rsidR="00EC03A3">
        <w:t>non</w:t>
      </w:r>
      <w:r w:rsidR="00EC03A3">
        <w:noBreakHyphen/>
        <w:t>M</w:t>
      </w:r>
      <w:r w:rsidRPr="00181EF3">
        <w:t>āori babies that were born with low birthweight.</w:t>
      </w:r>
    </w:p>
    <w:p w14:paraId="255E9CD3" w14:textId="77777777" w:rsidR="00FE4364" w:rsidRPr="00181EF3" w:rsidRDefault="00FE4364" w:rsidP="00FE4364">
      <w:pPr>
        <w:rPr>
          <w:noProof/>
          <w:lang w:eastAsia="en-NZ"/>
        </w:rPr>
      </w:pPr>
    </w:p>
    <w:p w14:paraId="39B3174E" w14:textId="7CCC8B4C" w:rsidR="00FE4364" w:rsidRDefault="00FE4364" w:rsidP="00FE4364">
      <w:pPr>
        <w:pStyle w:val="Figure"/>
        <w:rPr>
          <w:noProof/>
          <w:lang w:eastAsia="en-NZ"/>
        </w:rPr>
      </w:pPr>
      <w:bookmarkStart w:id="313" w:name="_Toc19101957"/>
      <w:r w:rsidRPr="00181EF3">
        <w:rPr>
          <w:noProof/>
          <w:lang w:eastAsia="en-NZ"/>
        </w:rPr>
        <w:t xml:space="preserve">Figure </w:t>
      </w:r>
      <w:r w:rsidR="00AC7707">
        <w:rPr>
          <w:noProof/>
          <w:lang w:eastAsia="en-NZ"/>
        </w:rPr>
        <w:t>106</w:t>
      </w:r>
      <w:r w:rsidRPr="00181EF3">
        <w:rPr>
          <w:noProof/>
          <w:lang w:eastAsia="en-NZ"/>
        </w:rPr>
        <w:t xml:space="preserve">: Low birthweight, </w:t>
      </w:r>
      <w:r w:rsidR="00AC7707">
        <w:rPr>
          <w:noProof/>
          <w:lang w:eastAsia="en-NZ"/>
        </w:rPr>
        <w:t xml:space="preserve">by gender, </w:t>
      </w:r>
      <w:r w:rsidRPr="00181EF3">
        <w:rPr>
          <w:noProof/>
          <w:lang w:eastAsia="en-NZ"/>
        </w:rPr>
        <w:t xml:space="preserve">Māori and </w:t>
      </w:r>
      <w:r w:rsidR="00EC03A3">
        <w:rPr>
          <w:noProof/>
          <w:lang w:eastAsia="en-NZ"/>
        </w:rPr>
        <w:t>non</w:t>
      </w:r>
      <w:r w:rsidR="00EC03A3">
        <w:rPr>
          <w:noProof/>
          <w:lang w:eastAsia="en-NZ"/>
        </w:rPr>
        <w:noBreakHyphen/>
        <w:t>M</w:t>
      </w:r>
      <w:r w:rsidRPr="00181EF3">
        <w:rPr>
          <w:noProof/>
          <w:lang w:eastAsia="en-NZ"/>
        </w:rPr>
        <w:t>āori, 1996–2016</w:t>
      </w:r>
      <w:bookmarkEnd w:id="313"/>
    </w:p>
    <w:p w14:paraId="2691DE35" w14:textId="77777777" w:rsidR="00FE4364" w:rsidRPr="00181EF3" w:rsidRDefault="00FE4364" w:rsidP="00FE4364">
      <w:pPr>
        <w:rPr>
          <w:lang w:eastAsia="en-NZ"/>
        </w:rPr>
      </w:pPr>
      <w:r w:rsidRPr="00181EF3">
        <w:rPr>
          <w:noProof/>
          <w:lang w:eastAsia="en-NZ"/>
        </w:rPr>
        <w:drawing>
          <wp:inline distT="0" distB="0" distL="0" distR="0" wp14:anchorId="74F04267" wp14:editId="7A3F71DE">
            <wp:extent cx="5130165" cy="2652778"/>
            <wp:effectExtent l="0" t="0" r="0" b="0"/>
            <wp:docPr id="318" name="Picture 318" descr="Māori baby girls were more likely than Māori baby boys to have a low birthweight, and non-Māori baby girls were more likely than non-Māori baby boys to have a low birthweight. The rates for all groups have fluctuated over time." title="Figure 4: Low birthweight, Māori and non-Māori, by sex, 1996–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5130165" cy="2652778"/>
                    </a:xfrm>
                    <a:prstGeom prst="rect">
                      <a:avLst/>
                    </a:prstGeom>
                  </pic:spPr>
                </pic:pic>
              </a:graphicData>
            </a:graphic>
          </wp:inline>
        </w:drawing>
      </w:r>
    </w:p>
    <w:p w14:paraId="1E7B8F7C" w14:textId="77777777" w:rsidR="008A5642" w:rsidRDefault="00AC7707" w:rsidP="00B6364B">
      <w:pPr>
        <w:pStyle w:val="Note"/>
        <w:ind w:left="0" w:firstLine="0"/>
        <w:rPr>
          <w:rFonts w:eastAsia="Calibri"/>
        </w:rPr>
      </w:pPr>
      <w:r w:rsidRPr="00892068">
        <w:rPr>
          <w:rFonts w:eastAsia="Calibri"/>
        </w:rPr>
        <w:t>Notes:</w:t>
      </w:r>
    </w:p>
    <w:p w14:paraId="22923E60" w14:textId="02980EC7" w:rsidR="00AC7707" w:rsidRPr="00892068" w:rsidRDefault="00AC7707" w:rsidP="00B6364B">
      <w:pPr>
        <w:pStyle w:val="Note"/>
        <w:ind w:left="0" w:firstLine="0"/>
        <w:rPr>
          <w:rFonts w:eastAsia="Calibri"/>
        </w:rPr>
      </w:pPr>
      <w:r w:rsidRPr="00892068">
        <w:rPr>
          <w:rFonts w:eastAsia="Calibri"/>
        </w:rPr>
        <w:t>Prioritised ethnicity has been used.</w:t>
      </w:r>
    </w:p>
    <w:p w14:paraId="72C18C7B" w14:textId="77777777" w:rsidR="008A5642" w:rsidRDefault="00AC7707" w:rsidP="00B6364B">
      <w:pPr>
        <w:pStyle w:val="Note"/>
        <w:ind w:left="0" w:firstLine="0"/>
        <w:rPr>
          <w:rFonts w:eastAsia="Calibri"/>
        </w:rPr>
      </w:pPr>
      <w:r w:rsidRPr="00892068">
        <w:rPr>
          <w:rFonts w:eastAsia="Calibri"/>
        </w:rPr>
        <w:t>If the confidence intervals of two rates do not overlap, the difference in rates is said to be statistically significant.</w:t>
      </w:r>
    </w:p>
    <w:p w14:paraId="5C57461E" w14:textId="053C3B74" w:rsidR="00AC7707" w:rsidRPr="00892068" w:rsidRDefault="00AC7707" w:rsidP="00B6364B">
      <w:pPr>
        <w:pStyle w:val="Note"/>
        <w:ind w:left="0" w:firstLine="0"/>
        <w:rPr>
          <w:rFonts w:eastAsia="Calibri"/>
        </w:rPr>
      </w:pPr>
      <w:r w:rsidRPr="00AC7707">
        <w:rPr>
          <w:rFonts w:eastAsia="Calibri"/>
        </w:rPr>
        <w:t>A lot of birthweight records were missing in Year 1998, this was the reason of the sudden drop in the rate.</w:t>
      </w:r>
    </w:p>
    <w:p w14:paraId="1B29DD5E" w14:textId="77777777" w:rsidR="00AC7707" w:rsidRPr="00181EF3" w:rsidRDefault="00AC7707" w:rsidP="00B6364B">
      <w:pPr>
        <w:pStyle w:val="Note"/>
        <w:ind w:left="0" w:firstLine="0"/>
        <w:rPr>
          <w:noProof/>
          <w:lang w:eastAsia="en-NZ"/>
        </w:rPr>
      </w:pPr>
      <w:r w:rsidRPr="00181EF3">
        <w:rPr>
          <w:noProof/>
          <w:lang w:eastAsia="en-NZ"/>
        </w:rPr>
        <w:t>Source: Ministry of Health.</w:t>
      </w:r>
    </w:p>
    <w:p w14:paraId="301E2B47" w14:textId="77777777" w:rsidR="00FE4364" w:rsidRPr="00181EF3" w:rsidRDefault="00FE4364" w:rsidP="00FE4364">
      <w:pPr>
        <w:rPr>
          <w:noProof/>
          <w:lang w:eastAsia="en-NZ"/>
        </w:rPr>
      </w:pPr>
    </w:p>
    <w:p w14:paraId="106F0B40" w14:textId="45961B73" w:rsidR="00FE4364" w:rsidRPr="00181EF3" w:rsidRDefault="00FE4364" w:rsidP="00FE4364">
      <w:pPr>
        <w:rPr>
          <w:noProof/>
          <w:lang w:eastAsia="en-NZ"/>
        </w:rPr>
      </w:pPr>
      <w:r w:rsidRPr="00181EF3">
        <w:rPr>
          <w:noProof/>
          <w:lang w:eastAsia="en-NZ"/>
        </w:rPr>
        <w:t xml:space="preserve">Girls were more likely to be born weighing less than 2,500 grams than boys across the time period shown, for both Māori and </w:t>
      </w:r>
      <w:r w:rsidR="00EC03A3">
        <w:rPr>
          <w:noProof/>
          <w:lang w:eastAsia="en-NZ"/>
        </w:rPr>
        <w:t>non</w:t>
      </w:r>
      <w:r w:rsidR="00EC03A3">
        <w:rPr>
          <w:noProof/>
          <w:lang w:eastAsia="en-NZ"/>
        </w:rPr>
        <w:noBreakHyphen/>
        <w:t>M</w:t>
      </w:r>
      <w:r w:rsidRPr="00181EF3">
        <w:rPr>
          <w:noProof/>
          <w:lang w:eastAsia="en-NZ"/>
        </w:rPr>
        <w:t xml:space="preserve">āori (Figure </w:t>
      </w:r>
      <w:r w:rsidR="00AC7707">
        <w:rPr>
          <w:noProof/>
          <w:lang w:eastAsia="en-NZ"/>
        </w:rPr>
        <w:t>106</w:t>
      </w:r>
      <w:r w:rsidRPr="00181EF3">
        <w:rPr>
          <w:noProof/>
          <w:lang w:eastAsia="en-NZ"/>
        </w:rPr>
        <w:t>).</w:t>
      </w:r>
    </w:p>
    <w:p w14:paraId="0F0F6288" w14:textId="77777777" w:rsidR="00FE4364" w:rsidRPr="00181EF3" w:rsidRDefault="00FE4364" w:rsidP="00FE4364">
      <w:pPr>
        <w:rPr>
          <w:noProof/>
          <w:lang w:eastAsia="en-NZ"/>
        </w:rPr>
      </w:pPr>
    </w:p>
    <w:p w14:paraId="5C43AB6F" w14:textId="4FC81B15" w:rsidR="00FE4364" w:rsidRDefault="00FE4364" w:rsidP="00FE4364">
      <w:pPr>
        <w:rPr>
          <w:noProof/>
          <w:lang w:eastAsia="en-NZ"/>
        </w:rPr>
      </w:pPr>
      <w:r w:rsidRPr="00181EF3">
        <w:rPr>
          <w:noProof/>
          <w:lang w:eastAsia="en-NZ"/>
        </w:rPr>
        <w:t xml:space="preserve">Low birthweight disparities between Māori and </w:t>
      </w:r>
      <w:r w:rsidR="00EC03A3">
        <w:rPr>
          <w:noProof/>
          <w:lang w:eastAsia="en-NZ"/>
        </w:rPr>
        <w:t>non</w:t>
      </w:r>
      <w:r w:rsidR="00EC03A3">
        <w:rPr>
          <w:noProof/>
          <w:lang w:eastAsia="en-NZ"/>
        </w:rPr>
        <w:noBreakHyphen/>
        <w:t>M</w:t>
      </w:r>
      <w:r w:rsidRPr="00181EF3">
        <w:rPr>
          <w:noProof/>
          <w:lang w:eastAsia="en-NZ"/>
        </w:rPr>
        <w:t xml:space="preserve">āori babies have not changed much over time regardless of sex. That is, Māori girls are more likely to be born with low birthweight compared </w:t>
      </w:r>
      <w:r w:rsidR="00FF1892">
        <w:rPr>
          <w:noProof/>
          <w:lang w:eastAsia="en-NZ"/>
        </w:rPr>
        <w:t>with</w:t>
      </w:r>
      <w:r w:rsidR="00FF1892" w:rsidRPr="00181EF3">
        <w:rPr>
          <w:noProof/>
          <w:lang w:eastAsia="en-NZ"/>
        </w:rPr>
        <w:t xml:space="preserve"> </w:t>
      </w:r>
      <w:r w:rsidR="00EC03A3">
        <w:rPr>
          <w:noProof/>
          <w:lang w:eastAsia="en-NZ"/>
        </w:rPr>
        <w:t>non</w:t>
      </w:r>
      <w:r w:rsidR="00EC03A3">
        <w:rPr>
          <w:noProof/>
          <w:lang w:eastAsia="en-NZ"/>
        </w:rPr>
        <w:noBreakHyphen/>
        <w:t>M</w:t>
      </w:r>
      <w:r w:rsidRPr="00181EF3">
        <w:rPr>
          <w:noProof/>
          <w:lang w:eastAsia="en-NZ"/>
        </w:rPr>
        <w:t xml:space="preserve">āori girls, and Māori boys are more likely to be born with low birthweight compared </w:t>
      </w:r>
      <w:r w:rsidR="00FF1892">
        <w:rPr>
          <w:noProof/>
          <w:lang w:eastAsia="en-NZ"/>
        </w:rPr>
        <w:t>with</w:t>
      </w:r>
      <w:r w:rsidR="00FF1892" w:rsidRPr="00181EF3">
        <w:rPr>
          <w:noProof/>
          <w:lang w:eastAsia="en-NZ"/>
        </w:rPr>
        <w:t xml:space="preserve"> </w:t>
      </w:r>
      <w:r w:rsidR="00EC03A3">
        <w:rPr>
          <w:noProof/>
          <w:lang w:eastAsia="en-NZ"/>
        </w:rPr>
        <w:t>non</w:t>
      </w:r>
      <w:r w:rsidR="00EC03A3">
        <w:rPr>
          <w:noProof/>
          <w:lang w:eastAsia="en-NZ"/>
        </w:rPr>
        <w:noBreakHyphen/>
        <w:t>M</w:t>
      </w:r>
      <w:r w:rsidRPr="00181EF3">
        <w:rPr>
          <w:noProof/>
          <w:lang w:eastAsia="en-NZ"/>
        </w:rPr>
        <w:t>āori boys.</w:t>
      </w:r>
    </w:p>
    <w:p w14:paraId="30D38D36" w14:textId="77777777" w:rsidR="00C148E5" w:rsidRPr="00181EF3" w:rsidRDefault="00C148E5" w:rsidP="00FE4364">
      <w:pPr>
        <w:rPr>
          <w:noProof/>
          <w:sz w:val="20"/>
          <w:lang w:eastAsia="en-NZ"/>
        </w:rPr>
      </w:pPr>
    </w:p>
    <w:p w14:paraId="530CAF59" w14:textId="77777777" w:rsidR="00AC7707" w:rsidRPr="00181EF3" w:rsidRDefault="00AC7707" w:rsidP="00C148E5">
      <w:pPr>
        <w:pStyle w:val="Heading2"/>
        <w:pageBreakBefore/>
        <w:spacing w:before="0"/>
      </w:pPr>
      <w:bookmarkStart w:id="314" w:name="_Toc14718631"/>
      <w:bookmarkStart w:id="315" w:name="_Toc14775054"/>
      <w:bookmarkStart w:id="316" w:name="_Toc19102407"/>
      <w:r w:rsidRPr="00181EF3">
        <w:lastRenderedPageBreak/>
        <w:t>Infant and child mortality</w:t>
      </w:r>
      <w:bookmarkEnd w:id="314"/>
      <w:bookmarkEnd w:id="315"/>
      <w:bookmarkEnd w:id="316"/>
    </w:p>
    <w:p w14:paraId="28AFCCB0" w14:textId="47D1D647" w:rsidR="00AC7707" w:rsidRDefault="00AC7707" w:rsidP="00AC7707">
      <w:r w:rsidRPr="00181EF3">
        <w:t>This s</w:t>
      </w:r>
      <w:r>
        <w:t>ection presents</w:t>
      </w:r>
      <w:r w:rsidRPr="00181EF3">
        <w:t xml:space="preserve"> the trends related to neonatal, infant and child mortality for Māori and </w:t>
      </w:r>
      <w:r w:rsidR="00EC03A3">
        <w:t>non</w:t>
      </w:r>
      <w:r w:rsidR="00EC03A3">
        <w:noBreakHyphen/>
        <w:t>M</w:t>
      </w:r>
      <w:r w:rsidRPr="00181EF3">
        <w:t>āori.</w:t>
      </w:r>
      <w:r>
        <w:t xml:space="preserve"> </w:t>
      </w:r>
      <w:r w:rsidR="007346D3">
        <w:t>Figure 107</w:t>
      </w:r>
      <w:r w:rsidRPr="00181EF3">
        <w:t xml:space="preserve"> specifies time periods for fetal and infant deaths used in this brief</w:t>
      </w:r>
      <w:r>
        <w:t xml:space="preserve"> (Ministry of Health 2012)</w:t>
      </w:r>
      <w:r w:rsidRPr="00181EF3">
        <w:t>.</w:t>
      </w:r>
    </w:p>
    <w:p w14:paraId="3914632E" w14:textId="66D3A119" w:rsidR="009A771A" w:rsidRDefault="009A771A" w:rsidP="009A771A">
      <w:pPr>
        <w:pStyle w:val="Figure"/>
      </w:pPr>
      <w:bookmarkStart w:id="317" w:name="_Toc19101958"/>
      <w:r w:rsidRPr="00181EF3">
        <w:t xml:space="preserve">Figure </w:t>
      </w:r>
      <w:r>
        <w:t>107</w:t>
      </w:r>
      <w:r w:rsidRPr="00181EF3">
        <w:t xml:space="preserve">: </w:t>
      </w:r>
      <w:r>
        <w:t>Time periods for fetal and infant deaths</w:t>
      </w:r>
      <w:bookmarkEnd w:id="317"/>
    </w:p>
    <w:p w14:paraId="61E70FC2" w14:textId="77777777" w:rsidR="00C148E5" w:rsidRPr="00181EF3" w:rsidRDefault="00C148E5" w:rsidP="00AC7707"/>
    <w:p w14:paraId="7B4C503B" w14:textId="77777777" w:rsidR="00AC7707" w:rsidRDefault="00AC7707" w:rsidP="00AC7707">
      <w:r w:rsidRPr="00181EF3">
        <w:rPr>
          <w:noProof/>
          <w:lang w:eastAsia="en-NZ"/>
        </w:rPr>
        <w:drawing>
          <wp:inline distT="0" distB="0" distL="0" distR="0" wp14:anchorId="1A28E357" wp14:editId="25DD4832">
            <wp:extent cx="5145578" cy="3259931"/>
            <wp:effectExtent l="0" t="0" r="0" b="0"/>
            <wp:docPr id="319" name="Picture 319" descr="This diagram divides fetal and infant deaths into categories based on the timing. The period between 20 weeks or more of gestation or a 400 gram birthweight until birth is considered either a fetal death or a perinatal death. Until 7 days after birth, a death is considered early neonatal, perinatal, infant or neonatal. Between 7 and 28 days, a death is considered late neonatal, neonatal or infant. Between 28 days and on year, the death is infant and post-neonatal." title="Time periods for fetal and infant de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7"/>
                    <a:srcRect l="2033" t="1923" r="4441" b="1"/>
                    <a:stretch/>
                  </pic:blipFill>
                  <pic:spPr bwMode="auto">
                    <a:xfrm>
                      <a:off x="0" y="0"/>
                      <a:ext cx="5152364" cy="3264230"/>
                    </a:xfrm>
                    <a:prstGeom prst="rect">
                      <a:avLst/>
                    </a:prstGeom>
                    <a:ln>
                      <a:noFill/>
                    </a:ln>
                    <a:extLst>
                      <a:ext uri="{53640926-AAD7-44D8-BBD7-CCE9431645EC}">
                        <a14:shadowObscured xmlns:a14="http://schemas.microsoft.com/office/drawing/2010/main"/>
                      </a:ext>
                    </a:extLst>
                  </pic:spPr>
                </pic:pic>
              </a:graphicData>
            </a:graphic>
          </wp:inline>
        </w:drawing>
      </w:r>
    </w:p>
    <w:p w14:paraId="7854642F" w14:textId="77777777" w:rsidR="00C148E5" w:rsidRPr="00181EF3" w:rsidRDefault="00C148E5" w:rsidP="00AC7707"/>
    <w:p w14:paraId="39AECE89" w14:textId="77777777" w:rsidR="00AC7707" w:rsidRPr="00181EF3" w:rsidRDefault="00AC7707" w:rsidP="00C148E5">
      <w:pPr>
        <w:pStyle w:val="Heading3"/>
        <w:pageBreakBefore/>
        <w:spacing w:before="0"/>
      </w:pPr>
      <w:bookmarkStart w:id="318" w:name="_Toc19102408"/>
      <w:r w:rsidRPr="00181EF3">
        <w:lastRenderedPageBreak/>
        <w:t>What is the data telling us?</w:t>
      </w:r>
      <w:bookmarkEnd w:id="318"/>
    </w:p>
    <w:p w14:paraId="02363537" w14:textId="77777777" w:rsidR="00AC7707" w:rsidRPr="00181EF3" w:rsidRDefault="00AC7707" w:rsidP="00C148E5">
      <w:pPr>
        <w:pStyle w:val="Shadedboxbullet"/>
        <w:ind w:left="568" w:hanging="284"/>
      </w:pPr>
      <w:r w:rsidRPr="00181EF3">
        <w:t>The age-specific infant mortality rate for Māori decreased by 43 percent between 1996–98 and 2012–14.</w:t>
      </w:r>
    </w:p>
    <w:p w14:paraId="74A4317B" w14:textId="04D98A79" w:rsidR="00AC7707" w:rsidRPr="00181EF3" w:rsidRDefault="00AC7707" w:rsidP="00C148E5">
      <w:pPr>
        <w:pStyle w:val="Shadedboxbullet"/>
        <w:ind w:left="568" w:hanging="284"/>
      </w:pPr>
      <w:r w:rsidRPr="00181EF3">
        <w:t xml:space="preserve">In 2012–14 the Māori early neonatal mortality rate was equal with the </w:t>
      </w:r>
      <w:r w:rsidR="00EC03A3">
        <w:t>non</w:t>
      </w:r>
      <w:r w:rsidR="00EC03A3">
        <w:noBreakHyphen/>
        <w:t>M</w:t>
      </w:r>
      <w:r w:rsidRPr="00181EF3">
        <w:t>āori rate.</w:t>
      </w:r>
    </w:p>
    <w:p w14:paraId="5A0B25DC" w14:textId="77777777" w:rsidR="00AC7707" w:rsidRPr="00181EF3" w:rsidRDefault="00AC7707" w:rsidP="00C148E5">
      <w:pPr>
        <w:pStyle w:val="Shadedboxbullet"/>
        <w:ind w:left="568" w:hanging="284"/>
      </w:pPr>
      <w:r w:rsidRPr="00181EF3">
        <w:t>The age-specific late neonatal mortality rate for Māori halved between</w:t>
      </w:r>
      <w:r w:rsidRPr="00181EF3">
        <w:br/>
        <w:t>1996–98 and 2012–14.</w:t>
      </w:r>
    </w:p>
    <w:p w14:paraId="78B84229" w14:textId="69B7E252" w:rsidR="00AC7707" w:rsidRPr="00181EF3" w:rsidRDefault="00AC7707" w:rsidP="00AC7707">
      <w:pPr>
        <w:pStyle w:val="Shadedboxbullet"/>
        <w:ind w:left="568" w:hanging="284"/>
      </w:pPr>
      <w:r w:rsidRPr="00181EF3">
        <w:t xml:space="preserve">Despite a decrease of 68 percent, the difference between Māori and </w:t>
      </w:r>
      <w:r w:rsidR="00EC03A3">
        <w:t>non</w:t>
      </w:r>
      <w:r w:rsidR="00EC03A3">
        <w:noBreakHyphen/>
        <w:t>M</w:t>
      </w:r>
      <w:r w:rsidRPr="00181EF3">
        <w:t>āori post neonatal mortality rates remained significant.</w:t>
      </w:r>
    </w:p>
    <w:p w14:paraId="4FCF058C" w14:textId="009B279A" w:rsidR="00AC7707" w:rsidRPr="00181EF3" w:rsidRDefault="00AC7707" w:rsidP="00AC7707">
      <w:pPr>
        <w:pStyle w:val="Shadedboxbullet"/>
        <w:ind w:left="568" w:hanging="284"/>
      </w:pPr>
      <w:r w:rsidRPr="00181EF3">
        <w:t xml:space="preserve">The Māori Sudden Unexpected Death in Infancy (SUDI) mortality rate was almost five times as high as the rate for </w:t>
      </w:r>
      <w:r w:rsidR="00EC03A3">
        <w:t>non</w:t>
      </w:r>
      <w:r w:rsidR="00EC03A3">
        <w:noBreakHyphen/>
        <w:t>M</w:t>
      </w:r>
      <w:r w:rsidRPr="00181EF3">
        <w:t>āori infants in 1996–98. By</w:t>
      </w:r>
      <w:r w:rsidRPr="00181EF3">
        <w:br/>
        <w:t xml:space="preserve">2012–14 the Māori SUDI mortality rate was over three times as high as the </w:t>
      </w:r>
      <w:r w:rsidR="00EC03A3">
        <w:t>non</w:t>
      </w:r>
      <w:r w:rsidR="00EC03A3">
        <w:noBreakHyphen/>
        <w:t>M</w:t>
      </w:r>
      <w:r w:rsidRPr="00181EF3">
        <w:t>āori rate.</w:t>
      </w:r>
    </w:p>
    <w:p w14:paraId="5414A001" w14:textId="57FF20AD" w:rsidR="00AC7707" w:rsidRPr="00181EF3" w:rsidRDefault="00AC7707" w:rsidP="00AC7707">
      <w:pPr>
        <w:pStyle w:val="Shadedboxbullet"/>
        <w:ind w:left="568" w:hanging="284"/>
      </w:pPr>
      <w:r w:rsidRPr="00181EF3">
        <w:t xml:space="preserve">The Māori Sudden Infant Death Syndrome (SIDS) mortality rate was over 4½ times as high as the rate for </w:t>
      </w:r>
      <w:r w:rsidR="00EC03A3">
        <w:t>non</w:t>
      </w:r>
      <w:r w:rsidR="00EC03A3">
        <w:noBreakHyphen/>
        <w:t>M</w:t>
      </w:r>
      <w:r w:rsidRPr="00181EF3">
        <w:t xml:space="preserve">āori infants in 1996–98. By 2012–14 the Māori SIDS mortality rate was twice as high as the </w:t>
      </w:r>
      <w:r w:rsidR="00EC03A3">
        <w:t>non</w:t>
      </w:r>
      <w:r w:rsidR="00EC03A3">
        <w:noBreakHyphen/>
        <w:t>M</w:t>
      </w:r>
      <w:r w:rsidRPr="00181EF3">
        <w:t>āori rate.</w:t>
      </w:r>
    </w:p>
    <w:p w14:paraId="364B1F87" w14:textId="77777777" w:rsidR="00AC7707" w:rsidRPr="00181EF3" w:rsidRDefault="00AC7707" w:rsidP="00AC7707">
      <w:pPr>
        <w:pStyle w:val="Shadedboxbullet"/>
        <w:ind w:left="568" w:hanging="284"/>
      </w:pPr>
      <w:r w:rsidRPr="00181EF3">
        <w:t>The age-specific child mortality rate for Māori nearly halved between 1996–98 and 2012–14.</w:t>
      </w:r>
    </w:p>
    <w:p w14:paraId="7B055DB9" w14:textId="0F685362" w:rsidR="00AC7707" w:rsidRDefault="00AC7707" w:rsidP="00AC7707">
      <w:pPr>
        <w:pStyle w:val="Shadedboxbullet"/>
        <w:ind w:left="568" w:hanging="284"/>
      </w:pPr>
      <w:r w:rsidRPr="00181EF3">
        <w:t xml:space="preserve">In 2012–14 Māori had a child mortality rate under 1½ times the </w:t>
      </w:r>
      <w:r w:rsidR="00EC03A3">
        <w:t>non</w:t>
      </w:r>
      <w:r w:rsidR="00EC03A3">
        <w:noBreakHyphen/>
        <w:t>M</w:t>
      </w:r>
      <w:r w:rsidRPr="00181EF3">
        <w:t>āori rate.</w:t>
      </w:r>
    </w:p>
    <w:p w14:paraId="7A48F8F0" w14:textId="77777777" w:rsidR="00C148E5" w:rsidRPr="00181EF3" w:rsidRDefault="00C148E5" w:rsidP="00C148E5"/>
    <w:p w14:paraId="17E980B0" w14:textId="77777777" w:rsidR="00AC7707" w:rsidRPr="00181EF3" w:rsidRDefault="00AC7707" w:rsidP="00822BDA">
      <w:pPr>
        <w:pStyle w:val="Heading3"/>
        <w:pageBreakBefore/>
        <w:spacing w:before="0"/>
      </w:pPr>
      <w:bookmarkStart w:id="319" w:name="_Toc19102409"/>
      <w:r w:rsidRPr="00181EF3">
        <w:lastRenderedPageBreak/>
        <w:t>Infant mortality</w:t>
      </w:r>
      <w:bookmarkEnd w:id="319"/>
    </w:p>
    <w:p w14:paraId="73FAAACA" w14:textId="77777777" w:rsidR="00AC7707" w:rsidRDefault="00AC7707" w:rsidP="00AC7707">
      <w:r w:rsidRPr="00181EF3">
        <w:t xml:space="preserve">Infants were categorised as children aged one or below. The infant mortality rates are a summation of the early, late and post neonatal mortality rates discussed later in this </w:t>
      </w:r>
      <w:r w:rsidR="000477A2">
        <w:t>report</w:t>
      </w:r>
      <w:r w:rsidRPr="00181EF3">
        <w:t>.</w:t>
      </w:r>
    </w:p>
    <w:p w14:paraId="4AE2F1D4" w14:textId="77777777" w:rsidR="00822BDA" w:rsidRDefault="00822BDA" w:rsidP="00AC7707"/>
    <w:p w14:paraId="7276F2D4" w14:textId="54087AB5" w:rsidR="001127AC" w:rsidRPr="00181EF3" w:rsidRDefault="001127AC" w:rsidP="001127AC">
      <w:pPr>
        <w:pStyle w:val="Figure"/>
      </w:pPr>
      <w:bookmarkStart w:id="320" w:name="_Toc19101959"/>
      <w:r w:rsidRPr="00181EF3">
        <w:t xml:space="preserve">Figure </w:t>
      </w:r>
      <w:r w:rsidR="009A771A">
        <w:rPr>
          <w:noProof/>
        </w:rPr>
        <w:t>108</w:t>
      </w:r>
      <w:r w:rsidRPr="00181EF3">
        <w:t xml:space="preserve">: </w:t>
      </w:r>
      <w:r>
        <w:t>I</w:t>
      </w:r>
      <w:r w:rsidRPr="00181EF3">
        <w:t xml:space="preserve">nfant </w:t>
      </w:r>
      <w:r>
        <w:t xml:space="preserve">mortality rates, Māori and </w:t>
      </w:r>
      <w:r w:rsidR="00EC03A3">
        <w:t>non</w:t>
      </w:r>
      <w:r w:rsidR="00EC03A3">
        <w:noBreakHyphen/>
        <w:t>M</w:t>
      </w:r>
      <w:r>
        <w:t>āori,</w:t>
      </w:r>
      <w:r w:rsidRPr="00181EF3">
        <w:t xml:space="preserve"> 1996–98 </w:t>
      </w:r>
      <w:r>
        <w:t>to</w:t>
      </w:r>
      <w:r w:rsidRPr="00181EF3">
        <w:t xml:space="preserve"> 2012–14</w:t>
      </w:r>
      <w:bookmarkEnd w:id="320"/>
    </w:p>
    <w:p w14:paraId="584E9B23" w14:textId="77777777" w:rsidR="001127AC" w:rsidRPr="00181EF3" w:rsidRDefault="001127AC" w:rsidP="001127AC">
      <w:r w:rsidRPr="00181EF3">
        <w:rPr>
          <w:noProof/>
          <w:lang w:eastAsia="en-NZ"/>
        </w:rPr>
        <w:drawing>
          <wp:inline distT="0" distB="0" distL="0" distR="0" wp14:anchorId="60BAC6AA" wp14:editId="1707A7CB">
            <wp:extent cx="5130165" cy="3058916"/>
            <wp:effectExtent l="0" t="0" r="0" b="8255"/>
            <wp:docPr id="320" name="Picture 320" descr="Infant mortality has remained steady for non-Māori over time. The infant mortality rate for Māori began at about twice as high as the non-Māori rate, but has decreased since 1996-98 and was nearly even with the non-Māori rate in 2012-14." title="Figure 108: The age-specific rate of infant deaths per 1,000 live births between 1996–98 and 20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5130165" cy="3058916"/>
                    </a:xfrm>
                    <a:prstGeom prst="rect">
                      <a:avLst/>
                    </a:prstGeom>
                  </pic:spPr>
                </pic:pic>
              </a:graphicData>
            </a:graphic>
          </wp:inline>
        </w:drawing>
      </w:r>
    </w:p>
    <w:p w14:paraId="5AA26BC0" w14:textId="77777777" w:rsidR="001127AC" w:rsidRDefault="001127AC" w:rsidP="00B6364B">
      <w:pPr>
        <w:pStyle w:val="Note"/>
        <w:ind w:left="0" w:firstLine="0"/>
      </w:pPr>
      <w:r w:rsidRPr="00181EF3">
        <w:t>Note</w:t>
      </w:r>
      <w:r>
        <w:t>s</w:t>
      </w:r>
      <w:r w:rsidRPr="00181EF3">
        <w:t>:</w:t>
      </w:r>
    </w:p>
    <w:p w14:paraId="240C7D04" w14:textId="77777777" w:rsidR="001127AC" w:rsidRPr="00181EF3" w:rsidRDefault="001127AC" w:rsidP="00B6364B">
      <w:pPr>
        <w:pStyle w:val="Note"/>
        <w:ind w:left="0" w:firstLine="0"/>
      </w:pPr>
      <w:r>
        <w:t>Prioritised ethnicity has been used.</w:t>
      </w:r>
    </w:p>
    <w:p w14:paraId="1171C187" w14:textId="77777777" w:rsidR="008A5642" w:rsidRDefault="001127AC" w:rsidP="00B6364B">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36FBBCBB" w14:textId="0637457F" w:rsidR="001127AC" w:rsidRDefault="001127AC" w:rsidP="00B6364B">
      <w:pPr>
        <w:pStyle w:val="Note"/>
        <w:ind w:left="0" w:firstLine="0"/>
        <w:rPr>
          <w:rFonts w:eastAsia="Calibri"/>
        </w:rPr>
      </w:pPr>
      <w:r w:rsidRPr="00181EF3">
        <w:rPr>
          <w:rFonts w:eastAsia="Calibri"/>
        </w:rPr>
        <w:t>Source: Mortality Collection Data Set (MORT), Ministry of Health</w:t>
      </w:r>
      <w:r>
        <w:rPr>
          <w:rFonts w:eastAsia="Calibri"/>
        </w:rPr>
        <w:t xml:space="preserve">, </w:t>
      </w:r>
      <w:r w:rsidRPr="00181EF3">
        <w:t>1996–98 to 2012–14</w:t>
      </w:r>
      <w:r w:rsidRPr="00181EF3">
        <w:rPr>
          <w:rFonts w:eastAsia="Calibri"/>
        </w:rPr>
        <w:t>.</w:t>
      </w:r>
    </w:p>
    <w:p w14:paraId="7F643B36" w14:textId="77777777" w:rsidR="00822BDA" w:rsidRPr="00822BDA" w:rsidRDefault="00822BDA" w:rsidP="00822BDA">
      <w:pPr>
        <w:rPr>
          <w:rFonts w:eastAsia="Calibri"/>
        </w:rPr>
      </w:pPr>
    </w:p>
    <w:p w14:paraId="7284184A" w14:textId="1DA3767D" w:rsidR="00AC7707" w:rsidRPr="00181EF3" w:rsidRDefault="00AC7707" w:rsidP="00AC7707">
      <w:pPr>
        <w:pStyle w:val="Heading4"/>
      </w:pPr>
      <w:r w:rsidRPr="00181EF3">
        <w:t>Significant decrease in infant mortality for Māori between</w:t>
      </w:r>
      <w:r w:rsidR="00822BDA">
        <w:br/>
      </w:r>
      <w:r w:rsidRPr="00181EF3">
        <w:t>1996–98 and 2012–2014</w:t>
      </w:r>
    </w:p>
    <w:p w14:paraId="50A4BE3A" w14:textId="12199D66" w:rsidR="001127AC" w:rsidRPr="00181EF3" w:rsidRDefault="001127AC" w:rsidP="001127AC">
      <w:r w:rsidRPr="00181EF3">
        <w:t>Figure 1</w:t>
      </w:r>
      <w:r>
        <w:t>0</w:t>
      </w:r>
      <w:r w:rsidR="003B4A96">
        <w:t>8</w:t>
      </w:r>
      <w:r w:rsidRPr="00181EF3">
        <w:t xml:space="preserve"> shows the age-specific rate of infant deaths per 1,000 live births for Māori and </w:t>
      </w:r>
      <w:r w:rsidR="00EC03A3">
        <w:t>non</w:t>
      </w:r>
      <w:r w:rsidR="00EC03A3">
        <w:noBreakHyphen/>
        <w:t>M</w:t>
      </w:r>
      <w:r w:rsidRPr="00181EF3">
        <w:t>āori between 1996–98 and 2012–14.</w:t>
      </w:r>
    </w:p>
    <w:p w14:paraId="5B228DE9" w14:textId="77777777" w:rsidR="001127AC" w:rsidRDefault="001127AC" w:rsidP="00AC7707"/>
    <w:p w14:paraId="57AB117D" w14:textId="77777777" w:rsidR="00AC7707" w:rsidRPr="00181EF3" w:rsidRDefault="00AC7707" w:rsidP="00AC7707">
      <w:r w:rsidRPr="00181EF3">
        <w:t>The age-specific infant mortality rate for Māori nearly halved from 10.2 deaths per 1,000 live births in 1996–98 to 5.8 deaths per 1,000 live births in 2012–14, a decrease of 43 percent.</w:t>
      </w:r>
    </w:p>
    <w:p w14:paraId="58CACD30" w14:textId="77777777" w:rsidR="00AC7707" w:rsidRPr="00181EF3" w:rsidRDefault="00AC7707" w:rsidP="00AC7707"/>
    <w:p w14:paraId="772E900A" w14:textId="14D2F903" w:rsidR="00AC7707" w:rsidRDefault="00AC7707" w:rsidP="00AC7707">
      <w:r w:rsidRPr="00181EF3">
        <w:t xml:space="preserve">The age-specific infant mortality rate for </w:t>
      </w:r>
      <w:r w:rsidR="00EC03A3">
        <w:t>non</w:t>
      </w:r>
      <w:r w:rsidR="00EC03A3">
        <w:noBreakHyphen/>
        <w:t>M</w:t>
      </w:r>
      <w:r w:rsidRPr="00181EF3">
        <w:t>āori remained constant between</w:t>
      </w:r>
      <w:r w:rsidRPr="00181EF3">
        <w:br/>
        <w:t>1996–98 and 2012–14 with an average of 4.6 deaths per 1,000 live births.</w:t>
      </w:r>
    </w:p>
    <w:p w14:paraId="23054851" w14:textId="77777777" w:rsidR="00822BDA" w:rsidRPr="00181EF3" w:rsidRDefault="00822BDA" w:rsidP="00AC7707"/>
    <w:p w14:paraId="5058B529" w14:textId="46526C7A" w:rsidR="00AC7707" w:rsidRPr="00181EF3" w:rsidRDefault="00AC7707" w:rsidP="00AC7707">
      <w:pPr>
        <w:pStyle w:val="Heading4"/>
      </w:pPr>
      <w:r w:rsidRPr="00181EF3">
        <w:lastRenderedPageBreak/>
        <w:t xml:space="preserve">Decrease in difference of infant mortality rate between Māori and </w:t>
      </w:r>
      <w:r w:rsidR="00EC03A3">
        <w:t>non</w:t>
      </w:r>
      <w:r w:rsidR="00EC03A3">
        <w:noBreakHyphen/>
        <w:t>M</w:t>
      </w:r>
      <w:r w:rsidRPr="00181EF3">
        <w:t>āori</w:t>
      </w:r>
    </w:p>
    <w:p w14:paraId="762AC487" w14:textId="36CA749F" w:rsidR="00AC7707" w:rsidRPr="00181EF3" w:rsidRDefault="00AC7707" w:rsidP="00AC7707">
      <w:r w:rsidRPr="00181EF3">
        <w:t xml:space="preserve">The difference in age-specific infant mortality rates between Māori and </w:t>
      </w:r>
      <w:r w:rsidR="00EC03A3">
        <w:t>non</w:t>
      </w:r>
      <w:r w:rsidR="00EC03A3">
        <w:noBreakHyphen/>
        <w:t>M</w:t>
      </w:r>
      <w:r w:rsidRPr="00181EF3">
        <w:t>āori decreased from 5.0 deaths per 1,000 live births in 1996–98 to 1.2 deaths per 1,000 live births in 2012–14, a decrease of 76 percent.</w:t>
      </w:r>
    </w:p>
    <w:p w14:paraId="61C258B1" w14:textId="77777777" w:rsidR="00AC7707" w:rsidRPr="00181EF3" w:rsidRDefault="00AC7707" w:rsidP="00AC7707"/>
    <w:p w14:paraId="77D15CA2" w14:textId="0A6153F7" w:rsidR="00AC7707" w:rsidRDefault="00AC7707" w:rsidP="00AC7707">
      <w:r w:rsidRPr="00181EF3">
        <w:t xml:space="preserve">The rate ratio also indicates there was a decrease in the difference in the relative size of the Māori and </w:t>
      </w:r>
      <w:r w:rsidR="00EC03A3">
        <w:t>non</w:t>
      </w:r>
      <w:r w:rsidR="00EC03A3">
        <w:noBreakHyphen/>
        <w:t>M</w:t>
      </w:r>
      <w:r w:rsidRPr="00181EF3">
        <w:t xml:space="preserve">āori infant mortality rates. In 1996–98 the rate of infant deaths per 1,000 live births for Māori was nearly twice as large as the rate for </w:t>
      </w:r>
      <w:r w:rsidR="00EC03A3">
        <w:t>non</w:t>
      </w:r>
      <w:r w:rsidR="00EC03A3">
        <w:noBreakHyphen/>
        <w:t>M</w:t>
      </w:r>
      <w:r w:rsidRPr="00181EF3">
        <w:t>āori</w:t>
      </w:r>
      <w:r>
        <w:t>.</w:t>
      </w:r>
      <w:r w:rsidRPr="00181EF3">
        <w:t xml:space="preserve"> This has fallen over time so that in 2012–14 the rate of infant deaths per 1,000 live births for Māori was under 1</w:t>
      </w:r>
      <w:r w:rsidRPr="00181EF3">
        <w:rPr>
          <w:rFonts w:cs="Segoe UI"/>
        </w:rPr>
        <w:t>⅓ </w:t>
      </w:r>
      <w:r w:rsidRPr="00181EF3">
        <w:t xml:space="preserve">times that of </w:t>
      </w:r>
      <w:r w:rsidR="00EC03A3">
        <w:t>non</w:t>
      </w:r>
      <w:r w:rsidR="00EC03A3">
        <w:noBreakHyphen/>
        <w:t>M</w:t>
      </w:r>
      <w:r w:rsidRPr="00181EF3">
        <w:t>āori in 2012–14.</w:t>
      </w:r>
    </w:p>
    <w:p w14:paraId="1CB41A07" w14:textId="77777777" w:rsidR="00822BDA" w:rsidRPr="00181EF3" w:rsidRDefault="00822BDA" w:rsidP="00AC7707"/>
    <w:p w14:paraId="46A226BB" w14:textId="77777777" w:rsidR="00AC7707" w:rsidRPr="00181EF3" w:rsidRDefault="00AC7707" w:rsidP="00822BDA">
      <w:pPr>
        <w:pStyle w:val="Heading3"/>
        <w:pageBreakBefore/>
        <w:spacing w:before="0"/>
      </w:pPr>
      <w:bookmarkStart w:id="321" w:name="_Toc19102410"/>
      <w:r w:rsidRPr="00181EF3">
        <w:lastRenderedPageBreak/>
        <w:t>Early neonatal</w:t>
      </w:r>
      <w:r w:rsidR="000477A2">
        <w:t xml:space="preserve"> mortality</w:t>
      </w:r>
      <w:bookmarkEnd w:id="321"/>
    </w:p>
    <w:p w14:paraId="55B4A036" w14:textId="77777777" w:rsidR="00AC7707" w:rsidRDefault="00AC7707" w:rsidP="00AC7707">
      <w:r w:rsidRPr="00181EF3">
        <w:t xml:space="preserve">For the purpose of this </w:t>
      </w:r>
      <w:r w:rsidR="000477A2">
        <w:t xml:space="preserve">report </w:t>
      </w:r>
      <w:r w:rsidRPr="00181EF3">
        <w:t>early neonatal encompasses the age group 0–7 days of age.</w:t>
      </w:r>
    </w:p>
    <w:p w14:paraId="45DD54B8" w14:textId="77777777" w:rsidR="00822BDA" w:rsidRPr="00181EF3" w:rsidRDefault="00822BDA" w:rsidP="00AC7707"/>
    <w:p w14:paraId="0D730E03" w14:textId="0118AA3D" w:rsidR="001127AC" w:rsidRPr="00181EF3" w:rsidRDefault="001127AC" w:rsidP="001127AC">
      <w:pPr>
        <w:pStyle w:val="Figure"/>
      </w:pPr>
      <w:bookmarkStart w:id="322" w:name="_Toc19101960"/>
      <w:r w:rsidRPr="00181EF3">
        <w:t xml:space="preserve">Figure </w:t>
      </w:r>
      <w:r w:rsidR="00572A9A">
        <w:rPr>
          <w:noProof/>
        </w:rPr>
        <w:t>109</w:t>
      </w:r>
      <w:r w:rsidRPr="00181EF3">
        <w:t xml:space="preserve">: </w:t>
      </w:r>
      <w:r>
        <w:t>E</w:t>
      </w:r>
      <w:r w:rsidRPr="00181EF3">
        <w:t xml:space="preserve">arly neonatal </w:t>
      </w:r>
      <w:r>
        <w:t xml:space="preserve">mortality rates, Māori and </w:t>
      </w:r>
      <w:r w:rsidR="00EC03A3">
        <w:t>non</w:t>
      </w:r>
      <w:r w:rsidR="00EC03A3">
        <w:noBreakHyphen/>
        <w:t>M</w:t>
      </w:r>
      <w:r>
        <w:t>āori,</w:t>
      </w:r>
      <w:r w:rsidRPr="00181EF3">
        <w:t xml:space="preserve"> 1996–98 </w:t>
      </w:r>
      <w:r>
        <w:t>to</w:t>
      </w:r>
      <w:r w:rsidRPr="00181EF3">
        <w:t xml:space="preserve"> 2012–14</w:t>
      </w:r>
      <w:bookmarkEnd w:id="322"/>
    </w:p>
    <w:p w14:paraId="11ED4D21" w14:textId="77777777" w:rsidR="001127AC" w:rsidRPr="00181EF3" w:rsidRDefault="001127AC" w:rsidP="001127AC">
      <w:r w:rsidRPr="00181EF3">
        <w:rPr>
          <w:noProof/>
          <w:lang w:eastAsia="en-NZ"/>
        </w:rPr>
        <w:drawing>
          <wp:inline distT="0" distB="0" distL="0" distR="0" wp14:anchorId="3ABF2A89" wp14:editId="5B0739B0">
            <wp:extent cx="5130165" cy="3058916"/>
            <wp:effectExtent l="0" t="0" r="0" b="8255"/>
            <wp:docPr id="321" name="Picture 321" descr="Early neonatal mortality rates are higher for Māori than non-Māori. They rates mostly move together, reaching a low in 2006-08 and climbing slightly since then." title="Figure 109: Age-specific rate of early neonatal deaths per 1,000 live births between 1996–98 and 20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5130165" cy="3058916"/>
                    </a:xfrm>
                    <a:prstGeom prst="rect">
                      <a:avLst/>
                    </a:prstGeom>
                  </pic:spPr>
                </pic:pic>
              </a:graphicData>
            </a:graphic>
          </wp:inline>
        </w:drawing>
      </w:r>
    </w:p>
    <w:p w14:paraId="57B49BC4" w14:textId="77777777" w:rsidR="001127AC" w:rsidRDefault="001127AC" w:rsidP="00B6364B">
      <w:pPr>
        <w:pStyle w:val="Note"/>
        <w:ind w:left="0" w:firstLine="0"/>
      </w:pPr>
      <w:r w:rsidRPr="00181EF3">
        <w:t>Note</w:t>
      </w:r>
      <w:r>
        <w:t>s</w:t>
      </w:r>
      <w:r w:rsidRPr="00181EF3">
        <w:t>:</w:t>
      </w:r>
    </w:p>
    <w:p w14:paraId="46C8918F" w14:textId="77777777" w:rsidR="001127AC" w:rsidRPr="00181EF3" w:rsidRDefault="001127AC" w:rsidP="00B6364B">
      <w:pPr>
        <w:pStyle w:val="Note"/>
        <w:ind w:left="0" w:firstLine="0"/>
      </w:pPr>
      <w:r>
        <w:t>Prioritised ethnicity has been used.</w:t>
      </w:r>
    </w:p>
    <w:p w14:paraId="05ABE554" w14:textId="77777777" w:rsidR="008A5642" w:rsidRDefault="001127AC" w:rsidP="00B6364B">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61DB049F" w14:textId="541A07D9" w:rsidR="001127AC" w:rsidRDefault="001127AC" w:rsidP="00B6364B">
      <w:pPr>
        <w:pStyle w:val="Note"/>
        <w:ind w:left="0" w:firstLine="0"/>
        <w:rPr>
          <w:rFonts w:eastAsia="Calibri"/>
        </w:rPr>
      </w:pPr>
      <w:r w:rsidRPr="00181EF3">
        <w:rPr>
          <w:rFonts w:eastAsia="Calibri"/>
        </w:rPr>
        <w:t>Source: Mortality Collection Data Set (MORT), Ministry of Health</w:t>
      </w:r>
      <w:r>
        <w:rPr>
          <w:rFonts w:eastAsia="Calibri"/>
        </w:rPr>
        <w:t xml:space="preserve">, </w:t>
      </w:r>
      <w:r w:rsidRPr="00181EF3">
        <w:t>1996–98 to 2012–14</w:t>
      </w:r>
      <w:r w:rsidRPr="00181EF3">
        <w:rPr>
          <w:rFonts w:eastAsia="Calibri"/>
        </w:rPr>
        <w:t>.</w:t>
      </w:r>
    </w:p>
    <w:p w14:paraId="5707E584" w14:textId="77777777" w:rsidR="00822BDA" w:rsidRPr="00822BDA" w:rsidRDefault="00822BDA" w:rsidP="00822BDA">
      <w:pPr>
        <w:rPr>
          <w:rFonts w:eastAsia="Calibri"/>
        </w:rPr>
      </w:pPr>
    </w:p>
    <w:p w14:paraId="2A4D4591" w14:textId="77777777" w:rsidR="00AC7707" w:rsidRPr="00181EF3" w:rsidRDefault="00AC7707" w:rsidP="001127AC">
      <w:pPr>
        <w:pStyle w:val="Heading4"/>
      </w:pPr>
      <w:r w:rsidRPr="00181EF3">
        <w:t>Decrease in early neonatal mortality rates for Māori between 1996–98 and 2012–14</w:t>
      </w:r>
    </w:p>
    <w:p w14:paraId="7172A48A" w14:textId="5DBEC3D1" w:rsidR="001127AC" w:rsidRDefault="001127AC" w:rsidP="00AC7707">
      <w:r w:rsidRPr="00181EF3">
        <w:t xml:space="preserve">Figure </w:t>
      </w:r>
      <w:r>
        <w:t>10</w:t>
      </w:r>
      <w:r w:rsidR="003B4A96">
        <w:t>9</w:t>
      </w:r>
      <w:r w:rsidRPr="00181EF3">
        <w:t xml:space="preserve"> shows the age-specific rates of early neonatal deaths per 1,000 live births for Māori and </w:t>
      </w:r>
      <w:r w:rsidR="00EC03A3">
        <w:t>non</w:t>
      </w:r>
      <w:r w:rsidR="00EC03A3">
        <w:noBreakHyphen/>
        <w:t>M</w:t>
      </w:r>
      <w:r w:rsidRPr="00181EF3">
        <w:t>āori between 1996–98 and 2012–14.</w:t>
      </w:r>
    </w:p>
    <w:p w14:paraId="561F2C4E" w14:textId="77777777" w:rsidR="001127AC" w:rsidRDefault="001127AC" w:rsidP="00AC7707"/>
    <w:p w14:paraId="04F39504" w14:textId="77777777" w:rsidR="00AC7707" w:rsidRPr="00181EF3" w:rsidRDefault="00AC7707" w:rsidP="00AC7707">
      <w:r w:rsidRPr="00181EF3">
        <w:t>The age-specific early neonatal mortality rate for Māori decreased from 3.5 deaths per 1,000 live births in 1996–98 to 2.9 deaths per 1,000 live births in 2012–14, a decrease of 17 percent.</w:t>
      </w:r>
    </w:p>
    <w:p w14:paraId="0FA8646B" w14:textId="77777777" w:rsidR="00AC7707" w:rsidRPr="00181EF3" w:rsidRDefault="00AC7707" w:rsidP="00AC7707"/>
    <w:p w14:paraId="4A21058F" w14:textId="6A2DBD54" w:rsidR="00AC7707" w:rsidRDefault="00AC7707" w:rsidP="00AC7707">
      <w:r w:rsidRPr="00181EF3">
        <w:t xml:space="preserve">The age-specific early neonatal mortality rate for </w:t>
      </w:r>
      <w:r w:rsidR="00EC03A3">
        <w:t>non</w:t>
      </w:r>
      <w:r w:rsidR="00EC03A3">
        <w:noBreakHyphen/>
        <w:t>M</w:t>
      </w:r>
      <w:r w:rsidRPr="00181EF3">
        <w:t>āori was constant between 1996–98 and 2012–14 with an average of 2.5 deaths per 1,000 live births.</w:t>
      </w:r>
    </w:p>
    <w:p w14:paraId="64FCEE84" w14:textId="77777777" w:rsidR="00822BDA" w:rsidRPr="00181EF3" w:rsidRDefault="00822BDA" w:rsidP="00AC7707"/>
    <w:p w14:paraId="6FDF0AA0" w14:textId="62364987" w:rsidR="00AC7707" w:rsidRPr="00181EF3" w:rsidRDefault="00AC7707" w:rsidP="001127AC">
      <w:pPr>
        <w:pStyle w:val="Heading4"/>
      </w:pPr>
      <w:r w:rsidRPr="00181EF3">
        <w:lastRenderedPageBreak/>
        <w:t xml:space="preserve">Decrease in the difference between Māori and </w:t>
      </w:r>
      <w:r w:rsidR="00EC03A3">
        <w:t>non</w:t>
      </w:r>
      <w:r w:rsidR="00EC03A3">
        <w:noBreakHyphen/>
        <w:t>M</w:t>
      </w:r>
      <w:r w:rsidRPr="00181EF3">
        <w:t>āori early neonatal mortality rates between 1996–98 and 2012–14</w:t>
      </w:r>
    </w:p>
    <w:p w14:paraId="5AA7877F" w14:textId="0813B4BE" w:rsidR="00AC7707" w:rsidRPr="00181EF3" w:rsidRDefault="00AC7707" w:rsidP="00822BDA">
      <w:pPr>
        <w:keepNext/>
      </w:pPr>
      <w:r w:rsidRPr="00181EF3">
        <w:t xml:space="preserve">The difference in early neonatal mortality rate between Māori and </w:t>
      </w:r>
      <w:r w:rsidR="00EC03A3">
        <w:t>non</w:t>
      </w:r>
      <w:r w:rsidR="00EC03A3">
        <w:noBreakHyphen/>
        <w:t>M</w:t>
      </w:r>
      <w:r w:rsidRPr="00181EF3">
        <w:t>āori decreased from a significant difference of 0.9 deaths per 1,000 live births in 1996–98 to a non-significant difference of 0.1 deaths per 1,000 live births in 2012–14.</w:t>
      </w:r>
    </w:p>
    <w:p w14:paraId="6805F836" w14:textId="77777777" w:rsidR="00AC7707" w:rsidRPr="00181EF3" w:rsidRDefault="00AC7707" w:rsidP="00AC7707"/>
    <w:p w14:paraId="48103118" w14:textId="3A6C4D69" w:rsidR="001127AC" w:rsidRDefault="001127AC" w:rsidP="001127AC">
      <w:r w:rsidRPr="00181EF3">
        <w:t xml:space="preserve">The relative size in early neonatal mortality rate between Māori and </w:t>
      </w:r>
      <w:r w:rsidR="00EC03A3">
        <w:t>non</w:t>
      </w:r>
      <w:r w:rsidR="00EC03A3">
        <w:noBreakHyphen/>
        <w:t>M</w:t>
      </w:r>
      <w:r w:rsidRPr="00181EF3">
        <w:t>āori decreased, going from significant in 1996–98 to non-significant in 2012–14. The rate ratio followed this trend, in 1996–98 Māori early neonatal mortality rates were 1</w:t>
      </w:r>
      <w:r w:rsidRPr="00181EF3">
        <w:rPr>
          <w:rFonts w:cs="Segoe UI"/>
        </w:rPr>
        <w:t>⅓ </w:t>
      </w:r>
      <w:r w:rsidRPr="00181EF3">
        <w:t xml:space="preserve">times as high as </w:t>
      </w:r>
      <w:r w:rsidR="00EC03A3">
        <w:t>non</w:t>
      </w:r>
      <w:r w:rsidR="00EC03A3">
        <w:noBreakHyphen/>
        <w:t>M</w:t>
      </w:r>
      <w:r w:rsidRPr="00181EF3">
        <w:t xml:space="preserve">āori and in 2012–14 Māori and </w:t>
      </w:r>
      <w:r w:rsidR="00EC03A3">
        <w:t>non</w:t>
      </w:r>
      <w:r w:rsidR="00EC03A3">
        <w:noBreakHyphen/>
        <w:t>M</w:t>
      </w:r>
      <w:r w:rsidRPr="00181EF3">
        <w:t>āori early neonatal mortality rates were nearly equal.</w:t>
      </w:r>
    </w:p>
    <w:p w14:paraId="7AFEE251" w14:textId="77777777" w:rsidR="00822BDA" w:rsidRPr="00181EF3" w:rsidRDefault="00822BDA" w:rsidP="001127AC"/>
    <w:p w14:paraId="78332AE5" w14:textId="77777777" w:rsidR="00AC7707" w:rsidRPr="00181EF3" w:rsidRDefault="00AC7707" w:rsidP="00822BDA">
      <w:pPr>
        <w:pStyle w:val="Heading3"/>
        <w:pageBreakBefore/>
        <w:spacing w:before="0"/>
      </w:pPr>
      <w:bookmarkStart w:id="323" w:name="_Toc19102411"/>
      <w:r w:rsidRPr="00181EF3">
        <w:lastRenderedPageBreak/>
        <w:t>Late neonatal</w:t>
      </w:r>
      <w:r w:rsidR="000477A2">
        <w:t xml:space="preserve"> mortality</w:t>
      </w:r>
      <w:bookmarkEnd w:id="323"/>
    </w:p>
    <w:p w14:paraId="5E018E26" w14:textId="4A32131F" w:rsidR="00AC7707" w:rsidRPr="00822BDA" w:rsidRDefault="00AC7707" w:rsidP="00822BDA">
      <w:pPr>
        <w:ind w:right="-284"/>
        <w:rPr>
          <w:spacing w:val="-2"/>
        </w:rPr>
      </w:pPr>
      <w:r w:rsidRPr="00822BDA">
        <w:rPr>
          <w:spacing w:val="-2"/>
        </w:rPr>
        <w:t xml:space="preserve">For the purpose of this </w:t>
      </w:r>
      <w:r w:rsidR="000477A2" w:rsidRPr="00822BDA">
        <w:rPr>
          <w:spacing w:val="-2"/>
        </w:rPr>
        <w:t>report</w:t>
      </w:r>
      <w:r w:rsidR="003F3EA8" w:rsidRPr="00822BDA">
        <w:rPr>
          <w:spacing w:val="-2"/>
        </w:rPr>
        <w:t xml:space="preserve">, </w:t>
      </w:r>
      <w:r w:rsidRPr="00822BDA">
        <w:rPr>
          <w:spacing w:val="-2"/>
        </w:rPr>
        <w:t>late neonatal is defined as the age group 8–28 days of age.</w:t>
      </w:r>
    </w:p>
    <w:p w14:paraId="40808A73" w14:textId="77777777" w:rsidR="00822BDA" w:rsidRPr="00181EF3" w:rsidRDefault="00822BDA" w:rsidP="00AC7707"/>
    <w:p w14:paraId="7CB7247D" w14:textId="151D9393" w:rsidR="001127AC" w:rsidRPr="00181EF3" w:rsidRDefault="001127AC" w:rsidP="00822BDA">
      <w:pPr>
        <w:pStyle w:val="Figure"/>
        <w:spacing w:before="0" w:after="60"/>
      </w:pPr>
      <w:bookmarkStart w:id="324" w:name="_Toc19101961"/>
      <w:r w:rsidRPr="00181EF3">
        <w:t xml:space="preserve">Figure </w:t>
      </w:r>
      <w:r w:rsidR="00572A9A">
        <w:rPr>
          <w:noProof/>
        </w:rPr>
        <w:t>110</w:t>
      </w:r>
      <w:r w:rsidRPr="00181EF3">
        <w:t xml:space="preserve">: </w:t>
      </w:r>
      <w:r>
        <w:t>L</w:t>
      </w:r>
      <w:r w:rsidRPr="00181EF3">
        <w:t xml:space="preserve">ate neonatal </w:t>
      </w:r>
      <w:r>
        <w:t xml:space="preserve">mortality rates, Māori and </w:t>
      </w:r>
      <w:r w:rsidR="00EC03A3">
        <w:t>non</w:t>
      </w:r>
      <w:r w:rsidR="00EC03A3">
        <w:noBreakHyphen/>
        <w:t>M</w:t>
      </w:r>
      <w:r>
        <w:t xml:space="preserve">āori, </w:t>
      </w:r>
      <w:r w:rsidRPr="00181EF3">
        <w:t xml:space="preserve">1996–98 </w:t>
      </w:r>
      <w:r>
        <w:t>to</w:t>
      </w:r>
      <w:r w:rsidRPr="00181EF3">
        <w:t xml:space="preserve"> 2012–14</w:t>
      </w:r>
      <w:bookmarkEnd w:id="324"/>
    </w:p>
    <w:p w14:paraId="18FFC3B4" w14:textId="77777777" w:rsidR="001127AC" w:rsidRPr="00181EF3" w:rsidRDefault="001127AC" w:rsidP="001127AC">
      <w:r w:rsidRPr="00181EF3">
        <w:rPr>
          <w:noProof/>
          <w:lang w:eastAsia="en-NZ"/>
        </w:rPr>
        <w:drawing>
          <wp:inline distT="0" distB="0" distL="0" distR="0" wp14:anchorId="0456D73E" wp14:editId="3CC20B13">
            <wp:extent cx="5130165" cy="3058916"/>
            <wp:effectExtent l="0" t="0" r="0" b="8255"/>
            <wp:docPr id="322" name="Picture 322" descr="Late neonatal mortality rates have fluctuated for both groups over time, moreso for Māori than non-Māori. The rates for Māori were often higher than those for non-Māori, but were often close or the same and actually dropped below the non-Māori rate in 2012-14." title="Figure 110: Age-specific rate of late neonatal deaths per 1,000 live births betw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130165" cy="3058916"/>
                    </a:xfrm>
                    <a:prstGeom prst="rect">
                      <a:avLst/>
                    </a:prstGeom>
                  </pic:spPr>
                </pic:pic>
              </a:graphicData>
            </a:graphic>
          </wp:inline>
        </w:drawing>
      </w:r>
    </w:p>
    <w:p w14:paraId="27038046" w14:textId="77777777" w:rsidR="001127AC" w:rsidRDefault="001127AC" w:rsidP="001127AC">
      <w:pPr>
        <w:pStyle w:val="Note"/>
      </w:pPr>
      <w:r w:rsidRPr="00181EF3">
        <w:t>Note</w:t>
      </w:r>
      <w:r>
        <w:t>s</w:t>
      </w:r>
      <w:r w:rsidRPr="00181EF3">
        <w:t>:</w:t>
      </w:r>
    </w:p>
    <w:p w14:paraId="4C5CB387" w14:textId="77777777" w:rsidR="001127AC" w:rsidRPr="00181EF3" w:rsidRDefault="001127AC" w:rsidP="00822BDA">
      <w:pPr>
        <w:pStyle w:val="Note"/>
        <w:spacing w:before="40"/>
      </w:pPr>
      <w:r>
        <w:t>Prioritised ethnicity has been used.</w:t>
      </w:r>
    </w:p>
    <w:p w14:paraId="6CB30343" w14:textId="77777777" w:rsidR="008A5642" w:rsidRPr="00822BDA" w:rsidRDefault="001127AC" w:rsidP="00822BDA">
      <w:pPr>
        <w:pStyle w:val="Note"/>
        <w:spacing w:before="40"/>
        <w:ind w:left="0" w:right="-284" w:firstLine="0"/>
        <w:rPr>
          <w:spacing w:val="-2"/>
        </w:rPr>
      </w:pPr>
      <w:r w:rsidRPr="00822BDA">
        <w:rPr>
          <w:spacing w:val="-2"/>
        </w:rPr>
        <w:t>If the confidence intervals of two rates do not overlap, the difference in rates is said to be statistically significant.</w:t>
      </w:r>
    </w:p>
    <w:p w14:paraId="51EF3534" w14:textId="2E8984A9" w:rsidR="001127AC" w:rsidRDefault="001127AC" w:rsidP="00822BDA">
      <w:pPr>
        <w:pStyle w:val="Source"/>
        <w:spacing w:before="40"/>
        <w:rPr>
          <w:rFonts w:eastAsia="Calibri"/>
        </w:rPr>
      </w:pPr>
      <w:r w:rsidRPr="00181EF3">
        <w:rPr>
          <w:rFonts w:eastAsia="Calibri"/>
        </w:rPr>
        <w:t>Source: Mortality Collection Data Set (MORT), Ministry of Health</w:t>
      </w:r>
      <w:r>
        <w:rPr>
          <w:rFonts w:eastAsia="Calibri"/>
        </w:rPr>
        <w:t xml:space="preserve">, </w:t>
      </w:r>
      <w:r w:rsidRPr="00181EF3">
        <w:t>1996–98 to 2012–14</w:t>
      </w:r>
      <w:r w:rsidRPr="00181EF3">
        <w:rPr>
          <w:rFonts w:eastAsia="Calibri"/>
        </w:rPr>
        <w:t>.</w:t>
      </w:r>
    </w:p>
    <w:p w14:paraId="1E4C33A6" w14:textId="77777777" w:rsidR="00822BDA" w:rsidRPr="00822BDA" w:rsidRDefault="00822BDA" w:rsidP="00822BDA">
      <w:pPr>
        <w:rPr>
          <w:rFonts w:eastAsia="Calibri"/>
        </w:rPr>
      </w:pPr>
    </w:p>
    <w:p w14:paraId="60D8E73A" w14:textId="77777777" w:rsidR="00AC7707" w:rsidRPr="00181EF3" w:rsidRDefault="00AC7707" w:rsidP="001127AC">
      <w:pPr>
        <w:pStyle w:val="Heading4"/>
      </w:pPr>
      <w:r w:rsidRPr="00181EF3">
        <w:t>Decrease in late neonatal mortality rates for Māori between 1996–98 and 2012–14</w:t>
      </w:r>
    </w:p>
    <w:p w14:paraId="7C2B8604" w14:textId="6E0C399D" w:rsidR="001127AC" w:rsidRPr="00181EF3" w:rsidRDefault="001127AC" w:rsidP="001127AC">
      <w:r w:rsidRPr="00181EF3">
        <w:t xml:space="preserve">Figure </w:t>
      </w:r>
      <w:r>
        <w:t>1</w:t>
      </w:r>
      <w:r w:rsidR="003B4A96">
        <w:t>10</w:t>
      </w:r>
      <w:r w:rsidRPr="00181EF3">
        <w:t xml:space="preserve"> shows the age-specific rates for late neonatal </w:t>
      </w:r>
      <w:r w:rsidR="00AE55BA">
        <w:t>death</w:t>
      </w:r>
      <w:r w:rsidRPr="00181EF3">
        <w:t xml:space="preserve">s per 1,000 live births for Māori and </w:t>
      </w:r>
      <w:r w:rsidR="00EC03A3">
        <w:t>non</w:t>
      </w:r>
      <w:r w:rsidR="00EC03A3">
        <w:noBreakHyphen/>
        <w:t>M</w:t>
      </w:r>
      <w:r w:rsidRPr="00181EF3">
        <w:t>āori between 1996–98 and 2012–14.</w:t>
      </w:r>
    </w:p>
    <w:p w14:paraId="2CC14183" w14:textId="77777777" w:rsidR="001127AC" w:rsidRDefault="001127AC" w:rsidP="00AC7707"/>
    <w:p w14:paraId="0CFB1463" w14:textId="77777777" w:rsidR="00AC7707" w:rsidRPr="00181EF3" w:rsidRDefault="00AC7707" w:rsidP="00AC7707">
      <w:r w:rsidRPr="00181EF3">
        <w:t>The age-specific late neonatal mortality rate for Māori halved between 1996–98</w:t>
      </w:r>
      <w:r w:rsidR="001127AC">
        <w:t xml:space="preserve"> and </w:t>
      </w:r>
      <w:r w:rsidR="001127AC" w:rsidRPr="00181EF3">
        <w:t>2012–14</w:t>
      </w:r>
      <w:r w:rsidR="001127AC">
        <w:t>. T</w:t>
      </w:r>
      <w:r w:rsidRPr="00181EF3">
        <w:t>he rate was 1.0 deaths per 1,000 live births</w:t>
      </w:r>
      <w:r w:rsidR="001127AC">
        <w:t xml:space="preserve"> in </w:t>
      </w:r>
      <w:r w:rsidR="001127AC" w:rsidRPr="00181EF3">
        <w:t>1996–98</w:t>
      </w:r>
      <w:r w:rsidRPr="00181EF3">
        <w:t xml:space="preserve">, and </w:t>
      </w:r>
      <w:r w:rsidR="001127AC">
        <w:t xml:space="preserve">the rate was </w:t>
      </w:r>
      <w:r w:rsidR="001127AC" w:rsidRPr="00181EF3">
        <w:t>0.5 deaths per 1,000 live births</w:t>
      </w:r>
      <w:r w:rsidR="001127AC">
        <w:t xml:space="preserve"> in </w:t>
      </w:r>
      <w:r w:rsidRPr="00181EF3">
        <w:t>2012–14.</w:t>
      </w:r>
    </w:p>
    <w:p w14:paraId="1749CC9F" w14:textId="77777777" w:rsidR="00AC7707" w:rsidRPr="00181EF3" w:rsidRDefault="00AC7707" w:rsidP="00AC7707"/>
    <w:p w14:paraId="053B9B26" w14:textId="0CB4FFAE" w:rsidR="00AC7707" w:rsidRDefault="00AC7707" w:rsidP="00AC7707">
      <w:r w:rsidRPr="00181EF3">
        <w:t xml:space="preserve">The age-specific late neonatal mortality rate for </w:t>
      </w:r>
      <w:r w:rsidR="00EC03A3">
        <w:t>non</w:t>
      </w:r>
      <w:r w:rsidR="00EC03A3">
        <w:noBreakHyphen/>
        <w:t>M</w:t>
      </w:r>
      <w:r w:rsidRPr="00181EF3">
        <w:t>āori remained constant between 1996–98 and 2012–14 with an average of 0.6 deaths per live births.</w:t>
      </w:r>
    </w:p>
    <w:p w14:paraId="6C6620EC" w14:textId="77777777" w:rsidR="00822BDA" w:rsidRPr="00181EF3" w:rsidRDefault="00822BDA" w:rsidP="00AC7707"/>
    <w:p w14:paraId="5ABBBACC" w14:textId="15E64C44" w:rsidR="00AC7707" w:rsidRPr="00181EF3" w:rsidRDefault="00AC7707" w:rsidP="001127AC">
      <w:pPr>
        <w:pStyle w:val="Heading4"/>
      </w:pPr>
      <w:r w:rsidRPr="00181EF3">
        <w:t xml:space="preserve">Differences between Māori and </w:t>
      </w:r>
      <w:r w:rsidR="00EC03A3">
        <w:t>non</w:t>
      </w:r>
      <w:r w:rsidR="00EC03A3">
        <w:noBreakHyphen/>
        <w:t>M</w:t>
      </w:r>
      <w:r w:rsidRPr="00181EF3">
        <w:t>āori in late neonatal mortality rates between 1996–98 and 2012–14</w:t>
      </w:r>
    </w:p>
    <w:p w14:paraId="6EFA1493" w14:textId="1D9CF576" w:rsidR="00AC7707" w:rsidRPr="00181EF3" w:rsidRDefault="00AC7707" w:rsidP="00822BDA">
      <w:r w:rsidRPr="00181EF3">
        <w:t xml:space="preserve">In 1996–98 and 2009–11 the age-specific late neonatal mortality rate ratio showed that Māori had rates over 50 percent greater than </w:t>
      </w:r>
      <w:r w:rsidR="00EC03A3">
        <w:t>non</w:t>
      </w:r>
      <w:r w:rsidR="00EC03A3">
        <w:noBreakHyphen/>
        <w:t>M</w:t>
      </w:r>
      <w:r w:rsidRPr="00181EF3">
        <w:t xml:space="preserve">āori. The rate ratios between 1997–98 and 2012–14 </w:t>
      </w:r>
      <w:r w:rsidR="001127AC">
        <w:t>showed that t</w:t>
      </w:r>
      <w:r w:rsidRPr="00181EF3">
        <w:t xml:space="preserve">here were no significant differences in the </w:t>
      </w:r>
      <w:r w:rsidR="001127AC">
        <w:t xml:space="preserve">late neonatal mortality </w:t>
      </w:r>
      <w:r w:rsidRPr="00181EF3">
        <w:t xml:space="preserve">rates between Māori and </w:t>
      </w:r>
      <w:r w:rsidR="00EC03A3">
        <w:t>non</w:t>
      </w:r>
      <w:r w:rsidR="00EC03A3">
        <w:noBreakHyphen/>
        <w:t>M</w:t>
      </w:r>
      <w:r w:rsidRPr="00181EF3">
        <w:t>āori.</w:t>
      </w:r>
    </w:p>
    <w:p w14:paraId="17C17CB9" w14:textId="77777777" w:rsidR="008A5642" w:rsidRDefault="00AC7707" w:rsidP="00822BDA">
      <w:pPr>
        <w:pStyle w:val="Heading3"/>
        <w:pageBreakBefore/>
        <w:spacing w:before="0"/>
      </w:pPr>
      <w:bookmarkStart w:id="325" w:name="_Toc19102412"/>
      <w:r w:rsidRPr="00181EF3">
        <w:lastRenderedPageBreak/>
        <w:t>Post neonatal</w:t>
      </w:r>
      <w:r w:rsidR="000477A2">
        <w:t xml:space="preserve"> mortality</w:t>
      </w:r>
      <w:bookmarkEnd w:id="325"/>
    </w:p>
    <w:p w14:paraId="66C4A694" w14:textId="2A910033" w:rsidR="00AC7707" w:rsidRDefault="00AC7707" w:rsidP="00AC7707">
      <w:r w:rsidRPr="00181EF3">
        <w:t xml:space="preserve">For the purpose of this </w:t>
      </w:r>
      <w:r w:rsidR="000477A2">
        <w:t>report</w:t>
      </w:r>
      <w:r w:rsidR="003F3EA8">
        <w:t>,</w:t>
      </w:r>
      <w:r w:rsidRPr="00181EF3">
        <w:t xml:space="preserve"> post neonatal is defined as the age group 29 days to 1 year of age.</w:t>
      </w:r>
    </w:p>
    <w:p w14:paraId="64E0E6DB" w14:textId="77777777" w:rsidR="00822BDA" w:rsidRPr="00181EF3" w:rsidRDefault="00822BDA" w:rsidP="00822BDA"/>
    <w:p w14:paraId="21377886" w14:textId="38A40E41" w:rsidR="000477A2" w:rsidRPr="00181EF3" w:rsidRDefault="000477A2" w:rsidP="000477A2">
      <w:pPr>
        <w:pStyle w:val="Figure"/>
      </w:pPr>
      <w:bookmarkStart w:id="326" w:name="_Toc19101962"/>
      <w:r w:rsidRPr="00181EF3">
        <w:t xml:space="preserve">Figure </w:t>
      </w:r>
      <w:r w:rsidR="00572A9A">
        <w:rPr>
          <w:noProof/>
        </w:rPr>
        <w:t>111</w:t>
      </w:r>
      <w:r w:rsidRPr="00181EF3">
        <w:t xml:space="preserve">: </w:t>
      </w:r>
      <w:r>
        <w:t>P</w:t>
      </w:r>
      <w:r w:rsidRPr="00181EF3">
        <w:t xml:space="preserve">ost neonatal </w:t>
      </w:r>
      <w:r>
        <w:t xml:space="preserve">mortality rates, Māori and </w:t>
      </w:r>
      <w:r w:rsidR="00EC03A3">
        <w:t>non</w:t>
      </w:r>
      <w:r w:rsidR="00EC03A3">
        <w:noBreakHyphen/>
        <w:t>M</w:t>
      </w:r>
      <w:r>
        <w:t xml:space="preserve">āori, </w:t>
      </w:r>
      <w:r w:rsidRPr="00181EF3">
        <w:t xml:space="preserve">1996–98 </w:t>
      </w:r>
      <w:r>
        <w:t>to</w:t>
      </w:r>
      <w:r w:rsidRPr="00181EF3">
        <w:t xml:space="preserve"> 2012–14</w:t>
      </w:r>
      <w:bookmarkEnd w:id="326"/>
    </w:p>
    <w:p w14:paraId="681770B6" w14:textId="77777777" w:rsidR="000477A2" w:rsidRPr="00181EF3" w:rsidRDefault="000477A2" w:rsidP="000477A2">
      <w:r w:rsidRPr="00181EF3">
        <w:rPr>
          <w:noProof/>
          <w:lang w:eastAsia="en-NZ"/>
        </w:rPr>
        <w:drawing>
          <wp:inline distT="0" distB="0" distL="0" distR="0" wp14:anchorId="235D2A09" wp14:editId="0D62AA48">
            <wp:extent cx="5130165" cy="3058916"/>
            <wp:effectExtent l="0" t="0" r="0" b="8255"/>
            <wp:docPr id="323" name="Picture 323" descr="Post neonatal mortality rates are higher for Māori than non-Māori. The rate for non-Māori has decreased slightly over time. While Māori have seen a much faster decrease, the Māori rate has not yet reached parity with the non-Māori rate." title="Figure 111: Age-specific rate of post neonatal deaths per 1,000 live births between 1996–98 and 20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130165" cy="3058916"/>
                    </a:xfrm>
                    <a:prstGeom prst="rect">
                      <a:avLst/>
                    </a:prstGeom>
                  </pic:spPr>
                </pic:pic>
              </a:graphicData>
            </a:graphic>
          </wp:inline>
        </w:drawing>
      </w:r>
    </w:p>
    <w:p w14:paraId="664BF39F" w14:textId="77777777" w:rsidR="000477A2" w:rsidRDefault="000477A2" w:rsidP="000477A2">
      <w:pPr>
        <w:pStyle w:val="Note"/>
      </w:pPr>
      <w:r w:rsidRPr="00181EF3">
        <w:t>Note</w:t>
      </w:r>
      <w:r>
        <w:t>s</w:t>
      </w:r>
      <w:r w:rsidRPr="00181EF3">
        <w:t>:</w:t>
      </w:r>
    </w:p>
    <w:p w14:paraId="0ACDFE1F" w14:textId="77777777" w:rsidR="000477A2" w:rsidRPr="00181EF3" w:rsidRDefault="000477A2" w:rsidP="000477A2">
      <w:pPr>
        <w:pStyle w:val="Note"/>
      </w:pPr>
      <w:r>
        <w:t>Prioritised ethnicity has been used.</w:t>
      </w:r>
    </w:p>
    <w:p w14:paraId="7B211115" w14:textId="77777777" w:rsidR="008A5642" w:rsidRDefault="000477A2" w:rsidP="00B6364B">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14F3D3E8" w14:textId="74DA70AA" w:rsidR="000477A2" w:rsidRPr="00181EF3" w:rsidRDefault="000477A2" w:rsidP="000477A2">
      <w:pPr>
        <w:pStyle w:val="Source"/>
        <w:rPr>
          <w:rFonts w:eastAsia="Calibri"/>
        </w:rPr>
      </w:pPr>
      <w:r w:rsidRPr="00181EF3">
        <w:rPr>
          <w:rFonts w:eastAsia="Calibri"/>
        </w:rPr>
        <w:t>Source: Mortality Collection Data Set (MORT), Ministry of Health</w:t>
      </w:r>
      <w:r>
        <w:rPr>
          <w:rFonts w:eastAsia="Calibri"/>
        </w:rPr>
        <w:t xml:space="preserve">, </w:t>
      </w:r>
      <w:r w:rsidRPr="00181EF3">
        <w:t>1996–98 to 2012–14</w:t>
      </w:r>
      <w:r w:rsidRPr="00181EF3">
        <w:rPr>
          <w:rFonts w:eastAsia="Calibri"/>
        </w:rPr>
        <w:t>.</w:t>
      </w:r>
    </w:p>
    <w:p w14:paraId="69151C5B" w14:textId="77777777" w:rsidR="00AC7707" w:rsidRPr="00181EF3" w:rsidRDefault="00AC7707" w:rsidP="00AC7707"/>
    <w:p w14:paraId="69EDCE49" w14:textId="77777777" w:rsidR="00AC7707" w:rsidRPr="00181EF3" w:rsidRDefault="00AC7707" w:rsidP="001127AC">
      <w:pPr>
        <w:pStyle w:val="Heading4"/>
      </w:pPr>
      <w:r w:rsidRPr="00181EF3">
        <w:t>Significant decrease in post neonatal mortality rate for Māori between 1996–98 and 2012–14</w:t>
      </w:r>
    </w:p>
    <w:p w14:paraId="1814A945" w14:textId="57AB4690" w:rsidR="008A5642" w:rsidRDefault="000477A2" w:rsidP="00822BDA">
      <w:r w:rsidRPr="00181EF3">
        <w:t xml:space="preserve">Figure </w:t>
      </w:r>
      <w:r>
        <w:t>11</w:t>
      </w:r>
      <w:r w:rsidR="003B4A96">
        <w:t>1</w:t>
      </w:r>
      <w:r w:rsidRPr="00181EF3">
        <w:t xml:space="preserve"> shows the age-specific post neonatal mortality rate per 1,000 live births for Māori and </w:t>
      </w:r>
      <w:r w:rsidR="00EC03A3">
        <w:t>non</w:t>
      </w:r>
      <w:r w:rsidR="00EC03A3">
        <w:noBreakHyphen/>
        <w:t>M</w:t>
      </w:r>
      <w:r w:rsidRPr="00181EF3">
        <w:t>āori between 1996–98 and 2012–14.</w:t>
      </w:r>
    </w:p>
    <w:p w14:paraId="6BFA5EE6" w14:textId="3E993F0D" w:rsidR="000477A2" w:rsidRPr="00181EF3" w:rsidRDefault="000477A2" w:rsidP="000477A2"/>
    <w:p w14:paraId="7F178D45" w14:textId="61ADB279" w:rsidR="00AC7707" w:rsidRPr="00181EF3" w:rsidRDefault="000477A2" w:rsidP="00AC7707">
      <w:r w:rsidRPr="00181EF3">
        <w:t>The post neonatal mortality rate for Māori more than halved between 1996–98 and 2012–14</w:t>
      </w:r>
      <w:r w:rsidR="00AE55BA">
        <w:t xml:space="preserve">, </w:t>
      </w:r>
      <w:r w:rsidR="00AC7707" w:rsidRPr="00181EF3">
        <w:t>from 5.7 deaths per 1,000 live births in 1996–98 to 2.4 deaths per 1,000 live births in</w:t>
      </w:r>
      <w:r w:rsidR="00AE55BA">
        <w:t xml:space="preserve"> </w:t>
      </w:r>
      <w:r w:rsidR="00AC7707" w:rsidRPr="00181EF3">
        <w:t>2012–14, a decrease of 58 percent.</w:t>
      </w:r>
    </w:p>
    <w:p w14:paraId="459389AD" w14:textId="77777777" w:rsidR="00AC7707" w:rsidRPr="00181EF3" w:rsidRDefault="00AC7707" w:rsidP="00AC7707"/>
    <w:p w14:paraId="48158432" w14:textId="77777777" w:rsidR="00AC7707" w:rsidRPr="00181EF3" w:rsidRDefault="000477A2" w:rsidP="00AC7707">
      <w:r>
        <w:t>T</w:t>
      </w:r>
      <w:r w:rsidRPr="00181EF3">
        <w:t>he greatest decrease, a drop of 33 percent, occurred between 2009–11</w:t>
      </w:r>
      <w:r>
        <w:t xml:space="preserve"> </w:t>
      </w:r>
      <w:r w:rsidRPr="00181EF3">
        <w:t>and 2012–14.</w:t>
      </w:r>
      <w:r>
        <w:t xml:space="preserve"> </w:t>
      </w:r>
      <w:r w:rsidR="00AC7707" w:rsidRPr="00181EF3">
        <w:t>The rate was 3.6 deaths per 1,000 live births</w:t>
      </w:r>
      <w:r>
        <w:t xml:space="preserve"> in </w:t>
      </w:r>
      <w:r w:rsidRPr="00181EF3">
        <w:t>2009–11</w:t>
      </w:r>
      <w:r w:rsidR="00AC7707" w:rsidRPr="00181EF3">
        <w:t>, and the rate was 2.4 deaths per 1,000 live births</w:t>
      </w:r>
      <w:r>
        <w:t xml:space="preserve"> in 2012–14</w:t>
      </w:r>
      <w:r w:rsidR="00AC7707" w:rsidRPr="00181EF3">
        <w:t>.</w:t>
      </w:r>
    </w:p>
    <w:p w14:paraId="7C7D3D8A" w14:textId="77777777" w:rsidR="00AC7707" w:rsidRPr="00181EF3" w:rsidRDefault="00AC7707" w:rsidP="00AC7707"/>
    <w:p w14:paraId="6BAECCFE" w14:textId="2F49932C" w:rsidR="00AC7707" w:rsidRPr="00181EF3" w:rsidRDefault="00AC7707" w:rsidP="00AC7707">
      <w:r w:rsidRPr="00181EF3">
        <w:t xml:space="preserve">The age-specific post neonatal mortality rate for </w:t>
      </w:r>
      <w:r w:rsidR="00EC03A3">
        <w:t>non</w:t>
      </w:r>
      <w:r w:rsidR="00EC03A3">
        <w:noBreakHyphen/>
        <w:t>M</w:t>
      </w:r>
      <w:r w:rsidRPr="00181EF3">
        <w:t>āori decreased from 2.0 deaths per 1,000 live births in 1996–98 to 1.2 deaths per 1,000 live births in 2012–14, a decrease of 40 percent.</w:t>
      </w:r>
    </w:p>
    <w:p w14:paraId="2BFB21D6" w14:textId="77777777" w:rsidR="00AC7707" w:rsidRPr="00181EF3" w:rsidRDefault="00AC7707" w:rsidP="00AC7707"/>
    <w:p w14:paraId="5C4DE86E" w14:textId="70068E16" w:rsidR="00AC7707" w:rsidRPr="00181EF3" w:rsidRDefault="00AC7707" w:rsidP="001127AC">
      <w:pPr>
        <w:pStyle w:val="Heading4"/>
      </w:pPr>
      <w:r w:rsidRPr="00181EF3">
        <w:lastRenderedPageBreak/>
        <w:t xml:space="preserve">Decrease in difference in post neonatal mortality rates for Māori and </w:t>
      </w:r>
      <w:r w:rsidR="00EC03A3">
        <w:t>non</w:t>
      </w:r>
      <w:r w:rsidR="00EC03A3">
        <w:noBreakHyphen/>
        <w:t>M</w:t>
      </w:r>
      <w:r w:rsidRPr="00181EF3">
        <w:t>āori between 1996–98 and 2012–14</w:t>
      </w:r>
    </w:p>
    <w:p w14:paraId="33DAAE0F" w14:textId="449EBD8E" w:rsidR="00AC7707" w:rsidRPr="00181EF3" w:rsidRDefault="00AC7707" w:rsidP="00AC7707">
      <w:r w:rsidRPr="00181EF3">
        <w:t xml:space="preserve">The difference between Māori and </w:t>
      </w:r>
      <w:r w:rsidR="00EC03A3">
        <w:t>non</w:t>
      </w:r>
      <w:r w:rsidR="00EC03A3">
        <w:noBreakHyphen/>
        <w:t>M</w:t>
      </w:r>
      <w:r w:rsidRPr="00181EF3">
        <w:t xml:space="preserve">āori post neonatal mortality rates decreased from 3.7 deaths per 1,000 live births in 1996–98 to 1.2 deaths per 1,000 live births in 2012–14, a decrease of 68 percent. Despite this decrease the difference between Māori and </w:t>
      </w:r>
      <w:r w:rsidR="00EC03A3">
        <w:t>non</w:t>
      </w:r>
      <w:r w:rsidR="00EC03A3">
        <w:noBreakHyphen/>
        <w:t>M</w:t>
      </w:r>
      <w:r w:rsidRPr="00181EF3">
        <w:t>āori remained significant.</w:t>
      </w:r>
    </w:p>
    <w:p w14:paraId="67545714" w14:textId="77777777" w:rsidR="00AC7707" w:rsidRPr="00181EF3" w:rsidRDefault="00AC7707" w:rsidP="00AC7707"/>
    <w:p w14:paraId="299D8E1B" w14:textId="3315C44E" w:rsidR="00AC7707" w:rsidRPr="00181EF3" w:rsidRDefault="00AC7707" w:rsidP="00AC7707">
      <w:r w:rsidRPr="00181EF3">
        <w:t xml:space="preserve">The rate ratio for post neonatal </w:t>
      </w:r>
      <w:r w:rsidR="00AE55BA">
        <w:t xml:space="preserve">mortality </w:t>
      </w:r>
      <w:r w:rsidRPr="00181EF3">
        <w:t xml:space="preserve">also indicated a decrease in the difference between Māori and </w:t>
      </w:r>
      <w:r w:rsidR="00EC03A3">
        <w:t>non</w:t>
      </w:r>
      <w:r w:rsidR="00EC03A3">
        <w:noBreakHyphen/>
        <w:t>M</w:t>
      </w:r>
      <w:r w:rsidRPr="00181EF3">
        <w:t xml:space="preserve">āori post neonatal mortality rates. In 1996–98 Māori had a post neonatal mortality rate over 2½ times as high as the rate of </w:t>
      </w:r>
      <w:r w:rsidR="00EC03A3">
        <w:t>non</w:t>
      </w:r>
      <w:r w:rsidR="00EC03A3">
        <w:noBreakHyphen/>
        <w:t>M</w:t>
      </w:r>
      <w:r w:rsidRPr="00181EF3">
        <w:t xml:space="preserve">āori, in comparison Māori had a post neonatal mortality rate nearly twice as high as </w:t>
      </w:r>
      <w:r w:rsidR="00EC03A3">
        <w:t>non</w:t>
      </w:r>
      <w:r w:rsidR="00EC03A3">
        <w:noBreakHyphen/>
        <w:t>M</w:t>
      </w:r>
      <w:r w:rsidRPr="00181EF3">
        <w:t>āori in 2012–14.</w:t>
      </w:r>
    </w:p>
    <w:p w14:paraId="1C61749B" w14:textId="77777777" w:rsidR="00AC7707" w:rsidRPr="00181EF3" w:rsidRDefault="00AC7707" w:rsidP="00AC7707"/>
    <w:p w14:paraId="17A74E7D" w14:textId="77777777" w:rsidR="00AC7707" w:rsidRPr="00181EF3" w:rsidRDefault="00AC7707" w:rsidP="00822BDA">
      <w:pPr>
        <w:pStyle w:val="Heading3"/>
        <w:pageBreakBefore/>
        <w:spacing w:before="0"/>
      </w:pPr>
      <w:bookmarkStart w:id="327" w:name="_Toc19102413"/>
      <w:r w:rsidRPr="00181EF3">
        <w:lastRenderedPageBreak/>
        <w:t xml:space="preserve">Sudden </w:t>
      </w:r>
      <w:r w:rsidR="000477A2">
        <w:t>u</w:t>
      </w:r>
      <w:r w:rsidRPr="00181EF3">
        <w:t xml:space="preserve">nexpected </w:t>
      </w:r>
      <w:r w:rsidR="000477A2">
        <w:t>d</w:t>
      </w:r>
      <w:r w:rsidRPr="00181EF3">
        <w:t xml:space="preserve">eath in </w:t>
      </w:r>
      <w:r w:rsidR="000477A2">
        <w:t>i</w:t>
      </w:r>
      <w:r w:rsidRPr="00181EF3">
        <w:t>nfancy (SUDI)</w:t>
      </w:r>
      <w:r w:rsidR="000477A2">
        <w:t xml:space="preserve"> mortality</w:t>
      </w:r>
      <w:bookmarkEnd w:id="327"/>
    </w:p>
    <w:p w14:paraId="087AE2C9" w14:textId="71E0BCBB" w:rsidR="00AC7707" w:rsidRDefault="00AC7707" w:rsidP="00822BDA">
      <w:r w:rsidRPr="00181EF3">
        <w:t>S</w:t>
      </w:r>
      <w:r w:rsidR="00AE55BA">
        <w:t>udden unexpected death in infancy (S</w:t>
      </w:r>
      <w:r w:rsidRPr="00181EF3">
        <w:t>UDI</w:t>
      </w:r>
      <w:r w:rsidR="00AE55BA">
        <w:t>)</w:t>
      </w:r>
      <w:r w:rsidRPr="00181EF3">
        <w:t xml:space="preserve"> includes sudden infant death syndrome (SIDS), unintentional suffocation and other unspecified sudden deaths or unattended deaths from unknown causes.</w:t>
      </w:r>
    </w:p>
    <w:p w14:paraId="51D205CC" w14:textId="77777777" w:rsidR="00822BDA" w:rsidRPr="00181EF3" w:rsidRDefault="00822BDA" w:rsidP="00822BDA"/>
    <w:p w14:paraId="6D5AF689" w14:textId="56A6F3EA" w:rsidR="000477A2" w:rsidRPr="00181EF3" w:rsidRDefault="000477A2" w:rsidP="000477A2">
      <w:pPr>
        <w:pStyle w:val="Figure"/>
      </w:pPr>
      <w:bookmarkStart w:id="328" w:name="_Toc19101963"/>
      <w:r w:rsidRPr="00181EF3">
        <w:t xml:space="preserve">Figure </w:t>
      </w:r>
      <w:r w:rsidR="00572A9A">
        <w:rPr>
          <w:noProof/>
        </w:rPr>
        <w:t>112</w:t>
      </w:r>
      <w:r w:rsidRPr="00181EF3">
        <w:t xml:space="preserve">: </w:t>
      </w:r>
      <w:r>
        <w:t>Sudden unexpected death in infancy</w:t>
      </w:r>
      <w:r w:rsidRPr="00181EF3">
        <w:t xml:space="preserve"> </w:t>
      </w:r>
      <w:r>
        <w:t>(SUDI)</w:t>
      </w:r>
      <w:r w:rsidRPr="00181EF3">
        <w:t xml:space="preserve"> </w:t>
      </w:r>
      <w:r>
        <w:t>mortality rates</w:t>
      </w:r>
      <w:r w:rsidRPr="00181EF3">
        <w:t xml:space="preserve">, Māori and </w:t>
      </w:r>
      <w:r w:rsidR="00EC03A3">
        <w:t>non</w:t>
      </w:r>
      <w:r w:rsidR="00EC03A3">
        <w:noBreakHyphen/>
        <w:t>M</w:t>
      </w:r>
      <w:r w:rsidRPr="00181EF3">
        <w:t xml:space="preserve">āori, 1996–98 </w:t>
      </w:r>
      <w:r>
        <w:t xml:space="preserve">to </w:t>
      </w:r>
      <w:r w:rsidRPr="00181EF3">
        <w:t>2012–14</w:t>
      </w:r>
      <w:bookmarkEnd w:id="328"/>
    </w:p>
    <w:p w14:paraId="55B0C47A" w14:textId="77777777" w:rsidR="000477A2" w:rsidRPr="00181EF3" w:rsidRDefault="000477A2" w:rsidP="000477A2">
      <w:r w:rsidRPr="00181EF3">
        <w:rPr>
          <w:noProof/>
          <w:lang w:eastAsia="en-NZ"/>
        </w:rPr>
        <w:drawing>
          <wp:inline distT="0" distB="0" distL="0" distR="0" wp14:anchorId="6BB19353" wp14:editId="7B6FE52E">
            <wp:extent cx="5130165" cy="3058916"/>
            <wp:effectExtent l="0" t="0" r="0" b="8255"/>
            <wp:docPr id="326" name="Picture 326" descr="SUDI mortality rates have slowly decreased for non-Māori over time. The rate for Māori has decreased substantially over time but remains higher than the non-Māori rate." title="Figure 112: Age-specific Sudden unexpected death in infancy deaths per 1,000 live births, Māori and non-Māori, between 1996–98 and 20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5130165" cy="3058916"/>
                    </a:xfrm>
                    <a:prstGeom prst="rect">
                      <a:avLst/>
                    </a:prstGeom>
                  </pic:spPr>
                </pic:pic>
              </a:graphicData>
            </a:graphic>
          </wp:inline>
        </w:drawing>
      </w:r>
    </w:p>
    <w:p w14:paraId="796E6CEF" w14:textId="77777777" w:rsidR="000477A2" w:rsidRDefault="000477A2" w:rsidP="000477A2">
      <w:pPr>
        <w:pStyle w:val="Note"/>
      </w:pPr>
      <w:r w:rsidRPr="00181EF3">
        <w:t>Note</w:t>
      </w:r>
      <w:r>
        <w:t>s</w:t>
      </w:r>
      <w:r w:rsidRPr="00181EF3">
        <w:t>:</w:t>
      </w:r>
    </w:p>
    <w:p w14:paraId="1C560D41" w14:textId="77777777" w:rsidR="000477A2" w:rsidRPr="00181EF3" w:rsidRDefault="000477A2" w:rsidP="000477A2">
      <w:pPr>
        <w:pStyle w:val="Note"/>
      </w:pPr>
      <w:r>
        <w:t>Prioritised ethnicity has been used.</w:t>
      </w:r>
    </w:p>
    <w:p w14:paraId="2104F61F" w14:textId="77777777" w:rsidR="008A5642" w:rsidRDefault="000477A2" w:rsidP="00B6364B">
      <w:pPr>
        <w:pStyle w:val="Note"/>
        <w:ind w:left="0" w:firstLine="0"/>
      </w:pPr>
      <w:r w:rsidRPr="00181EF3">
        <w:t xml:space="preserve">If the </w:t>
      </w:r>
      <w:r w:rsidRPr="00B6364B">
        <w:t>confidence</w:t>
      </w:r>
      <w:r w:rsidRPr="00181EF3">
        <w:t xml:space="preserv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4314EFC9" w14:textId="6BAE83D8" w:rsidR="000477A2" w:rsidRDefault="000477A2" w:rsidP="000477A2">
      <w:pPr>
        <w:pStyle w:val="Source"/>
        <w:rPr>
          <w:rFonts w:eastAsia="Calibri"/>
        </w:rPr>
      </w:pPr>
      <w:r w:rsidRPr="00181EF3">
        <w:rPr>
          <w:rFonts w:eastAsia="Calibri"/>
        </w:rPr>
        <w:t>Source: Mortality Collection Data Set (MORT), Ministry of Health</w:t>
      </w:r>
      <w:r>
        <w:rPr>
          <w:rFonts w:eastAsia="Calibri"/>
        </w:rPr>
        <w:t xml:space="preserve">, </w:t>
      </w:r>
      <w:r w:rsidRPr="00181EF3">
        <w:t>1996–98 to 2012–14</w:t>
      </w:r>
      <w:r w:rsidRPr="00181EF3">
        <w:rPr>
          <w:rFonts w:eastAsia="Calibri"/>
        </w:rPr>
        <w:t>.</w:t>
      </w:r>
    </w:p>
    <w:p w14:paraId="01354019" w14:textId="77777777" w:rsidR="00822BDA" w:rsidRPr="00822BDA" w:rsidRDefault="00822BDA" w:rsidP="00822BDA">
      <w:pPr>
        <w:rPr>
          <w:rFonts w:eastAsia="Calibri"/>
        </w:rPr>
      </w:pPr>
    </w:p>
    <w:p w14:paraId="153FB921" w14:textId="77777777" w:rsidR="00AC7707" w:rsidRPr="00181EF3" w:rsidRDefault="00AC7707" w:rsidP="000477A2">
      <w:pPr>
        <w:pStyle w:val="Heading4"/>
      </w:pPr>
      <w:r w:rsidRPr="00181EF3">
        <w:t>Significant decrease in SUDI mortality rate for Māori between 1996–98 and 2012–14</w:t>
      </w:r>
    </w:p>
    <w:p w14:paraId="48ADE8ED" w14:textId="15473363" w:rsidR="000477A2" w:rsidRPr="00181EF3" w:rsidRDefault="000477A2" w:rsidP="00822BDA">
      <w:r w:rsidRPr="00181EF3">
        <w:t xml:space="preserve">Figure </w:t>
      </w:r>
      <w:r>
        <w:t>11</w:t>
      </w:r>
      <w:r w:rsidR="003B4A96">
        <w:t>2</w:t>
      </w:r>
      <w:r w:rsidRPr="00181EF3">
        <w:t xml:space="preserve"> shows the age-specific SUDI mortality rate per 1,000 live births for Māori and </w:t>
      </w:r>
      <w:r w:rsidR="00EC03A3">
        <w:t>non</w:t>
      </w:r>
      <w:r w:rsidR="00EC03A3">
        <w:noBreakHyphen/>
        <w:t>M</w:t>
      </w:r>
      <w:r w:rsidRPr="00181EF3">
        <w:t>āori between 1996–98 and 2012–14.</w:t>
      </w:r>
    </w:p>
    <w:p w14:paraId="52CD9FF1" w14:textId="77777777" w:rsidR="000477A2" w:rsidRDefault="000477A2" w:rsidP="00AC7707"/>
    <w:p w14:paraId="357DC435" w14:textId="77777777" w:rsidR="00AC7707" w:rsidRPr="00181EF3" w:rsidRDefault="00AC7707" w:rsidP="00AC7707">
      <w:r w:rsidRPr="00181EF3">
        <w:t>The age-specific SUDI mortality rate for Māori decreased by two-thirds from 3.9 deaths per 1,000 live births in 1996–98 to 1.3 deaths per 1,000 live births in 2012–14, a decrease of 67 percent. The steepest decrease occurred between 2009–11, where the rate was 2.2 deaths per 1,000 live births and 2012–14, where the rate was 1.3 deaths per 1,000 live births, a decrease of 41 percent.</w:t>
      </w:r>
    </w:p>
    <w:p w14:paraId="34DCEF0F" w14:textId="77777777" w:rsidR="00AC7707" w:rsidRPr="00181EF3" w:rsidRDefault="00AC7707" w:rsidP="00AC7707"/>
    <w:p w14:paraId="1ACBE912" w14:textId="5CB3A0A2" w:rsidR="00AC7707" w:rsidRPr="00181EF3" w:rsidRDefault="00AC7707" w:rsidP="00AC7707">
      <w:r w:rsidRPr="00181EF3">
        <w:t xml:space="preserve">The age-specific SUDI mortality rate for </w:t>
      </w:r>
      <w:r w:rsidR="00EC03A3">
        <w:t>non</w:t>
      </w:r>
      <w:r w:rsidR="00EC03A3">
        <w:noBreakHyphen/>
        <w:t>M</w:t>
      </w:r>
      <w:r w:rsidRPr="00181EF3">
        <w:t>āori halved from 0.8 deaths per 1,000 live births in 1996–98 to 0.4 deaths in 2012–14, a decrease of 50 percent.</w:t>
      </w:r>
    </w:p>
    <w:p w14:paraId="1BB90A1E" w14:textId="77777777" w:rsidR="00AC7707" w:rsidRPr="00181EF3" w:rsidRDefault="00AC7707" w:rsidP="00AC7707"/>
    <w:p w14:paraId="24C5EBAE" w14:textId="435E1783" w:rsidR="00AC7707" w:rsidRPr="00181EF3" w:rsidRDefault="00AC7707" w:rsidP="000477A2">
      <w:pPr>
        <w:pStyle w:val="Heading4"/>
      </w:pPr>
      <w:r w:rsidRPr="00181EF3">
        <w:lastRenderedPageBreak/>
        <w:t xml:space="preserve">Decrease in the difference between Māori and </w:t>
      </w:r>
      <w:r w:rsidR="00EC03A3">
        <w:t>non</w:t>
      </w:r>
      <w:r w:rsidR="00EC03A3">
        <w:noBreakHyphen/>
        <w:t>M</w:t>
      </w:r>
      <w:r w:rsidRPr="00181EF3">
        <w:t>āori SUDI mortality rates between 1996–98 and 2012–14</w:t>
      </w:r>
    </w:p>
    <w:p w14:paraId="57EF3053" w14:textId="0B25BE97" w:rsidR="00AC7707" w:rsidRPr="00181EF3" w:rsidRDefault="00AC7707" w:rsidP="00AC7707">
      <w:r w:rsidRPr="00181EF3">
        <w:t xml:space="preserve">The difference in SUDI mortality rates for Māori and </w:t>
      </w:r>
      <w:r w:rsidR="00EC03A3">
        <w:t>non</w:t>
      </w:r>
      <w:r w:rsidR="00EC03A3">
        <w:noBreakHyphen/>
        <w:t>M</w:t>
      </w:r>
      <w:r w:rsidRPr="00181EF3">
        <w:t>āori decreased by over two</w:t>
      </w:r>
      <w:r w:rsidR="00822BDA">
        <w:noBreakHyphen/>
      </w:r>
      <w:r w:rsidRPr="00181EF3">
        <w:t xml:space="preserve">thirds from 3.1 deaths per 1,000 live births in 1996–98 to 0.9 deaths per 1,000 live births in 2012–14, a decrease of 71 percent. Despite this decrease the difference between Māori and </w:t>
      </w:r>
      <w:r w:rsidR="00EC03A3">
        <w:t>non</w:t>
      </w:r>
      <w:r w:rsidR="00EC03A3">
        <w:noBreakHyphen/>
        <w:t>M</w:t>
      </w:r>
      <w:r w:rsidRPr="00181EF3">
        <w:t>āori SUDI mortality rates remained significant.</w:t>
      </w:r>
    </w:p>
    <w:p w14:paraId="0E1DD040" w14:textId="77777777" w:rsidR="00AC7707" w:rsidRPr="00181EF3" w:rsidRDefault="00AC7707" w:rsidP="00AC7707"/>
    <w:p w14:paraId="28CAD08A" w14:textId="4B814479" w:rsidR="00AC7707" w:rsidRPr="00181EF3" w:rsidRDefault="00AC7707" w:rsidP="00AC7707">
      <w:r w:rsidRPr="00181EF3">
        <w:t>The rate ratio for SUDI mortality shows a consistent decrease as the rates</w:t>
      </w:r>
      <w:r w:rsidR="00AE55BA">
        <w:t>.</w:t>
      </w:r>
      <w:r w:rsidRPr="00181EF3">
        <w:t xml:space="preserve"> </w:t>
      </w:r>
      <w:r w:rsidR="00AE55BA">
        <w:t>I</w:t>
      </w:r>
      <w:r w:rsidRPr="00181EF3">
        <w:t>n 1996–98</w:t>
      </w:r>
      <w:r w:rsidR="00AE55BA">
        <w:t>,</w:t>
      </w:r>
      <w:r w:rsidRPr="00181EF3">
        <w:t xml:space="preserve"> Māori had a SUDI mortality rate nearly five times as high as the </w:t>
      </w:r>
      <w:r w:rsidR="00EC03A3">
        <w:t>non</w:t>
      </w:r>
      <w:r w:rsidR="00EC03A3">
        <w:noBreakHyphen/>
        <w:t>M</w:t>
      </w:r>
      <w:r w:rsidRPr="00181EF3">
        <w:t>āori rate</w:t>
      </w:r>
      <w:r w:rsidR="00AE55BA">
        <w:t>, and i</w:t>
      </w:r>
      <w:r w:rsidRPr="00181EF3">
        <w:t>n 2012–14</w:t>
      </w:r>
      <w:r w:rsidR="00AE55BA">
        <w:t>,</w:t>
      </w:r>
      <w:r w:rsidRPr="00181EF3">
        <w:t xml:space="preserve"> Māori had a SUDI mortality rate over three times as high as the </w:t>
      </w:r>
      <w:r w:rsidR="00EC03A3">
        <w:t>non</w:t>
      </w:r>
      <w:r w:rsidR="00EC03A3">
        <w:noBreakHyphen/>
        <w:t>M</w:t>
      </w:r>
      <w:r w:rsidRPr="00181EF3">
        <w:t>āori rate.</w:t>
      </w:r>
    </w:p>
    <w:p w14:paraId="07AEF4D6" w14:textId="77777777" w:rsidR="00AC7707" w:rsidRPr="00181EF3" w:rsidRDefault="00AC7707" w:rsidP="00AC7707"/>
    <w:p w14:paraId="2ABF4C5E" w14:textId="77777777" w:rsidR="00AC7707" w:rsidRPr="00181EF3" w:rsidRDefault="00AC7707" w:rsidP="00822BDA">
      <w:pPr>
        <w:pStyle w:val="Heading3"/>
        <w:pageBreakBefore/>
        <w:spacing w:before="0"/>
      </w:pPr>
      <w:bookmarkStart w:id="329" w:name="_Toc19102414"/>
      <w:r w:rsidRPr="00181EF3">
        <w:lastRenderedPageBreak/>
        <w:t xml:space="preserve">Sudden </w:t>
      </w:r>
      <w:r w:rsidR="000477A2">
        <w:t>i</w:t>
      </w:r>
      <w:r w:rsidRPr="00181EF3">
        <w:t xml:space="preserve">nfant </w:t>
      </w:r>
      <w:r w:rsidR="000477A2">
        <w:t>d</w:t>
      </w:r>
      <w:r w:rsidRPr="00181EF3">
        <w:t xml:space="preserve">eath </w:t>
      </w:r>
      <w:r w:rsidR="000477A2">
        <w:t>s</w:t>
      </w:r>
      <w:r w:rsidRPr="00181EF3">
        <w:t>yndrome (SIDS)</w:t>
      </w:r>
      <w:r w:rsidR="000477A2">
        <w:t xml:space="preserve"> mortality</w:t>
      </w:r>
      <w:bookmarkEnd w:id="329"/>
    </w:p>
    <w:p w14:paraId="07E17FEE" w14:textId="77777777" w:rsidR="00AC7707" w:rsidRDefault="000477A2" w:rsidP="00822BDA">
      <w:r>
        <w:t>Sudden infant death syndrome (</w:t>
      </w:r>
      <w:r w:rsidR="00AC7707" w:rsidRPr="00181EF3">
        <w:t>SIDS</w:t>
      </w:r>
      <w:r>
        <w:t>) mortality</w:t>
      </w:r>
      <w:r w:rsidR="00AC7707" w:rsidRPr="00181EF3">
        <w:t xml:space="preserve"> refers to deaths for which no identifiable cause can be found following autopsy, clinical history and scene examination. Babies who die from SIDS usually die in their sleep.</w:t>
      </w:r>
    </w:p>
    <w:p w14:paraId="7FF1B89C" w14:textId="77777777" w:rsidR="00822BDA" w:rsidRDefault="00822BDA" w:rsidP="00822BDA"/>
    <w:p w14:paraId="70F56F67" w14:textId="32E67FD0" w:rsidR="000477A2" w:rsidRPr="00181EF3" w:rsidRDefault="000477A2" w:rsidP="000477A2">
      <w:pPr>
        <w:pStyle w:val="Figure"/>
        <w:rPr>
          <w:noProof/>
        </w:rPr>
      </w:pPr>
      <w:bookmarkStart w:id="330" w:name="_Toc19101964"/>
      <w:r w:rsidRPr="00181EF3">
        <w:t>Figure</w:t>
      </w:r>
      <w:r>
        <w:t xml:space="preserve"> </w:t>
      </w:r>
      <w:r w:rsidR="00572A9A">
        <w:rPr>
          <w:noProof/>
        </w:rPr>
        <w:t>113</w:t>
      </w:r>
      <w:r w:rsidRPr="00181EF3">
        <w:t>: S</w:t>
      </w:r>
      <w:r w:rsidR="00AE55BA">
        <w:t>udden infant death syndrome (S</w:t>
      </w:r>
      <w:r w:rsidRPr="00181EF3">
        <w:t>IDS</w:t>
      </w:r>
      <w:r w:rsidR="00AE55BA">
        <w:t>)</w:t>
      </w:r>
      <w:r w:rsidRPr="00181EF3">
        <w:t xml:space="preserve"> mortality rate</w:t>
      </w:r>
      <w:r>
        <w:t>,</w:t>
      </w:r>
      <w:r w:rsidRPr="00181EF3">
        <w:t xml:space="preserve"> Māori and </w:t>
      </w:r>
      <w:r w:rsidR="00EC03A3">
        <w:t>non</w:t>
      </w:r>
      <w:r w:rsidR="00EC03A3">
        <w:noBreakHyphen/>
        <w:t>M</w:t>
      </w:r>
      <w:r w:rsidRPr="00181EF3">
        <w:t>āori</w:t>
      </w:r>
      <w:r>
        <w:t>,</w:t>
      </w:r>
      <w:r w:rsidRPr="00181EF3">
        <w:t xml:space="preserve"> </w:t>
      </w:r>
      <w:r w:rsidRPr="00181EF3">
        <w:rPr>
          <w:noProof/>
        </w:rPr>
        <w:t>1996–98 and 2012–14</w:t>
      </w:r>
      <w:bookmarkEnd w:id="330"/>
    </w:p>
    <w:p w14:paraId="12BFA720" w14:textId="77777777" w:rsidR="000477A2" w:rsidRPr="00181EF3" w:rsidRDefault="000477A2" w:rsidP="000477A2">
      <w:r w:rsidRPr="00181EF3">
        <w:rPr>
          <w:noProof/>
          <w:lang w:eastAsia="en-NZ"/>
        </w:rPr>
        <w:drawing>
          <wp:inline distT="0" distB="0" distL="0" distR="0" wp14:anchorId="0F084E84" wp14:editId="0F3C6F18">
            <wp:extent cx="5130165" cy="3058916"/>
            <wp:effectExtent l="0" t="0" r="0" b="8255"/>
            <wp:docPr id="366" name="Picture 366" descr="SIDS mortality rates have slowly decreased for non-Māori over time. The rate for Māori has decreased substantially over time but remains higher than the non-Māori rate." title="Figure 113: Age-specific SIDS mortality rate for Māori and non-Māori between 1996–98 and 20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5130165" cy="3058916"/>
                    </a:xfrm>
                    <a:prstGeom prst="rect">
                      <a:avLst/>
                    </a:prstGeom>
                  </pic:spPr>
                </pic:pic>
              </a:graphicData>
            </a:graphic>
          </wp:inline>
        </w:drawing>
      </w:r>
    </w:p>
    <w:p w14:paraId="5D7B2EE5" w14:textId="77777777" w:rsidR="000477A2" w:rsidRDefault="000477A2" w:rsidP="000477A2">
      <w:pPr>
        <w:pStyle w:val="Note"/>
      </w:pPr>
      <w:r w:rsidRPr="00181EF3">
        <w:t>Note</w:t>
      </w:r>
      <w:r>
        <w:t>s</w:t>
      </w:r>
      <w:r w:rsidRPr="00181EF3">
        <w:t>:</w:t>
      </w:r>
    </w:p>
    <w:p w14:paraId="59C2F0D7" w14:textId="77777777" w:rsidR="000477A2" w:rsidRPr="00181EF3" w:rsidRDefault="000477A2" w:rsidP="000477A2">
      <w:pPr>
        <w:pStyle w:val="Note"/>
      </w:pPr>
      <w:r>
        <w:t>Prioritised ethnicity has been used.</w:t>
      </w:r>
    </w:p>
    <w:p w14:paraId="2916C823" w14:textId="77777777" w:rsidR="008A5642" w:rsidRDefault="000477A2" w:rsidP="00B6364B">
      <w:pPr>
        <w:pStyle w:val="Note"/>
        <w:ind w:left="0" w:firstLine="0"/>
      </w:pPr>
      <w:r w:rsidRPr="00181EF3">
        <w:t xml:space="preserve">If the </w:t>
      </w:r>
      <w:r w:rsidRPr="00B6364B">
        <w:t>confidence</w:t>
      </w:r>
      <w:r w:rsidRPr="00181EF3">
        <w:t xml:space="preserv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20FB6B16" w14:textId="5662D874" w:rsidR="000477A2" w:rsidRPr="00181EF3" w:rsidRDefault="000477A2" w:rsidP="000477A2">
      <w:pPr>
        <w:pStyle w:val="Source"/>
        <w:rPr>
          <w:rFonts w:eastAsia="Calibri"/>
        </w:rPr>
      </w:pPr>
      <w:r w:rsidRPr="00181EF3">
        <w:rPr>
          <w:rFonts w:eastAsia="Calibri"/>
        </w:rPr>
        <w:t>Source: Mortality Collection Data Set (MORT), Ministry of Health</w:t>
      </w:r>
      <w:r>
        <w:rPr>
          <w:rFonts w:eastAsia="Calibri"/>
        </w:rPr>
        <w:t xml:space="preserve">, </w:t>
      </w:r>
      <w:r w:rsidRPr="00181EF3">
        <w:t>1996–98 to 2012–14</w:t>
      </w:r>
      <w:r w:rsidRPr="00181EF3">
        <w:rPr>
          <w:rFonts w:eastAsia="Calibri"/>
        </w:rPr>
        <w:t>.</w:t>
      </w:r>
    </w:p>
    <w:p w14:paraId="6847FB8A" w14:textId="77777777" w:rsidR="00AC7707" w:rsidRPr="00181EF3" w:rsidRDefault="00AC7707" w:rsidP="00822BDA"/>
    <w:p w14:paraId="2C89C117" w14:textId="77777777" w:rsidR="00AC7707" w:rsidRPr="00181EF3" w:rsidRDefault="00AC7707" w:rsidP="000477A2">
      <w:pPr>
        <w:pStyle w:val="Heading4"/>
      </w:pPr>
      <w:r w:rsidRPr="00181EF3">
        <w:t>Significant decrease in SIDS mortality rate for Māori between 1996–98 and 2012–14</w:t>
      </w:r>
    </w:p>
    <w:p w14:paraId="3BC14EAC" w14:textId="5CB4F437" w:rsidR="000477A2" w:rsidRPr="00181EF3" w:rsidRDefault="000477A2" w:rsidP="00822BDA">
      <w:r w:rsidRPr="00181EF3">
        <w:t xml:space="preserve">Figure </w:t>
      </w:r>
      <w:r>
        <w:t>11</w:t>
      </w:r>
      <w:r w:rsidR="003B4A96">
        <w:t>3</w:t>
      </w:r>
      <w:r w:rsidRPr="00181EF3">
        <w:t xml:space="preserve"> shows the age-specific SIDS mortality rate per 1,000 live births for Māori and </w:t>
      </w:r>
      <w:r w:rsidR="00EC03A3">
        <w:t>non</w:t>
      </w:r>
      <w:r w:rsidR="00EC03A3">
        <w:noBreakHyphen/>
        <w:t>M</w:t>
      </w:r>
      <w:r w:rsidRPr="00181EF3">
        <w:t>āori between 1996–98 and 2012–14.</w:t>
      </w:r>
    </w:p>
    <w:p w14:paraId="01F3E29F" w14:textId="77777777" w:rsidR="000477A2" w:rsidRPr="00181EF3" w:rsidRDefault="000477A2" w:rsidP="00822BDA"/>
    <w:p w14:paraId="0449A1D7" w14:textId="77777777" w:rsidR="00AC7707" w:rsidRPr="00181EF3" w:rsidRDefault="00AC7707" w:rsidP="00AC7707">
      <w:r w:rsidRPr="00181EF3">
        <w:t>The age-specific SIDS mortality rate for Māori decreased from 3.3 deaths per 1,000 live births in 1996–98 to 0.5 deaths per 1,000 live births in 2012–14, a decrease of 85 percent.</w:t>
      </w:r>
    </w:p>
    <w:p w14:paraId="17D271CD" w14:textId="77777777" w:rsidR="00AC7707" w:rsidRPr="00181EF3" w:rsidRDefault="00AC7707" w:rsidP="00AC7707"/>
    <w:p w14:paraId="7F6494E2" w14:textId="598114CD" w:rsidR="00AC7707" w:rsidRPr="00181EF3" w:rsidRDefault="00AC7707" w:rsidP="00AC7707">
      <w:r w:rsidRPr="00181EF3">
        <w:t xml:space="preserve">The age-specific SIDS mortality rate for </w:t>
      </w:r>
      <w:r w:rsidR="00EC03A3">
        <w:t>non</w:t>
      </w:r>
      <w:r w:rsidR="00EC03A3">
        <w:noBreakHyphen/>
        <w:t>M</w:t>
      </w:r>
      <w:r w:rsidRPr="00181EF3">
        <w:t>āori decreased from 0.7 deaths per 1,000 live births in 1996–98 to 0.2 deaths per 1,000 live births in 2012–14, a decrease of 71 percent.</w:t>
      </w:r>
    </w:p>
    <w:p w14:paraId="50B0A7BC" w14:textId="77777777" w:rsidR="00AC7707" w:rsidRPr="00181EF3" w:rsidRDefault="00AC7707" w:rsidP="00AC7707"/>
    <w:p w14:paraId="241FC2AC" w14:textId="72A0EB1B" w:rsidR="00AC7707" w:rsidRPr="00181EF3" w:rsidRDefault="00AC7707" w:rsidP="000477A2">
      <w:pPr>
        <w:pStyle w:val="Heading4"/>
      </w:pPr>
      <w:r w:rsidRPr="00181EF3">
        <w:lastRenderedPageBreak/>
        <w:t xml:space="preserve">Decrease in the difference in SIDS mortality rate between Māori and </w:t>
      </w:r>
      <w:r w:rsidR="00EC03A3">
        <w:t>non</w:t>
      </w:r>
      <w:r w:rsidR="00EC03A3">
        <w:noBreakHyphen/>
        <w:t>M</w:t>
      </w:r>
      <w:r w:rsidRPr="00181EF3">
        <w:t>āori between 1996–98 and 2012–14</w:t>
      </w:r>
    </w:p>
    <w:p w14:paraId="717BFF1F" w14:textId="3E827AA2" w:rsidR="00AC7707" w:rsidRPr="00181EF3" w:rsidRDefault="00AC7707" w:rsidP="00AC7707">
      <w:r w:rsidRPr="00181EF3">
        <w:t xml:space="preserve">The difference in SIDS mortality rates for Māori and </w:t>
      </w:r>
      <w:r w:rsidR="00EC03A3">
        <w:t>non</w:t>
      </w:r>
      <w:r w:rsidR="00EC03A3">
        <w:noBreakHyphen/>
        <w:t>M</w:t>
      </w:r>
      <w:r w:rsidRPr="00181EF3">
        <w:t>āori decreased from 2.6 deaths per 1,000 live births in 1996–98 to 0.3 deaths per 1,000 live births in</w:t>
      </w:r>
      <w:r w:rsidRPr="00181EF3">
        <w:br/>
        <w:t xml:space="preserve">2012–14, a decrease of 89 percent. The difference between Māori and </w:t>
      </w:r>
      <w:r w:rsidR="00EC03A3">
        <w:t>non</w:t>
      </w:r>
      <w:r w:rsidR="00EC03A3">
        <w:noBreakHyphen/>
        <w:t>M</w:t>
      </w:r>
      <w:r w:rsidRPr="00181EF3">
        <w:t>āori was significant between 1996–98 and 2011–13 and was not significant in 2012–14 due to the decrease described above.</w:t>
      </w:r>
    </w:p>
    <w:p w14:paraId="3CF742C5" w14:textId="77777777" w:rsidR="00AC7707" w:rsidRPr="00181EF3" w:rsidRDefault="00AC7707" w:rsidP="00AC7707"/>
    <w:p w14:paraId="74C958CE" w14:textId="4D243933" w:rsidR="00AC7707" w:rsidRPr="00181EF3" w:rsidRDefault="00AC7707" w:rsidP="00AC7707">
      <w:r w:rsidRPr="00181EF3">
        <w:t>The rate ratio for SIDS mortality showed an overall decline, however it rose from</w:t>
      </w:r>
      <w:r w:rsidRPr="00181EF3">
        <w:br/>
        <w:t xml:space="preserve">1996–98, where the SIDS mortality rate for Māori was over 4½ times as high as the </w:t>
      </w:r>
      <w:r w:rsidR="00EC03A3">
        <w:t>non</w:t>
      </w:r>
      <w:r w:rsidR="00EC03A3">
        <w:noBreakHyphen/>
        <w:t>M</w:t>
      </w:r>
      <w:r w:rsidRPr="00181EF3">
        <w:t xml:space="preserve">āori rate, to 2003–05, where the SIDS mortality rate for Māori was over 6½ times as high as the </w:t>
      </w:r>
      <w:r w:rsidR="00EC03A3">
        <w:t>non</w:t>
      </w:r>
      <w:r w:rsidR="00EC03A3">
        <w:noBreakHyphen/>
        <w:t>M</w:t>
      </w:r>
      <w:r w:rsidRPr="00181EF3">
        <w:t xml:space="preserve">āori rate. The rate ratio decreased from 2003–05 to 2012–14, where the SIDS mortality rate for Māori was twice as large as the </w:t>
      </w:r>
      <w:r w:rsidR="00EC03A3">
        <w:t>non</w:t>
      </w:r>
      <w:r w:rsidR="00EC03A3">
        <w:noBreakHyphen/>
        <w:t>M</w:t>
      </w:r>
      <w:r w:rsidRPr="00181EF3">
        <w:t>āori rate.</w:t>
      </w:r>
    </w:p>
    <w:p w14:paraId="6B60BD7C" w14:textId="77777777" w:rsidR="00AC7707" w:rsidRPr="00181EF3" w:rsidRDefault="00AC7707" w:rsidP="00AC7707"/>
    <w:p w14:paraId="51FB97DF" w14:textId="77777777" w:rsidR="00AE55BA" w:rsidRDefault="00AE55BA">
      <w:pPr>
        <w:rPr>
          <w:color w:val="0A6AB4"/>
          <w:spacing w:val="-5"/>
          <w:sz w:val="36"/>
        </w:rPr>
      </w:pPr>
      <w:r>
        <w:br w:type="page"/>
      </w:r>
    </w:p>
    <w:p w14:paraId="625078D3" w14:textId="1DE76ADE" w:rsidR="00AC7707" w:rsidRPr="00181EF3" w:rsidRDefault="00AC7707" w:rsidP="000477A2">
      <w:pPr>
        <w:pStyle w:val="Heading3"/>
      </w:pPr>
      <w:bookmarkStart w:id="331" w:name="_Toc19102415"/>
      <w:r w:rsidRPr="00181EF3">
        <w:lastRenderedPageBreak/>
        <w:t>Child mortality</w:t>
      </w:r>
      <w:bookmarkEnd w:id="331"/>
    </w:p>
    <w:p w14:paraId="44381D61" w14:textId="77777777" w:rsidR="00AC7707" w:rsidRDefault="00AC7707" w:rsidP="00822BDA">
      <w:r w:rsidRPr="00181EF3">
        <w:t xml:space="preserve">For the purpose of this </w:t>
      </w:r>
      <w:r w:rsidR="000477A2">
        <w:t>report</w:t>
      </w:r>
      <w:r w:rsidRPr="00181EF3">
        <w:t xml:space="preserve"> a child includes those aged from 0–5 years old. All causes of death are included in the child mortality rates.</w:t>
      </w:r>
    </w:p>
    <w:p w14:paraId="0DA30E02" w14:textId="77777777" w:rsidR="00822BDA" w:rsidRPr="00181EF3" w:rsidRDefault="00822BDA" w:rsidP="00822BDA"/>
    <w:p w14:paraId="37CBED34" w14:textId="62C934CD" w:rsidR="007C198E" w:rsidRDefault="007C198E" w:rsidP="007C198E">
      <w:pPr>
        <w:pStyle w:val="Figure"/>
      </w:pPr>
      <w:bookmarkStart w:id="332" w:name="_Toc19101965"/>
      <w:r w:rsidRPr="00181EF3">
        <w:t xml:space="preserve">Figure </w:t>
      </w:r>
      <w:r w:rsidR="00572A9A">
        <w:rPr>
          <w:noProof/>
        </w:rPr>
        <w:t>114</w:t>
      </w:r>
      <w:r w:rsidRPr="00181EF3">
        <w:t xml:space="preserve">: </w:t>
      </w:r>
      <w:r>
        <w:t>C</w:t>
      </w:r>
      <w:r w:rsidRPr="00181EF3">
        <w:t>hild mortality rates</w:t>
      </w:r>
      <w:r>
        <w:t>,</w:t>
      </w:r>
      <w:r w:rsidRPr="00181EF3">
        <w:t xml:space="preserve"> Māori and </w:t>
      </w:r>
      <w:r w:rsidR="00EC03A3">
        <w:t>non</w:t>
      </w:r>
      <w:r w:rsidR="00EC03A3">
        <w:noBreakHyphen/>
        <w:t>M</w:t>
      </w:r>
      <w:r w:rsidRPr="00181EF3">
        <w:t>āori</w:t>
      </w:r>
      <w:r>
        <w:t xml:space="preserve">, </w:t>
      </w:r>
      <w:r w:rsidRPr="00181EF3">
        <w:t>1996–98 and 2012–2014</w:t>
      </w:r>
      <w:bookmarkEnd w:id="332"/>
    </w:p>
    <w:p w14:paraId="2557AB00" w14:textId="77777777" w:rsidR="007C198E" w:rsidRPr="004B0B6D" w:rsidRDefault="007C198E" w:rsidP="007C198E">
      <w:r w:rsidRPr="004B0B6D">
        <w:rPr>
          <w:noProof/>
          <w:lang w:eastAsia="en-NZ"/>
        </w:rPr>
        <w:drawing>
          <wp:inline distT="0" distB="0" distL="0" distR="0" wp14:anchorId="69D4144B" wp14:editId="47AAECE5">
            <wp:extent cx="5130165" cy="2953682"/>
            <wp:effectExtent l="0" t="0" r="0" b="0"/>
            <wp:docPr id="325" name="Picture 325" descr="Māori child mortality rates have decreased since 1996-98 but remain higher than the rate for non-Māori, which has remained steady over time." title="Figure 114: Age-specific child mortality rates for Māori and non-Māori betw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5130165" cy="2953682"/>
                    </a:xfrm>
                    <a:prstGeom prst="rect">
                      <a:avLst/>
                    </a:prstGeom>
                  </pic:spPr>
                </pic:pic>
              </a:graphicData>
            </a:graphic>
          </wp:inline>
        </w:drawing>
      </w:r>
    </w:p>
    <w:p w14:paraId="2F47E0F0" w14:textId="77777777" w:rsidR="007C198E" w:rsidRDefault="007C198E" w:rsidP="007C198E">
      <w:pPr>
        <w:pStyle w:val="Note"/>
      </w:pPr>
      <w:r w:rsidRPr="00181EF3">
        <w:t>Note</w:t>
      </w:r>
      <w:r>
        <w:t>s</w:t>
      </w:r>
      <w:r w:rsidRPr="00181EF3">
        <w:t>:</w:t>
      </w:r>
    </w:p>
    <w:p w14:paraId="738D2B08" w14:textId="77777777" w:rsidR="007C198E" w:rsidRPr="00181EF3" w:rsidRDefault="007C198E" w:rsidP="007C198E">
      <w:pPr>
        <w:pStyle w:val="Note"/>
      </w:pPr>
      <w:r>
        <w:t>Prioritised ethnicity has been used.</w:t>
      </w:r>
    </w:p>
    <w:p w14:paraId="6ACA7089" w14:textId="77777777" w:rsidR="008A5642" w:rsidRDefault="007C198E" w:rsidP="00B6364B">
      <w:pPr>
        <w:pStyle w:val="Note"/>
        <w:ind w:left="0" w:firstLine="0"/>
      </w:pPr>
      <w:r w:rsidRPr="00181EF3">
        <w:t xml:space="preserve">If the </w:t>
      </w:r>
      <w:r w:rsidRPr="00B6364B">
        <w:t>confidence</w:t>
      </w:r>
      <w:r w:rsidRPr="00181EF3">
        <w:t xml:space="preserv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0E1A1F45" w14:textId="6A08B311" w:rsidR="007C198E" w:rsidRPr="00181EF3" w:rsidRDefault="007C198E" w:rsidP="007C198E">
      <w:pPr>
        <w:pStyle w:val="Source"/>
        <w:rPr>
          <w:rFonts w:eastAsia="Calibri"/>
        </w:rPr>
      </w:pPr>
      <w:r w:rsidRPr="00181EF3">
        <w:rPr>
          <w:rFonts w:eastAsia="Calibri"/>
        </w:rPr>
        <w:t>Source: Mortality Collection Data Set (MORT), Ministry of Health</w:t>
      </w:r>
      <w:r>
        <w:rPr>
          <w:rFonts w:eastAsia="Calibri"/>
        </w:rPr>
        <w:t xml:space="preserve">, </w:t>
      </w:r>
      <w:r w:rsidRPr="00181EF3">
        <w:t>1996–98 to 2012–14</w:t>
      </w:r>
      <w:r w:rsidRPr="00181EF3">
        <w:rPr>
          <w:rFonts w:eastAsia="Calibri"/>
        </w:rPr>
        <w:t>.</w:t>
      </w:r>
    </w:p>
    <w:p w14:paraId="1B2E5842" w14:textId="77777777" w:rsidR="00AC7707" w:rsidRPr="00181EF3" w:rsidRDefault="00AC7707" w:rsidP="00822BDA"/>
    <w:p w14:paraId="5BFCACAC" w14:textId="6454E421" w:rsidR="00AC7707" w:rsidRPr="007C198E" w:rsidRDefault="00AC7707" w:rsidP="007C198E">
      <w:pPr>
        <w:pStyle w:val="Heading4"/>
      </w:pPr>
      <w:r w:rsidRPr="007C198E">
        <w:t>Significant decrease in child mortality for Māori between</w:t>
      </w:r>
      <w:r w:rsidR="00822BDA">
        <w:br/>
      </w:r>
      <w:r w:rsidRPr="007C198E">
        <w:t>1996–98 and 2012–14</w:t>
      </w:r>
    </w:p>
    <w:p w14:paraId="07793461" w14:textId="00D36056" w:rsidR="007C198E" w:rsidRPr="00181EF3" w:rsidRDefault="007C198E" w:rsidP="007C198E">
      <w:pPr>
        <w:keepNext/>
      </w:pPr>
      <w:r w:rsidRPr="00181EF3">
        <w:t xml:space="preserve">Figure </w:t>
      </w:r>
      <w:r>
        <w:t>11</w:t>
      </w:r>
      <w:r w:rsidR="003B4A96">
        <w:t>4</w:t>
      </w:r>
      <w:r w:rsidRPr="00181EF3">
        <w:t xml:space="preserve"> shows the age-specific child mortality rates for Māori and </w:t>
      </w:r>
      <w:r w:rsidR="00EC03A3">
        <w:t>non</w:t>
      </w:r>
      <w:r w:rsidR="00EC03A3">
        <w:noBreakHyphen/>
        <w:t>M</w:t>
      </w:r>
      <w:r w:rsidRPr="00181EF3">
        <w:t>āori between 1996–98 and 2012–14.</w:t>
      </w:r>
    </w:p>
    <w:p w14:paraId="4FDB244F" w14:textId="77777777" w:rsidR="007C198E" w:rsidRPr="00181EF3" w:rsidRDefault="007C198E" w:rsidP="007C198E">
      <w:pPr>
        <w:keepNext/>
      </w:pPr>
    </w:p>
    <w:p w14:paraId="250CD7F2" w14:textId="77777777" w:rsidR="00AC7707" w:rsidRPr="00181EF3" w:rsidRDefault="00AC7707" w:rsidP="00AC7707">
      <w:r w:rsidRPr="00181EF3">
        <w:t>The age-specific child mortality rate nearly halved from 2.3 deaths per 100,000 children in 1996–98 to 1.2 deaths per 100,000 children in 2012–14, a decrease of 45 percent.</w:t>
      </w:r>
    </w:p>
    <w:p w14:paraId="78C5324E" w14:textId="77777777" w:rsidR="00AC7707" w:rsidRPr="00181EF3" w:rsidRDefault="00AC7707" w:rsidP="00AC7707"/>
    <w:p w14:paraId="4027E0E8" w14:textId="0A341B49" w:rsidR="00AC7707" w:rsidRDefault="00AC7707" w:rsidP="00AC7707">
      <w:r w:rsidRPr="00181EF3">
        <w:t xml:space="preserve">The age-specific child mortality rate for </w:t>
      </w:r>
      <w:r w:rsidR="00EC03A3">
        <w:t>non</w:t>
      </w:r>
      <w:r w:rsidR="00EC03A3">
        <w:noBreakHyphen/>
        <w:t>M</w:t>
      </w:r>
      <w:r w:rsidRPr="00181EF3">
        <w:t>āori remained constant between</w:t>
      </w:r>
      <w:r w:rsidRPr="00181EF3">
        <w:br/>
        <w:t>1996–98 and 2012–14, with an average of 0.95 (or 1.0 deaths so the format of 1dp is consistent) deaths per 100,000.</w:t>
      </w:r>
    </w:p>
    <w:p w14:paraId="27C0C3CB" w14:textId="77777777" w:rsidR="00822BDA" w:rsidRPr="00181EF3" w:rsidRDefault="00822BDA" w:rsidP="00AC7707"/>
    <w:p w14:paraId="7DCE2DEE" w14:textId="15ED25A3" w:rsidR="00AC7707" w:rsidRPr="00181EF3" w:rsidRDefault="00AC7707" w:rsidP="007C198E">
      <w:pPr>
        <w:pStyle w:val="Heading4"/>
      </w:pPr>
      <w:r w:rsidRPr="00181EF3">
        <w:t xml:space="preserve">Decrease in the difference in child mortality rates between Māori and </w:t>
      </w:r>
      <w:r w:rsidR="00EC03A3">
        <w:t>non</w:t>
      </w:r>
      <w:r w:rsidR="00EC03A3">
        <w:noBreakHyphen/>
        <w:t>M</w:t>
      </w:r>
      <w:r w:rsidRPr="00181EF3">
        <w:t>āori</w:t>
      </w:r>
    </w:p>
    <w:p w14:paraId="69C4F187" w14:textId="182C4BEA" w:rsidR="00AC7707" w:rsidRPr="00181EF3" w:rsidRDefault="00AC7707" w:rsidP="00AC7707">
      <w:r w:rsidRPr="00181EF3">
        <w:t xml:space="preserve">The difference in child mortality rates between Māori and </w:t>
      </w:r>
      <w:r w:rsidR="00EC03A3">
        <w:t>non</w:t>
      </w:r>
      <w:r w:rsidR="00EC03A3">
        <w:noBreakHyphen/>
        <w:t>M</w:t>
      </w:r>
      <w:r w:rsidRPr="00181EF3">
        <w:t xml:space="preserve">āori decreased by two-thirds from 1.2 deaths per 100,000 children in 1996–98 to 0.4 deaths per 100,000 </w:t>
      </w:r>
      <w:r w:rsidRPr="00181EF3">
        <w:lastRenderedPageBreak/>
        <w:t xml:space="preserve">children in 2012–14, a decrease of 68 percent. Despite this decrease, the difference between Māori and </w:t>
      </w:r>
      <w:r w:rsidR="00EC03A3">
        <w:t>non</w:t>
      </w:r>
      <w:r w:rsidR="00EC03A3">
        <w:noBreakHyphen/>
        <w:t>M</w:t>
      </w:r>
      <w:r w:rsidRPr="00181EF3">
        <w:t>āori remained significant between 1996–98 and</w:t>
      </w:r>
      <w:r w:rsidR="00822BDA">
        <w:t xml:space="preserve"> </w:t>
      </w:r>
      <w:r w:rsidRPr="00181EF3">
        <w:t>2012–14.</w:t>
      </w:r>
    </w:p>
    <w:p w14:paraId="4372C1CD" w14:textId="77777777" w:rsidR="00AC7707" w:rsidRPr="00181EF3" w:rsidRDefault="00AC7707" w:rsidP="00AC7707"/>
    <w:p w14:paraId="2481B5AF" w14:textId="2B6229C8" w:rsidR="00AC7707" w:rsidRPr="00181EF3" w:rsidRDefault="00AC7707" w:rsidP="00AC7707">
      <w:r w:rsidRPr="00181EF3">
        <w:t xml:space="preserve">The rate ratio shows a similar declining trend, in 1996–98 the child mortality rate for Māori was over twice as large as the rate for </w:t>
      </w:r>
      <w:r w:rsidR="00EC03A3">
        <w:t>non</w:t>
      </w:r>
      <w:r w:rsidR="00EC03A3">
        <w:noBreakHyphen/>
        <w:t>M</w:t>
      </w:r>
      <w:r w:rsidRPr="00181EF3">
        <w:t xml:space="preserve">āori, whereas in 2012–14 the child mortality rate for Māori was under 1½ times the rate for </w:t>
      </w:r>
      <w:r w:rsidR="00EC03A3">
        <w:t>non</w:t>
      </w:r>
      <w:r w:rsidR="00EC03A3">
        <w:noBreakHyphen/>
        <w:t>M</w:t>
      </w:r>
      <w:r w:rsidRPr="00181EF3">
        <w:t>āori.</w:t>
      </w:r>
    </w:p>
    <w:p w14:paraId="1F23B6BE" w14:textId="77777777" w:rsidR="00AC7707" w:rsidRPr="00181EF3" w:rsidRDefault="00AC7707" w:rsidP="00AC7707"/>
    <w:p w14:paraId="61252160" w14:textId="77777777" w:rsidR="002D68F3" w:rsidRPr="00181EF3" w:rsidRDefault="002D68F3" w:rsidP="00822BDA">
      <w:pPr>
        <w:pStyle w:val="Heading2"/>
        <w:pageBreakBefore/>
        <w:spacing w:before="0"/>
        <w:rPr>
          <w:noProof/>
          <w:lang w:eastAsia="en-NZ"/>
        </w:rPr>
      </w:pPr>
      <w:bookmarkStart w:id="333" w:name="_Toc14718645"/>
      <w:bookmarkStart w:id="334" w:name="_Toc14775068"/>
      <w:bookmarkStart w:id="335" w:name="_Toc19102416"/>
      <w:r w:rsidRPr="00181EF3">
        <w:rPr>
          <w:noProof/>
          <w:lang w:eastAsia="en-NZ"/>
        </w:rPr>
        <w:lastRenderedPageBreak/>
        <w:t>Unintentional injury</w:t>
      </w:r>
      <w:bookmarkEnd w:id="333"/>
      <w:bookmarkEnd w:id="334"/>
      <w:bookmarkEnd w:id="335"/>
    </w:p>
    <w:p w14:paraId="687E391D" w14:textId="6F07104C" w:rsidR="002D68F3" w:rsidRPr="00181EF3" w:rsidRDefault="002D68F3" w:rsidP="002D68F3">
      <w:pPr>
        <w:rPr>
          <w:lang w:eastAsia="en-NZ"/>
        </w:rPr>
      </w:pPr>
      <w:r w:rsidRPr="00181EF3">
        <w:rPr>
          <w:lang w:eastAsia="en-NZ"/>
        </w:rPr>
        <w:t>This s</w:t>
      </w:r>
      <w:r w:rsidR="003065DE">
        <w:rPr>
          <w:lang w:eastAsia="en-NZ"/>
        </w:rPr>
        <w:t>ection presents</w:t>
      </w:r>
      <w:r w:rsidRPr="00181EF3">
        <w:rPr>
          <w:lang w:eastAsia="en-NZ"/>
        </w:rPr>
        <w:t xml:space="preserve"> the trends related to unintentional injury </w:t>
      </w:r>
      <w:r w:rsidR="003065DE">
        <w:rPr>
          <w:lang w:eastAsia="en-NZ"/>
        </w:rPr>
        <w:t xml:space="preserve">hospitalisation </w:t>
      </w:r>
      <w:r w:rsidRPr="00181EF3">
        <w:rPr>
          <w:lang w:eastAsia="en-NZ"/>
        </w:rPr>
        <w:t xml:space="preserve">and mortality rates for Māori and </w:t>
      </w:r>
      <w:r w:rsidR="00EC03A3">
        <w:rPr>
          <w:lang w:eastAsia="en-NZ"/>
        </w:rPr>
        <w:t>non</w:t>
      </w:r>
      <w:r w:rsidR="00EC03A3">
        <w:rPr>
          <w:lang w:eastAsia="en-NZ"/>
        </w:rPr>
        <w:noBreakHyphen/>
        <w:t>M</w:t>
      </w:r>
      <w:r w:rsidRPr="00181EF3">
        <w:rPr>
          <w:lang w:eastAsia="en-NZ"/>
        </w:rPr>
        <w:t>āori</w:t>
      </w:r>
      <w:r w:rsidR="003065DE">
        <w:rPr>
          <w:lang w:eastAsia="en-NZ"/>
        </w:rPr>
        <w:t xml:space="preserve"> by age groups</w:t>
      </w:r>
      <w:r w:rsidRPr="00181EF3">
        <w:rPr>
          <w:lang w:eastAsia="en-NZ"/>
        </w:rPr>
        <w:t>.</w:t>
      </w:r>
    </w:p>
    <w:p w14:paraId="4D61F430" w14:textId="77777777" w:rsidR="002D68F3" w:rsidRPr="00181EF3" w:rsidRDefault="002D68F3" w:rsidP="002D68F3">
      <w:pPr>
        <w:rPr>
          <w:lang w:eastAsia="en-NZ"/>
        </w:rPr>
      </w:pPr>
    </w:p>
    <w:p w14:paraId="41E1A96F" w14:textId="77777777" w:rsidR="002D68F3" w:rsidRPr="00181EF3" w:rsidRDefault="002D68F3" w:rsidP="002D68F3">
      <w:r w:rsidRPr="00181EF3">
        <w:t>Unintentional injuries include falls, poisonings, thermal injury, drowning and submersions, suffocation and motor vehicle accidents.</w:t>
      </w:r>
    </w:p>
    <w:p w14:paraId="092DD28E" w14:textId="77777777" w:rsidR="002D68F3" w:rsidRPr="00181EF3" w:rsidRDefault="002D68F3" w:rsidP="002D68F3"/>
    <w:p w14:paraId="3DF35326" w14:textId="77777777" w:rsidR="002D68F3" w:rsidRPr="00181EF3" w:rsidRDefault="002D68F3" w:rsidP="003065DE">
      <w:pPr>
        <w:pStyle w:val="Heading3"/>
      </w:pPr>
      <w:bookmarkStart w:id="336" w:name="_Toc19102417"/>
      <w:r w:rsidRPr="00181EF3">
        <w:t>What is the data telling us?</w:t>
      </w:r>
      <w:bookmarkEnd w:id="336"/>
    </w:p>
    <w:p w14:paraId="3AC9B02C" w14:textId="77777777" w:rsidR="002D68F3" w:rsidRPr="00181EF3" w:rsidRDefault="002D68F3" w:rsidP="002D68F3">
      <w:pPr>
        <w:pStyle w:val="Shadedboxbullet"/>
        <w:ind w:left="568" w:hanging="284"/>
      </w:pPr>
      <w:r w:rsidRPr="00181EF3">
        <w:t>The rate of hospitalisations due to unintentional injuries increased for Māori of all ages – the rate for Māori females increased more than for Māori males.</w:t>
      </w:r>
    </w:p>
    <w:p w14:paraId="667859E1" w14:textId="61A5EBE2" w:rsidR="002D68F3" w:rsidRPr="00181EF3" w:rsidRDefault="002D68F3" w:rsidP="002D68F3">
      <w:pPr>
        <w:pStyle w:val="Shadedboxbullet"/>
        <w:ind w:left="568" w:hanging="284"/>
      </w:pPr>
      <w:r w:rsidRPr="00181EF3">
        <w:t xml:space="preserve">There was an increase in the difference between Māori and </w:t>
      </w:r>
      <w:r w:rsidR="00EC03A3">
        <w:t>non</w:t>
      </w:r>
      <w:r w:rsidR="00EC03A3">
        <w:noBreakHyphen/>
        <w:t>M</w:t>
      </w:r>
      <w:r w:rsidRPr="00181EF3">
        <w:t>āori children’s rates of hospitalisations due to unintentional injuries between 1996–98 and 2014–16.</w:t>
      </w:r>
    </w:p>
    <w:p w14:paraId="321CFB09" w14:textId="67FEDAC4" w:rsidR="002D68F3" w:rsidRPr="00181EF3" w:rsidRDefault="002D68F3" w:rsidP="002D68F3">
      <w:pPr>
        <w:pStyle w:val="Shadedboxbullet"/>
        <w:ind w:left="568" w:hanging="284"/>
      </w:pPr>
      <w:r w:rsidRPr="00181EF3">
        <w:t xml:space="preserve">The difference in rates of hospitalisation due to unintentional injuries between Māori and </w:t>
      </w:r>
      <w:r w:rsidR="00EC03A3">
        <w:t>non</w:t>
      </w:r>
      <w:r w:rsidR="00EC03A3">
        <w:noBreakHyphen/>
        <w:t>M</w:t>
      </w:r>
      <w:r w:rsidRPr="00181EF3">
        <w:t xml:space="preserve">āori adults increased between 1996–98 and 2014–16. The difference between Māori and </w:t>
      </w:r>
      <w:r w:rsidR="00EC03A3">
        <w:t>non</w:t>
      </w:r>
      <w:r w:rsidR="00EC03A3">
        <w:noBreakHyphen/>
        <w:t>M</w:t>
      </w:r>
      <w:r w:rsidRPr="00181EF3">
        <w:t>āori adults increased more for males than for females.</w:t>
      </w:r>
    </w:p>
    <w:p w14:paraId="1CD74A22" w14:textId="356CEE10" w:rsidR="002D68F3" w:rsidRPr="00181EF3" w:rsidRDefault="002D68F3" w:rsidP="002D68F3">
      <w:pPr>
        <w:pStyle w:val="Shadedboxbullet"/>
        <w:ind w:left="568" w:hanging="284"/>
      </w:pPr>
      <w:r w:rsidRPr="00181EF3">
        <w:t xml:space="preserve">Māori females aged 65+ years had lower rates of hospitalisations due to unintentional injuries than </w:t>
      </w:r>
      <w:r w:rsidR="00EC03A3">
        <w:t>non</w:t>
      </w:r>
      <w:r w:rsidR="00EC03A3">
        <w:noBreakHyphen/>
        <w:t>M</w:t>
      </w:r>
      <w:r w:rsidRPr="00181EF3">
        <w:t>āori females of the same age group, this was consistent over time.</w:t>
      </w:r>
    </w:p>
    <w:p w14:paraId="0A43C73B" w14:textId="1F024A7C" w:rsidR="002D68F3" w:rsidRPr="00181EF3" w:rsidRDefault="002D68F3" w:rsidP="002D68F3">
      <w:pPr>
        <w:pStyle w:val="Shadedboxbullet"/>
        <w:ind w:left="568" w:hanging="284"/>
      </w:pPr>
      <w:r w:rsidRPr="00181EF3">
        <w:t xml:space="preserve">Māori and </w:t>
      </w:r>
      <w:r w:rsidR="00EC03A3">
        <w:t>non</w:t>
      </w:r>
      <w:r w:rsidR="00EC03A3">
        <w:noBreakHyphen/>
        <w:t>M</w:t>
      </w:r>
      <w:r w:rsidRPr="00181EF3">
        <w:t>āori males aged 65+ had similar rates of hospitalisation due to unintentional injuries, this did not change over time.</w:t>
      </w:r>
    </w:p>
    <w:p w14:paraId="653EE3D8" w14:textId="2EF2742A" w:rsidR="002D68F3" w:rsidRPr="00181EF3" w:rsidRDefault="002D68F3" w:rsidP="002D68F3">
      <w:pPr>
        <w:pStyle w:val="Shadedboxbullet"/>
        <w:ind w:left="568" w:hanging="284"/>
      </w:pPr>
      <w:r w:rsidRPr="00181EF3">
        <w:t xml:space="preserve">The difference between Māori and </w:t>
      </w:r>
      <w:r w:rsidR="00EC03A3">
        <w:t>non</w:t>
      </w:r>
      <w:r w:rsidR="00EC03A3">
        <w:noBreakHyphen/>
        <w:t>M</w:t>
      </w:r>
      <w:r w:rsidRPr="00181EF3">
        <w:t xml:space="preserve">āori, of all ages, did not change – Māori mortality rates were </w:t>
      </w:r>
      <w:r>
        <w:t>twice as high as the</w:t>
      </w:r>
      <w:r w:rsidRPr="00181EF3">
        <w:t xml:space="preserve"> </w:t>
      </w:r>
      <w:r w:rsidR="00EC03A3">
        <w:t>non</w:t>
      </w:r>
      <w:r w:rsidR="00EC03A3">
        <w:noBreakHyphen/>
        <w:t>M</w:t>
      </w:r>
      <w:r w:rsidRPr="00181EF3">
        <w:t>āori rates, this did not change over time.</w:t>
      </w:r>
    </w:p>
    <w:p w14:paraId="38B7C543" w14:textId="2E61EE54" w:rsidR="002D68F3" w:rsidRPr="00181EF3" w:rsidRDefault="002D68F3" w:rsidP="002D68F3">
      <w:pPr>
        <w:pStyle w:val="Shadedboxbullet"/>
        <w:ind w:left="568" w:hanging="284"/>
      </w:pPr>
      <w:r w:rsidRPr="00181EF3">
        <w:t xml:space="preserve">Māori boys had a mortality rate 2½ times </w:t>
      </w:r>
      <w:r>
        <w:t>as high as</w:t>
      </w:r>
      <w:r w:rsidRPr="00181EF3">
        <w:t xml:space="preserve"> that of </w:t>
      </w:r>
      <w:r w:rsidR="00EC03A3">
        <w:t>non</w:t>
      </w:r>
      <w:r w:rsidR="00EC03A3">
        <w:noBreakHyphen/>
        <w:t>M</w:t>
      </w:r>
      <w:r w:rsidRPr="00181EF3">
        <w:t>āori boys, this did not change over time.</w:t>
      </w:r>
    </w:p>
    <w:p w14:paraId="7D17757A" w14:textId="001CAA91" w:rsidR="002D68F3" w:rsidRPr="00181EF3" w:rsidRDefault="002D68F3" w:rsidP="002D68F3">
      <w:pPr>
        <w:pStyle w:val="Shadedboxbullet"/>
        <w:ind w:left="568" w:hanging="284"/>
      </w:pPr>
      <w:r w:rsidRPr="00181EF3">
        <w:t xml:space="preserve">On average, the unintentional injury mortality rate for Māori girls was three times </w:t>
      </w:r>
      <w:r>
        <w:t>as high as</w:t>
      </w:r>
      <w:r w:rsidRPr="00181EF3">
        <w:t xml:space="preserve"> that of </w:t>
      </w:r>
      <w:r w:rsidR="00EC03A3">
        <w:t>non</w:t>
      </w:r>
      <w:r w:rsidR="00EC03A3">
        <w:noBreakHyphen/>
        <w:t>M</w:t>
      </w:r>
      <w:r w:rsidRPr="00181EF3">
        <w:t>āori girls, this did not change over time.</w:t>
      </w:r>
    </w:p>
    <w:p w14:paraId="0802B6DF" w14:textId="295954EE" w:rsidR="002D68F3" w:rsidRPr="00181EF3" w:rsidRDefault="002D68F3" w:rsidP="00822BDA">
      <w:pPr>
        <w:pStyle w:val="Shadedboxbullet"/>
        <w:ind w:left="568" w:hanging="284"/>
      </w:pPr>
      <w:r w:rsidRPr="00181EF3">
        <w:t xml:space="preserve">The mortality rate for Māori aged 15–64 years was larger than the </w:t>
      </w:r>
      <w:r w:rsidR="00EC03A3">
        <w:t>non</w:t>
      </w:r>
      <w:r w:rsidR="00EC03A3">
        <w:noBreakHyphen/>
        <w:t>M</w:t>
      </w:r>
      <w:r w:rsidRPr="00181EF3">
        <w:t>āori rate, this did not change over time.</w:t>
      </w:r>
    </w:p>
    <w:p w14:paraId="6B2E2BB4" w14:textId="4155733D" w:rsidR="002D68F3" w:rsidRPr="00181EF3" w:rsidRDefault="002D68F3" w:rsidP="002D68F3">
      <w:pPr>
        <w:pStyle w:val="Shadedboxbullet"/>
        <w:ind w:left="568" w:hanging="284"/>
      </w:pPr>
      <w:r w:rsidRPr="00181EF3">
        <w:t xml:space="preserve">The unintentional mortality rates for Māori and </w:t>
      </w:r>
      <w:r w:rsidR="00EC03A3">
        <w:t>non</w:t>
      </w:r>
      <w:r w:rsidR="00EC03A3">
        <w:noBreakHyphen/>
        <w:t>M</w:t>
      </w:r>
      <w:r w:rsidRPr="00181EF3">
        <w:t>āori of both sexes aged 65 years and above remained similar between 1996–98 and 2012–14.</w:t>
      </w:r>
    </w:p>
    <w:p w14:paraId="654F760D" w14:textId="77777777" w:rsidR="002D68F3" w:rsidRPr="00181EF3" w:rsidRDefault="002D68F3" w:rsidP="002D68F3"/>
    <w:p w14:paraId="619CA45D" w14:textId="77777777" w:rsidR="002D68F3" w:rsidRPr="00181EF3" w:rsidRDefault="002D68F3" w:rsidP="00822BDA">
      <w:pPr>
        <w:pStyle w:val="Heading3"/>
        <w:pageBreakBefore/>
        <w:spacing w:before="0"/>
      </w:pPr>
      <w:bookmarkStart w:id="337" w:name="_Toc19102418"/>
      <w:r w:rsidRPr="00181EF3">
        <w:lastRenderedPageBreak/>
        <w:t>Unintentional injury hospitalisations, all ages</w:t>
      </w:r>
      <w:bookmarkEnd w:id="337"/>
    </w:p>
    <w:p w14:paraId="515A5CE0" w14:textId="5AAB9913" w:rsidR="003065DE" w:rsidRPr="00181EF3" w:rsidRDefault="003065DE" w:rsidP="003065DE">
      <w:pPr>
        <w:pStyle w:val="Figure"/>
      </w:pPr>
      <w:bookmarkStart w:id="338" w:name="_Toc19101966"/>
      <w:r w:rsidRPr="00181EF3">
        <w:t xml:space="preserve">Figure </w:t>
      </w:r>
      <w:r w:rsidR="00572A9A">
        <w:rPr>
          <w:noProof/>
        </w:rPr>
        <w:t>115</w:t>
      </w:r>
      <w:r w:rsidRPr="00181EF3">
        <w:t xml:space="preserve">: </w:t>
      </w:r>
      <w:r>
        <w:t>U</w:t>
      </w:r>
      <w:r w:rsidRPr="00181EF3">
        <w:t>nintentional injury hospitalisation</w:t>
      </w:r>
      <w:r>
        <w:t xml:space="preserve"> rate</w:t>
      </w:r>
      <w:r w:rsidRPr="00181EF3">
        <w:t>s</w:t>
      </w:r>
      <w:r>
        <w:t>, all ages, by gender,</w:t>
      </w:r>
      <w:r w:rsidRPr="00181EF3">
        <w:t xml:space="preserve"> Māori and </w:t>
      </w:r>
      <w:r w:rsidR="00EC03A3">
        <w:t>non</w:t>
      </w:r>
      <w:r w:rsidR="00EC03A3">
        <w:noBreakHyphen/>
        <w:t>M</w:t>
      </w:r>
      <w:r w:rsidRPr="00181EF3">
        <w:t>āori, 1996–98 to 2014–16</w:t>
      </w:r>
      <w:bookmarkEnd w:id="338"/>
    </w:p>
    <w:p w14:paraId="12A9D618" w14:textId="77777777" w:rsidR="003065DE" w:rsidRPr="00181EF3" w:rsidRDefault="003065DE" w:rsidP="003065DE">
      <w:r w:rsidRPr="00181EF3">
        <w:rPr>
          <w:noProof/>
          <w:lang w:eastAsia="en-NZ"/>
        </w:rPr>
        <w:drawing>
          <wp:inline distT="0" distB="0" distL="0" distR="0" wp14:anchorId="20AC9CB0" wp14:editId="72236D6C">
            <wp:extent cx="5130165" cy="2616603"/>
            <wp:effectExtent l="0" t="0" r="0" b="0"/>
            <wp:docPr id="455" name="Picture 455" descr="Rates of hospitalisation for unintentional injury are lower for women than men. Māori women experience a slightly higher rate than non-Māori women, and Māori men experience a higher rate than non-Māori men. The rates for all groups have remained relatively steady over time." title="Figure 115: Age-standardised unintentional injury hospitalisations for Māori and non Māori of all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5130165" cy="2616603"/>
                    </a:xfrm>
                    <a:prstGeom prst="rect">
                      <a:avLst/>
                    </a:prstGeom>
                  </pic:spPr>
                </pic:pic>
              </a:graphicData>
            </a:graphic>
          </wp:inline>
        </w:drawing>
      </w:r>
    </w:p>
    <w:p w14:paraId="18870C98" w14:textId="77777777" w:rsidR="003065DE" w:rsidRDefault="003065DE" w:rsidP="003065DE">
      <w:pPr>
        <w:pStyle w:val="Note"/>
      </w:pPr>
      <w:r w:rsidRPr="00181EF3">
        <w:t>Note</w:t>
      </w:r>
      <w:r>
        <w:t>s</w:t>
      </w:r>
      <w:r w:rsidRPr="00181EF3">
        <w:t>:</w:t>
      </w:r>
    </w:p>
    <w:p w14:paraId="4A2989F3" w14:textId="30F47B4B" w:rsidR="008A5642" w:rsidRDefault="00446D86" w:rsidP="003065DE">
      <w:pPr>
        <w:pStyle w:val="Note"/>
      </w:pPr>
      <w:r>
        <w:t>Figures are age-standardised to the 2001 Census total Māori population</w:t>
      </w:r>
      <w:r w:rsidR="003065DE" w:rsidRPr="00181EF3">
        <w:t>.</w:t>
      </w:r>
    </w:p>
    <w:p w14:paraId="287DB4A2" w14:textId="734C1E0B" w:rsidR="003065DE" w:rsidRPr="00181EF3" w:rsidRDefault="003065DE" w:rsidP="003065DE">
      <w:pPr>
        <w:pStyle w:val="Note"/>
      </w:pPr>
      <w:r>
        <w:t>Prioritised ethnicity has been used.</w:t>
      </w:r>
    </w:p>
    <w:p w14:paraId="69C4BF11" w14:textId="77777777" w:rsidR="008A5642" w:rsidRDefault="003065DE" w:rsidP="00B6364B">
      <w:pPr>
        <w:pStyle w:val="Note"/>
        <w:ind w:left="0" w:firstLine="0"/>
      </w:pPr>
      <w:r w:rsidRPr="00181EF3">
        <w:t xml:space="preserve">If the </w:t>
      </w:r>
      <w:r w:rsidRPr="00B6364B">
        <w:t>confidence</w:t>
      </w:r>
      <w:r w:rsidRPr="00181EF3">
        <w:t xml:space="preserv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5F08AB53" w14:textId="369E1628" w:rsidR="003065DE" w:rsidRPr="00181EF3" w:rsidRDefault="003065DE" w:rsidP="003065DE">
      <w:pPr>
        <w:pStyle w:val="Source"/>
        <w:rPr>
          <w:rFonts w:eastAsia="Calibri"/>
        </w:rPr>
      </w:pPr>
      <w:r w:rsidRPr="00181EF3">
        <w:rPr>
          <w:rFonts w:eastAsia="Calibri"/>
        </w:rPr>
        <w:t>Source: National Minimum Data Set (NMDS), Ministry of Health</w:t>
      </w:r>
      <w:r>
        <w:rPr>
          <w:rFonts w:eastAsia="Calibri"/>
        </w:rPr>
        <w:t>,</w:t>
      </w:r>
      <w:r w:rsidRPr="00507AA7">
        <w:t xml:space="preserve"> </w:t>
      </w:r>
      <w:r w:rsidRPr="00181EF3">
        <w:t>1996–98 to 201</w:t>
      </w:r>
      <w:r>
        <w:t>4</w:t>
      </w:r>
      <w:r w:rsidRPr="00181EF3">
        <w:t>–1</w:t>
      </w:r>
      <w:r>
        <w:t>6</w:t>
      </w:r>
      <w:r w:rsidRPr="00181EF3">
        <w:rPr>
          <w:rFonts w:eastAsia="Calibri"/>
        </w:rPr>
        <w:t>.</w:t>
      </w:r>
    </w:p>
    <w:p w14:paraId="6AA17A5F" w14:textId="77777777" w:rsidR="003065DE" w:rsidRDefault="003065DE" w:rsidP="002D68F3"/>
    <w:p w14:paraId="4FE08BF1" w14:textId="14321B26" w:rsidR="002D68F3" w:rsidRDefault="002D68F3" w:rsidP="002D68F3">
      <w:r w:rsidRPr="00181EF3">
        <w:t>Figure 1</w:t>
      </w:r>
      <w:r w:rsidR="003065DE">
        <w:t>1</w:t>
      </w:r>
      <w:r w:rsidR="003B4A96">
        <w:t>5</w:t>
      </w:r>
      <w:r w:rsidRPr="00181EF3">
        <w:t xml:space="preserve"> shows the age-standardised unintentional injury hospitalisations for Māori and </w:t>
      </w:r>
      <w:r w:rsidR="00EC03A3">
        <w:t>non</w:t>
      </w:r>
      <w:r w:rsidR="00EC03A3">
        <w:noBreakHyphen/>
        <w:t>M</w:t>
      </w:r>
      <w:r w:rsidRPr="00181EF3">
        <w:t>āori of all age groups</w:t>
      </w:r>
      <w:r>
        <w:t xml:space="preserve">, by </w:t>
      </w:r>
      <w:r w:rsidR="00AE55BA">
        <w:t>gender</w:t>
      </w:r>
      <w:r>
        <w:t>,</w:t>
      </w:r>
      <w:r w:rsidRPr="00181EF3">
        <w:t xml:space="preserve"> between 1996–98 and 2014–16.</w:t>
      </w:r>
    </w:p>
    <w:p w14:paraId="47B82FD1" w14:textId="77777777" w:rsidR="00822BDA" w:rsidRPr="00181EF3" w:rsidRDefault="00822BDA" w:rsidP="002D68F3"/>
    <w:p w14:paraId="746578EF" w14:textId="635B1821" w:rsidR="003065DE" w:rsidRPr="003065DE" w:rsidRDefault="002F5D84" w:rsidP="003065DE">
      <w:pPr>
        <w:pStyle w:val="Heading4"/>
      </w:pPr>
      <w:r>
        <w:t>The rate of unintentional injury</w:t>
      </w:r>
      <w:r w:rsidR="00B9370F">
        <w:t xml:space="preserve"> hospitalisation</w:t>
      </w:r>
      <w:r w:rsidR="002D68F3" w:rsidRPr="00181EF3">
        <w:t>s for Māori increased between 1996–98 and 2014–16</w:t>
      </w:r>
    </w:p>
    <w:p w14:paraId="73DD679A" w14:textId="77777777" w:rsidR="002D68F3" w:rsidRPr="00181EF3" w:rsidRDefault="003065DE" w:rsidP="002D68F3">
      <w:r w:rsidRPr="00181EF3">
        <w:t xml:space="preserve">The rate of hospitalisations due to unintentional injuries increased for Māori – the rate for Māori females increased more than for Māori males. </w:t>
      </w:r>
      <w:r w:rsidR="002D68F3" w:rsidRPr="00181EF3">
        <w:t>The age-standardised rate of unintentional injuries for Māori males increased by 5 percent between 1996–98 and 2014–16 (from 1,894 to 1,980 hospitalisations per 100,000), the rate for Māori females increased by 8 percent over this period (from 1,032 to 1,117 hospitalisations per 100,000).</w:t>
      </w:r>
    </w:p>
    <w:p w14:paraId="0FDC65AD" w14:textId="77777777" w:rsidR="002D68F3" w:rsidRPr="00181EF3" w:rsidRDefault="002D68F3" w:rsidP="002D68F3"/>
    <w:p w14:paraId="15355286" w14:textId="3A36A84E" w:rsidR="002D68F3" w:rsidRPr="00181EF3" w:rsidRDefault="003065DE" w:rsidP="002D68F3">
      <w:r w:rsidRPr="00181EF3">
        <w:t xml:space="preserve">The rate of hospitalisations due to unintentional injuries decreased for </w:t>
      </w:r>
      <w:r w:rsidR="00EC03A3">
        <w:t>non</w:t>
      </w:r>
      <w:r w:rsidR="00EC03A3">
        <w:noBreakHyphen/>
        <w:t>M</w:t>
      </w:r>
      <w:r w:rsidRPr="00181EF3">
        <w:t xml:space="preserve">āori – the rate for </w:t>
      </w:r>
      <w:r w:rsidR="00EC03A3">
        <w:t>non</w:t>
      </w:r>
      <w:r w:rsidR="00EC03A3">
        <w:noBreakHyphen/>
        <w:t>M</w:t>
      </w:r>
      <w:r w:rsidRPr="00181EF3">
        <w:t xml:space="preserve">āori males decreased more than for </w:t>
      </w:r>
      <w:r w:rsidR="00EC03A3">
        <w:t>non</w:t>
      </w:r>
      <w:r w:rsidR="00EC03A3">
        <w:noBreakHyphen/>
        <w:t>M</w:t>
      </w:r>
      <w:r w:rsidRPr="00181EF3">
        <w:t>āori females.</w:t>
      </w:r>
      <w:r>
        <w:t xml:space="preserve"> T</w:t>
      </w:r>
      <w:r w:rsidR="002D68F3" w:rsidRPr="00181EF3">
        <w:t xml:space="preserve">he age-standardised rate of unintentional injuries for </w:t>
      </w:r>
      <w:r w:rsidR="00EC03A3">
        <w:t>non</w:t>
      </w:r>
      <w:r w:rsidR="00EC03A3">
        <w:noBreakHyphen/>
        <w:t>M</w:t>
      </w:r>
      <w:r w:rsidR="002D68F3" w:rsidRPr="00181EF3">
        <w:t>āori decreased between 1996–98 and 2014–16 with males decreasing by 12 percent (from 1,769 to 1,557 hospitalisations per 100,000) and females decreasing by 4 percent (from 986 to 951 hospitalisations per 100,000).</w:t>
      </w:r>
    </w:p>
    <w:p w14:paraId="39ABACC1" w14:textId="77777777" w:rsidR="002D68F3" w:rsidRPr="00181EF3" w:rsidRDefault="002D68F3" w:rsidP="002D68F3"/>
    <w:p w14:paraId="0A0F4C4C" w14:textId="7B6EFC6B" w:rsidR="002D68F3" w:rsidRPr="00181EF3" w:rsidRDefault="002D68F3" w:rsidP="002D68F3">
      <w:r w:rsidRPr="00181EF3">
        <w:t xml:space="preserve">On average, both Māori and </w:t>
      </w:r>
      <w:r w:rsidR="00EC03A3">
        <w:t>non</w:t>
      </w:r>
      <w:r w:rsidR="00EC03A3">
        <w:noBreakHyphen/>
        <w:t>M</w:t>
      </w:r>
      <w:r w:rsidRPr="00181EF3">
        <w:t>āori male rates of hospitalisation due to unintentional injuries were nearly double the respective rates of females.</w:t>
      </w:r>
    </w:p>
    <w:p w14:paraId="07EEAD78" w14:textId="77777777" w:rsidR="002D68F3" w:rsidRPr="00181EF3" w:rsidRDefault="002D68F3" w:rsidP="002D68F3"/>
    <w:p w14:paraId="6A818E5C" w14:textId="1F9DE89F" w:rsidR="002D68F3" w:rsidRPr="00181EF3" w:rsidRDefault="002D68F3" w:rsidP="003065DE">
      <w:pPr>
        <w:pStyle w:val="Heading4"/>
      </w:pPr>
      <w:r w:rsidRPr="00181EF3">
        <w:lastRenderedPageBreak/>
        <w:t xml:space="preserve">Difference between Māori and </w:t>
      </w:r>
      <w:r w:rsidR="00EC03A3">
        <w:t>non</w:t>
      </w:r>
      <w:r w:rsidR="00EC03A3">
        <w:noBreakHyphen/>
        <w:t>M</w:t>
      </w:r>
      <w:r w:rsidRPr="00181EF3">
        <w:t xml:space="preserve">āori unintentional injury </w:t>
      </w:r>
      <w:r w:rsidR="00B9370F">
        <w:t xml:space="preserve">hospitalisation </w:t>
      </w:r>
      <w:r w:rsidRPr="00181EF3">
        <w:t>rates increased between</w:t>
      </w:r>
      <w:r w:rsidR="00B9370F">
        <w:t xml:space="preserve"> </w:t>
      </w:r>
      <w:r w:rsidRPr="00181EF3">
        <w:t>1996–98 and 2014–16</w:t>
      </w:r>
    </w:p>
    <w:p w14:paraId="07FB5C79" w14:textId="64011950" w:rsidR="008A5642" w:rsidRDefault="002D68F3" w:rsidP="002D68F3">
      <w:r w:rsidRPr="00181EF3">
        <w:t>Between 1996–9</w:t>
      </w:r>
      <w:r>
        <w:t>8</w:t>
      </w:r>
      <w:r w:rsidRPr="00181EF3">
        <w:t xml:space="preserve"> and 201</w:t>
      </w:r>
      <w:r>
        <w:t>4</w:t>
      </w:r>
      <w:r w:rsidRPr="00181EF3">
        <w:t>–1</w:t>
      </w:r>
      <w:r>
        <w:t>6</w:t>
      </w:r>
      <w:r w:rsidRPr="00181EF3">
        <w:t xml:space="preserve">, there was an increase in the difference between Māori and </w:t>
      </w:r>
      <w:r w:rsidR="00EC03A3">
        <w:t>non</w:t>
      </w:r>
      <w:r w:rsidR="00EC03A3">
        <w:noBreakHyphen/>
        <w:t>M</w:t>
      </w:r>
      <w:r w:rsidRPr="00181EF3">
        <w:t>āori male and female rates of hospitalisations due to unintentional injuries.</w:t>
      </w:r>
    </w:p>
    <w:p w14:paraId="25866BD3" w14:textId="3BE2D468" w:rsidR="003065DE" w:rsidRDefault="003065DE" w:rsidP="002D68F3"/>
    <w:p w14:paraId="30E344FC" w14:textId="32930F2F" w:rsidR="002D68F3" w:rsidRPr="00181EF3" w:rsidRDefault="003065DE" w:rsidP="002D68F3">
      <w:r w:rsidRPr="00181EF3">
        <w:t xml:space="preserve">The difference between Māori and </w:t>
      </w:r>
      <w:r w:rsidR="00EC03A3">
        <w:t>non</w:t>
      </w:r>
      <w:r w:rsidR="00EC03A3">
        <w:noBreakHyphen/>
        <w:t>M</w:t>
      </w:r>
      <w:r w:rsidRPr="00181EF3">
        <w:t>āori increased more for females than for males.</w:t>
      </w:r>
      <w:r>
        <w:t xml:space="preserve"> </w:t>
      </w:r>
      <w:r w:rsidR="002D68F3" w:rsidRPr="00181EF3">
        <w:t xml:space="preserve">The Māori and </w:t>
      </w:r>
      <w:r w:rsidR="00EC03A3">
        <w:t>non</w:t>
      </w:r>
      <w:r w:rsidR="00EC03A3">
        <w:noBreakHyphen/>
        <w:t>M</w:t>
      </w:r>
      <w:r w:rsidR="002D68F3" w:rsidRPr="00181EF3">
        <w:t xml:space="preserve">āori difference for males, increased by almost 240 percent (from 125 hospitalisations per 100,000 in 1996–98 to 423 in 2014–16). For females, the difference between Māori and </w:t>
      </w:r>
      <w:r w:rsidR="00EC03A3">
        <w:t>non</w:t>
      </w:r>
      <w:r w:rsidR="00EC03A3">
        <w:noBreakHyphen/>
        <w:t>M</w:t>
      </w:r>
      <w:r w:rsidR="002D68F3" w:rsidRPr="00181EF3">
        <w:t>āori increased by almost 260 percent (from 46 hospitalisations per 100,000 in 1996–98 to 166 in 2014–16).</w:t>
      </w:r>
    </w:p>
    <w:p w14:paraId="19DA4E64" w14:textId="77777777" w:rsidR="002D68F3" w:rsidRPr="00181EF3" w:rsidRDefault="002D68F3" w:rsidP="002D68F3"/>
    <w:p w14:paraId="66FE19CF" w14:textId="5BA39682" w:rsidR="002D68F3" w:rsidRPr="00181EF3" w:rsidRDefault="002D68F3" w:rsidP="002D68F3">
      <w:r w:rsidRPr="00181EF3">
        <w:t xml:space="preserve">By 2014–16 Māori had a rate of hospitalisations around 1.2 times as high as those of </w:t>
      </w:r>
      <w:r w:rsidR="00EC03A3">
        <w:t>non</w:t>
      </w:r>
      <w:r w:rsidR="00EC03A3">
        <w:noBreakHyphen/>
        <w:t>M</w:t>
      </w:r>
      <w:r w:rsidRPr="00181EF3">
        <w:t>āori, regardless of sex.</w:t>
      </w:r>
    </w:p>
    <w:p w14:paraId="3D30FEFA" w14:textId="77777777" w:rsidR="002D68F3" w:rsidRPr="00181EF3" w:rsidRDefault="002D68F3" w:rsidP="002D68F3"/>
    <w:p w14:paraId="1BB2A26D" w14:textId="0E974B59" w:rsidR="002D68F3" w:rsidRDefault="002D68F3" w:rsidP="00822BDA">
      <w:pPr>
        <w:pStyle w:val="Heading3"/>
        <w:pageBreakBefore/>
        <w:spacing w:before="0"/>
      </w:pPr>
      <w:bookmarkStart w:id="339" w:name="_Toc19102419"/>
      <w:r w:rsidRPr="00181EF3">
        <w:lastRenderedPageBreak/>
        <w:t xml:space="preserve">Unintentional injury hospitalisations, 0–14 </w:t>
      </w:r>
      <w:r w:rsidR="00517C47">
        <w:t>years</w:t>
      </w:r>
      <w:bookmarkEnd w:id="339"/>
    </w:p>
    <w:p w14:paraId="2F0DEEC3" w14:textId="4FC4A9FC" w:rsidR="00517C47" w:rsidRPr="00181EF3" w:rsidRDefault="00517C47" w:rsidP="00517C47">
      <w:pPr>
        <w:pStyle w:val="Figure"/>
      </w:pPr>
      <w:bookmarkStart w:id="340" w:name="_Toc19101967"/>
      <w:r w:rsidRPr="00181EF3">
        <w:t xml:space="preserve">Figure </w:t>
      </w:r>
      <w:r>
        <w:rPr>
          <w:noProof/>
        </w:rPr>
        <w:t>11</w:t>
      </w:r>
      <w:r w:rsidR="00572A9A">
        <w:rPr>
          <w:noProof/>
        </w:rPr>
        <w:t>6</w:t>
      </w:r>
      <w:r w:rsidRPr="00181EF3">
        <w:t xml:space="preserve">: </w:t>
      </w:r>
      <w:r>
        <w:t>U</w:t>
      </w:r>
      <w:r w:rsidRPr="00181EF3">
        <w:t>nintentional injury hospitalisation</w:t>
      </w:r>
      <w:r>
        <w:t xml:space="preserve"> rate</w:t>
      </w:r>
      <w:r w:rsidRPr="00181EF3">
        <w:t>s</w:t>
      </w:r>
      <w:r>
        <w:t>, 0–14 years, by gender,</w:t>
      </w:r>
      <w:r w:rsidRPr="00181EF3">
        <w:t xml:space="preserve"> Māori and </w:t>
      </w:r>
      <w:r w:rsidR="00EC03A3">
        <w:t>non</w:t>
      </w:r>
      <w:r w:rsidR="00EC03A3">
        <w:noBreakHyphen/>
        <w:t>M</w:t>
      </w:r>
      <w:r w:rsidRPr="00181EF3">
        <w:t>āori, 1996–98 to 2014–16</w:t>
      </w:r>
      <w:bookmarkEnd w:id="340"/>
    </w:p>
    <w:p w14:paraId="448D8D66" w14:textId="77777777" w:rsidR="00517C47" w:rsidRPr="00181EF3" w:rsidRDefault="00517C47" w:rsidP="00517C47">
      <w:r w:rsidRPr="00181EF3">
        <w:rPr>
          <w:noProof/>
          <w:lang w:eastAsia="en-NZ"/>
        </w:rPr>
        <w:drawing>
          <wp:inline distT="0" distB="0" distL="0" distR="0" wp14:anchorId="40996E42" wp14:editId="22A49FC8">
            <wp:extent cx="5130165" cy="2616603"/>
            <wp:effectExtent l="0" t="0" r="0" b="0"/>
            <wp:docPr id="257" name="Picture 257" descr="Unintentional injury hospitalisation rates for children were lower for girls than for boys. Māori children have slightly higher rates than non-Māori children, and the rates for all groups have declined over time." title="Figure 116: Age-standardised rate of hospitalisations due to unintentional injury for Māori and non-Māori aged between 0 and 1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130165" cy="2616603"/>
                    </a:xfrm>
                    <a:prstGeom prst="rect">
                      <a:avLst/>
                    </a:prstGeom>
                  </pic:spPr>
                </pic:pic>
              </a:graphicData>
            </a:graphic>
          </wp:inline>
        </w:drawing>
      </w:r>
    </w:p>
    <w:p w14:paraId="057664BD" w14:textId="77777777" w:rsidR="00517C47" w:rsidRDefault="00517C47" w:rsidP="00517C47">
      <w:pPr>
        <w:pStyle w:val="Note"/>
      </w:pPr>
      <w:r w:rsidRPr="00181EF3">
        <w:t>Note</w:t>
      </w:r>
      <w:r>
        <w:t>s</w:t>
      </w:r>
      <w:r w:rsidRPr="00181EF3">
        <w:t>:</w:t>
      </w:r>
    </w:p>
    <w:p w14:paraId="0241E781" w14:textId="3A6B46C0" w:rsidR="008A5642" w:rsidRDefault="00446D86" w:rsidP="00517C47">
      <w:pPr>
        <w:pStyle w:val="Note"/>
      </w:pPr>
      <w:r>
        <w:t>Figures are age-standardised to the 2001 Census total Māori population</w:t>
      </w:r>
      <w:r w:rsidR="00517C47" w:rsidRPr="00181EF3">
        <w:t>.</w:t>
      </w:r>
    </w:p>
    <w:p w14:paraId="5EEA93C5" w14:textId="51173465" w:rsidR="00517C47" w:rsidRPr="00181EF3" w:rsidRDefault="00517C47" w:rsidP="00517C47">
      <w:pPr>
        <w:pStyle w:val="Note"/>
      </w:pPr>
      <w:r>
        <w:t>Prioritised ethnicity has been used.</w:t>
      </w:r>
    </w:p>
    <w:p w14:paraId="7B5EB77C" w14:textId="77777777" w:rsidR="008A5642" w:rsidRDefault="00517C47" w:rsidP="00B6364B">
      <w:pPr>
        <w:pStyle w:val="Note"/>
        <w:ind w:left="0" w:firstLine="0"/>
      </w:pPr>
      <w:r w:rsidRPr="00181EF3">
        <w:t xml:space="preserve">If the </w:t>
      </w:r>
      <w:r w:rsidRPr="00B6364B">
        <w:t>confidence</w:t>
      </w:r>
      <w:r w:rsidRPr="00181EF3">
        <w:t xml:space="preserv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2A31BD33" w14:textId="355AE70D" w:rsidR="00517C47" w:rsidRPr="00181EF3" w:rsidRDefault="00517C47" w:rsidP="00517C47">
      <w:pPr>
        <w:pStyle w:val="Source"/>
        <w:rPr>
          <w:rFonts w:eastAsia="Calibri"/>
        </w:rPr>
      </w:pPr>
      <w:r w:rsidRPr="00181EF3">
        <w:rPr>
          <w:rFonts w:eastAsia="Calibri"/>
        </w:rPr>
        <w:t>Source: National Minimum Data Set (NMDS), Ministry of Health</w:t>
      </w:r>
      <w:r>
        <w:rPr>
          <w:rFonts w:eastAsia="Calibri"/>
        </w:rPr>
        <w:t>,</w:t>
      </w:r>
      <w:r w:rsidRPr="00507AA7">
        <w:t xml:space="preserve"> </w:t>
      </w:r>
      <w:r w:rsidRPr="00181EF3">
        <w:t>1996–98 to 201</w:t>
      </w:r>
      <w:r>
        <w:t>4</w:t>
      </w:r>
      <w:r w:rsidRPr="00181EF3">
        <w:t>–1</w:t>
      </w:r>
      <w:r>
        <w:t>6</w:t>
      </w:r>
      <w:r w:rsidRPr="00181EF3">
        <w:rPr>
          <w:rFonts w:eastAsia="Calibri"/>
        </w:rPr>
        <w:t>.</w:t>
      </w:r>
    </w:p>
    <w:p w14:paraId="51340AF8" w14:textId="77777777" w:rsidR="00517C47" w:rsidRPr="00517C47" w:rsidRDefault="00517C47" w:rsidP="00517C47"/>
    <w:p w14:paraId="5495A3D5" w14:textId="2AFBF4F7" w:rsidR="002D68F3" w:rsidRDefault="002D68F3" w:rsidP="00822BDA">
      <w:r w:rsidRPr="00181EF3">
        <w:t xml:space="preserve">Figure </w:t>
      </w:r>
      <w:r w:rsidR="00517C47">
        <w:t>11</w:t>
      </w:r>
      <w:r w:rsidR="003B4A96">
        <w:t>6</w:t>
      </w:r>
      <w:r w:rsidRPr="00181EF3">
        <w:t xml:space="preserve"> shows the age-standardised rate of hospitalisations due to unintentional injuries for Māori and </w:t>
      </w:r>
      <w:r w:rsidR="00EC03A3">
        <w:t>non</w:t>
      </w:r>
      <w:r w:rsidR="00EC03A3">
        <w:noBreakHyphen/>
        <w:t>M</w:t>
      </w:r>
      <w:r w:rsidRPr="00181EF3">
        <w:t>āori children aged 0</w:t>
      </w:r>
      <w:r w:rsidR="00517C47">
        <w:t>–</w:t>
      </w:r>
      <w:r w:rsidRPr="00181EF3">
        <w:t>14 years</w:t>
      </w:r>
      <w:r>
        <w:t xml:space="preserve">, by </w:t>
      </w:r>
      <w:r w:rsidR="00517C47">
        <w:t>gender</w:t>
      </w:r>
      <w:r>
        <w:t>,</w:t>
      </w:r>
      <w:r w:rsidRPr="00181EF3">
        <w:t xml:space="preserve"> between</w:t>
      </w:r>
      <w:r w:rsidR="00822BDA">
        <w:br/>
      </w:r>
      <w:r w:rsidRPr="00181EF3">
        <w:t>1996–98 and 2014–16.</w:t>
      </w:r>
    </w:p>
    <w:p w14:paraId="7807C4A5" w14:textId="77777777" w:rsidR="00822BDA" w:rsidRPr="00181EF3" w:rsidRDefault="00822BDA" w:rsidP="00822BDA"/>
    <w:p w14:paraId="0BBB171F" w14:textId="77777777" w:rsidR="002D68F3" w:rsidRPr="00181EF3" w:rsidRDefault="002D68F3" w:rsidP="00517C47">
      <w:pPr>
        <w:pStyle w:val="Heading4"/>
      </w:pPr>
      <w:r w:rsidRPr="00181EF3">
        <w:t>Unintentional injury hospitalisation</w:t>
      </w:r>
      <w:r w:rsidR="00B9370F">
        <w:t xml:space="preserve"> rate</w:t>
      </w:r>
      <w:r w:rsidRPr="00181EF3">
        <w:t>s decrease for Māori children between 1996–98 and 2014–16</w:t>
      </w:r>
    </w:p>
    <w:p w14:paraId="7A540B57" w14:textId="77777777" w:rsidR="008A5642" w:rsidRDefault="002D68F3" w:rsidP="002D68F3">
      <w:r w:rsidRPr="00181EF3">
        <w:t>The age-standardised rate of hospitalisations due to unintentional injuries decreased for Māori children aged 0–14 years between 1996–98 and 2014–16.</w:t>
      </w:r>
    </w:p>
    <w:p w14:paraId="02606B98" w14:textId="7BB2181D" w:rsidR="00517C47" w:rsidRDefault="00517C47" w:rsidP="002D68F3"/>
    <w:p w14:paraId="480C617D" w14:textId="77777777" w:rsidR="002D68F3" w:rsidRDefault="002D68F3" w:rsidP="002D68F3">
      <w:r w:rsidRPr="00181EF3">
        <w:t xml:space="preserve">Māori </w:t>
      </w:r>
      <w:r>
        <w:t>boy</w:t>
      </w:r>
      <w:r w:rsidRPr="00181EF3">
        <w:t xml:space="preserve">s decreased by 16 percent over this period (from 1,950 to 1,642 hospitalisations per 100,000) and Māori </w:t>
      </w:r>
      <w:r>
        <w:t>girl</w:t>
      </w:r>
      <w:r w:rsidRPr="00181EF3">
        <w:t>s decreased by 12 percent (from 1,336 to 1,169 hospitalisations per 100,000).</w:t>
      </w:r>
    </w:p>
    <w:p w14:paraId="5D0FE6CD" w14:textId="77777777" w:rsidR="00822BDA" w:rsidRPr="00181EF3" w:rsidRDefault="00822BDA" w:rsidP="002D68F3"/>
    <w:p w14:paraId="1E04C5E4" w14:textId="7398E870" w:rsidR="002D68F3" w:rsidRPr="00181EF3" w:rsidRDefault="002D68F3" w:rsidP="00517C47">
      <w:pPr>
        <w:pStyle w:val="Heading4"/>
      </w:pPr>
      <w:r w:rsidRPr="00181EF3">
        <w:t xml:space="preserve">Difference between Māori and </w:t>
      </w:r>
      <w:r w:rsidR="00EC03A3">
        <w:t>non</w:t>
      </w:r>
      <w:r w:rsidR="00EC03A3">
        <w:noBreakHyphen/>
        <w:t>M</w:t>
      </w:r>
      <w:r w:rsidRPr="00181EF3">
        <w:t xml:space="preserve">āori children unintentional injury </w:t>
      </w:r>
      <w:r w:rsidR="00B9370F">
        <w:t xml:space="preserve">hospitalisation </w:t>
      </w:r>
      <w:r w:rsidRPr="00181EF3">
        <w:t>rates increased between</w:t>
      </w:r>
      <w:r w:rsidR="00B9370F">
        <w:t xml:space="preserve"> </w:t>
      </w:r>
      <w:r w:rsidRPr="00181EF3">
        <w:t>1996–98 and 2014–16</w:t>
      </w:r>
    </w:p>
    <w:p w14:paraId="38287F44" w14:textId="7EF28595" w:rsidR="00517C47" w:rsidRPr="00181EF3" w:rsidRDefault="00517C47" w:rsidP="00822BDA">
      <w:pPr>
        <w:keepNext/>
      </w:pPr>
      <w:r w:rsidRPr="00181EF3">
        <w:t xml:space="preserve">There was an increase in the difference between Māori and </w:t>
      </w:r>
      <w:r w:rsidR="00EC03A3">
        <w:t>non</w:t>
      </w:r>
      <w:r w:rsidR="00EC03A3">
        <w:noBreakHyphen/>
        <w:t>M</w:t>
      </w:r>
      <w:r w:rsidRPr="00181EF3">
        <w:t xml:space="preserve">āori children’s rates of hospitalisations due to unintentional injuries. In 1996–98, Māori children had lower </w:t>
      </w:r>
      <w:r w:rsidRPr="00181EF3">
        <w:lastRenderedPageBreak/>
        <w:t xml:space="preserve">rates than </w:t>
      </w:r>
      <w:r w:rsidR="00EC03A3">
        <w:t>non</w:t>
      </w:r>
      <w:r w:rsidR="00EC03A3">
        <w:noBreakHyphen/>
        <w:t>M</w:t>
      </w:r>
      <w:r w:rsidRPr="00181EF3">
        <w:t xml:space="preserve">āori children. By 2014–16 Māori children had higher rates than </w:t>
      </w:r>
      <w:r w:rsidR="00EC03A3">
        <w:t>non</w:t>
      </w:r>
      <w:r w:rsidR="00EC03A3">
        <w:noBreakHyphen/>
        <w:t>M</w:t>
      </w:r>
      <w:r w:rsidRPr="00181EF3">
        <w:t>āori children.</w:t>
      </w:r>
    </w:p>
    <w:p w14:paraId="04A71977" w14:textId="77777777" w:rsidR="00517C47" w:rsidRDefault="00517C47" w:rsidP="002D68F3"/>
    <w:p w14:paraId="1988A1D4" w14:textId="0789C238" w:rsidR="002D68F3" w:rsidRPr="00181EF3" w:rsidRDefault="002D68F3" w:rsidP="002D68F3">
      <w:r w:rsidRPr="00181EF3">
        <w:t xml:space="preserve">The difference in rate of hospitalisations due to unintentional injuries between Māori and </w:t>
      </w:r>
      <w:r w:rsidR="00EC03A3">
        <w:t>non</w:t>
      </w:r>
      <w:r w:rsidR="00EC03A3">
        <w:noBreakHyphen/>
        <w:t>M</w:t>
      </w:r>
      <w:r w:rsidRPr="00181EF3">
        <w:t xml:space="preserve">āori children increased by 442 percent for </w:t>
      </w:r>
      <w:r w:rsidR="00AE55BA">
        <w:t>boys</w:t>
      </w:r>
      <w:r w:rsidRPr="00181EF3">
        <w:t xml:space="preserve"> (Māori boys had 50 fewer unintentional injury hospitalisations per 100,000 than </w:t>
      </w:r>
      <w:r w:rsidR="00EC03A3">
        <w:t>non</w:t>
      </w:r>
      <w:r w:rsidR="00EC03A3">
        <w:noBreakHyphen/>
        <w:t>M</w:t>
      </w:r>
      <w:r w:rsidRPr="00181EF3">
        <w:t xml:space="preserve">āori boys in 1996–98 but 173 more hospitalisations in 2014–16) and by 738 percent for </w:t>
      </w:r>
      <w:r w:rsidR="00AE55BA">
        <w:t>girls</w:t>
      </w:r>
      <w:r w:rsidRPr="00181EF3">
        <w:t xml:space="preserve"> (Māori girls had 19 fewer unintentional injury hospitalisations per 100,000 than </w:t>
      </w:r>
      <w:r w:rsidR="00EC03A3">
        <w:t>non</w:t>
      </w:r>
      <w:r w:rsidR="00EC03A3">
        <w:noBreakHyphen/>
        <w:t>M</w:t>
      </w:r>
      <w:r w:rsidRPr="00181EF3">
        <w:t>āori in 1996–98 but 124 more hospitalisations in 2014–16).</w:t>
      </w:r>
    </w:p>
    <w:p w14:paraId="29B51351" w14:textId="77777777" w:rsidR="002D68F3" w:rsidRPr="00181EF3" w:rsidRDefault="002D68F3" w:rsidP="002D68F3"/>
    <w:p w14:paraId="22B2C0FA" w14:textId="5A6B2D86" w:rsidR="002D68F3" w:rsidRPr="00181EF3" w:rsidRDefault="002D68F3" w:rsidP="00822BDA">
      <w:r w:rsidRPr="00181EF3">
        <w:t xml:space="preserve">In 1996–98 and 1997–99 Māori and </w:t>
      </w:r>
      <w:r w:rsidR="00EC03A3">
        <w:t>non</w:t>
      </w:r>
      <w:r w:rsidR="00EC03A3">
        <w:noBreakHyphen/>
        <w:t>M</w:t>
      </w:r>
      <w:r w:rsidRPr="00181EF3">
        <w:t xml:space="preserve">āori children aged 0–14 years had similar rates of hospitalisations due to unintentional injuries regardless of sex. By 2014–16 Māori had a rate of hospitalisations caused by unintentional injuries over 1.1 times as high as those of </w:t>
      </w:r>
      <w:r w:rsidR="00EC03A3">
        <w:t>non</w:t>
      </w:r>
      <w:r w:rsidR="00EC03A3">
        <w:noBreakHyphen/>
        <w:t>M</w:t>
      </w:r>
      <w:r w:rsidRPr="00181EF3">
        <w:t>āori.</w:t>
      </w:r>
    </w:p>
    <w:p w14:paraId="3EA1F34A" w14:textId="77777777" w:rsidR="002D68F3" w:rsidRPr="00181EF3" w:rsidRDefault="002D68F3" w:rsidP="002D68F3"/>
    <w:p w14:paraId="65FF27C3" w14:textId="6C486891" w:rsidR="002D68F3" w:rsidRPr="00181EF3" w:rsidRDefault="002D68F3" w:rsidP="00822BDA">
      <w:pPr>
        <w:pStyle w:val="Heading3"/>
        <w:pageBreakBefore/>
        <w:spacing w:before="0"/>
      </w:pPr>
      <w:bookmarkStart w:id="341" w:name="_Toc19102420"/>
      <w:r w:rsidRPr="00181EF3">
        <w:lastRenderedPageBreak/>
        <w:t>Unintentional injury hospitalisations, 15–64 years</w:t>
      </w:r>
      <w:bookmarkEnd w:id="341"/>
    </w:p>
    <w:p w14:paraId="08A5416E" w14:textId="6722F6D8" w:rsidR="00517C47" w:rsidRPr="00181EF3" w:rsidRDefault="00517C47" w:rsidP="00517C47">
      <w:pPr>
        <w:pStyle w:val="Figure"/>
      </w:pPr>
      <w:bookmarkStart w:id="342" w:name="_Toc19101968"/>
      <w:r w:rsidRPr="00181EF3">
        <w:t xml:space="preserve">Figure </w:t>
      </w:r>
      <w:r>
        <w:rPr>
          <w:noProof/>
        </w:rPr>
        <w:t>11</w:t>
      </w:r>
      <w:r w:rsidR="00572A9A">
        <w:rPr>
          <w:noProof/>
        </w:rPr>
        <w:t>7</w:t>
      </w:r>
      <w:r w:rsidRPr="00181EF3">
        <w:t xml:space="preserve">: </w:t>
      </w:r>
      <w:r>
        <w:t>U</w:t>
      </w:r>
      <w:r w:rsidRPr="00181EF3">
        <w:t>nintentional injury hospitalisation</w:t>
      </w:r>
      <w:r>
        <w:t xml:space="preserve"> rate</w:t>
      </w:r>
      <w:r w:rsidRPr="00181EF3">
        <w:t>s</w:t>
      </w:r>
      <w:r>
        <w:t>, 15–64 years, by gender,</w:t>
      </w:r>
      <w:r w:rsidRPr="00181EF3">
        <w:t xml:space="preserve"> Māori and </w:t>
      </w:r>
      <w:r w:rsidR="00EC03A3">
        <w:t>non</w:t>
      </w:r>
      <w:r w:rsidR="00EC03A3">
        <w:noBreakHyphen/>
        <w:t>M</w:t>
      </w:r>
      <w:r w:rsidRPr="00181EF3">
        <w:t>āori, 1996–98 to 2014–16</w:t>
      </w:r>
      <w:bookmarkEnd w:id="342"/>
    </w:p>
    <w:p w14:paraId="46CBC76B" w14:textId="77777777" w:rsidR="00517C47" w:rsidRPr="00181EF3" w:rsidRDefault="00517C47" w:rsidP="00822BDA">
      <w:r w:rsidRPr="00181EF3">
        <w:rPr>
          <w:noProof/>
          <w:lang w:eastAsia="en-NZ"/>
        </w:rPr>
        <w:drawing>
          <wp:inline distT="0" distB="0" distL="0" distR="0" wp14:anchorId="60BA66A9" wp14:editId="49710C53">
            <wp:extent cx="5130165" cy="2616603"/>
            <wp:effectExtent l="0" t="0" r="0" b="0"/>
            <wp:docPr id="264" name="Picture 264" descr="Rates of unintentional injury for 15-64 year olds were much higher for men than for women. Māori women had a slightly higher rate than non-Māori women. Māori men had a much higher rate than non-Māori men. The rates for all groups have remained relatively steady since about 2006-08." title="Figure 117: Age-standardised unintentional injury rates for Māori and non-Māori adults aged 15–6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5130165" cy="2616603"/>
                    </a:xfrm>
                    <a:prstGeom prst="rect">
                      <a:avLst/>
                    </a:prstGeom>
                  </pic:spPr>
                </pic:pic>
              </a:graphicData>
            </a:graphic>
          </wp:inline>
        </w:drawing>
      </w:r>
    </w:p>
    <w:p w14:paraId="12AE1F07" w14:textId="77777777" w:rsidR="00517C47" w:rsidRDefault="00517C47" w:rsidP="00517C47">
      <w:pPr>
        <w:pStyle w:val="Note"/>
      </w:pPr>
      <w:r w:rsidRPr="00181EF3">
        <w:t>Note</w:t>
      </w:r>
      <w:r>
        <w:t>s</w:t>
      </w:r>
      <w:r w:rsidRPr="00181EF3">
        <w:t>:</w:t>
      </w:r>
    </w:p>
    <w:p w14:paraId="1C695217" w14:textId="713A31BB" w:rsidR="008A5642" w:rsidRDefault="00446D86" w:rsidP="00517C47">
      <w:pPr>
        <w:pStyle w:val="Note"/>
      </w:pPr>
      <w:r>
        <w:t>Figures are age-standardised to the 2001 Census total Māori population</w:t>
      </w:r>
      <w:r w:rsidR="00517C47" w:rsidRPr="00181EF3">
        <w:t>.</w:t>
      </w:r>
    </w:p>
    <w:p w14:paraId="5336BC34" w14:textId="0543FDB9" w:rsidR="00517C47" w:rsidRPr="00181EF3" w:rsidRDefault="00517C47" w:rsidP="00517C47">
      <w:pPr>
        <w:pStyle w:val="Note"/>
      </w:pPr>
      <w:r>
        <w:t>Prioritised ethnicity has been used.</w:t>
      </w:r>
    </w:p>
    <w:p w14:paraId="14282B87" w14:textId="77777777" w:rsidR="008A5642" w:rsidRDefault="00517C47" w:rsidP="00B6364B">
      <w:pPr>
        <w:pStyle w:val="Note"/>
        <w:ind w:left="0" w:firstLine="0"/>
      </w:pPr>
      <w:r w:rsidRPr="00181EF3">
        <w:t xml:space="preserve">If the </w:t>
      </w:r>
      <w:r w:rsidRPr="00B6364B">
        <w:t>confidence</w:t>
      </w:r>
      <w:r w:rsidRPr="00181EF3">
        <w:t xml:space="preserv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0386F5F7" w14:textId="0F7EF275" w:rsidR="00517C47" w:rsidRPr="00181EF3" w:rsidRDefault="00517C47" w:rsidP="00517C47">
      <w:pPr>
        <w:pStyle w:val="Source"/>
        <w:rPr>
          <w:rFonts w:eastAsia="Calibri"/>
        </w:rPr>
      </w:pPr>
      <w:r w:rsidRPr="00181EF3">
        <w:rPr>
          <w:rFonts w:eastAsia="Calibri"/>
        </w:rPr>
        <w:t>Source: National Minimum Data Set (NMDS), Ministry of Health</w:t>
      </w:r>
      <w:r>
        <w:rPr>
          <w:rFonts w:eastAsia="Calibri"/>
        </w:rPr>
        <w:t>,</w:t>
      </w:r>
      <w:r w:rsidRPr="00507AA7">
        <w:t xml:space="preserve"> </w:t>
      </w:r>
      <w:r w:rsidRPr="00181EF3">
        <w:t>1996–98 to 201</w:t>
      </w:r>
      <w:r>
        <w:t>4</w:t>
      </w:r>
      <w:r w:rsidRPr="00181EF3">
        <w:t>–1</w:t>
      </w:r>
      <w:r>
        <w:t>6</w:t>
      </w:r>
      <w:r w:rsidRPr="00181EF3">
        <w:rPr>
          <w:rFonts w:eastAsia="Calibri"/>
        </w:rPr>
        <w:t>.</w:t>
      </w:r>
    </w:p>
    <w:p w14:paraId="6B96B4E8" w14:textId="77777777" w:rsidR="00517C47" w:rsidRDefault="00517C47" w:rsidP="00822BDA"/>
    <w:p w14:paraId="0FA7209F" w14:textId="31D0D20A" w:rsidR="002D68F3" w:rsidRDefault="002D68F3" w:rsidP="00822BDA">
      <w:r w:rsidRPr="00181EF3">
        <w:t xml:space="preserve">Figure </w:t>
      </w:r>
      <w:r w:rsidR="00517C47">
        <w:t>11</w:t>
      </w:r>
      <w:r w:rsidR="003B4A96">
        <w:t>7</w:t>
      </w:r>
      <w:r w:rsidRPr="00181EF3">
        <w:t xml:space="preserve"> shows the age-standardised rate of hospitalisations due to unintentional injuries for Māori and </w:t>
      </w:r>
      <w:r w:rsidR="00EC03A3">
        <w:t>non</w:t>
      </w:r>
      <w:r w:rsidR="00EC03A3">
        <w:noBreakHyphen/>
        <w:t>M</w:t>
      </w:r>
      <w:r w:rsidRPr="00181EF3">
        <w:t>āori adults aged 15–64 years</w:t>
      </w:r>
      <w:r>
        <w:t xml:space="preserve">, by </w:t>
      </w:r>
      <w:r w:rsidR="00517C47">
        <w:t>gender</w:t>
      </w:r>
      <w:r>
        <w:t>,</w:t>
      </w:r>
      <w:r w:rsidRPr="00181EF3">
        <w:t xml:space="preserve"> between</w:t>
      </w:r>
      <w:r w:rsidR="00822BDA">
        <w:br/>
      </w:r>
      <w:r w:rsidRPr="00181EF3">
        <w:t>1996–98 and</w:t>
      </w:r>
      <w:r w:rsidR="00517C47">
        <w:t xml:space="preserve"> </w:t>
      </w:r>
      <w:r w:rsidRPr="00181EF3">
        <w:t>2014–16.</w:t>
      </w:r>
    </w:p>
    <w:p w14:paraId="0D7D0703" w14:textId="77777777" w:rsidR="00822BDA" w:rsidRPr="00181EF3" w:rsidRDefault="00822BDA" w:rsidP="00822BDA"/>
    <w:p w14:paraId="199B1C73" w14:textId="77777777" w:rsidR="002D68F3" w:rsidRPr="00181EF3" w:rsidRDefault="002D68F3" w:rsidP="00517C47">
      <w:pPr>
        <w:pStyle w:val="Heading4"/>
      </w:pPr>
      <w:r w:rsidRPr="00181EF3">
        <w:t>Rate of unintentional injury hospitalisation</w:t>
      </w:r>
      <w:r w:rsidR="00B9370F">
        <w:t>s</w:t>
      </w:r>
      <w:r w:rsidRPr="00181EF3">
        <w:t xml:space="preserve"> increased for Māori adults</w:t>
      </w:r>
      <w:r w:rsidR="00B9370F">
        <w:t xml:space="preserve"> aged 15–64 years</w:t>
      </w:r>
      <w:r w:rsidRPr="00181EF3">
        <w:t xml:space="preserve"> between 1996–98 and 2014–16</w:t>
      </w:r>
    </w:p>
    <w:p w14:paraId="6E9F3374" w14:textId="2BD85863" w:rsidR="002D68F3" w:rsidRPr="00181EF3" w:rsidRDefault="002D68F3" w:rsidP="00822BDA">
      <w:r w:rsidRPr="00181EF3">
        <w:t xml:space="preserve">The age-standardised rate of unintentional injuries for Māori males increased by 15 percent between 1996–98 and 2014–16 (from 1,852 to 2,125 hospitalisations per 100,000), </w:t>
      </w:r>
      <w:r w:rsidR="00AE55BA">
        <w:t xml:space="preserve">and the rate </w:t>
      </w:r>
      <w:r w:rsidRPr="00181EF3">
        <w:t>increased by 25 percent over this period (from 791 to 991 hospitalisations per 100,000)</w:t>
      </w:r>
      <w:r w:rsidR="00AE55BA">
        <w:t xml:space="preserve"> for </w:t>
      </w:r>
      <w:r w:rsidR="00AE55BA" w:rsidRPr="00181EF3">
        <w:t>Māori females</w:t>
      </w:r>
      <w:r w:rsidRPr="00181EF3">
        <w:t>.</w:t>
      </w:r>
    </w:p>
    <w:p w14:paraId="6C85D483" w14:textId="77777777" w:rsidR="002D68F3" w:rsidRPr="00181EF3" w:rsidRDefault="002D68F3" w:rsidP="00822BDA"/>
    <w:p w14:paraId="65368AAB" w14:textId="4AA93371" w:rsidR="002D68F3" w:rsidRPr="00181EF3" w:rsidRDefault="002D68F3" w:rsidP="002D68F3">
      <w:r w:rsidRPr="00181EF3">
        <w:t>In contrast, between 1996–98 and 2014–16</w:t>
      </w:r>
      <w:r>
        <w:t>,</w:t>
      </w:r>
      <w:r w:rsidRPr="00181EF3">
        <w:t xml:space="preserve"> the age-standardised rate of unintentional injuries for </w:t>
      </w:r>
      <w:r w:rsidR="00EC03A3">
        <w:t>non</w:t>
      </w:r>
      <w:r w:rsidR="00EC03A3">
        <w:noBreakHyphen/>
        <w:t>M</w:t>
      </w:r>
      <w:r w:rsidRPr="00181EF3">
        <w:t xml:space="preserve">āori </w:t>
      </w:r>
      <w:r>
        <w:t xml:space="preserve">males </w:t>
      </w:r>
      <w:r w:rsidRPr="00181EF3">
        <w:t xml:space="preserve">decreased by 5 percent (from 1,607 to 1,524 hospitalisations per 100,000) and </w:t>
      </w:r>
      <w:r>
        <w:t>increased</w:t>
      </w:r>
      <w:r w:rsidRPr="00181EF3">
        <w:t xml:space="preserve"> by 14 percent (from 652 to 742 hospitalisations per 100,000)</w:t>
      </w:r>
      <w:r>
        <w:t xml:space="preserve"> for </w:t>
      </w:r>
      <w:r w:rsidR="00EC03A3">
        <w:t>non</w:t>
      </w:r>
      <w:r w:rsidR="00EC03A3">
        <w:noBreakHyphen/>
        <w:t>M</w:t>
      </w:r>
      <w:r>
        <w:t>āori females</w:t>
      </w:r>
      <w:r w:rsidRPr="00181EF3">
        <w:t>.</w:t>
      </w:r>
    </w:p>
    <w:p w14:paraId="78729D4E" w14:textId="77777777" w:rsidR="002D68F3" w:rsidRPr="00181EF3" w:rsidRDefault="002D68F3" w:rsidP="002D68F3"/>
    <w:p w14:paraId="6009BBB6" w14:textId="79DCD0B8" w:rsidR="002D68F3" w:rsidRPr="00181EF3" w:rsidRDefault="002D68F3" w:rsidP="002D68F3">
      <w:r w:rsidRPr="00181EF3">
        <w:t xml:space="preserve">On average both Māori and </w:t>
      </w:r>
      <w:r w:rsidR="00EC03A3">
        <w:t>non</w:t>
      </w:r>
      <w:r w:rsidR="00EC03A3">
        <w:noBreakHyphen/>
        <w:t>M</w:t>
      </w:r>
      <w:r w:rsidRPr="00181EF3">
        <w:t>āori male rates of hospitalisation due to unintentional injuries were more than double the respective rates of females.</w:t>
      </w:r>
    </w:p>
    <w:p w14:paraId="7073110D" w14:textId="77777777" w:rsidR="002D68F3" w:rsidRPr="00181EF3" w:rsidRDefault="002D68F3" w:rsidP="002D68F3"/>
    <w:p w14:paraId="09621B0F" w14:textId="5F3A7B63" w:rsidR="002D68F3" w:rsidRPr="00181EF3" w:rsidRDefault="002D68F3" w:rsidP="00517C47">
      <w:pPr>
        <w:pStyle w:val="Heading4"/>
      </w:pPr>
      <w:r w:rsidRPr="00181EF3">
        <w:lastRenderedPageBreak/>
        <w:t xml:space="preserve">Difference in unintentional injury </w:t>
      </w:r>
      <w:r w:rsidR="00B9370F">
        <w:t xml:space="preserve">hospitalisation </w:t>
      </w:r>
      <w:r w:rsidRPr="00181EF3">
        <w:t xml:space="preserve">rates between Māori and </w:t>
      </w:r>
      <w:r w:rsidR="00EC03A3">
        <w:t>non</w:t>
      </w:r>
      <w:r w:rsidR="00EC03A3">
        <w:noBreakHyphen/>
        <w:t>M</w:t>
      </w:r>
      <w:r w:rsidRPr="00181EF3">
        <w:t>āori adults</w:t>
      </w:r>
      <w:r w:rsidR="00B9370F">
        <w:t xml:space="preserve"> aged 15–64 years</w:t>
      </w:r>
      <w:r w:rsidRPr="00181EF3">
        <w:t xml:space="preserve"> increased between 1996–98 and 2014–16</w:t>
      </w:r>
    </w:p>
    <w:p w14:paraId="6B0449DB" w14:textId="46BCF8B5" w:rsidR="008A5642" w:rsidRDefault="002D68F3" w:rsidP="002D68F3">
      <w:r w:rsidRPr="00181EF3">
        <w:t xml:space="preserve">The difference in rate of hospitalisation due to unintentional injuries between Māori and </w:t>
      </w:r>
      <w:r w:rsidR="00EC03A3">
        <w:t>non</w:t>
      </w:r>
      <w:r w:rsidR="00EC03A3">
        <w:noBreakHyphen/>
        <w:t>M</w:t>
      </w:r>
      <w:r w:rsidRPr="00181EF3">
        <w:t>āori aged 15–64 years increased between 1996–98 and 2014–16.</w:t>
      </w:r>
    </w:p>
    <w:p w14:paraId="186973CF" w14:textId="641A9649" w:rsidR="00517C47" w:rsidRDefault="00517C47" w:rsidP="002D68F3"/>
    <w:p w14:paraId="208C79D5" w14:textId="7FF8904D" w:rsidR="002D68F3" w:rsidRPr="00181EF3" w:rsidRDefault="00517C47" w:rsidP="002D68F3">
      <w:r w:rsidRPr="00181EF3">
        <w:t xml:space="preserve">The difference between Māori and </w:t>
      </w:r>
      <w:r w:rsidR="00EC03A3">
        <w:t>non</w:t>
      </w:r>
      <w:r w:rsidR="00EC03A3">
        <w:noBreakHyphen/>
        <w:t>M</w:t>
      </w:r>
      <w:r w:rsidRPr="00181EF3">
        <w:t>āori increased at a higher rate for males than those of females.</w:t>
      </w:r>
      <w:r>
        <w:t xml:space="preserve"> </w:t>
      </w:r>
      <w:r w:rsidR="002D68F3" w:rsidRPr="00181EF3">
        <w:t xml:space="preserve">The difference for males increased by 145 percent over this period (from 246 to 601 more hospitalisations per 100,000 than </w:t>
      </w:r>
      <w:r w:rsidR="00EC03A3">
        <w:t>non</w:t>
      </w:r>
      <w:r w:rsidR="00EC03A3">
        <w:noBreakHyphen/>
        <w:t>M</w:t>
      </w:r>
      <w:r w:rsidR="002D68F3" w:rsidRPr="00181EF3">
        <w:t>āori males) and by 80</w:t>
      </w:r>
      <w:r w:rsidR="00822BDA">
        <w:t> </w:t>
      </w:r>
      <w:r w:rsidR="002D68F3" w:rsidRPr="00181EF3">
        <w:t>percent for females over this period (from 138 to 249 more hospitalisations per 100,000).</w:t>
      </w:r>
    </w:p>
    <w:p w14:paraId="482AAB9B" w14:textId="77777777" w:rsidR="002D68F3" w:rsidRPr="00181EF3" w:rsidRDefault="002D68F3" w:rsidP="002D68F3"/>
    <w:p w14:paraId="2806413C" w14:textId="59873B0D" w:rsidR="002D68F3" w:rsidRDefault="002D68F3" w:rsidP="002D68F3">
      <w:r w:rsidRPr="00181EF3">
        <w:t xml:space="preserve">In 1996–98 Māori rates of hospitalisation due to unintentional injuries were 1.2 times as high as those of </w:t>
      </w:r>
      <w:r w:rsidR="00EC03A3">
        <w:t>non</w:t>
      </w:r>
      <w:r w:rsidR="00EC03A3">
        <w:noBreakHyphen/>
        <w:t>M</w:t>
      </w:r>
      <w:r w:rsidRPr="00181EF3">
        <w:t xml:space="preserve">āori. By 2014–16 Māori had a rate of hospitalisations caused by unintentional injuries 1.4 times as high as those of </w:t>
      </w:r>
      <w:r w:rsidR="00EC03A3">
        <w:t>non</w:t>
      </w:r>
      <w:r w:rsidR="00EC03A3">
        <w:noBreakHyphen/>
        <w:t>M</w:t>
      </w:r>
      <w:r w:rsidRPr="00181EF3">
        <w:t>āori.</w:t>
      </w:r>
    </w:p>
    <w:p w14:paraId="1301722B" w14:textId="77777777" w:rsidR="00517C47" w:rsidRPr="00181EF3" w:rsidRDefault="00517C47" w:rsidP="002D68F3"/>
    <w:p w14:paraId="39858728" w14:textId="304BE096" w:rsidR="002D68F3" w:rsidRPr="00181EF3" w:rsidRDefault="002D68F3" w:rsidP="00822BDA">
      <w:pPr>
        <w:pStyle w:val="Heading3"/>
        <w:pageBreakBefore/>
        <w:spacing w:before="0"/>
      </w:pPr>
      <w:bookmarkStart w:id="343" w:name="_Toc19102421"/>
      <w:r w:rsidRPr="00181EF3">
        <w:lastRenderedPageBreak/>
        <w:t xml:space="preserve">Unintentional injury hospitalisations, 65+ </w:t>
      </w:r>
      <w:r w:rsidR="00517C47">
        <w:t>years</w:t>
      </w:r>
      <w:bookmarkEnd w:id="343"/>
    </w:p>
    <w:p w14:paraId="529ED176" w14:textId="08623E49" w:rsidR="00517C47" w:rsidRPr="00181EF3" w:rsidRDefault="00517C47" w:rsidP="00517C47">
      <w:pPr>
        <w:pStyle w:val="Figure"/>
      </w:pPr>
      <w:bookmarkStart w:id="344" w:name="_Toc19101969"/>
      <w:r w:rsidRPr="00181EF3">
        <w:t xml:space="preserve">Figure </w:t>
      </w:r>
      <w:r>
        <w:rPr>
          <w:noProof/>
        </w:rPr>
        <w:t>11</w:t>
      </w:r>
      <w:r w:rsidR="00572A9A">
        <w:rPr>
          <w:noProof/>
        </w:rPr>
        <w:t>8</w:t>
      </w:r>
      <w:r w:rsidRPr="00181EF3">
        <w:t xml:space="preserve">: </w:t>
      </w:r>
      <w:r>
        <w:t>U</w:t>
      </w:r>
      <w:r w:rsidRPr="00181EF3">
        <w:t>nintentional injury hospitalisation</w:t>
      </w:r>
      <w:r>
        <w:t xml:space="preserve"> rate</w:t>
      </w:r>
      <w:r w:rsidRPr="00181EF3">
        <w:t>s</w:t>
      </w:r>
      <w:r>
        <w:t>, 65+ years, by gender,</w:t>
      </w:r>
      <w:r w:rsidRPr="00181EF3">
        <w:t xml:space="preserve"> Māori and </w:t>
      </w:r>
      <w:r w:rsidR="00EC03A3">
        <w:t>non</w:t>
      </w:r>
      <w:r w:rsidR="00EC03A3">
        <w:noBreakHyphen/>
        <w:t>M</w:t>
      </w:r>
      <w:r w:rsidRPr="00181EF3">
        <w:t>āori, 1996–98 to 2014–16</w:t>
      </w:r>
      <w:bookmarkEnd w:id="344"/>
    </w:p>
    <w:p w14:paraId="31D68418" w14:textId="77777777" w:rsidR="00517C47" w:rsidRPr="00181EF3" w:rsidRDefault="00517C47" w:rsidP="00517C47">
      <w:r w:rsidRPr="00181EF3">
        <w:rPr>
          <w:noProof/>
          <w:lang w:eastAsia="en-NZ"/>
        </w:rPr>
        <w:drawing>
          <wp:inline distT="0" distB="0" distL="0" distR="0" wp14:anchorId="4E020AAE" wp14:editId="534C0C41">
            <wp:extent cx="5130165" cy="2616603"/>
            <wp:effectExtent l="0" t="0" r="0" b="0"/>
            <wp:docPr id="265" name="Picture 265" descr="Unintentional injury hospitalisation rates for people over 65 years old have increased for all groups over time. Non-Māori women have the highest rate out of all groups, followed by men of both groups, who have very similar rates. Māori women have the lowest rate." title="Figure 118: Age-standardised rate of unintentional injury hospitalisations for Māori and non-Māori age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5130165" cy="2616603"/>
                    </a:xfrm>
                    <a:prstGeom prst="rect">
                      <a:avLst/>
                    </a:prstGeom>
                  </pic:spPr>
                </pic:pic>
              </a:graphicData>
            </a:graphic>
          </wp:inline>
        </w:drawing>
      </w:r>
    </w:p>
    <w:p w14:paraId="0D965999" w14:textId="77777777" w:rsidR="00517C47" w:rsidRDefault="00517C47" w:rsidP="00517C47">
      <w:pPr>
        <w:pStyle w:val="Note"/>
      </w:pPr>
      <w:r w:rsidRPr="00181EF3">
        <w:t>Note</w:t>
      </w:r>
      <w:r>
        <w:t>s</w:t>
      </w:r>
      <w:r w:rsidRPr="00181EF3">
        <w:t>:</w:t>
      </w:r>
    </w:p>
    <w:p w14:paraId="6BC18EEB" w14:textId="7C8F6DE3" w:rsidR="008A5642" w:rsidRDefault="00446D86" w:rsidP="00517C47">
      <w:pPr>
        <w:pStyle w:val="Note"/>
      </w:pPr>
      <w:r>
        <w:t>Figures are age-standardised to the 2001 Census total Māori population</w:t>
      </w:r>
      <w:r w:rsidR="00517C47" w:rsidRPr="00181EF3">
        <w:t>.</w:t>
      </w:r>
    </w:p>
    <w:p w14:paraId="54BE1711" w14:textId="1E924082" w:rsidR="00517C47" w:rsidRPr="00181EF3" w:rsidRDefault="00517C47" w:rsidP="00517C47">
      <w:pPr>
        <w:pStyle w:val="Note"/>
      </w:pPr>
      <w:r>
        <w:t>Prioritised ethnicity has been used.</w:t>
      </w:r>
    </w:p>
    <w:p w14:paraId="16013931" w14:textId="77777777" w:rsidR="008A5642" w:rsidRDefault="00517C47" w:rsidP="00B6364B">
      <w:pPr>
        <w:pStyle w:val="Note"/>
        <w:ind w:left="0" w:firstLine="0"/>
      </w:pPr>
      <w:r w:rsidRPr="00181EF3">
        <w:t xml:space="preserve">If the </w:t>
      </w:r>
      <w:r w:rsidRPr="00B6364B">
        <w:t>confidence</w:t>
      </w:r>
      <w:r w:rsidRPr="00181EF3">
        <w:t xml:space="preserv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4210079C" w14:textId="7B94C973" w:rsidR="00517C47" w:rsidRPr="00181EF3" w:rsidRDefault="00517C47" w:rsidP="00517C47">
      <w:pPr>
        <w:pStyle w:val="Source"/>
        <w:rPr>
          <w:rFonts w:eastAsia="Calibri"/>
        </w:rPr>
      </w:pPr>
      <w:r w:rsidRPr="00181EF3">
        <w:rPr>
          <w:rFonts w:eastAsia="Calibri"/>
        </w:rPr>
        <w:t>Source: National Minimum Data Set (NMDS), Ministry of Health</w:t>
      </w:r>
      <w:r>
        <w:rPr>
          <w:rFonts w:eastAsia="Calibri"/>
        </w:rPr>
        <w:t>,</w:t>
      </w:r>
      <w:r w:rsidRPr="00507AA7">
        <w:t xml:space="preserve"> </w:t>
      </w:r>
      <w:r w:rsidRPr="00181EF3">
        <w:t>1996–98 to 201</w:t>
      </w:r>
      <w:r>
        <w:t>4</w:t>
      </w:r>
      <w:r w:rsidRPr="00181EF3">
        <w:t>–1</w:t>
      </w:r>
      <w:r>
        <w:t>6</w:t>
      </w:r>
      <w:r w:rsidRPr="00181EF3">
        <w:rPr>
          <w:rFonts w:eastAsia="Calibri"/>
        </w:rPr>
        <w:t>.</w:t>
      </w:r>
    </w:p>
    <w:p w14:paraId="7B09D99C" w14:textId="77777777" w:rsidR="00822BDA" w:rsidRDefault="00822BDA" w:rsidP="00822BDA"/>
    <w:p w14:paraId="421C617D" w14:textId="06172FCE" w:rsidR="002D68F3" w:rsidRDefault="002D68F3" w:rsidP="00822BDA">
      <w:r w:rsidRPr="00181EF3">
        <w:t xml:space="preserve">Figure </w:t>
      </w:r>
      <w:r w:rsidR="00517C47">
        <w:t>11</w:t>
      </w:r>
      <w:r w:rsidR="003B4A96">
        <w:t>8</w:t>
      </w:r>
      <w:r w:rsidRPr="00181EF3">
        <w:t xml:space="preserve"> shows the age-standardised rate of hospitalisation due to unintentional injury for Māori and </w:t>
      </w:r>
      <w:r w:rsidR="00EC03A3">
        <w:t>non</w:t>
      </w:r>
      <w:r w:rsidR="00EC03A3">
        <w:noBreakHyphen/>
        <w:t>M</w:t>
      </w:r>
      <w:r w:rsidRPr="00181EF3">
        <w:t xml:space="preserve">āori aged 65 years and above, by </w:t>
      </w:r>
      <w:r w:rsidR="00517C47">
        <w:t>gender</w:t>
      </w:r>
      <w:r>
        <w:t>,</w:t>
      </w:r>
      <w:r w:rsidRPr="00181EF3">
        <w:t xml:space="preserve"> between 1996–98 and 2014–16.</w:t>
      </w:r>
    </w:p>
    <w:p w14:paraId="43EE3E1E" w14:textId="77777777" w:rsidR="00822BDA" w:rsidRPr="00181EF3" w:rsidRDefault="00822BDA" w:rsidP="00822BDA"/>
    <w:p w14:paraId="55D4DC70" w14:textId="77777777" w:rsidR="002D68F3" w:rsidRPr="00181EF3" w:rsidRDefault="002D68F3" w:rsidP="00517C47">
      <w:pPr>
        <w:pStyle w:val="Heading4"/>
      </w:pPr>
      <w:r w:rsidRPr="00181EF3">
        <w:t>Rate of unintentional injury</w:t>
      </w:r>
      <w:r w:rsidR="00B9370F">
        <w:t xml:space="preserve"> hospitalisations</w:t>
      </w:r>
      <w:r w:rsidRPr="00181EF3">
        <w:t xml:space="preserve"> for Māori aged 65+ years increased between 1996–98 and 2014–16</w:t>
      </w:r>
    </w:p>
    <w:p w14:paraId="6219A155" w14:textId="77777777" w:rsidR="002D68F3" w:rsidRPr="00181EF3" w:rsidRDefault="002D68F3" w:rsidP="00822BDA">
      <w:r w:rsidRPr="00181EF3">
        <w:t>The age-standardised rate of hospitalisation due to unintentional injury increased for adults aged 65+ years between 1996–98 and 2014–16.</w:t>
      </w:r>
    </w:p>
    <w:p w14:paraId="0C4F2242" w14:textId="77777777" w:rsidR="002D68F3" w:rsidRPr="00181EF3" w:rsidRDefault="002D68F3" w:rsidP="00822BDA"/>
    <w:p w14:paraId="1F76BC31" w14:textId="24EDD39F" w:rsidR="008A5642" w:rsidRDefault="002D68F3" w:rsidP="002D68F3">
      <w:r w:rsidRPr="00181EF3">
        <w:t xml:space="preserve">Males showed the largest increases between 1996–98 and 2014–16 with Māori males increasing by 57 percent (from 2,022 to 3,173 hospitalisations per 100,000) and </w:t>
      </w:r>
      <w:r w:rsidR="00EC03A3">
        <w:t>non</w:t>
      </w:r>
      <w:r w:rsidR="00EC03A3">
        <w:noBreakHyphen/>
        <w:t>M</w:t>
      </w:r>
      <w:r w:rsidRPr="00181EF3">
        <w:t>āori males increasing by 51 percent (from 2,064 to 3,112 hospitalisations per 100,000).</w:t>
      </w:r>
    </w:p>
    <w:p w14:paraId="411E1F22" w14:textId="47FBBC61" w:rsidR="00517C47" w:rsidRDefault="00517C47" w:rsidP="002D68F3"/>
    <w:p w14:paraId="3B9D2588" w14:textId="1FF72C1F" w:rsidR="002D68F3" w:rsidRDefault="00517C47" w:rsidP="00822BDA">
      <w:r w:rsidRPr="00181EF3">
        <w:t xml:space="preserve">Māori females had higher increases than </w:t>
      </w:r>
      <w:r w:rsidR="00EC03A3">
        <w:t>non</w:t>
      </w:r>
      <w:r w:rsidR="00EC03A3">
        <w:noBreakHyphen/>
        <w:t>M</w:t>
      </w:r>
      <w:r w:rsidRPr="00181EF3">
        <w:t>āori females</w:t>
      </w:r>
      <w:r>
        <w:t>, w</w:t>
      </w:r>
      <w:r w:rsidR="002D68F3" w:rsidRPr="00181EF3">
        <w:t xml:space="preserve">hereas Māori females increased by 44 percent (from 1,921 to 2,757 hospitalisations per 100,000) during the same time and </w:t>
      </w:r>
      <w:r w:rsidR="00EC03A3">
        <w:t>non</w:t>
      </w:r>
      <w:r w:rsidR="00EC03A3">
        <w:noBreakHyphen/>
        <w:t>M</w:t>
      </w:r>
      <w:r w:rsidR="002D68F3" w:rsidRPr="00181EF3">
        <w:t>āori females increased by 29 percent (from 2,764 to 3,577 hospitalisations per 100,000).</w:t>
      </w:r>
    </w:p>
    <w:p w14:paraId="25D1D5E6" w14:textId="77777777" w:rsidR="00822BDA" w:rsidRPr="00181EF3" w:rsidRDefault="00822BDA" w:rsidP="00822BDA"/>
    <w:p w14:paraId="16B5A581" w14:textId="6F5B0291" w:rsidR="002D68F3" w:rsidRDefault="002D68F3" w:rsidP="00517C47">
      <w:pPr>
        <w:pStyle w:val="Heading4"/>
      </w:pPr>
      <w:r w:rsidRPr="00181EF3">
        <w:lastRenderedPageBreak/>
        <w:t xml:space="preserve">Difference </w:t>
      </w:r>
      <w:r w:rsidR="00B9370F">
        <w:t xml:space="preserve">in unintentional injury hospitalisation rates </w:t>
      </w:r>
      <w:r w:rsidRPr="00181EF3">
        <w:t xml:space="preserve">between Māori and </w:t>
      </w:r>
      <w:r w:rsidR="00EC03A3">
        <w:t>non</w:t>
      </w:r>
      <w:r w:rsidR="00EC03A3">
        <w:noBreakHyphen/>
        <w:t>M</w:t>
      </w:r>
      <w:r w:rsidRPr="00181EF3">
        <w:t>āori females aged 65+ years decreased</w:t>
      </w:r>
    </w:p>
    <w:p w14:paraId="519B0A32" w14:textId="48D9EE8C" w:rsidR="00517C47" w:rsidRDefault="00517C47" w:rsidP="00517C47">
      <w:r w:rsidRPr="00181EF3">
        <w:t xml:space="preserve">Māori females aged 65+ years had lower rates of hospitalisations due to unintentional injuries than </w:t>
      </w:r>
      <w:r w:rsidR="00EC03A3">
        <w:t>non</w:t>
      </w:r>
      <w:r w:rsidR="00EC03A3">
        <w:noBreakHyphen/>
        <w:t>M</w:t>
      </w:r>
      <w:r w:rsidRPr="00181EF3">
        <w:t>āori females of the same age group. Between 1996–98 and</w:t>
      </w:r>
      <w:r w:rsidR="00822BDA">
        <w:br/>
      </w:r>
      <w:r w:rsidRPr="00181EF3">
        <w:t xml:space="preserve">2014–16 the difference for Māori and </w:t>
      </w:r>
      <w:r w:rsidR="00EC03A3">
        <w:t>non</w:t>
      </w:r>
      <w:r w:rsidR="00EC03A3">
        <w:noBreakHyphen/>
        <w:t>M</w:t>
      </w:r>
      <w:r w:rsidRPr="00181EF3">
        <w:t>āori females decreased by 3 percent (from 843 to 820 hospitalisations per 100,000).</w:t>
      </w:r>
    </w:p>
    <w:p w14:paraId="43E3132E" w14:textId="77777777" w:rsidR="00517C47" w:rsidRDefault="00517C47" w:rsidP="00517C47"/>
    <w:p w14:paraId="79639E94" w14:textId="285668B3" w:rsidR="00517C47" w:rsidRDefault="00517C47" w:rsidP="00517C47">
      <w:r>
        <w:t xml:space="preserve">During the same time, </w:t>
      </w:r>
      <w:r w:rsidRPr="00181EF3">
        <w:t xml:space="preserve">Māori and </w:t>
      </w:r>
      <w:r w:rsidR="00EC03A3">
        <w:t>non</w:t>
      </w:r>
      <w:r w:rsidR="00EC03A3">
        <w:noBreakHyphen/>
        <w:t>M</w:t>
      </w:r>
      <w:r w:rsidRPr="00181EF3">
        <w:t>āori males aged 65+ had similar rates of hospitalisation due to unintentional injuries, this did not change over time.</w:t>
      </w:r>
    </w:p>
    <w:p w14:paraId="7DC78FEB" w14:textId="77777777" w:rsidR="00517C47" w:rsidRPr="00517C47" w:rsidRDefault="00517C47" w:rsidP="00517C47"/>
    <w:p w14:paraId="6BE929D2" w14:textId="44AA9A71" w:rsidR="002D68F3" w:rsidRPr="00181EF3" w:rsidRDefault="002D68F3" w:rsidP="00822BDA">
      <w:pPr>
        <w:pStyle w:val="Heading3"/>
        <w:pageBreakBefore/>
        <w:spacing w:before="0"/>
      </w:pPr>
      <w:bookmarkStart w:id="345" w:name="_Toc19102422"/>
      <w:r w:rsidRPr="00181EF3">
        <w:lastRenderedPageBreak/>
        <w:t>Unintentional injury mortality, all ages</w:t>
      </w:r>
      <w:bookmarkEnd w:id="345"/>
    </w:p>
    <w:p w14:paraId="6AF65C71" w14:textId="52180200" w:rsidR="00B9370F" w:rsidRPr="00181EF3" w:rsidRDefault="00B9370F" w:rsidP="00B9370F">
      <w:pPr>
        <w:pStyle w:val="Figure"/>
      </w:pPr>
      <w:bookmarkStart w:id="346" w:name="_Toc19101970"/>
      <w:r w:rsidRPr="00181EF3">
        <w:t xml:space="preserve">Figure </w:t>
      </w:r>
      <w:r>
        <w:rPr>
          <w:noProof/>
        </w:rPr>
        <w:t>11</w:t>
      </w:r>
      <w:r w:rsidR="00572A9A">
        <w:rPr>
          <w:noProof/>
        </w:rPr>
        <w:t>9</w:t>
      </w:r>
      <w:r w:rsidRPr="00181EF3">
        <w:t xml:space="preserve">: </w:t>
      </w:r>
      <w:r>
        <w:t>U</w:t>
      </w:r>
      <w:r w:rsidRPr="00181EF3">
        <w:t>nintentional injury</w:t>
      </w:r>
      <w:r>
        <w:t xml:space="preserve"> mortality</w:t>
      </w:r>
      <w:r w:rsidRPr="00181EF3">
        <w:t xml:space="preserve"> rates</w:t>
      </w:r>
      <w:r>
        <w:t xml:space="preserve">, all ages, by gender, </w:t>
      </w:r>
      <w:r w:rsidRPr="00181EF3">
        <w:t xml:space="preserve">Māori and </w:t>
      </w:r>
      <w:r w:rsidR="00EC03A3">
        <w:t>non</w:t>
      </w:r>
      <w:r w:rsidR="00EC03A3">
        <w:noBreakHyphen/>
        <w:t>M</w:t>
      </w:r>
      <w:r w:rsidRPr="00181EF3">
        <w:t>āori</w:t>
      </w:r>
      <w:r>
        <w:t>,</w:t>
      </w:r>
      <w:r w:rsidRPr="00181EF3">
        <w:t xml:space="preserve"> 1996–98 to 2012–14</w:t>
      </w:r>
      <w:bookmarkEnd w:id="346"/>
    </w:p>
    <w:p w14:paraId="08453E56" w14:textId="77777777" w:rsidR="00B9370F" w:rsidRPr="00181EF3" w:rsidRDefault="00B9370F" w:rsidP="00B9370F">
      <w:r w:rsidRPr="00181EF3">
        <w:rPr>
          <w:noProof/>
          <w:lang w:eastAsia="en-NZ"/>
        </w:rPr>
        <w:drawing>
          <wp:inline distT="0" distB="0" distL="0" distR="0" wp14:anchorId="798A32CB" wp14:editId="04709D97">
            <wp:extent cx="5130165" cy="2640171"/>
            <wp:effectExtent l="0" t="0" r="0" b="8255"/>
            <wp:docPr id="475" name="Picture 475" descr="Death rates from unintentional injury have decreased for all groups over time. Māori men have the highest rate, followed by non-Māori men, Māori women, and non-Māori women." title="Figure 119: Age-standardised mortality due to unintentional injury, rates for Māori and non-Māori total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5130165" cy="2640171"/>
                    </a:xfrm>
                    <a:prstGeom prst="rect">
                      <a:avLst/>
                    </a:prstGeom>
                  </pic:spPr>
                </pic:pic>
              </a:graphicData>
            </a:graphic>
          </wp:inline>
        </w:drawing>
      </w:r>
    </w:p>
    <w:p w14:paraId="63751047" w14:textId="77777777" w:rsidR="00B9370F" w:rsidRDefault="00B9370F" w:rsidP="00B9370F">
      <w:pPr>
        <w:pStyle w:val="Note"/>
      </w:pPr>
      <w:r w:rsidRPr="00181EF3">
        <w:t>Note</w:t>
      </w:r>
      <w:r>
        <w:t>s</w:t>
      </w:r>
      <w:r w:rsidRPr="00181EF3">
        <w:t>:</w:t>
      </w:r>
    </w:p>
    <w:p w14:paraId="0F542A72" w14:textId="7A2D4C2D" w:rsidR="008A5642" w:rsidRDefault="00446D86" w:rsidP="00B9370F">
      <w:pPr>
        <w:pStyle w:val="Note"/>
      </w:pPr>
      <w:r>
        <w:t>Figures are age-standardised to the 2001 Census total Māori population</w:t>
      </w:r>
      <w:r w:rsidR="00B9370F" w:rsidRPr="00181EF3">
        <w:t>.</w:t>
      </w:r>
    </w:p>
    <w:p w14:paraId="669B477E" w14:textId="291E6D4F" w:rsidR="00B9370F" w:rsidRPr="00181EF3" w:rsidRDefault="00B9370F" w:rsidP="00B9370F">
      <w:pPr>
        <w:pStyle w:val="Note"/>
      </w:pPr>
      <w:r>
        <w:t>Prioritised ethnicity has been used.</w:t>
      </w:r>
    </w:p>
    <w:p w14:paraId="651D8399" w14:textId="77777777" w:rsidR="008A5642" w:rsidRDefault="00B9370F" w:rsidP="00B6364B">
      <w:pPr>
        <w:pStyle w:val="Note"/>
        <w:ind w:left="0" w:firstLine="0"/>
      </w:pPr>
      <w:r w:rsidRPr="00181EF3">
        <w:t xml:space="preserve">If the </w:t>
      </w:r>
      <w:r w:rsidRPr="00B6364B">
        <w:t>confidence</w:t>
      </w:r>
      <w:r w:rsidRPr="00181EF3">
        <w:t xml:space="preserv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583321AA" w14:textId="2AED1A7A" w:rsidR="00B9370F" w:rsidRPr="00181EF3" w:rsidRDefault="00B9370F" w:rsidP="00B9370F">
      <w:pPr>
        <w:pStyle w:val="Source"/>
        <w:rPr>
          <w:rFonts w:eastAsia="Calibri"/>
        </w:rPr>
      </w:pPr>
      <w:r w:rsidRPr="00181EF3">
        <w:rPr>
          <w:rFonts w:eastAsia="Calibri"/>
        </w:rPr>
        <w:t>Source: Mortality Collection Data Set (MORT), Ministry of Health</w:t>
      </w:r>
      <w:r>
        <w:rPr>
          <w:rFonts w:eastAsia="Calibri"/>
        </w:rPr>
        <w:t xml:space="preserve">, </w:t>
      </w:r>
      <w:r w:rsidRPr="00181EF3">
        <w:t>1996–98 to 2012–14</w:t>
      </w:r>
      <w:r w:rsidRPr="00181EF3">
        <w:rPr>
          <w:rFonts w:eastAsia="Calibri"/>
        </w:rPr>
        <w:t>.</w:t>
      </w:r>
    </w:p>
    <w:p w14:paraId="3C9F48F4" w14:textId="77777777" w:rsidR="00B9370F" w:rsidRDefault="00B9370F" w:rsidP="005B55FD"/>
    <w:p w14:paraId="45BE9C72" w14:textId="6A236CDA" w:rsidR="002D68F3" w:rsidRDefault="002D68F3" w:rsidP="005B55FD">
      <w:r w:rsidRPr="00181EF3">
        <w:t xml:space="preserve">Figure </w:t>
      </w:r>
      <w:r w:rsidR="00517C47">
        <w:t>11</w:t>
      </w:r>
      <w:r w:rsidR="003B4A96">
        <w:t>9</w:t>
      </w:r>
      <w:r w:rsidRPr="00181EF3">
        <w:t xml:space="preserve"> shows the age-standardised unintentional injury mortality rates for Māori and </w:t>
      </w:r>
      <w:r w:rsidR="00EC03A3">
        <w:t>non</w:t>
      </w:r>
      <w:r w:rsidR="00EC03A3">
        <w:noBreakHyphen/>
        <w:t>M</w:t>
      </w:r>
      <w:r w:rsidRPr="00181EF3">
        <w:t xml:space="preserve">āori for all ages, by </w:t>
      </w:r>
      <w:r w:rsidR="00517C47">
        <w:t>gender</w:t>
      </w:r>
      <w:r w:rsidRPr="00181EF3">
        <w:t>, between 1996–98 and 2012–14.</w:t>
      </w:r>
    </w:p>
    <w:p w14:paraId="6080E073" w14:textId="77777777" w:rsidR="005B55FD" w:rsidRPr="00181EF3" w:rsidRDefault="005B55FD" w:rsidP="005B55FD"/>
    <w:p w14:paraId="3C849928" w14:textId="77777777" w:rsidR="002D68F3" w:rsidRPr="00181EF3" w:rsidRDefault="002D68F3" w:rsidP="00B9370F">
      <w:pPr>
        <w:pStyle w:val="Heading4"/>
      </w:pPr>
      <w:r w:rsidRPr="00181EF3">
        <w:t>Decrease in unintentional injury mortality rates for Māori males and females</w:t>
      </w:r>
    </w:p>
    <w:p w14:paraId="45F461E8" w14:textId="7EED413F" w:rsidR="002D68F3" w:rsidRPr="00181EF3" w:rsidRDefault="00B9370F" w:rsidP="002D68F3">
      <w:r w:rsidRPr="00181EF3">
        <w:t xml:space="preserve">Unintentional injury mortality rates for Māori and </w:t>
      </w:r>
      <w:r w:rsidR="00EC03A3">
        <w:t>non</w:t>
      </w:r>
      <w:r w:rsidR="00EC03A3">
        <w:noBreakHyphen/>
        <w:t>M</w:t>
      </w:r>
      <w:r w:rsidRPr="00181EF3">
        <w:t xml:space="preserve">āori of both sexes decreased by more than 30 percent between 1996–98 and 2012–14. </w:t>
      </w:r>
      <w:r w:rsidR="002D68F3" w:rsidRPr="00181EF3">
        <w:t>The unintentional injury mortality rate of Māori males decreased by 41 percent between 1996–98 and 2012–14 (from 59 to 35 deaths per 100,000) and Māori females decreased by 39 percent over this period (from 20 to 12 deaths per 100,000).</w:t>
      </w:r>
    </w:p>
    <w:p w14:paraId="4B5CDAF8" w14:textId="77777777" w:rsidR="002D68F3" w:rsidRPr="00181EF3" w:rsidRDefault="002D68F3" w:rsidP="002D68F3"/>
    <w:p w14:paraId="44494631" w14:textId="165C6474" w:rsidR="002D68F3" w:rsidRPr="00181EF3" w:rsidRDefault="002D68F3" w:rsidP="002D68F3">
      <w:r w:rsidRPr="00181EF3">
        <w:t xml:space="preserve">The unintentional injury mortality rate for </w:t>
      </w:r>
      <w:r w:rsidR="00EC03A3">
        <w:t>non</w:t>
      </w:r>
      <w:r w:rsidR="00EC03A3">
        <w:noBreakHyphen/>
        <w:t>M</w:t>
      </w:r>
      <w:r w:rsidRPr="00181EF3">
        <w:t>āori showed similar trends over the same period, males decreased by 38 percent (from 29 to 18 deaths per 100,000) and females decreased by 33 percent (from 10 to 7 deaths per 100,000).</w:t>
      </w:r>
    </w:p>
    <w:p w14:paraId="4A16A76F" w14:textId="77777777" w:rsidR="002D68F3" w:rsidRPr="00181EF3" w:rsidRDefault="002D68F3" w:rsidP="002D68F3"/>
    <w:p w14:paraId="62221ACC" w14:textId="4B35B397" w:rsidR="002D68F3" w:rsidRPr="00181EF3" w:rsidRDefault="002D68F3" w:rsidP="002D68F3">
      <w:r w:rsidRPr="00181EF3">
        <w:t xml:space="preserve">Males had a higher unintentional injury mortality rate than females for both Māori and </w:t>
      </w:r>
      <w:r w:rsidR="00EC03A3">
        <w:t>non</w:t>
      </w:r>
      <w:r w:rsidR="00EC03A3">
        <w:noBreakHyphen/>
        <w:t>M</w:t>
      </w:r>
      <w:r w:rsidRPr="00181EF3">
        <w:t>āori between 1996–98 and 2012–14.</w:t>
      </w:r>
    </w:p>
    <w:p w14:paraId="516AFD45" w14:textId="77777777" w:rsidR="002D68F3" w:rsidRPr="00181EF3" w:rsidRDefault="002D68F3" w:rsidP="002D68F3"/>
    <w:p w14:paraId="10830EE5" w14:textId="79C5235A" w:rsidR="002D68F3" w:rsidRPr="00181EF3" w:rsidRDefault="002D68F3" w:rsidP="00B9370F">
      <w:pPr>
        <w:pStyle w:val="Heading4"/>
      </w:pPr>
      <w:r w:rsidRPr="00181EF3">
        <w:lastRenderedPageBreak/>
        <w:t xml:space="preserve">Māori </w:t>
      </w:r>
      <w:r w:rsidR="00B9370F">
        <w:t xml:space="preserve">unintentional injury </w:t>
      </w:r>
      <w:r w:rsidRPr="00181EF3">
        <w:t xml:space="preserve">mortality rates were twice as high as </w:t>
      </w:r>
      <w:r w:rsidR="00EC03A3">
        <w:t>non</w:t>
      </w:r>
      <w:r w:rsidR="00EC03A3">
        <w:noBreakHyphen/>
        <w:t>M</w:t>
      </w:r>
      <w:r w:rsidRPr="00181EF3">
        <w:t>āori between 1996–98 and 2012–14</w:t>
      </w:r>
    </w:p>
    <w:p w14:paraId="0EDF1DF8" w14:textId="007BF47D" w:rsidR="002D68F3" w:rsidRPr="00181EF3" w:rsidRDefault="002D68F3" w:rsidP="002D68F3">
      <w:r w:rsidRPr="00181EF3">
        <w:t xml:space="preserve">The difference between Māori and </w:t>
      </w:r>
      <w:r w:rsidR="00EC03A3">
        <w:t>non</w:t>
      </w:r>
      <w:r w:rsidR="00EC03A3">
        <w:noBreakHyphen/>
        <w:t>M</w:t>
      </w:r>
      <w:r w:rsidRPr="00181EF3">
        <w:t xml:space="preserve">āori unintentional injury mortality rates did not change between 1996–98 and 2012–14. On average, Māori mortality rates were twice as high as </w:t>
      </w:r>
      <w:r w:rsidR="00EC03A3">
        <w:t>non</w:t>
      </w:r>
      <w:r w:rsidR="00EC03A3">
        <w:noBreakHyphen/>
        <w:t>M</w:t>
      </w:r>
      <w:r w:rsidRPr="00181EF3">
        <w:t>āori rates, regardless of sex.</w:t>
      </w:r>
    </w:p>
    <w:p w14:paraId="208D5E1B" w14:textId="77777777" w:rsidR="002D68F3" w:rsidRPr="00181EF3" w:rsidRDefault="002D68F3" w:rsidP="002D68F3"/>
    <w:p w14:paraId="6A5FEF53" w14:textId="21B20CE5" w:rsidR="002D68F3" w:rsidRPr="00181EF3" w:rsidRDefault="002D68F3" w:rsidP="005B55FD">
      <w:pPr>
        <w:pStyle w:val="Heading3"/>
        <w:pageBreakBefore/>
        <w:spacing w:before="0"/>
      </w:pPr>
      <w:bookmarkStart w:id="347" w:name="_Toc19102423"/>
      <w:r w:rsidRPr="00181EF3">
        <w:lastRenderedPageBreak/>
        <w:t xml:space="preserve">Unintentional injury mortality, 0–14 </w:t>
      </w:r>
      <w:r w:rsidR="00B9370F">
        <w:t>years</w:t>
      </w:r>
      <w:bookmarkEnd w:id="347"/>
    </w:p>
    <w:p w14:paraId="7D6D21DC" w14:textId="10F195D8" w:rsidR="00B9370F" w:rsidRPr="00181EF3" w:rsidRDefault="00B9370F" w:rsidP="00B9370F">
      <w:pPr>
        <w:pStyle w:val="Figure"/>
      </w:pPr>
      <w:bookmarkStart w:id="348" w:name="_Toc19101971"/>
      <w:r w:rsidRPr="00181EF3">
        <w:t xml:space="preserve">Figure </w:t>
      </w:r>
      <w:r>
        <w:rPr>
          <w:noProof/>
        </w:rPr>
        <w:t>1</w:t>
      </w:r>
      <w:r w:rsidR="00572A9A">
        <w:rPr>
          <w:noProof/>
        </w:rPr>
        <w:t>20</w:t>
      </w:r>
      <w:r w:rsidRPr="00181EF3">
        <w:t xml:space="preserve">: </w:t>
      </w:r>
      <w:r>
        <w:t>U</w:t>
      </w:r>
      <w:r w:rsidRPr="00181EF3">
        <w:t>nintentional injury</w:t>
      </w:r>
      <w:r>
        <w:t xml:space="preserve"> mortality</w:t>
      </w:r>
      <w:r w:rsidRPr="00181EF3">
        <w:t xml:space="preserve"> rates</w:t>
      </w:r>
      <w:r>
        <w:t xml:space="preserve">, 0–14 years, by gender, </w:t>
      </w:r>
      <w:r w:rsidRPr="00181EF3">
        <w:t xml:space="preserve">Māori and </w:t>
      </w:r>
      <w:r w:rsidR="00EC03A3">
        <w:t>non</w:t>
      </w:r>
      <w:r w:rsidR="00EC03A3">
        <w:noBreakHyphen/>
        <w:t>M</w:t>
      </w:r>
      <w:r w:rsidRPr="00181EF3">
        <w:t>āori</w:t>
      </w:r>
      <w:r>
        <w:t>,</w:t>
      </w:r>
      <w:r w:rsidRPr="00181EF3">
        <w:t xml:space="preserve"> 1996–98 to 2012–14</w:t>
      </w:r>
      <w:bookmarkEnd w:id="348"/>
    </w:p>
    <w:p w14:paraId="5EB8E58A" w14:textId="77777777" w:rsidR="00B9370F" w:rsidRPr="00181EF3" w:rsidRDefault="00B9370F" w:rsidP="00B9370F">
      <w:r w:rsidRPr="00181EF3">
        <w:rPr>
          <w:noProof/>
          <w:lang w:eastAsia="en-NZ"/>
        </w:rPr>
        <w:drawing>
          <wp:inline distT="0" distB="0" distL="0" distR="0" wp14:anchorId="2BE5D83D" wp14:editId="05C5ED8B">
            <wp:extent cx="5130165" cy="2640171"/>
            <wp:effectExtent l="0" t="0" r="0" b="8255"/>
            <wp:docPr id="477" name="Picture 477" descr="Death rates among children from unintentional injuries have declined over time. Māori boys have the highest rate, followed by Māori girls, non-Māori boys and non-Māori girls." title="Figure 120: Age-standardised mortality due to unintentional injury, rate for Māori and non-Māori aged 0–1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5130165" cy="2640171"/>
                    </a:xfrm>
                    <a:prstGeom prst="rect">
                      <a:avLst/>
                    </a:prstGeom>
                  </pic:spPr>
                </pic:pic>
              </a:graphicData>
            </a:graphic>
          </wp:inline>
        </w:drawing>
      </w:r>
    </w:p>
    <w:p w14:paraId="764AB945" w14:textId="77777777" w:rsidR="00B9370F" w:rsidRDefault="00B9370F" w:rsidP="00B9370F">
      <w:pPr>
        <w:pStyle w:val="Note"/>
      </w:pPr>
      <w:r w:rsidRPr="00181EF3">
        <w:t>Note</w:t>
      </w:r>
      <w:r>
        <w:t>s</w:t>
      </w:r>
      <w:r w:rsidRPr="00181EF3">
        <w:t>:</w:t>
      </w:r>
    </w:p>
    <w:p w14:paraId="353DBC3B" w14:textId="71514F00" w:rsidR="008A5642" w:rsidRDefault="00446D86" w:rsidP="00B9370F">
      <w:pPr>
        <w:pStyle w:val="Note"/>
      </w:pPr>
      <w:r>
        <w:t>Figures are age-standardised to the 2001 Census total Māori population</w:t>
      </w:r>
      <w:r w:rsidR="00B9370F" w:rsidRPr="00181EF3">
        <w:t>.</w:t>
      </w:r>
    </w:p>
    <w:p w14:paraId="78F04516" w14:textId="384E7726" w:rsidR="00B9370F" w:rsidRPr="00181EF3" w:rsidRDefault="00B9370F" w:rsidP="00B9370F">
      <w:pPr>
        <w:pStyle w:val="Note"/>
      </w:pPr>
      <w:r>
        <w:t>Prioritised ethnicity has been used.</w:t>
      </w:r>
    </w:p>
    <w:p w14:paraId="4CDCD69F" w14:textId="77777777" w:rsidR="008A5642" w:rsidRDefault="00B9370F" w:rsidP="00B6364B">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2E71B264" w14:textId="1C6AEB98" w:rsidR="00B9370F" w:rsidRPr="00181EF3" w:rsidRDefault="00B9370F" w:rsidP="00B9370F">
      <w:pPr>
        <w:pStyle w:val="Source"/>
        <w:rPr>
          <w:rFonts w:eastAsia="Calibri"/>
        </w:rPr>
      </w:pPr>
      <w:r w:rsidRPr="00181EF3">
        <w:rPr>
          <w:rFonts w:eastAsia="Calibri"/>
        </w:rPr>
        <w:t>Source: Mortality Collection Data Set (MORT), Ministry of Health</w:t>
      </w:r>
      <w:r>
        <w:rPr>
          <w:rFonts w:eastAsia="Calibri"/>
        </w:rPr>
        <w:t xml:space="preserve">, </w:t>
      </w:r>
      <w:r w:rsidRPr="00181EF3">
        <w:t>1996–98 to 2012–14</w:t>
      </w:r>
      <w:r w:rsidRPr="00181EF3">
        <w:rPr>
          <w:rFonts w:eastAsia="Calibri"/>
        </w:rPr>
        <w:t>.</w:t>
      </w:r>
    </w:p>
    <w:p w14:paraId="5AD57B4C" w14:textId="77777777" w:rsidR="00B9370F" w:rsidRPr="00181EF3" w:rsidRDefault="00B9370F" w:rsidP="00B9370F"/>
    <w:p w14:paraId="4AE7EBB3" w14:textId="2C7A4909" w:rsidR="002D68F3" w:rsidRDefault="002D68F3" w:rsidP="005B55FD">
      <w:r w:rsidRPr="00181EF3">
        <w:t xml:space="preserve">Figure </w:t>
      </w:r>
      <w:r w:rsidR="00B9370F">
        <w:t>1</w:t>
      </w:r>
      <w:r w:rsidR="003B4A96">
        <w:t>20</w:t>
      </w:r>
      <w:r w:rsidRPr="00181EF3">
        <w:t xml:space="preserve"> shows the age-standardised unintentional injury mortality rate for Māori and </w:t>
      </w:r>
      <w:r w:rsidR="00EC03A3">
        <w:t>non</w:t>
      </w:r>
      <w:r w:rsidR="00EC03A3">
        <w:noBreakHyphen/>
        <w:t>M</w:t>
      </w:r>
      <w:r w:rsidRPr="00181EF3">
        <w:t xml:space="preserve">āori children aged 0–14 years, by </w:t>
      </w:r>
      <w:r w:rsidR="00B9370F">
        <w:t>gender</w:t>
      </w:r>
      <w:r w:rsidRPr="00181EF3">
        <w:t>, between 1996–98 and 2012–14.</w:t>
      </w:r>
    </w:p>
    <w:p w14:paraId="1F286B4C" w14:textId="77777777" w:rsidR="005B55FD" w:rsidRPr="00181EF3" w:rsidRDefault="005B55FD" w:rsidP="005B55FD"/>
    <w:p w14:paraId="3E4A0ABE" w14:textId="77777777" w:rsidR="002D68F3" w:rsidRPr="00181EF3" w:rsidRDefault="002D68F3" w:rsidP="00B9370F">
      <w:pPr>
        <w:pStyle w:val="Heading4"/>
      </w:pPr>
      <w:r w:rsidRPr="00181EF3">
        <w:t>Māori children’s unintentional injury mortality rates decreased between 1996–98 and 2012–14</w:t>
      </w:r>
    </w:p>
    <w:p w14:paraId="398AF743" w14:textId="5ABF735E" w:rsidR="00B9370F" w:rsidRPr="00181EF3" w:rsidRDefault="00B9370F" w:rsidP="005B55FD">
      <w:r w:rsidRPr="00181EF3">
        <w:t xml:space="preserve">The unintentional injury mortality rates decreased for both Māori and </w:t>
      </w:r>
      <w:r w:rsidR="00EC03A3">
        <w:t>non</w:t>
      </w:r>
      <w:r w:rsidR="00EC03A3">
        <w:noBreakHyphen/>
        <w:t>M</w:t>
      </w:r>
      <w:r w:rsidRPr="00181EF3">
        <w:t>āori children between 1996–98 and 2012–14.</w:t>
      </w:r>
    </w:p>
    <w:p w14:paraId="233C8FD2" w14:textId="77777777" w:rsidR="00B9370F" w:rsidRDefault="00B9370F" w:rsidP="005B55FD"/>
    <w:p w14:paraId="656633E5" w14:textId="77777777" w:rsidR="002D68F3" w:rsidRPr="00181EF3" w:rsidRDefault="002D68F3" w:rsidP="005B55FD">
      <w:r w:rsidRPr="00181EF3">
        <w:t>The unintentional injury mortality rates for Māori children decreased, girls decreased by 56 percent between 1996–98 and 2012–14 (from 20 to 9 deaths per 100,000) and boys decreased by 38 percent over the same period (from 29 to 18 deaths per 100,000).</w:t>
      </w:r>
    </w:p>
    <w:p w14:paraId="1CE1B268" w14:textId="77777777" w:rsidR="002D68F3" w:rsidRPr="00181EF3" w:rsidRDefault="002D68F3" w:rsidP="005B55FD"/>
    <w:p w14:paraId="19860DEF" w14:textId="13B203E3" w:rsidR="002D68F3" w:rsidRPr="00181EF3" w:rsidRDefault="00EC03A3" w:rsidP="005B55FD">
      <w:r>
        <w:t>Non</w:t>
      </w:r>
      <w:r>
        <w:noBreakHyphen/>
        <w:t>M</w:t>
      </w:r>
      <w:r w:rsidR="002D68F3" w:rsidRPr="00181EF3">
        <w:t>āori children’s unintentional injury mortality rates also decreased, boys decreased by 47 percent between 1996–98 and 2012–14 (from 11 to 6 deaths per 100,000) and girls decreased by 35 percent over the same period (from 6 to 4 deaths per 100,000).</w:t>
      </w:r>
    </w:p>
    <w:p w14:paraId="46D14E9C" w14:textId="77777777" w:rsidR="002D68F3" w:rsidRPr="00181EF3" w:rsidRDefault="002D68F3" w:rsidP="005B55FD"/>
    <w:p w14:paraId="66C186C5" w14:textId="77777777" w:rsidR="002D68F3" w:rsidRDefault="002D68F3" w:rsidP="005B55FD">
      <w:r w:rsidRPr="00181EF3">
        <w:t>The unintentional injury mortality rates for boys aged 0–14 were greater than girls aged 0–14 years, regardless of ethnicity.</w:t>
      </w:r>
    </w:p>
    <w:p w14:paraId="6CA90F69" w14:textId="77777777" w:rsidR="005B55FD" w:rsidRPr="00181EF3" w:rsidRDefault="005B55FD" w:rsidP="005B55FD"/>
    <w:p w14:paraId="295C1413" w14:textId="57B98493" w:rsidR="002D68F3" w:rsidRPr="00181EF3" w:rsidRDefault="002D68F3" w:rsidP="00B9370F">
      <w:pPr>
        <w:pStyle w:val="Heading4"/>
      </w:pPr>
      <w:r w:rsidRPr="00181EF3">
        <w:lastRenderedPageBreak/>
        <w:t>Māori children’s</w:t>
      </w:r>
      <w:r w:rsidR="00B9370F">
        <w:t xml:space="preserve"> unintentional injury</w:t>
      </w:r>
      <w:r w:rsidRPr="00181EF3">
        <w:t xml:space="preserve"> mortality rates were greater than </w:t>
      </w:r>
      <w:r w:rsidR="00EC03A3">
        <w:t>non</w:t>
      </w:r>
      <w:r w:rsidR="00EC03A3">
        <w:noBreakHyphen/>
        <w:t>M</w:t>
      </w:r>
      <w:r w:rsidRPr="00181EF3">
        <w:t xml:space="preserve">āori </w:t>
      </w:r>
      <w:r w:rsidR="00B9370F">
        <w:t>children</w:t>
      </w:r>
      <w:r w:rsidRPr="00181EF3">
        <w:t>’s rates</w:t>
      </w:r>
    </w:p>
    <w:p w14:paraId="787AEE1D" w14:textId="6B98FCF8" w:rsidR="008A5642" w:rsidRDefault="002D68F3" w:rsidP="00B9370F">
      <w:r w:rsidRPr="00181EF3">
        <w:t xml:space="preserve">Māori boys’ unintentional injury mortality rates were, on average, more than 2½ times </w:t>
      </w:r>
      <w:r>
        <w:t>as high as</w:t>
      </w:r>
      <w:r w:rsidRPr="00181EF3">
        <w:t xml:space="preserve"> that of </w:t>
      </w:r>
      <w:r w:rsidR="00EC03A3">
        <w:t>non</w:t>
      </w:r>
      <w:r w:rsidR="00EC03A3">
        <w:noBreakHyphen/>
        <w:t>M</w:t>
      </w:r>
      <w:r w:rsidRPr="00181EF3">
        <w:t xml:space="preserve">āori boys. The difference was greater for </w:t>
      </w:r>
      <w:r>
        <w:t>girls</w:t>
      </w:r>
      <w:r w:rsidRPr="00181EF3">
        <w:t xml:space="preserve">, where Māori girls’ unintentional injury mortality rates were, on average, three times </w:t>
      </w:r>
      <w:r>
        <w:t>as high as</w:t>
      </w:r>
      <w:r w:rsidRPr="00181EF3">
        <w:t xml:space="preserve"> that of </w:t>
      </w:r>
      <w:r w:rsidR="00EC03A3">
        <w:t>non</w:t>
      </w:r>
      <w:r w:rsidR="00EC03A3">
        <w:noBreakHyphen/>
        <w:t>M</w:t>
      </w:r>
      <w:r w:rsidRPr="00181EF3">
        <w:t>āori girls.</w:t>
      </w:r>
      <w:r w:rsidR="00B63B3B">
        <w:t xml:space="preserve"> </w:t>
      </w:r>
    </w:p>
    <w:p w14:paraId="2413ABCD" w14:textId="4F2278A3" w:rsidR="00B9370F" w:rsidRDefault="00B9370F" w:rsidP="00B9370F"/>
    <w:p w14:paraId="21B2A0AE" w14:textId="77777777" w:rsidR="002D68F3" w:rsidRPr="00181EF3" w:rsidRDefault="002D68F3" w:rsidP="00B9370F">
      <w:r w:rsidRPr="00181EF3">
        <w:t>These differences did not change over time.</w:t>
      </w:r>
    </w:p>
    <w:p w14:paraId="5CCAF871" w14:textId="77777777" w:rsidR="002D68F3" w:rsidRPr="00181EF3" w:rsidRDefault="002D68F3" w:rsidP="005B55FD"/>
    <w:p w14:paraId="71AA00F5" w14:textId="52D06267" w:rsidR="002D68F3" w:rsidRPr="00181EF3" w:rsidRDefault="002D68F3" w:rsidP="005B55FD">
      <w:pPr>
        <w:pStyle w:val="Heading3"/>
        <w:pageBreakBefore/>
        <w:spacing w:before="0"/>
      </w:pPr>
      <w:bookmarkStart w:id="349" w:name="_Toc19102424"/>
      <w:r w:rsidRPr="00181EF3">
        <w:lastRenderedPageBreak/>
        <w:t>Unintentional injury mortality,</w:t>
      </w:r>
      <w:r w:rsidR="00B9370F">
        <w:t xml:space="preserve"> </w:t>
      </w:r>
      <w:r w:rsidRPr="00181EF3">
        <w:t xml:space="preserve">15–64 </w:t>
      </w:r>
      <w:r w:rsidR="00B9370F">
        <w:t>years</w:t>
      </w:r>
      <w:bookmarkEnd w:id="349"/>
    </w:p>
    <w:p w14:paraId="21F3A527" w14:textId="02153970" w:rsidR="00B9370F" w:rsidRPr="00181EF3" w:rsidRDefault="00B9370F" w:rsidP="00B9370F">
      <w:pPr>
        <w:pStyle w:val="Figure"/>
      </w:pPr>
      <w:bookmarkStart w:id="350" w:name="_Toc19101972"/>
      <w:r w:rsidRPr="00181EF3">
        <w:t xml:space="preserve">Figure </w:t>
      </w:r>
      <w:r w:rsidR="00572A9A">
        <w:rPr>
          <w:noProof/>
        </w:rPr>
        <w:t>121</w:t>
      </w:r>
      <w:r w:rsidRPr="00181EF3">
        <w:t xml:space="preserve">: </w:t>
      </w:r>
      <w:r>
        <w:t>U</w:t>
      </w:r>
      <w:r w:rsidRPr="00181EF3">
        <w:t>nintentional injury</w:t>
      </w:r>
      <w:r>
        <w:t xml:space="preserve"> mortality</w:t>
      </w:r>
      <w:r w:rsidRPr="00181EF3">
        <w:t xml:space="preserve"> rates</w:t>
      </w:r>
      <w:r>
        <w:t xml:space="preserve">, 15–64 years, by gender, </w:t>
      </w:r>
      <w:r w:rsidRPr="00181EF3">
        <w:t xml:space="preserve">Māori and </w:t>
      </w:r>
      <w:r w:rsidR="00EC03A3">
        <w:t>non</w:t>
      </w:r>
      <w:r w:rsidR="00EC03A3">
        <w:noBreakHyphen/>
        <w:t>M</w:t>
      </w:r>
      <w:r w:rsidRPr="00181EF3">
        <w:t>āori</w:t>
      </w:r>
      <w:r>
        <w:t>,</w:t>
      </w:r>
      <w:r w:rsidRPr="00181EF3">
        <w:t xml:space="preserve"> 1996–98 to 2012–14</w:t>
      </w:r>
      <w:bookmarkEnd w:id="350"/>
    </w:p>
    <w:p w14:paraId="1B137D3F" w14:textId="77777777" w:rsidR="00B9370F" w:rsidRPr="00181EF3" w:rsidRDefault="00B9370F" w:rsidP="00B9370F">
      <w:r w:rsidRPr="00181EF3">
        <w:rPr>
          <w:noProof/>
          <w:lang w:eastAsia="en-NZ"/>
        </w:rPr>
        <w:drawing>
          <wp:inline distT="0" distB="0" distL="0" distR="0" wp14:anchorId="03AFE691" wp14:editId="25FCF1C8">
            <wp:extent cx="5130165" cy="2640171"/>
            <wp:effectExtent l="0" t="0" r="0" b="8255"/>
            <wp:docPr id="256" name="Picture 256" descr="Death rates from unintentional injury for people between the ages of 15 and 64 were highest for Māori men, followed by non-Māori men, though both rates have declined since 1996-98. Māori women have a higher rate than non-Māori women, and the rates for both have remained relatively steady over time." title="Figure 121: Age-standardised mortality due to unintentional injury, rate for Māori and non-Māori aged 15–6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5130165" cy="2640171"/>
                    </a:xfrm>
                    <a:prstGeom prst="rect">
                      <a:avLst/>
                    </a:prstGeom>
                  </pic:spPr>
                </pic:pic>
              </a:graphicData>
            </a:graphic>
          </wp:inline>
        </w:drawing>
      </w:r>
    </w:p>
    <w:p w14:paraId="55B89694" w14:textId="77777777" w:rsidR="00B9370F" w:rsidRDefault="00B9370F" w:rsidP="00B9370F">
      <w:pPr>
        <w:pStyle w:val="Note"/>
      </w:pPr>
      <w:r w:rsidRPr="00181EF3">
        <w:t>Note</w:t>
      </w:r>
      <w:r>
        <w:t>s</w:t>
      </w:r>
      <w:r w:rsidRPr="00181EF3">
        <w:t>:</w:t>
      </w:r>
    </w:p>
    <w:p w14:paraId="6BB628F6" w14:textId="4BCCDCAC" w:rsidR="008A5642" w:rsidRDefault="00446D86" w:rsidP="00B9370F">
      <w:pPr>
        <w:pStyle w:val="Note"/>
      </w:pPr>
      <w:r>
        <w:t>Figures are age-standardised to the 2001 Census total Māori population</w:t>
      </w:r>
      <w:r w:rsidR="00B9370F" w:rsidRPr="00181EF3">
        <w:t>.</w:t>
      </w:r>
    </w:p>
    <w:p w14:paraId="29511472" w14:textId="1F0DB3C4" w:rsidR="00B9370F" w:rsidRPr="00181EF3" w:rsidRDefault="00B9370F" w:rsidP="00B9370F">
      <w:pPr>
        <w:pStyle w:val="Note"/>
      </w:pPr>
      <w:r>
        <w:t>Prioritised ethnicity has been used.</w:t>
      </w:r>
    </w:p>
    <w:p w14:paraId="47B28E30" w14:textId="77777777" w:rsidR="008A5642" w:rsidRDefault="00B9370F" w:rsidP="00B6364B">
      <w:pPr>
        <w:pStyle w:val="Note"/>
        <w:ind w:left="0" w:firstLine="0"/>
      </w:pPr>
      <w:r w:rsidRPr="00181EF3">
        <w:t xml:space="preserve">If the </w:t>
      </w:r>
      <w:r w:rsidRPr="00B6364B">
        <w:t>confidence</w:t>
      </w:r>
      <w:r w:rsidRPr="00181EF3">
        <w:t xml:space="preserv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1E479D03" w14:textId="464E5F80" w:rsidR="00B9370F" w:rsidRPr="00181EF3" w:rsidRDefault="00B9370F" w:rsidP="00B9370F">
      <w:pPr>
        <w:pStyle w:val="Source"/>
        <w:rPr>
          <w:rFonts w:eastAsia="Calibri"/>
        </w:rPr>
      </w:pPr>
      <w:r w:rsidRPr="00181EF3">
        <w:rPr>
          <w:rFonts w:eastAsia="Calibri"/>
        </w:rPr>
        <w:t>Source: Mortality Collection Data Set (MORT), Ministry of Health</w:t>
      </w:r>
      <w:r>
        <w:rPr>
          <w:rFonts w:eastAsia="Calibri"/>
        </w:rPr>
        <w:t xml:space="preserve">, </w:t>
      </w:r>
      <w:r w:rsidRPr="00181EF3">
        <w:t>1996–98 to 2012–14</w:t>
      </w:r>
      <w:r w:rsidRPr="00181EF3">
        <w:rPr>
          <w:rFonts w:eastAsia="Calibri"/>
        </w:rPr>
        <w:t>.</w:t>
      </w:r>
    </w:p>
    <w:p w14:paraId="7318A499" w14:textId="77777777" w:rsidR="005B55FD" w:rsidRDefault="005B55FD" w:rsidP="005B55FD"/>
    <w:p w14:paraId="2DFDB954" w14:textId="334F9764" w:rsidR="002D68F3" w:rsidRPr="00181EF3" w:rsidRDefault="002D68F3" w:rsidP="005B55FD">
      <w:r w:rsidRPr="00181EF3">
        <w:t xml:space="preserve">Figure </w:t>
      </w:r>
      <w:r w:rsidR="00B9370F">
        <w:t>12</w:t>
      </w:r>
      <w:r w:rsidR="003B4A96">
        <w:t>1</w:t>
      </w:r>
      <w:r w:rsidRPr="00181EF3">
        <w:t xml:space="preserve"> shows the age-standardised unintentional injury mortality rates for Māori and </w:t>
      </w:r>
      <w:r w:rsidR="00EC03A3">
        <w:t>non</w:t>
      </w:r>
      <w:r w:rsidR="00EC03A3">
        <w:noBreakHyphen/>
        <w:t>M</w:t>
      </w:r>
      <w:r w:rsidRPr="00181EF3">
        <w:t xml:space="preserve">āori aged 15–64 years, by </w:t>
      </w:r>
      <w:r w:rsidR="00B9370F">
        <w:t>gender</w:t>
      </w:r>
      <w:r w:rsidRPr="00181EF3">
        <w:t>, between 1996–98 and 2012–14.</w:t>
      </w:r>
    </w:p>
    <w:p w14:paraId="79BB8E93" w14:textId="77777777" w:rsidR="002D68F3" w:rsidRPr="00181EF3" w:rsidRDefault="002D68F3" w:rsidP="005B55FD"/>
    <w:p w14:paraId="2B598D0C" w14:textId="77777777" w:rsidR="002D68F3" w:rsidRPr="00181EF3" w:rsidRDefault="002D68F3" w:rsidP="00B9370F">
      <w:pPr>
        <w:pStyle w:val="Heading4"/>
      </w:pPr>
      <w:r w:rsidRPr="00181EF3">
        <w:t>Decrease in unintentional injury mortality rate for Māori males and females aged 15–64</w:t>
      </w:r>
      <w:r w:rsidR="00B9370F">
        <w:t xml:space="preserve"> years</w:t>
      </w:r>
    </w:p>
    <w:p w14:paraId="2584D1B7" w14:textId="77777777" w:rsidR="002D68F3" w:rsidRPr="00181EF3" w:rsidRDefault="002D68F3" w:rsidP="005B55FD">
      <w:r w:rsidRPr="00181EF3">
        <w:t>The unintentional injury mortality rate for Māori males aged 15–64 years decreased by 45 percent between 1996–98 and 2012–14 (from 76 to 42 deaths per 100,000). Māori females within the same age group showed a decrease of 36 percent over the same period (from 20 to 13 deaths per 100,000).</w:t>
      </w:r>
    </w:p>
    <w:p w14:paraId="736E107A" w14:textId="77777777" w:rsidR="002D68F3" w:rsidRPr="00181EF3" w:rsidRDefault="002D68F3" w:rsidP="002D68F3"/>
    <w:p w14:paraId="607AFE99" w14:textId="4A8E38D8" w:rsidR="002D68F3" w:rsidRPr="00181EF3" w:rsidRDefault="002D68F3" w:rsidP="002D68F3">
      <w:r w:rsidRPr="00181EF3">
        <w:t xml:space="preserve">The unintentional injury mortality rate for </w:t>
      </w:r>
      <w:r w:rsidR="00EC03A3">
        <w:t>non</w:t>
      </w:r>
      <w:r w:rsidR="00EC03A3">
        <w:noBreakHyphen/>
        <w:t>M</w:t>
      </w:r>
      <w:r w:rsidRPr="00181EF3">
        <w:t>āori aged 15–64 years showed similar trends – males decreased by 41 percent between 1996–98 and 2012–14 (from 38 to 23 deaths per 100,000) and females decreased by 43 percent over this period (from 11 to 6 deaths per 100,000).</w:t>
      </w:r>
    </w:p>
    <w:p w14:paraId="69860B2C" w14:textId="77777777" w:rsidR="002D68F3" w:rsidRPr="00181EF3" w:rsidRDefault="002D68F3" w:rsidP="002D68F3"/>
    <w:p w14:paraId="56677DC9" w14:textId="77777777" w:rsidR="002D68F3" w:rsidRPr="00181EF3" w:rsidRDefault="002D68F3" w:rsidP="002D68F3">
      <w:r w:rsidRPr="00181EF3">
        <w:t>Males aged 15–64 years had higher unintentional injury mortality rates than females within the same age group between 1996–98 and 2012–14, regardless of ethnicity.</w:t>
      </w:r>
    </w:p>
    <w:p w14:paraId="5B5169F3" w14:textId="77777777" w:rsidR="002D68F3" w:rsidRPr="00181EF3" w:rsidRDefault="002D68F3" w:rsidP="002D68F3"/>
    <w:p w14:paraId="5D5A78A0" w14:textId="00C124EB" w:rsidR="002D68F3" w:rsidRDefault="002D68F3" w:rsidP="00B9370F">
      <w:pPr>
        <w:pStyle w:val="Heading4"/>
      </w:pPr>
      <w:r w:rsidRPr="00181EF3">
        <w:lastRenderedPageBreak/>
        <w:t>Māori</w:t>
      </w:r>
      <w:r w:rsidR="00062616">
        <w:t xml:space="preserve"> adults aged 15–64 years</w:t>
      </w:r>
      <w:r w:rsidRPr="00181EF3">
        <w:t xml:space="preserve"> </w:t>
      </w:r>
      <w:r w:rsidR="00B9370F">
        <w:t xml:space="preserve">had unintentional injury </w:t>
      </w:r>
      <w:r w:rsidRPr="00181EF3">
        <w:t>mortality rate</w:t>
      </w:r>
      <w:r w:rsidR="00B9370F">
        <w:t>s</w:t>
      </w:r>
      <w:r w:rsidRPr="00181EF3">
        <w:t xml:space="preserve"> twice as high as </w:t>
      </w:r>
      <w:r w:rsidR="00B9370F">
        <w:t>th</w:t>
      </w:r>
      <w:r w:rsidR="00062616">
        <w:t>e rates</w:t>
      </w:r>
      <w:r w:rsidR="00B9370F">
        <w:t xml:space="preserve"> </w:t>
      </w:r>
      <w:r w:rsidR="00062616">
        <w:t>of</w:t>
      </w:r>
      <w:r w:rsidR="00B9370F">
        <w:t xml:space="preserve"> </w:t>
      </w:r>
      <w:r w:rsidR="00EC03A3">
        <w:t>non</w:t>
      </w:r>
      <w:r w:rsidR="00EC03A3">
        <w:noBreakHyphen/>
        <w:t>M</w:t>
      </w:r>
      <w:r w:rsidRPr="00181EF3">
        <w:t>āori</w:t>
      </w:r>
    </w:p>
    <w:p w14:paraId="72D27ACC" w14:textId="25E3617A" w:rsidR="00B9370F" w:rsidRPr="00181EF3" w:rsidRDefault="00B9370F" w:rsidP="00B9370F">
      <w:r w:rsidRPr="00181EF3">
        <w:t xml:space="preserve">The mortality rate for Māori aged 15–64 years was larger than the </w:t>
      </w:r>
      <w:r w:rsidR="00EC03A3">
        <w:t>non</w:t>
      </w:r>
      <w:r w:rsidR="00EC03A3">
        <w:noBreakHyphen/>
        <w:t>M</w:t>
      </w:r>
      <w:r w:rsidRPr="00181EF3">
        <w:t>āori rate, this did not change over time.</w:t>
      </w:r>
    </w:p>
    <w:p w14:paraId="0FBDDACD" w14:textId="77777777" w:rsidR="00B9370F" w:rsidRPr="00B9370F" w:rsidRDefault="00B9370F" w:rsidP="00B9370F"/>
    <w:p w14:paraId="017F932A" w14:textId="10A2745E" w:rsidR="002D68F3" w:rsidRDefault="002D68F3" w:rsidP="002D68F3">
      <w:r w:rsidRPr="00181EF3">
        <w:t xml:space="preserve">The unintentional injury mortality rate for Māori aged 15–64 years was, on average, twice the rate of </w:t>
      </w:r>
      <w:r w:rsidR="00EC03A3">
        <w:t>non</w:t>
      </w:r>
      <w:r w:rsidR="00EC03A3">
        <w:noBreakHyphen/>
        <w:t>M</w:t>
      </w:r>
      <w:r w:rsidRPr="00181EF3">
        <w:t>āori within the same age group between 1996–98 and 2012–14, regardless of sex.</w:t>
      </w:r>
    </w:p>
    <w:p w14:paraId="136F774C" w14:textId="77777777" w:rsidR="005B55FD" w:rsidRPr="00181EF3" w:rsidRDefault="005B55FD" w:rsidP="002D68F3"/>
    <w:p w14:paraId="163D5793" w14:textId="2457FF12" w:rsidR="002D68F3" w:rsidRPr="00181EF3" w:rsidRDefault="002D68F3" w:rsidP="005B55FD">
      <w:pPr>
        <w:pStyle w:val="Heading3"/>
        <w:pageBreakBefore/>
        <w:spacing w:before="0"/>
      </w:pPr>
      <w:bookmarkStart w:id="351" w:name="_Toc19102425"/>
      <w:r w:rsidRPr="00181EF3">
        <w:lastRenderedPageBreak/>
        <w:t>Unintentional injury mortality, 65+ </w:t>
      </w:r>
      <w:r w:rsidR="00B9370F">
        <w:t>years</w:t>
      </w:r>
      <w:bookmarkEnd w:id="351"/>
    </w:p>
    <w:p w14:paraId="4A55676A" w14:textId="2BA7B626" w:rsidR="00062616" w:rsidRPr="00181EF3" w:rsidRDefault="00062616" w:rsidP="00062616">
      <w:pPr>
        <w:pStyle w:val="Figure"/>
      </w:pPr>
      <w:bookmarkStart w:id="352" w:name="_Toc19101973"/>
      <w:r w:rsidRPr="00181EF3">
        <w:t xml:space="preserve">Figure </w:t>
      </w:r>
      <w:r>
        <w:t>12</w:t>
      </w:r>
      <w:r w:rsidR="00572A9A">
        <w:t>2</w:t>
      </w:r>
      <w:r w:rsidRPr="00181EF3">
        <w:t xml:space="preserve">: </w:t>
      </w:r>
      <w:r>
        <w:t>U</w:t>
      </w:r>
      <w:r w:rsidRPr="00181EF3">
        <w:t>nintentional injury</w:t>
      </w:r>
      <w:r>
        <w:t xml:space="preserve"> mortality</w:t>
      </w:r>
      <w:r w:rsidRPr="00181EF3">
        <w:t xml:space="preserve"> rates</w:t>
      </w:r>
      <w:r>
        <w:t xml:space="preserve">, 65+ years, by gender, </w:t>
      </w:r>
      <w:r w:rsidRPr="00181EF3">
        <w:t xml:space="preserve">Māori and </w:t>
      </w:r>
      <w:r w:rsidR="00EC03A3">
        <w:t>non</w:t>
      </w:r>
      <w:r w:rsidR="00EC03A3">
        <w:noBreakHyphen/>
        <w:t>M</w:t>
      </w:r>
      <w:r w:rsidRPr="00181EF3">
        <w:t>āori</w:t>
      </w:r>
      <w:r>
        <w:t>,</w:t>
      </w:r>
      <w:r w:rsidRPr="00181EF3">
        <w:t xml:space="preserve"> 1996–98 to 2012–14</w:t>
      </w:r>
      <w:bookmarkEnd w:id="352"/>
    </w:p>
    <w:p w14:paraId="496D17A6" w14:textId="77777777" w:rsidR="00062616" w:rsidRPr="00181EF3" w:rsidRDefault="00062616" w:rsidP="00062616">
      <w:r w:rsidRPr="00181EF3">
        <w:rPr>
          <w:noProof/>
          <w:lang w:eastAsia="en-NZ"/>
        </w:rPr>
        <w:drawing>
          <wp:inline distT="0" distB="0" distL="0" distR="0" wp14:anchorId="6ED515B5" wp14:editId="55327A22">
            <wp:extent cx="5130165" cy="2640171"/>
            <wp:effectExtent l="0" t="0" r="0" b="8255"/>
            <wp:docPr id="266" name="Picture 266" descr="Unintentional injury deaths among people over 65 years old have remained steady for non-Māori men and omwn, with women experiencing a slightly lower rate than men. Among Māori, the rates have fluctuated much more for both men and women, though Māori men also have a higher rate than Māori women." title="Figure 122: Age-standardised mortality due to unintentional injury, rate for Māori and non-Māori age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5130165" cy="2640171"/>
                    </a:xfrm>
                    <a:prstGeom prst="rect">
                      <a:avLst/>
                    </a:prstGeom>
                  </pic:spPr>
                </pic:pic>
              </a:graphicData>
            </a:graphic>
          </wp:inline>
        </w:drawing>
      </w:r>
    </w:p>
    <w:p w14:paraId="79311E0F" w14:textId="77777777" w:rsidR="00062616" w:rsidRDefault="00062616" w:rsidP="00784D02">
      <w:pPr>
        <w:pStyle w:val="Note"/>
      </w:pPr>
      <w:r w:rsidRPr="00181EF3">
        <w:t>Note</w:t>
      </w:r>
      <w:r>
        <w:t>s</w:t>
      </w:r>
      <w:r w:rsidRPr="00181EF3">
        <w:t>:</w:t>
      </w:r>
    </w:p>
    <w:p w14:paraId="793FE706" w14:textId="1AA1B844" w:rsidR="008A5642" w:rsidRDefault="00446D86" w:rsidP="00784D02">
      <w:pPr>
        <w:pStyle w:val="Note"/>
      </w:pPr>
      <w:r>
        <w:t>Figures are age-standardised to the 2001 Census total Māori population</w:t>
      </w:r>
      <w:r w:rsidR="00062616" w:rsidRPr="00181EF3">
        <w:t>.</w:t>
      </w:r>
    </w:p>
    <w:p w14:paraId="7C50B0FC" w14:textId="2805955D" w:rsidR="00062616" w:rsidRPr="00181EF3" w:rsidRDefault="00062616" w:rsidP="00784D02">
      <w:pPr>
        <w:pStyle w:val="Note"/>
      </w:pPr>
      <w:r>
        <w:t>Prioritised ethnicity has been used.</w:t>
      </w:r>
    </w:p>
    <w:p w14:paraId="396809BF" w14:textId="77777777" w:rsidR="008A5642" w:rsidRPr="005B55FD" w:rsidRDefault="00062616" w:rsidP="00784D02">
      <w:pPr>
        <w:pStyle w:val="Note"/>
        <w:ind w:left="0" w:firstLine="0"/>
        <w:rPr>
          <w:spacing w:val="-2"/>
        </w:rPr>
      </w:pPr>
      <w:r w:rsidRPr="005B55FD">
        <w:rPr>
          <w:spacing w:val="-2"/>
        </w:rPr>
        <w:t>If the confidence intervals of two rates do not overlap, the difference in rates is said to be statistically significant.</w:t>
      </w:r>
    </w:p>
    <w:p w14:paraId="0315DBA8" w14:textId="238ED402" w:rsidR="00062616" w:rsidRPr="00181EF3" w:rsidRDefault="00062616" w:rsidP="00784D02">
      <w:pPr>
        <w:pStyle w:val="Note"/>
        <w:rPr>
          <w:rFonts w:eastAsia="Calibri"/>
        </w:rPr>
      </w:pPr>
      <w:r w:rsidRPr="00181EF3">
        <w:rPr>
          <w:rFonts w:eastAsia="Calibri"/>
        </w:rPr>
        <w:t>Source: Mortality Collection Data Set (MORT), Ministry of Health</w:t>
      </w:r>
      <w:r>
        <w:rPr>
          <w:rFonts w:eastAsia="Calibri"/>
        </w:rPr>
        <w:t xml:space="preserve">, </w:t>
      </w:r>
      <w:r w:rsidRPr="00181EF3">
        <w:t>1996–98 to 2012–14</w:t>
      </w:r>
      <w:r w:rsidRPr="00181EF3">
        <w:rPr>
          <w:rFonts w:eastAsia="Calibri"/>
        </w:rPr>
        <w:t>.</w:t>
      </w:r>
    </w:p>
    <w:p w14:paraId="78986816" w14:textId="77777777" w:rsidR="00062616" w:rsidRDefault="00062616" w:rsidP="005B55FD"/>
    <w:p w14:paraId="09DE0CB5" w14:textId="4A2BF8F5" w:rsidR="002D68F3" w:rsidRDefault="002D68F3" w:rsidP="005B55FD">
      <w:r w:rsidRPr="00181EF3">
        <w:t xml:space="preserve">Figure </w:t>
      </w:r>
      <w:r w:rsidR="00B9370F">
        <w:t>12</w:t>
      </w:r>
      <w:r w:rsidR="003B4A96">
        <w:t>2</w:t>
      </w:r>
      <w:r w:rsidRPr="00181EF3">
        <w:t xml:space="preserve"> shows the age-standardised unintentional injury mortality rate for Māori and </w:t>
      </w:r>
      <w:r w:rsidR="00EC03A3">
        <w:t>non</w:t>
      </w:r>
      <w:r w:rsidR="00EC03A3">
        <w:noBreakHyphen/>
        <w:t>M</w:t>
      </w:r>
      <w:r w:rsidRPr="00181EF3">
        <w:t xml:space="preserve">āori aged 65+ years, by </w:t>
      </w:r>
      <w:r w:rsidR="00062616">
        <w:t>gender</w:t>
      </w:r>
      <w:r w:rsidRPr="00181EF3">
        <w:t>, between 1996–98 and 2012–14.</w:t>
      </w:r>
    </w:p>
    <w:p w14:paraId="3DA43228" w14:textId="77777777" w:rsidR="005B55FD" w:rsidRPr="00181EF3" w:rsidRDefault="005B55FD" w:rsidP="005B55FD"/>
    <w:p w14:paraId="269A37C6" w14:textId="77777777" w:rsidR="002D68F3" w:rsidRPr="00181EF3" w:rsidRDefault="002D68F3" w:rsidP="005B55FD">
      <w:pPr>
        <w:pStyle w:val="Heading4"/>
        <w:spacing w:before="120" w:after="60"/>
      </w:pPr>
      <w:r w:rsidRPr="00181EF3">
        <w:t>Little change in unintentional injury mortality rates for Māori aged 65+</w:t>
      </w:r>
      <w:r w:rsidR="00062616">
        <w:t xml:space="preserve"> years</w:t>
      </w:r>
    </w:p>
    <w:p w14:paraId="35B2F6DE" w14:textId="171C8D32" w:rsidR="00062616" w:rsidRDefault="002D68F3" w:rsidP="00062616">
      <w:r w:rsidRPr="00181EF3">
        <w:t xml:space="preserve">Generally, the unintentional mortality rate for Māori and </w:t>
      </w:r>
      <w:r w:rsidR="00EC03A3">
        <w:t>non</w:t>
      </w:r>
      <w:r w:rsidR="00EC03A3">
        <w:noBreakHyphen/>
        <w:t>M</w:t>
      </w:r>
      <w:r w:rsidRPr="00181EF3">
        <w:t xml:space="preserve">āori aged 65 years and over were similar in 1996–98 and 2012–14, but fluctuated between these dates. The average for Māori males was 97 deaths per 100,000 and Māori females averaged 57 deaths per 100,000 over this period. For </w:t>
      </w:r>
      <w:r w:rsidR="00EC03A3">
        <w:t>non</w:t>
      </w:r>
      <w:r w:rsidR="00EC03A3">
        <w:noBreakHyphen/>
        <w:t>M</w:t>
      </w:r>
      <w:r w:rsidRPr="00181EF3">
        <w:t>āori, males averaged 64 deaths per 100,000 and females averaged 45 deaths per 100,000 over this period.</w:t>
      </w:r>
      <w:r w:rsidR="00784D02">
        <w:t xml:space="preserve"> </w:t>
      </w:r>
      <w:r w:rsidR="00062616" w:rsidRPr="00181EF3">
        <w:t>Males had greater mortality rates than females over this period.</w:t>
      </w:r>
    </w:p>
    <w:p w14:paraId="5F2508D0" w14:textId="77777777" w:rsidR="005B55FD" w:rsidRPr="00181EF3" w:rsidRDefault="005B55FD" w:rsidP="00062616"/>
    <w:p w14:paraId="2DB58315" w14:textId="38E5FFBF" w:rsidR="002D68F3" w:rsidRPr="00181EF3" w:rsidRDefault="002D68F3" w:rsidP="005B55FD">
      <w:pPr>
        <w:pStyle w:val="Heading4"/>
        <w:spacing w:before="120" w:after="60"/>
      </w:pPr>
      <w:r w:rsidRPr="00181EF3">
        <w:t>Māori males aged 65+</w:t>
      </w:r>
      <w:r w:rsidR="00062616">
        <w:t xml:space="preserve"> years</w:t>
      </w:r>
      <w:r w:rsidRPr="00181EF3">
        <w:t xml:space="preserve"> had a higher rate of mortality due to unintentional injury than </w:t>
      </w:r>
      <w:r w:rsidR="00EC03A3">
        <w:t>non</w:t>
      </w:r>
      <w:r w:rsidR="00EC03A3">
        <w:noBreakHyphen/>
        <w:t>M</w:t>
      </w:r>
      <w:r w:rsidRPr="00181EF3">
        <w:t>āori males</w:t>
      </w:r>
    </w:p>
    <w:p w14:paraId="27728DB4" w14:textId="5BF78E9D" w:rsidR="00062616" w:rsidRPr="00181EF3" w:rsidRDefault="00062616" w:rsidP="00062616">
      <w:r>
        <w:t xml:space="preserve">The </w:t>
      </w:r>
      <w:r w:rsidRPr="00181EF3">
        <w:t xml:space="preserve">difference in mortality rates due to unintentional injuries for Māori and </w:t>
      </w:r>
      <w:r w:rsidR="00EC03A3">
        <w:t>non</w:t>
      </w:r>
      <w:r w:rsidR="00EC03A3">
        <w:noBreakHyphen/>
        <w:t>M</w:t>
      </w:r>
      <w:r w:rsidRPr="00181EF3">
        <w:t>āori fluctuated between 1996–98 and 2012–14, this was consistent for both sexes.</w:t>
      </w:r>
    </w:p>
    <w:p w14:paraId="70B2FA65" w14:textId="77777777" w:rsidR="00062616" w:rsidRPr="00181EF3" w:rsidRDefault="00062616" w:rsidP="00062616"/>
    <w:p w14:paraId="1D3CE3E3" w14:textId="483FF19B" w:rsidR="002D68F3" w:rsidRDefault="002D68F3">
      <w:r w:rsidRPr="00181EF3">
        <w:t xml:space="preserve">Excluding 1997–98 to 2001–03 and 2011–13, Māori males aged 65 years and above had a higher rate of mortality due to unintentional injury than </w:t>
      </w:r>
      <w:r w:rsidR="00EC03A3">
        <w:t>non</w:t>
      </w:r>
      <w:r w:rsidR="00EC03A3">
        <w:noBreakHyphen/>
        <w:t>M</w:t>
      </w:r>
      <w:r w:rsidRPr="00181EF3">
        <w:t xml:space="preserve">āori males of the same age group. On average Māori males mortality rates were 1½ times </w:t>
      </w:r>
      <w:r>
        <w:t xml:space="preserve">as high as </w:t>
      </w:r>
      <w:r w:rsidRPr="00181EF3">
        <w:t xml:space="preserve">the </w:t>
      </w:r>
      <w:r w:rsidR="00EC03A3">
        <w:t>non</w:t>
      </w:r>
      <w:r w:rsidR="00EC03A3">
        <w:noBreakHyphen/>
        <w:t>M</w:t>
      </w:r>
      <w:r w:rsidRPr="00181EF3">
        <w:t>āori males’ rates.</w:t>
      </w:r>
    </w:p>
    <w:p w14:paraId="43FF4438" w14:textId="77777777" w:rsidR="002D68F3" w:rsidRPr="00181EF3" w:rsidRDefault="002D68F3" w:rsidP="005B55FD">
      <w:pPr>
        <w:pStyle w:val="Heading2"/>
        <w:pageBreakBefore/>
        <w:spacing w:before="0"/>
      </w:pPr>
      <w:bookmarkStart w:id="353" w:name="_Toc14718646"/>
      <w:bookmarkStart w:id="354" w:name="_Toc14775069"/>
      <w:bookmarkStart w:id="355" w:name="_Toc19102426"/>
      <w:r w:rsidRPr="00181EF3">
        <w:lastRenderedPageBreak/>
        <w:t>Leading unintentional injury mortality categories</w:t>
      </w:r>
      <w:bookmarkEnd w:id="353"/>
      <w:bookmarkEnd w:id="354"/>
      <w:bookmarkEnd w:id="355"/>
    </w:p>
    <w:p w14:paraId="32E9007F" w14:textId="119D1117" w:rsidR="002D68F3" w:rsidRPr="00181EF3" w:rsidRDefault="002D68F3" w:rsidP="002D68F3">
      <w:r w:rsidRPr="00181EF3">
        <w:t xml:space="preserve">This </w:t>
      </w:r>
      <w:r w:rsidR="00062616">
        <w:t>section</w:t>
      </w:r>
      <w:r w:rsidRPr="00181EF3">
        <w:t xml:space="preserve"> presents the three leading unintentional injury mortality categories for Māori and </w:t>
      </w:r>
      <w:r w:rsidR="00EC03A3">
        <w:t>non</w:t>
      </w:r>
      <w:r w:rsidR="00EC03A3">
        <w:noBreakHyphen/>
        <w:t>M</w:t>
      </w:r>
      <w:r w:rsidRPr="00181EF3">
        <w:t xml:space="preserve">āori by </w:t>
      </w:r>
      <w:r w:rsidR="00062616">
        <w:t xml:space="preserve">gender </w:t>
      </w:r>
      <w:r w:rsidRPr="00181EF3">
        <w:t xml:space="preserve">and age group </w:t>
      </w:r>
      <w:r w:rsidR="00062616">
        <w:t>over time</w:t>
      </w:r>
      <w:r w:rsidRPr="00181EF3">
        <w:t>.</w:t>
      </w:r>
    </w:p>
    <w:p w14:paraId="2FC4CE0C" w14:textId="77777777" w:rsidR="002D68F3" w:rsidRPr="00181EF3" w:rsidRDefault="002D68F3" w:rsidP="002D68F3"/>
    <w:p w14:paraId="2C2167E5" w14:textId="4F955979" w:rsidR="002D68F3" w:rsidRPr="00181EF3" w:rsidRDefault="002D68F3" w:rsidP="002D68F3">
      <w:r w:rsidRPr="00181EF3">
        <w:t xml:space="preserve">The three leading unintentional injury mortality categories were ranked by age-standardised rates, this accounts for the differences in the population structure between Māori and </w:t>
      </w:r>
      <w:r w:rsidR="00EC03A3">
        <w:t>non</w:t>
      </w:r>
      <w:r w:rsidR="00EC03A3">
        <w:noBreakHyphen/>
        <w:t>M</w:t>
      </w:r>
      <w:r w:rsidRPr="00181EF3">
        <w:t>āori.</w:t>
      </w:r>
    </w:p>
    <w:p w14:paraId="189B8540" w14:textId="77777777" w:rsidR="002D68F3" w:rsidRPr="00181EF3" w:rsidRDefault="002D68F3" w:rsidP="002D68F3"/>
    <w:p w14:paraId="21539F8D" w14:textId="67E19722" w:rsidR="002D68F3" w:rsidRPr="00181EF3" w:rsidRDefault="002D68F3" w:rsidP="002D68F3">
      <w:r w:rsidRPr="00181EF3">
        <w:t xml:space="preserve">The data describing trends in time for the three leading unintentional injury mortality categories is presented in comparative tables. These tables use abbreviations to refer to different injuries and therefore a key is provided below to aid in interpretation. This key should be referred to when interpreting the tables in this </w:t>
      </w:r>
      <w:r w:rsidR="00784D02">
        <w:t>report</w:t>
      </w:r>
      <w:r w:rsidRPr="00181EF3">
        <w:t xml:space="preserve"> and the graphics in the accompanying Excel tools.</w:t>
      </w:r>
    </w:p>
    <w:p w14:paraId="201C99A6" w14:textId="77777777" w:rsidR="002D68F3" w:rsidRPr="00181EF3" w:rsidRDefault="002D68F3" w:rsidP="002D68F3"/>
    <w:p w14:paraId="043F3C57" w14:textId="77777777" w:rsidR="002D68F3" w:rsidRPr="00181EF3" w:rsidRDefault="002D68F3" w:rsidP="002D68F3">
      <w:pPr>
        <w:pStyle w:val="Table"/>
      </w:pPr>
      <w:bookmarkStart w:id="356" w:name="_Toc18594765"/>
      <w:r w:rsidRPr="00181EF3">
        <w:t xml:space="preserve">Table </w:t>
      </w:r>
      <w:r w:rsidR="00062616">
        <w:rPr>
          <w:noProof/>
        </w:rPr>
        <w:t>25</w:t>
      </w:r>
      <w:r w:rsidRPr="00181EF3">
        <w:t>: Key for leading unintentional injury mortality categories</w:t>
      </w:r>
      <w:bookmarkEnd w:id="356"/>
    </w:p>
    <w:tbl>
      <w:tblPr>
        <w:tblW w:w="8080" w:type="dxa"/>
        <w:tblInd w:w="57" w:type="dxa"/>
        <w:tblLayout w:type="fixed"/>
        <w:tblCellMar>
          <w:left w:w="57" w:type="dxa"/>
          <w:right w:w="57" w:type="dxa"/>
        </w:tblCellMar>
        <w:tblLook w:val="04A0" w:firstRow="1" w:lastRow="0" w:firstColumn="1" w:lastColumn="0" w:noHBand="0" w:noVBand="1"/>
      </w:tblPr>
      <w:tblGrid>
        <w:gridCol w:w="1838"/>
        <w:gridCol w:w="6242"/>
      </w:tblGrid>
      <w:tr w:rsidR="002D68F3" w:rsidRPr="00181EF3" w14:paraId="1CEB0C6E" w14:textId="77777777" w:rsidTr="00E830F9">
        <w:trPr>
          <w:cantSplit/>
        </w:trPr>
        <w:tc>
          <w:tcPr>
            <w:tcW w:w="1838" w:type="dxa"/>
            <w:shd w:val="clear" w:color="auto" w:fill="D9D9D9" w:themeFill="background1" w:themeFillShade="D9"/>
          </w:tcPr>
          <w:p w14:paraId="08FA9094" w14:textId="77777777" w:rsidR="002D68F3" w:rsidRPr="00181EF3" w:rsidRDefault="002D68F3" w:rsidP="00E830F9">
            <w:pPr>
              <w:pStyle w:val="TableText"/>
              <w:rPr>
                <w:b/>
              </w:rPr>
            </w:pPr>
            <w:r w:rsidRPr="00181EF3">
              <w:rPr>
                <w:b/>
              </w:rPr>
              <w:t>Abbreviation</w:t>
            </w:r>
          </w:p>
        </w:tc>
        <w:tc>
          <w:tcPr>
            <w:tcW w:w="6242" w:type="dxa"/>
            <w:shd w:val="clear" w:color="auto" w:fill="D9D9D9" w:themeFill="background1" w:themeFillShade="D9"/>
          </w:tcPr>
          <w:p w14:paraId="0F892F5F" w14:textId="77777777" w:rsidR="002D68F3" w:rsidRPr="00181EF3" w:rsidRDefault="002D68F3" w:rsidP="00E830F9">
            <w:pPr>
              <w:pStyle w:val="TableText"/>
              <w:rPr>
                <w:b/>
              </w:rPr>
            </w:pPr>
            <w:r w:rsidRPr="00181EF3">
              <w:rPr>
                <w:b/>
              </w:rPr>
              <w:t>Unintentional injury category</w:t>
            </w:r>
          </w:p>
        </w:tc>
      </w:tr>
      <w:tr w:rsidR="002D68F3" w:rsidRPr="00181EF3" w14:paraId="73306C17" w14:textId="77777777" w:rsidTr="00E830F9">
        <w:trPr>
          <w:cantSplit/>
        </w:trPr>
        <w:tc>
          <w:tcPr>
            <w:tcW w:w="1838" w:type="dxa"/>
            <w:tcBorders>
              <w:bottom w:val="single" w:sz="4" w:space="0" w:color="A6A6A6" w:themeColor="background1" w:themeShade="A6"/>
            </w:tcBorders>
          </w:tcPr>
          <w:p w14:paraId="0048A54B" w14:textId="77777777" w:rsidR="002D68F3" w:rsidRPr="00181EF3" w:rsidRDefault="002D68F3" w:rsidP="00E830F9">
            <w:pPr>
              <w:pStyle w:val="TableText"/>
            </w:pPr>
            <w:r w:rsidRPr="00181EF3">
              <w:t>DS</w:t>
            </w:r>
          </w:p>
        </w:tc>
        <w:tc>
          <w:tcPr>
            <w:tcW w:w="6242" w:type="dxa"/>
            <w:tcBorders>
              <w:bottom w:val="single" w:sz="4" w:space="0" w:color="A6A6A6" w:themeColor="background1" w:themeShade="A6"/>
            </w:tcBorders>
          </w:tcPr>
          <w:p w14:paraId="7DF9CCBD" w14:textId="77777777" w:rsidR="002D68F3" w:rsidRPr="00181EF3" w:rsidRDefault="002D68F3" w:rsidP="00E830F9">
            <w:pPr>
              <w:pStyle w:val="TableText"/>
            </w:pPr>
            <w:r w:rsidRPr="00181EF3">
              <w:t>Drowning and Submersions</w:t>
            </w:r>
          </w:p>
        </w:tc>
      </w:tr>
      <w:tr w:rsidR="002D68F3" w:rsidRPr="00181EF3" w14:paraId="63ADC14A" w14:textId="77777777" w:rsidTr="00E830F9">
        <w:trPr>
          <w:cantSplit/>
        </w:trPr>
        <w:tc>
          <w:tcPr>
            <w:tcW w:w="1838" w:type="dxa"/>
            <w:tcBorders>
              <w:top w:val="single" w:sz="4" w:space="0" w:color="A6A6A6" w:themeColor="background1" w:themeShade="A6"/>
              <w:bottom w:val="single" w:sz="4" w:space="0" w:color="A6A6A6" w:themeColor="background1" w:themeShade="A6"/>
            </w:tcBorders>
          </w:tcPr>
          <w:p w14:paraId="23AF9921" w14:textId="77777777" w:rsidR="002D68F3" w:rsidRPr="00181EF3" w:rsidRDefault="002D68F3" w:rsidP="00E830F9">
            <w:pPr>
              <w:pStyle w:val="TableText"/>
            </w:pPr>
            <w:r w:rsidRPr="00181EF3">
              <w:t>FA</w:t>
            </w:r>
          </w:p>
        </w:tc>
        <w:tc>
          <w:tcPr>
            <w:tcW w:w="6242" w:type="dxa"/>
            <w:tcBorders>
              <w:top w:val="single" w:sz="4" w:space="0" w:color="A6A6A6" w:themeColor="background1" w:themeShade="A6"/>
              <w:bottom w:val="single" w:sz="4" w:space="0" w:color="A6A6A6" w:themeColor="background1" w:themeShade="A6"/>
            </w:tcBorders>
          </w:tcPr>
          <w:p w14:paraId="22925AAF" w14:textId="77777777" w:rsidR="002D68F3" w:rsidRPr="00181EF3" w:rsidRDefault="002D68F3" w:rsidP="00E830F9">
            <w:pPr>
              <w:pStyle w:val="TableText"/>
            </w:pPr>
            <w:r w:rsidRPr="00181EF3">
              <w:t>Falls</w:t>
            </w:r>
          </w:p>
        </w:tc>
      </w:tr>
      <w:tr w:rsidR="002D68F3" w:rsidRPr="00181EF3" w14:paraId="03C5AB86" w14:textId="77777777" w:rsidTr="00E830F9">
        <w:trPr>
          <w:cantSplit/>
        </w:trPr>
        <w:tc>
          <w:tcPr>
            <w:tcW w:w="1838" w:type="dxa"/>
            <w:tcBorders>
              <w:top w:val="single" w:sz="4" w:space="0" w:color="A6A6A6" w:themeColor="background1" w:themeShade="A6"/>
              <w:bottom w:val="single" w:sz="4" w:space="0" w:color="A6A6A6" w:themeColor="background1" w:themeShade="A6"/>
            </w:tcBorders>
          </w:tcPr>
          <w:p w14:paraId="1BDD2C4C" w14:textId="77777777" w:rsidR="002D68F3" w:rsidRPr="00181EF3" w:rsidRDefault="002D68F3" w:rsidP="00E830F9">
            <w:pPr>
              <w:pStyle w:val="TableText"/>
            </w:pPr>
            <w:r w:rsidRPr="00181EF3">
              <w:t>MV</w:t>
            </w:r>
          </w:p>
        </w:tc>
        <w:tc>
          <w:tcPr>
            <w:tcW w:w="6242" w:type="dxa"/>
            <w:tcBorders>
              <w:top w:val="single" w:sz="4" w:space="0" w:color="A6A6A6" w:themeColor="background1" w:themeShade="A6"/>
              <w:bottom w:val="single" w:sz="4" w:space="0" w:color="A6A6A6" w:themeColor="background1" w:themeShade="A6"/>
            </w:tcBorders>
          </w:tcPr>
          <w:p w14:paraId="0EF90F1E" w14:textId="77777777" w:rsidR="002D68F3" w:rsidRPr="00181EF3" w:rsidRDefault="002D68F3" w:rsidP="00E830F9">
            <w:pPr>
              <w:pStyle w:val="TableText"/>
            </w:pPr>
            <w:r w:rsidRPr="00181EF3">
              <w:t>Motor Vehicle Accidents</w:t>
            </w:r>
          </w:p>
        </w:tc>
      </w:tr>
      <w:tr w:rsidR="002D68F3" w:rsidRPr="00181EF3" w14:paraId="2ECE271A" w14:textId="77777777" w:rsidTr="00E830F9">
        <w:trPr>
          <w:cantSplit/>
        </w:trPr>
        <w:tc>
          <w:tcPr>
            <w:tcW w:w="1838" w:type="dxa"/>
            <w:tcBorders>
              <w:top w:val="single" w:sz="4" w:space="0" w:color="A6A6A6" w:themeColor="background1" w:themeShade="A6"/>
              <w:bottom w:val="single" w:sz="4" w:space="0" w:color="A6A6A6" w:themeColor="background1" w:themeShade="A6"/>
            </w:tcBorders>
          </w:tcPr>
          <w:p w14:paraId="5151DAF1" w14:textId="77777777" w:rsidR="002D68F3" w:rsidRPr="00181EF3" w:rsidRDefault="002D68F3" w:rsidP="00E830F9">
            <w:pPr>
              <w:pStyle w:val="TableText"/>
            </w:pPr>
            <w:r w:rsidRPr="00181EF3">
              <w:t>PO</w:t>
            </w:r>
          </w:p>
        </w:tc>
        <w:tc>
          <w:tcPr>
            <w:tcW w:w="6242" w:type="dxa"/>
            <w:tcBorders>
              <w:top w:val="single" w:sz="4" w:space="0" w:color="A6A6A6" w:themeColor="background1" w:themeShade="A6"/>
              <w:bottom w:val="single" w:sz="4" w:space="0" w:color="A6A6A6" w:themeColor="background1" w:themeShade="A6"/>
            </w:tcBorders>
          </w:tcPr>
          <w:p w14:paraId="4C493048" w14:textId="77777777" w:rsidR="002D68F3" w:rsidRPr="00181EF3" w:rsidRDefault="002D68F3" w:rsidP="00E830F9">
            <w:pPr>
              <w:pStyle w:val="TableText"/>
            </w:pPr>
            <w:r w:rsidRPr="00181EF3">
              <w:t>Poisoning</w:t>
            </w:r>
          </w:p>
        </w:tc>
      </w:tr>
      <w:tr w:rsidR="002D68F3" w:rsidRPr="00181EF3" w14:paraId="7803BB48" w14:textId="77777777" w:rsidTr="00E830F9">
        <w:trPr>
          <w:cantSplit/>
        </w:trPr>
        <w:tc>
          <w:tcPr>
            <w:tcW w:w="1838" w:type="dxa"/>
            <w:tcBorders>
              <w:top w:val="single" w:sz="4" w:space="0" w:color="A6A6A6" w:themeColor="background1" w:themeShade="A6"/>
              <w:bottom w:val="single" w:sz="4" w:space="0" w:color="A6A6A6" w:themeColor="background1" w:themeShade="A6"/>
            </w:tcBorders>
          </w:tcPr>
          <w:p w14:paraId="35BEEE55" w14:textId="77777777" w:rsidR="002D68F3" w:rsidRPr="00181EF3" w:rsidRDefault="002D68F3" w:rsidP="00E830F9">
            <w:pPr>
              <w:pStyle w:val="TableText"/>
            </w:pPr>
            <w:r w:rsidRPr="00181EF3">
              <w:t>SF</w:t>
            </w:r>
          </w:p>
        </w:tc>
        <w:tc>
          <w:tcPr>
            <w:tcW w:w="6242" w:type="dxa"/>
            <w:tcBorders>
              <w:top w:val="single" w:sz="4" w:space="0" w:color="A6A6A6" w:themeColor="background1" w:themeShade="A6"/>
              <w:bottom w:val="single" w:sz="4" w:space="0" w:color="A6A6A6" w:themeColor="background1" w:themeShade="A6"/>
            </w:tcBorders>
          </w:tcPr>
          <w:p w14:paraId="78C9FD34" w14:textId="77777777" w:rsidR="002D68F3" w:rsidRPr="00181EF3" w:rsidRDefault="002D68F3" w:rsidP="00E830F9">
            <w:pPr>
              <w:pStyle w:val="TableText"/>
            </w:pPr>
            <w:r w:rsidRPr="00181EF3">
              <w:t>Suffocation</w:t>
            </w:r>
          </w:p>
        </w:tc>
      </w:tr>
      <w:tr w:rsidR="002D68F3" w:rsidRPr="00181EF3" w14:paraId="4DA1DD4C" w14:textId="77777777" w:rsidTr="00E830F9">
        <w:trPr>
          <w:cantSplit/>
        </w:trPr>
        <w:tc>
          <w:tcPr>
            <w:tcW w:w="1838" w:type="dxa"/>
            <w:tcBorders>
              <w:top w:val="single" w:sz="4" w:space="0" w:color="A6A6A6" w:themeColor="background1" w:themeShade="A6"/>
              <w:bottom w:val="single" w:sz="4" w:space="0" w:color="A6A6A6" w:themeColor="background1" w:themeShade="A6"/>
            </w:tcBorders>
          </w:tcPr>
          <w:p w14:paraId="4234C20D" w14:textId="77777777" w:rsidR="002D68F3" w:rsidRPr="00181EF3" w:rsidRDefault="002D68F3" w:rsidP="00E830F9">
            <w:pPr>
              <w:pStyle w:val="TableText"/>
            </w:pPr>
            <w:r w:rsidRPr="00181EF3">
              <w:t>TI</w:t>
            </w:r>
          </w:p>
        </w:tc>
        <w:tc>
          <w:tcPr>
            <w:tcW w:w="6242" w:type="dxa"/>
            <w:tcBorders>
              <w:top w:val="single" w:sz="4" w:space="0" w:color="A6A6A6" w:themeColor="background1" w:themeShade="A6"/>
              <w:bottom w:val="single" w:sz="4" w:space="0" w:color="A6A6A6" w:themeColor="background1" w:themeShade="A6"/>
            </w:tcBorders>
          </w:tcPr>
          <w:p w14:paraId="7D05412A" w14:textId="77777777" w:rsidR="002D68F3" w:rsidRPr="00181EF3" w:rsidRDefault="002D68F3" w:rsidP="00E830F9">
            <w:pPr>
              <w:pStyle w:val="TableText"/>
            </w:pPr>
            <w:r w:rsidRPr="00181EF3">
              <w:t>Thermal Injury</w:t>
            </w:r>
          </w:p>
        </w:tc>
      </w:tr>
    </w:tbl>
    <w:p w14:paraId="55B37BF5" w14:textId="77777777" w:rsidR="002D68F3" w:rsidRPr="00181EF3" w:rsidRDefault="002D68F3" w:rsidP="002D68F3"/>
    <w:p w14:paraId="6A571B79" w14:textId="77777777" w:rsidR="002D68F3" w:rsidRPr="00181EF3" w:rsidRDefault="002D68F3" w:rsidP="005B55FD">
      <w:pPr>
        <w:pStyle w:val="Heading3"/>
        <w:pageBreakBefore/>
        <w:spacing w:before="0"/>
      </w:pPr>
      <w:bookmarkStart w:id="357" w:name="_Toc19102427"/>
      <w:r w:rsidRPr="00181EF3">
        <w:lastRenderedPageBreak/>
        <w:t>Unintentional injury mortality rankings for males</w:t>
      </w:r>
      <w:r w:rsidR="00062616">
        <w:t xml:space="preserve"> </w:t>
      </w:r>
      <w:r w:rsidRPr="00181EF3">
        <w:t>aged 0–14 years</w:t>
      </w:r>
      <w:bookmarkEnd w:id="357"/>
    </w:p>
    <w:p w14:paraId="2AC5D776" w14:textId="29C2C051" w:rsidR="002D68F3" w:rsidRPr="00181EF3" w:rsidRDefault="002D68F3" w:rsidP="002D68F3">
      <w:pPr>
        <w:pStyle w:val="Table"/>
      </w:pPr>
      <w:bookmarkStart w:id="358" w:name="_Toc18594766"/>
      <w:r w:rsidRPr="00181EF3">
        <w:t xml:space="preserve">Table </w:t>
      </w:r>
      <w:r w:rsidR="00062616">
        <w:rPr>
          <w:noProof/>
        </w:rPr>
        <w:t>26</w:t>
      </w:r>
      <w:r w:rsidRPr="00181EF3">
        <w:t xml:space="preserve">: Three leading injury mortalities, </w:t>
      </w:r>
      <w:r>
        <w:t xml:space="preserve">ranked </w:t>
      </w:r>
      <w:r w:rsidRPr="00181EF3">
        <w:t xml:space="preserve">by age-standardised rates, </w:t>
      </w:r>
      <w:r w:rsidR="00062616" w:rsidRPr="00181EF3">
        <w:t>0–14 years</w:t>
      </w:r>
      <w:r w:rsidR="00062616">
        <w:t xml:space="preserve">, </w:t>
      </w:r>
      <w:r w:rsidRPr="00181EF3">
        <w:t xml:space="preserve">Māori and </w:t>
      </w:r>
      <w:r w:rsidR="00EC03A3">
        <w:t>non</w:t>
      </w:r>
      <w:r w:rsidR="00EC03A3">
        <w:noBreakHyphen/>
        <w:t>M</w:t>
      </w:r>
      <w:r w:rsidRPr="00181EF3">
        <w:t>āori</w:t>
      </w:r>
      <w:r w:rsidR="00784D02">
        <w:t xml:space="preserve"> males</w:t>
      </w:r>
      <w:bookmarkEnd w:id="358"/>
    </w:p>
    <w:tbl>
      <w:tblPr>
        <w:tblW w:w="8080" w:type="dxa"/>
        <w:tblInd w:w="57" w:type="dxa"/>
        <w:tblLayout w:type="fixed"/>
        <w:tblCellMar>
          <w:left w:w="57" w:type="dxa"/>
          <w:right w:w="57" w:type="dxa"/>
        </w:tblCellMar>
        <w:tblLook w:val="04A0" w:firstRow="1" w:lastRow="0" w:firstColumn="1" w:lastColumn="0" w:noHBand="0" w:noVBand="1"/>
      </w:tblPr>
      <w:tblGrid>
        <w:gridCol w:w="567"/>
        <w:gridCol w:w="426"/>
        <w:gridCol w:w="416"/>
        <w:gridCol w:w="417"/>
        <w:gridCol w:w="417"/>
        <w:gridCol w:w="417"/>
        <w:gridCol w:w="417"/>
        <w:gridCol w:w="417"/>
        <w:gridCol w:w="417"/>
        <w:gridCol w:w="417"/>
        <w:gridCol w:w="416"/>
        <w:gridCol w:w="417"/>
        <w:gridCol w:w="417"/>
        <w:gridCol w:w="417"/>
        <w:gridCol w:w="417"/>
        <w:gridCol w:w="417"/>
        <w:gridCol w:w="417"/>
        <w:gridCol w:w="417"/>
        <w:gridCol w:w="417"/>
      </w:tblGrid>
      <w:tr w:rsidR="002D68F3" w:rsidRPr="00181EF3" w14:paraId="60153799" w14:textId="77777777" w:rsidTr="00E830F9">
        <w:trPr>
          <w:cantSplit/>
          <w:trHeight w:val="365"/>
        </w:trPr>
        <w:tc>
          <w:tcPr>
            <w:tcW w:w="567" w:type="dxa"/>
            <w:vMerge w:val="restart"/>
            <w:tcBorders>
              <w:left w:val="nil"/>
            </w:tcBorders>
            <w:shd w:val="clear" w:color="auto" w:fill="D9D9D9" w:themeFill="background1" w:themeFillShade="D9"/>
          </w:tcPr>
          <w:p w14:paraId="02E78FEE" w14:textId="77777777" w:rsidR="002D68F3" w:rsidRPr="00181EF3" w:rsidRDefault="002D68F3" w:rsidP="00E830F9">
            <w:pPr>
              <w:pStyle w:val="TableText"/>
              <w:spacing w:before="40" w:after="40"/>
              <w:rPr>
                <w:b/>
                <w:sz w:val="16"/>
                <w:szCs w:val="16"/>
              </w:rPr>
            </w:pPr>
          </w:p>
        </w:tc>
        <w:tc>
          <w:tcPr>
            <w:tcW w:w="426" w:type="dxa"/>
            <w:vMerge w:val="restart"/>
            <w:shd w:val="clear" w:color="auto" w:fill="D9D9D9" w:themeFill="background1" w:themeFillShade="D9"/>
            <w:textDirection w:val="btLr"/>
            <w:vAlign w:val="center"/>
          </w:tcPr>
          <w:p w14:paraId="08894A92" w14:textId="77777777" w:rsidR="002D68F3" w:rsidRPr="00181EF3" w:rsidRDefault="002D68F3" w:rsidP="00E830F9">
            <w:pPr>
              <w:pStyle w:val="TableText"/>
              <w:spacing w:before="40" w:after="40"/>
              <w:ind w:left="113"/>
              <w:rPr>
                <w:b/>
                <w:sz w:val="16"/>
                <w:szCs w:val="16"/>
              </w:rPr>
            </w:pPr>
            <w:r w:rsidRPr="00181EF3">
              <w:rPr>
                <w:b/>
                <w:sz w:val="16"/>
                <w:szCs w:val="16"/>
              </w:rPr>
              <w:t>Ranking</w:t>
            </w:r>
          </w:p>
        </w:tc>
        <w:tc>
          <w:tcPr>
            <w:tcW w:w="7087" w:type="dxa"/>
            <w:gridSpan w:val="17"/>
            <w:shd w:val="clear" w:color="auto" w:fill="D9D9D9" w:themeFill="background1" w:themeFillShade="D9"/>
          </w:tcPr>
          <w:p w14:paraId="15FE83DB" w14:textId="77777777" w:rsidR="002D68F3" w:rsidRPr="00181EF3" w:rsidRDefault="002D68F3" w:rsidP="00E830F9">
            <w:pPr>
              <w:pStyle w:val="TableText"/>
              <w:spacing w:before="40" w:after="40"/>
              <w:jc w:val="center"/>
              <w:rPr>
                <w:b/>
                <w:sz w:val="16"/>
                <w:szCs w:val="16"/>
              </w:rPr>
            </w:pPr>
            <w:r w:rsidRPr="00181EF3">
              <w:rPr>
                <w:b/>
                <w:sz w:val="16"/>
                <w:szCs w:val="16"/>
              </w:rPr>
              <w:t>Year</w:t>
            </w:r>
          </w:p>
        </w:tc>
      </w:tr>
      <w:tr w:rsidR="002D68F3" w:rsidRPr="00181EF3" w14:paraId="7A329C93" w14:textId="77777777" w:rsidTr="00E830F9">
        <w:trPr>
          <w:cantSplit/>
          <w:trHeight w:val="851"/>
        </w:trPr>
        <w:tc>
          <w:tcPr>
            <w:tcW w:w="567" w:type="dxa"/>
            <w:vMerge/>
            <w:tcBorders>
              <w:left w:val="nil"/>
            </w:tcBorders>
            <w:shd w:val="clear" w:color="auto" w:fill="D9D9D9" w:themeFill="background1" w:themeFillShade="D9"/>
          </w:tcPr>
          <w:p w14:paraId="2902CB60" w14:textId="77777777" w:rsidR="002D68F3" w:rsidRPr="00181EF3" w:rsidRDefault="002D68F3" w:rsidP="00E830F9">
            <w:pPr>
              <w:pStyle w:val="TableText"/>
              <w:spacing w:before="40" w:after="40"/>
              <w:rPr>
                <w:b/>
                <w:sz w:val="16"/>
                <w:szCs w:val="16"/>
              </w:rPr>
            </w:pPr>
          </w:p>
        </w:tc>
        <w:tc>
          <w:tcPr>
            <w:tcW w:w="426" w:type="dxa"/>
            <w:vMerge/>
            <w:shd w:val="clear" w:color="auto" w:fill="D9D9D9" w:themeFill="background1" w:themeFillShade="D9"/>
          </w:tcPr>
          <w:p w14:paraId="6B40FB7D" w14:textId="77777777" w:rsidR="002D68F3" w:rsidRPr="00181EF3" w:rsidRDefault="002D68F3" w:rsidP="00E830F9">
            <w:pPr>
              <w:pStyle w:val="TableText"/>
              <w:spacing w:before="40" w:after="40"/>
              <w:jc w:val="center"/>
              <w:rPr>
                <w:b/>
                <w:sz w:val="16"/>
                <w:szCs w:val="16"/>
              </w:rPr>
            </w:pPr>
          </w:p>
        </w:tc>
        <w:tc>
          <w:tcPr>
            <w:tcW w:w="416" w:type="dxa"/>
            <w:shd w:val="clear" w:color="auto" w:fill="D9D9D9" w:themeFill="background1" w:themeFillShade="D9"/>
            <w:textDirection w:val="btLr"/>
            <w:vAlign w:val="center"/>
          </w:tcPr>
          <w:p w14:paraId="36FCCD8B" w14:textId="77777777" w:rsidR="002D68F3" w:rsidRPr="00181EF3" w:rsidRDefault="002D68F3" w:rsidP="00E830F9">
            <w:pPr>
              <w:pStyle w:val="TableText"/>
              <w:spacing w:before="0" w:after="0"/>
              <w:ind w:left="113"/>
              <w:rPr>
                <w:b/>
                <w:sz w:val="16"/>
                <w:szCs w:val="16"/>
              </w:rPr>
            </w:pPr>
            <w:r w:rsidRPr="00181EF3">
              <w:rPr>
                <w:b/>
                <w:sz w:val="16"/>
                <w:szCs w:val="16"/>
              </w:rPr>
              <w:t>1996–98</w:t>
            </w:r>
          </w:p>
        </w:tc>
        <w:tc>
          <w:tcPr>
            <w:tcW w:w="417" w:type="dxa"/>
            <w:shd w:val="clear" w:color="auto" w:fill="D9D9D9" w:themeFill="background1" w:themeFillShade="D9"/>
            <w:textDirection w:val="btLr"/>
            <w:vAlign w:val="center"/>
          </w:tcPr>
          <w:p w14:paraId="1B660CF7" w14:textId="77777777" w:rsidR="002D68F3" w:rsidRPr="00181EF3" w:rsidRDefault="002D68F3" w:rsidP="00E830F9">
            <w:pPr>
              <w:pStyle w:val="TableText"/>
              <w:spacing w:before="0" w:after="0"/>
              <w:ind w:left="113"/>
              <w:rPr>
                <w:b/>
                <w:sz w:val="16"/>
                <w:szCs w:val="16"/>
              </w:rPr>
            </w:pPr>
            <w:r w:rsidRPr="00181EF3">
              <w:rPr>
                <w:b/>
                <w:sz w:val="16"/>
                <w:szCs w:val="16"/>
              </w:rPr>
              <w:t>1997–99</w:t>
            </w:r>
          </w:p>
        </w:tc>
        <w:tc>
          <w:tcPr>
            <w:tcW w:w="417" w:type="dxa"/>
            <w:shd w:val="clear" w:color="auto" w:fill="D9D9D9" w:themeFill="background1" w:themeFillShade="D9"/>
            <w:textDirection w:val="btLr"/>
            <w:vAlign w:val="center"/>
          </w:tcPr>
          <w:p w14:paraId="350C0D70" w14:textId="77777777" w:rsidR="002D68F3" w:rsidRPr="00181EF3" w:rsidRDefault="002D68F3" w:rsidP="00E830F9">
            <w:pPr>
              <w:pStyle w:val="TableText"/>
              <w:spacing w:before="0" w:after="0"/>
              <w:ind w:left="113"/>
              <w:rPr>
                <w:b/>
                <w:sz w:val="16"/>
                <w:szCs w:val="16"/>
              </w:rPr>
            </w:pPr>
            <w:r w:rsidRPr="00181EF3">
              <w:rPr>
                <w:b/>
                <w:sz w:val="16"/>
                <w:szCs w:val="16"/>
              </w:rPr>
              <w:t>1998-00</w:t>
            </w:r>
          </w:p>
        </w:tc>
        <w:tc>
          <w:tcPr>
            <w:tcW w:w="417" w:type="dxa"/>
            <w:shd w:val="clear" w:color="auto" w:fill="D9D9D9" w:themeFill="background1" w:themeFillShade="D9"/>
            <w:textDirection w:val="btLr"/>
            <w:vAlign w:val="center"/>
          </w:tcPr>
          <w:p w14:paraId="2A6C53E3" w14:textId="77777777" w:rsidR="002D68F3" w:rsidRPr="00181EF3" w:rsidRDefault="002D68F3" w:rsidP="00E830F9">
            <w:pPr>
              <w:pStyle w:val="TableText"/>
              <w:spacing w:before="0" w:after="0"/>
              <w:ind w:left="113"/>
              <w:rPr>
                <w:b/>
                <w:sz w:val="16"/>
                <w:szCs w:val="16"/>
              </w:rPr>
            </w:pPr>
            <w:r w:rsidRPr="00181EF3">
              <w:rPr>
                <w:b/>
                <w:sz w:val="16"/>
                <w:szCs w:val="16"/>
              </w:rPr>
              <w:t>1999–01</w:t>
            </w:r>
          </w:p>
        </w:tc>
        <w:tc>
          <w:tcPr>
            <w:tcW w:w="417" w:type="dxa"/>
            <w:shd w:val="clear" w:color="auto" w:fill="D9D9D9" w:themeFill="background1" w:themeFillShade="D9"/>
            <w:textDirection w:val="btLr"/>
            <w:vAlign w:val="center"/>
          </w:tcPr>
          <w:p w14:paraId="18DAE8E9" w14:textId="77777777" w:rsidR="002D68F3" w:rsidRPr="00181EF3" w:rsidRDefault="002D68F3" w:rsidP="00E830F9">
            <w:pPr>
              <w:pStyle w:val="TableText"/>
              <w:spacing w:before="0" w:after="0"/>
              <w:ind w:left="113"/>
              <w:rPr>
                <w:b/>
                <w:sz w:val="16"/>
                <w:szCs w:val="16"/>
              </w:rPr>
            </w:pPr>
            <w:r w:rsidRPr="00181EF3">
              <w:rPr>
                <w:b/>
                <w:sz w:val="16"/>
                <w:szCs w:val="16"/>
              </w:rPr>
              <w:t>2000-02</w:t>
            </w:r>
          </w:p>
        </w:tc>
        <w:tc>
          <w:tcPr>
            <w:tcW w:w="417" w:type="dxa"/>
            <w:shd w:val="clear" w:color="auto" w:fill="D9D9D9" w:themeFill="background1" w:themeFillShade="D9"/>
            <w:textDirection w:val="btLr"/>
            <w:vAlign w:val="center"/>
          </w:tcPr>
          <w:p w14:paraId="2125E406" w14:textId="77777777" w:rsidR="002D68F3" w:rsidRPr="00181EF3" w:rsidRDefault="002D68F3" w:rsidP="00E830F9">
            <w:pPr>
              <w:pStyle w:val="TableText"/>
              <w:spacing w:before="0" w:after="0"/>
              <w:ind w:left="113"/>
              <w:rPr>
                <w:b/>
                <w:sz w:val="16"/>
                <w:szCs w:val="16"/>
              </w:rPr>
            </w:pPr>
            <w:r w:rsidRPr="00181EF3">
              <w:rPr>
                <w:b/>
                <w:sz w:val="16"/>
                <w:szCs w:val="16"/>
              </w:rPr>
              <w:t>2001–03</w:t>
            </w:r>
          </w:p>
        </w:tc>
        <w:tc>
          <w:tcPr>
            <w:tcW w:w="417" w:type="dxa"/>
            <w:shd w:val="clear" w:color="auto" w:fill="D9D9D9" w:themeFill="background1" w:themeFillShade="D9"/>
            <w:textDirection w:val="btLr"/>
            <w:vAlign w:val="center"/>
          </w:tcPr>
          <w:p w14:paraId="45A9888E" w14:textId="77777777" w:rsidR="002D68F3" w:rsidRPr="00181EF3" w:rsidRDefault="002D68F3" w:rsidP="00E830F9">
            <w:pPr>
              <w:pStyle w:val="TableText"/>
              <w:spacing w:before="0" w:after="0"/>
              <w:ind w:left="113"/>
              <w:rPr>
                <w:b/>
                <w:sz w:val="16"/>
                <w:szCs w:val="16"/>
              </w:rPr>
            </w:pPr>
            <w:r w:rsidRPr="00181EF3">
              <w:rPr>
                <w:b/>
                <w:sz w:val="16"/>
                <w:szCs w:val="16"/>
              </w:rPr>
              <w:t>2002-04</w:t>
            </w:r>
          </w:p>
        </w:tc>
        <w:tc>
          <w:tcPr>
            <w:tcW w:w="417" w:type="dxa"/>
            <w:shd w:val="clear" w:color="auto" w:fill="D9D9D9" w:themeFill="background1" w:themeFillShade="D9"/>
            <w:textDirection w:val="btLr"/>
            <w:vAlign w:val="center"/>
          </w:tcPr>
          <w:p w14:paraId="13E88947" w14:textId="77777777" w:rsidR="002D68F3" w:rsidRPr="00181EF3" w:rsidRDefault="002D68F3" w:rsidP="00E830F9">
            <w:pPr>
              <w:pStyle w:val="TableText"/>
              <w:spacing w:before="0" w:after="0"/>
              <w:ind w:left="113"/>
              <w:rPr>
                <w:b/>
                <w:sz w:val="16"/>
                <w:szCs w:val="16"/>
              </w:rPr>
            </w:pPr>
            <w:r w:rsidRPr="00181EF3">
              <w:rPr>
                <w:b/>
                <w:sz w:val="16"/>
                <w:szCs w:val="16"/>
              </w:rPr>
              <w:t>2003-05</w:t>
            </w:r>
          </w:p>
        </w:tc>
        <w:tc>
          <w:tcPr>
            <w:tcW w:w="416" w:type="dxa"/>
            <w:shd w:val="clear" w:color="auto" w:fill="D9D9D9" w:themeFill="background1" w:themeFillShade="D9"/>
            <w:textDirection w:val="btLr"/>
            <w:vAlign w:val="center"/>
          </w:tcPr>
          <w:p w14:paraId="5AE72C87" w14:textId="77777777" w:rsidR="002D68F3" w:rsidRPr="00181EF3" w:rsidRDefault="002D68F3" w:rsidP="00E830F9">
            <w:pPr>
              <w:pStyle w:val="TableText"/>
              <w:spacing w:before="0" w:after="0"/>
              <w:ind w:left="113"/>
              <w:rPr>
                <w:b/>
                <w:sz w:val="16"/>
                <w:szCs w:val="16"/>
              </w:rPr>
            </w:pPr>
            <w:r w:rsidRPr="00181EF3">
              <w:rPr>
                <w:b/>
                <w:sz w:val="16"/>
                <w:szCs w:val="16"/>
              </w:rPr>
              <w:t>2004-06</w:t>
            </w:r>
          </w:p>
        </w:tc>
        <w:tc>
          <w:tcPr>
            <w:tcW w:w="417" w:type="dxa"/>
            <w:shd w:val="clear" w:color="auto" w:fill="D9D9D9" w:themeFill="background1" w:themeFillShade="D9"/>
            <w:textDirection w:val="btLr"/>
            <w:vAlign w:val="center"/>
          </w:tcPr>
          <w:p w14:paraId="71A418AC" w14:textId="77777777" w:rsidR="002D68F3" w:rsidRPr="00181EF3" w:rsidRDefault="002D68F3" w:rsidP="00E830F9">
            <w:pPr>
              <w:pStyle w:val="TableText"/>
              <w:spacing w:before="0" w:after="0"/>
              <w:ind w:left="113"/>
              <w:rPr>
                <w:b/>
                <w:sz w:val="16"/>
                <w:szCs w:val="16"/>
              </w:rPr>
            </w:pPr>
            <w:r w:rsidRPr="00181EF3">
              <w:rPr>
                <w:b/>
                <w:sz w:val="16"/>
                <w:szCs w:val="16"/>
              </w:rPr>
              <w:t>2005–07</w:t>
            </w:r>
          </w:p>
        </w:tc>
        <w:tc>
          <w:tcPr>
            <w:tcW w:w="417" w:type="dxa"/>
            <w:shd w:val="clear" w:color="auto" w:fill="D9D9D9" w:themeFill="background1" w:themeFillShade="D9"/>
            <w:textDirection w:val="btLr"/>
            <w:vAlign w:val="center"/>
          </w:tcPr>
          <w:p w14:paraId="3F537253" w14:textId="77777777" w:rsidR="002D68F3" w:rsidRPr="00181EF3" w:rsidRDefault="002D68F3" w:rsidP="00E830F9">
            <w:pPr>
              <w:pStyle w:val="TableText"/>
              <w:spacing w:before="0" w:after="0"/>
              <w:ind w:left="113"/>
              <w:rPr>
                <w:b/>
                <w:sz w:val="16"/>
                <w:szCs w:val="16"/>
              </w:rPr>
            </w:pPr>
            <w:r w:rsidRPr="00181EF3">
              <w:rPr>
                <w:b/>
                <w:sz w:val="16"/>
                <w:szCs w:val="16"/>
              </w:rPr>
              <w:t>2006–08</w:t>
            </w:r>
          </w:p>
        </w:tc>
        <w:tc>
          <w:tcPr>
            <w:tcW w:w="417" w:type="dxa"/>
            <w:shd w:val="clear" w:color="auto" w:fill="D9D9D9" w:themeFill="background1" w:themeFillShade="D9"/>
            <w:textDirection w:val="btLr"/>
            <w:vAlign w:val="center"/>
          </w:tcPr>
          <w:p w14:paraId="7F55AD18" w14:textId="77777777" w:rsidR="002D68F3" w:rsidRPr="00181EF3" w:rsidRDefault="002D68F3" w:rsidP="00E830F9">
            <w:pPr>
              <w:pStyle w:val="TableText"/>
              <w:spacing w:before="0" w:after="0"/>
              <w:ind w:left="113"/>
              <w:rPr>
                <w:b/>
                <w:sz w:val="16"/>
                <w:szCs w:val="16"/>
              </w:rPr>
            </w:pPr>
            <w:r w:rsidRPr="00181EF3">
              <w:rPr>
                <w:b/>
                <w:sz w:val="16"/>
                <w:szCs w:val="16"/>
              </w:rPr>
              <w:t>2007–09</w:t>
            </w:r>
          </w:p>
        </w:tc>
        <w:tc>
          <w:tcPr>
            <w:tcW w:w="417" w:type="dxa"/>
            <w:shd w:val="clear" w:color="auto" w:fill="D9D9D9" w:themeFill="background1" w:themeFillShade="D9"/>
            <w:textDirection w:val="btLr"/>
            <w:vAlign w:val="center"/>
          </w:tcPr>
          <w:p w14:paraId="14DE74D9" w14:textId="77777777" w:rsidR="002D68F3" w:rsidRPr="00181EF3" w:rsidRDefault="002D68F3" w:rsidP="00E830F9">
            <w:pPr>
              <w:pStyle w:val="TableText"/>
              <w:spacing w:before="0" w:after="0"/>
              <w:ind w:left="113"/>
              <w:rPr>
                <w:b/>
                <w:sz w:val="16"/>
                <w:szCs w:val="16"/>
              </w:rPr>
            </w:pPr>
            <w:r w:rsidRPr="00181EF3">
              <w:rPr>
                <w:b/>
                <w:sz w:val="16"/>
                <w:szCs w:val="16"/>
              </w:rPr>
              <w:t>2008–10</w:t>
            </w:r>
          </w:p>
        </w:tc>
        <w:tc>
          <w:tcPr>
            <w:tcW w:w="417" w:type="dxa"/>
            <w:shd w:val="clear" w:color="auto" w:fill="D9D9D9" w:themeFill="background1" w:themeFillShade="D9"/>
            <w:textDirection w:val="btLr"/>
            <w:vAlign w:val="center"/>
          </w:tcPr>
          <w:p w14:paraId="35355783" w14:textId="77777777" w:rsidR="002D68F3" w:rsidRPr="00181EF3" w:rsidRDefault="002D68F3" w:rsidP="00E830F9">
            <w:pPr>
              <w:pStyle w:val="TableText"/>
              <w:spacing w:before="0" w:after="0"/>
              <w:ind w:left="113"/>
              <w:rPr>
                <w:b/>
                <w:sz w:val="16"/>
                <w:szCs w:val="16"/>
              </w:rPr>
            </w:pPr>
            <w:r w:rsidRPr="00181EF3">
              <w:rPr>
                <w:b/>
                <w:sz w:val="16"/>
                <w:szCs w:val="16"/>
              </w:rPr>
              <w:t>2009–11</w:t>
            </w:r>
          </w:p>
        </w:tc>
        <w:tc>
          <w:tcPr>
            <w:tcW w:w="417" w:type="dxa"/>
            <w:shd w:val="clear" w:color="auto" w:fill="D9D9D9" w:themeFill="background1" w:themeFillShade="D9"/>
            <w:textDirection w:val="btLr"/>
            <w:vAlign w:val="center"/>
          </w:tcPr>
          <w:p w14:paraId="5A6B1CA6" w14:textId="77777777" w:rsidR="002D68F3" w:rsidRPr="00181EF3" w:rsidRDefault="002D68F3" w:rsidP="00E830F9">
            <w:pPr>
              <w:pStyle w:val="TableText"/>
              <w:spacing w:before="0" w:after="0"/>
              <w:ind w:left="113"/>
              <w:rPr>
                <w:b/>
                <w:sz w:val="16"/>
                <w:szCs w:val="16"/>
              </w:rPr>
            </w:pPr>
            <w:r w:rsidRPr="00181EF3">
              <w:rPr>
                <w:b/>
                <w:sz w:val="16"/>
                <w:szCs w:val="16"/>
              </w:rPr>
              <w:t>2010–12</w:t>
            </w:r>
          </w:p>
        </w:tc>
        <w:tc>
          <w:tcPr>
            <w:tcW w:w="417" w:type="dxa"/>
            <w:shd w:val="clear" w:color="auto" w:fill="D9D9D9" w:themeFill="background1" w:themeFillShade="D9"/>
            <w:textDirection w:val="btLr"/>
            <w:vAlign w:val="center"/>
          </w:tcPr>
          <w:p w14:paraId="5A36E0E6" w14:textId="77777777" w:rsidR="002D68F3" w:rsidRPr="00181EF3" w:rsidRDefault="002D68F3" w:rsidP="00E830F9">
            <w:pPr>
              <w:pStyle w:val="TableText"/>
              <w:spacing w:before="0" w:after="0"/>
              <w:ind w:left="113"/>
              <w:rPr>
                <w:b/>
                <w:sz w:val="16"/>
                <w:szCs w:val="16"/>
              </w:rPr>
            </w:pPr>
            <w:r w:rsidRPr="00181EF3">
              <w:rPr>
                <w:b/>
                <w:sz w:val="16"/>
                <w:szCs w:val="16"/>
              </w:rPr>
              <w:t>2011–13</w:t>
            </w:r>
          </w:p>
        </w:tc>
        <w:tc>
          <w:tcPr>
            <w:tcW w:w="417" w:type="dxa"/>
            <w:shd w:val="clear" w:color="auto" w:fill="D9D9D9" w:themeFill="background1" w:themeFillShade="D9"/>
            <w:textDirection w:val="btLr"/>
            <w:vAlign w:val="center"/>
          </w:tcPr>
          <w:p w14:paraId="065EB42B" w14:textId="77777777" w:rsidR="002D68F3" w:rsidRPr="00181EF3" w:rsidRDefault="002D68F3" w:rsidP="00E830F9">
            <w:pPr>
              <w:pStyle w:val="TableText"/>
              <w:spacing w:before="0" w:after="0"/>
              <w:ind w:left="113"/>
              <w:rPr>
                <w:b/>
                <w:sz w:val="16"/>
                <w:szCs w:val="16"/>
              </w:rPr>
            </w:pPr>
            <w:r w:rsidRPr="00181EF3">
              <w:rPr>
                <w:b/>
                <w:sz w:val="16"/>
                <w:szCs w:val="16"/>
              </w:rPr>
              <w:t>2012–14</w:t>
            </w:r>
          </w:p>
        </w:tc>
      </w:tr>
      <w:tr w:rsidR="002D68F3" w:rsidRPr="00181EF3" w14:paraId="25DEE57C" w14:textId="77777777" w:rsidTr="00E830F9">
        <w:trPr>
          <w:cantSplit/>
        </w:trPr>
        <w:tc>
          <w:tcPr>
            <w:tcW w:w="567" w:type="dxa"/>
            <w:vMerge w:val="restart"/>
            <w:tcBorders>
              <w:bottom w:val="single" w:sz="4" w:space="0" w:color="A6A6A6" w:themeColor="background1" w:themeShade="A6"/>
            </w:tcBorders>
            <w:shd w:val="clear" w:color="auto" w:fill="auto"/>
          </w:tcPr>
          <w:p w14:paraId="02ADB422" w14:textId="77777777" w:rsidR="002D68F3" w:rsidRPr="00181EF3" w:rsidRDefault="002D68F3" w:rsidP="00E830F9">
            <w:pPr>
              <w:pStyle w:val="TableText"/>
              <w:spacing w:before="40" w:after="40"/>
              <w:rPr>
                <w:sz w:val="16"/>
                <w:szCs w:val="16"/>
              </w:rPr>
            </w:pPr>
            <w:r w:rsidRPr="00181EF3">
              <w:rPr>
                <w:sz w:val="16"/>
                <w:szCs w:val="16"/>
              </w:rPr>
              <w:t>Māori</w:t>
            </w:r>
          </w:p>
        </w:tc>
        <w:tc>
          <w:tcPr>
            <w:tcW w:w="426" w:type="dxa"/>
            <w:tcBorders>
              <w:bottom w:val="single" w:sz="4" w:space="0" w:color="A6A6A6" w:themeColor="background1" w:themeShade="A6"/>
            </w:tcBorders>
            <w:shd w:val="clear" w:color="auto" w:fill="auto"/>
          </w:tcPr>
          <w:p w14:paraId="5CE43239" w14:textId="77777777" w:rsidR="002D68F3" w:rsidRPr="00181EF3" w:rsidRDefault="002D68F3" w:rsidP="00E830F9">
            <w:pPr>
              <w:pStyle w:val="TableText"/>
              <w:spacing w:before="40" w:after="40"/>
              <w:jc w:val="center"/>
              <w:rPr>
                <w:sz w:val="16"/>
                <w:szCs w:val="16"/>
              </w:rPr>
            </w:pPr>
            <w:r w:rsidRPr="00181EF3">
              <w:rPr>
                <w:sz w:val="16"/>
                <w:szCs w:val="16"/>
              </w:rPr>
              <w:t>1</w:t>
            </w:r>
          </w:p>
        </w:tc>
        <w:tc>
          <w:tcPr>
            <w:tcW w:w="416" w:type="dxa"/>
            <w:tcBorders>
              <w:bottom w:val="single" w:sz="4" w:space="0" w:color="A6A6A6" w:themeColor="background1" w:themeShade="A6"/>
            </w:tcBorders>
            <w:shd w:val="clear" w:color="auto" w:fill="auto"/>
          </w:tcPr>
          <w:p w14:paraId="3967A58D" w14:textId="77777777" w:rsidR="002D68F3" w:rsidRPr="00181EF3" w:rsidRDefault="002D68F3" w:rsidP="00E830F9">
            <w:pPr>
              <w:pStyle w:val="TableText"/>
              <w:spacing w:before="40" w:after="40"/>
              <w:jc w:val="center"/>
              <w:rPr>
                <w:sz w:val="16"/>
                <w:szCs w:val="16"/>
              </w:rPr>
            </w:pPr>
            <w:r w:rsidRPr="00181EF3">
              <w:rPr>
                <w:sz w:val="16"/>
                <w:szCs w:val="16"/>
              </w:rPr>
              <w:t>MV</w:t>
            </w:r>
          </w:p>
        </w:tc>
        <w:tc>
          <w:tcPr>
            <w:tcW w:w="417" w:type="dxa"/>
            <w:tcBorders>
              <w:bottom w:val="single" w:sz="4" w:space="0" w:color="A6A6A6" w:themeColor="background1" w:themeShade="A6"/>
            </w:tcBorders>
            <w:shd w:val="clear" w:color="auto" w:fill="auto"/>
          </w:tcPr>
          <w:p w14:paraId="5846F1D4" w14:textId="77777777" w:rsidR="002D68F3" w:rsidRPr="00181EF3" w:rsidRDefault="002D68F3" w:rsidP="00E830F9">
            <w:pPr>
              <w:pStyle w:val="TableText"/>
              <w:spacing w:before="40" w:after="40"/>
              <w:jc w:val="center"/>
              <w:rPr>
                <w:sz w:val="16"/>
                <w:szCs w:val="16"/>
              </w:rPr>
            </w:pPr>
            <w:r w:rsidRPr="00181EF3">
              <w:rPr>
                <w:sz w:val="16"/>
                <w:szCs w:val="16"/>
              </w:rPr>
              <w:t>MV</w:t>
            </w:r>
          </w:p>
        </w:tc>
        <w:tc>
          <w:tcPr>
            <w:tcW w:w="417" w:type="dxa"/>
            <w:tcBorders>
              <w:bottom w:val="single" w:sz="4" w:space="0" w:color="A6A6A6" w:themeColor="background1" w:themeShade="A6"/>
            </w:tcBorders>
            <w:shd w:val="clear" w:color="auto" w:fill="auto"/>
          </w:tcPr>
          <w:p w14:paraId="34B84987" w14:textId="77777777" w:rsidR="002D68F3" w:rsidRPr="00181EF3" w:rsidRDefault="002D68F3" w:rsidP="00E830F9">
            <w:pPr>
              <w:pStyle w:val="TableText"/>
              <w:spacing w:before="40" w:after="40"/>
              <w:jc w:val="center"/>
              <w:rPr>
                <w:sz w:val="16"/>
                <w:szCs w:val="16"/>
              </w:rPr>
            </w:pPr>
            <w:r w:rsidRPr="00181EF3">
              <w:rPr>
                <w:sz w:val="16"/>
                <w:szCs w:val="16"/>
              </w:rPr>
              <w:t>MV</w:t>
            </w:r>
          </w:p>
        </w:tc>
        <w:tc>
          <w:tcPr>
            <w:tcW w:w="417" w:type="dxa"/>
            <w:tcBorders>
              <w:bottom w:val="single" w:sz="4" w:space="0" w:color="A6A6A6" w:themeColor="background1" w:themeShade="A6"/>
            </w:tcBorders>
            <w:shd w:val="clear" w:color="auto" w:fill="auto"/>
          </w:tcPr>
          <w:p w14:paraId="1CE98F05" w14:textId="77777777" w:rsidR="002D68F3" w:rsidRPr="00181EF3" w:rsidRDefault="002D68F3" w:rsidP="00E830F9">
            <w:pPr>
              <w:pStyle w:val="TableText"/>
              <w:spacing w:before="40" w:after="40"/>
              <w:jc w:val="center"/>
              <w:rPr>
                <w:sz w:val="16"/>
                <w:szCs w:val="16"/>
              </w:rPr>
            </w:pPr>
            <w:r w:rsidRPr="00181EF3">
              <w:rPr>
                <w:sz w:val="16"/>
                <w:szCs w:val="16"/>
              </w:rPr>
              <w:t>MV</w:t>
            </w:r>
          </w:p>
        </w:tc>
        <w:tc>
          <w:tcPr>
            <w:tcW w:w="417" w:type="dxa"/>
            <w:tcBorders>
              <w:bottom w:val="single" w:sz="4" w:space="0" w:color="A6A6A6" w:themeColor="background1" w:themeShade="A6"/>
            </w:tcBorders>
            <w:shd w:val="clear" w:color="auto" w:fill="auto"/>
          </w:tcPr>
          <w:p w14:paraId="47207787" w14:textId="77777777" w:rsidR="002D68F3" w:rsidRPr="00181EF3" w:rsidRDefault="002D68F3" w:rsidP="00E830F9">
            <w:pPr>
              <w:pStyle w:val="TableText"/>
              <w:spacing w:before="40" w:after="40"/>
              <w:jc w:val="center"/>
              <w:rPr>
                <w:sz w:val="16"/>
                <w:szCs w:val="16"/>
              </w:rPr>
            </w:pPr>
            <w:r w:rsidRPr="00181EF3">
              <w:rPr>
                <w:sz w:val="16"/>
                <w:szCs w:val="16"/>
              </w:rPr>
              <w:t>MV</w:t>
            </w:r>
          </w:p>
        </w:tc>
        <w:tc>
          <w:tcPr>
            <w:tcW w:w="417" w:type="dxa"/>
            <w:tcBorders>
              <w:bottom w:val="single" w:sz="4" w:space="0" w:color="A6A6A6" w:themeColor="background1" w:themeShade="A6"/>
            </w:tcBorders>
            <w:shd w:val="clear" w:color="auto" w:fill="auto"/>
          </w:tcPr>
          <w:p w14:paraId="43963F2C" w14:textId="77777777" w:rsidR="002D68F3" w:rsidRPr="00181EF3" w:rsidRDefault="002D68F3" w:rsidP="00E830F9">
            <w:pPr>
              <w:pStyle w:val="TableText"/>
              <w:spacing w:before="40" w:after="40"/>
              <w:jc w:val="center"/>
              <w:rPr>
                <w:sz w:val="16"/>
                <w:szCs w:val="16"/>
              </w:rPr>
            </w:pPr>
            <w:r w:rsidRPr="00181EF3">
              <w:rPr>
                <w:sz w:val="16"/>
                <w:szCs w:val="16"/>
              </w:rPr>
              <w:t>SF</w:t>
            </w:r>
          </w:p>
        </w:tc>
        <w:tc>
          <w:tcPr>
            <w:tcW w:w="417" w:type="dxa"/>
            <w:tcBorders>
              <w:bottom w:val="single" w:sz="4" w:space="0" w:color="A6A6A6" w:themeColor="background1" w:themeShade="A6"/>
            </w:tcBorders>
            <w:shd w:val="clear" w:color="auto" w:fill="auto"/>
          </w:tcPr>
          <w:p w14:paraId="76025F9C" w14:textId="77777777" w:rsidR="002D68F3" w:rsidRPr="00181EF3" w:rsidRDefault="002D68F3" w:rsidP="00E830F9">
            <w:pPr>
              <w:pStyle w:val="TableText"/>
              <w:spacing w:before="40" w:after="40"/>
              <w:jc w:val="center"/>
              <w:rPr>
                <w:sz w:val="16"/>
                <w:szCs w:val="16"/>
              </w:rPr>
            </w:pPr>
            <w:r w:rsidRPr="00181EF3">
              <w:rPr>
                <w:sz w:val="16"/>
                <w:szCs w:val="16"/>
              </w:rPr>
              <w:t>MV</w:t>
            </w:r>
          </w:p>
        </w:tc>
        <w:tc>
          <w:tcPr>
            <w:tcW w:w="417" w:type="dxa"/>
            <w:tcBorders>
              <w:bottom w:val="single" w:sz="4" w:space="0" w:color="A6A6A6" w:themeColor="background1" w:themeShade="A6"/>
            </w:tcBorders>
            <w:shd w:val="clear" w:color="auto" w:fill="auto"/>
          </w:tcPr>
          <w:p w14:paraId="541AE1B3" w14:textId="77777777" w:rsidR="002D68F3" w:rsidRPr="00181EF3" w:rsidRDefault="002D68F3" w:rsidP="00E830F9">
            <w:pPr>
              <w:pStyle w:val="TableText"/>
              <w:spacing w:before="40" w:after="40"/>
              <w:jc w:val="center"/>
              <w:rPr>
                <w:sz w:val="16"/>
                <w:szCs w:val="16"/>
              </w:rPr>
            </w:pPr>
            <w:r w:rsidRPr="00181EF3">
              <w:rPr>
                <w:sz w:val="16"/>
                <w:szCs w:val="16"/>
              </w:rPr>
              <w:t>MV</w:t>
            </w:r>
          </w:p>
        </w:tc>
        <w:tc>
          <w:tcPr>
            <w:tcW w:w="416" w:type="dxa"/>
            <w:tcBorders>
              <w:bottom w:val="single" w:sz="4" w:space="0" w:color="A6A6A6" w:themeColor="background1" w:themeShade="A6"/>
            </w:tcBorders>
            <w:shd w:val="clear" w:color="auto" w:fill="auto"/>
          </w:tcPr>
          <w:p w14:paraId="26517DF3" w14:textId="77777777" w:rsidR="002D68F3" w:rsidRPr="00181EF3" w:rsidRDefault="002D68F3" w:rsidP="00E830F9">
            <w:pPr>
              <w:pStyle w:val="TableText"/>
              <w:spacing w:before="40" w:after="40"/>
              <w:jc w:val="center"/>
              <w:rPr>
                <w:sz w:val="16"/>
                <w:szCs w:val="16"/>
              </w:rPr>
            </w:pPr>
            <w:r w:rsidRPr="00181EF3">
              <w:rPr>
                <w:sz w:val="16"/>
                <w:szCs w:val="16"/>
              </w:rPr>
              <w:t>MV</w:t>
            </w:r>
          </w:p>
        </w:tc>
        <w:tc>
          <w:tcPr>
            <w:tcW w:w="417" w:type="dxa"/>
            <w:tcBorders>
              <w:bottom w:val="single" w:sz="4" w:space="0" w:color="A6A6A6" w:themeColor="background1" w:themeShade="A6"/>
            </w:tcBorders>
            <w:shd w:val="clear" w:color="auto" w:fill="auto"/>
          </w:tcPr>
          <w:p w14:paraId="1F5998AA" w14:textId="77777777" w:rsidR="002D68F3" w:rsidRPr="00181EF3" w:rsidRDefault="002D68F3" w:rsidP="00E830F9">
            <w:pPr>
              <w:pStyle w:val="TableText"/>
              <w:spacing w:before="40" w:after="40"/>
              <w:jc w:val="center"/>
              <w:rPr>
                <w:sz w:val="16"/>
                <w:szCs w:val="16"/>
              </w:rPr>
            </w:pPr>
            <w:r w:rsidRPr="00181EF3">
              <w:rPr>
                <w:sz w:val="16"/>
                <w:szCs w:val="16"/>
              </w:rPr>
              <w:t>SF</w:t>
            </w:r>
          </w:p>
        </w:tc>
        <w:tc>
          <w:tcPr>
            <w:tcW w:w="417" w:type="dxa"/>
            <w:tcBorders>
              <w:bottom w:val="single" w:sz="4" w:space="0" w:color="A6A6A6" w:themeColor="background1" w:themeShade="A6"/>
            </w:tcBorders>
            <w:shd w:val="clear" w:color="auto" w:fill="auto"/>
          </w:tcPr>
          <w:p w14:paraId="4B426CE0" w14:textId="77777777" w:rsidR="002D68F3" w:rsidRPr="00181EF3" w:rsidRDefault="002D68F3" w:rsidP="00E830F9">
            <w:pPr>
              <w:pStyle w:val="TableText"/>
              <w:spacing w:before="40" w:after="40"/>
              <w:jc w:val="center"/>
              <w:rPr>
                <w:sz w:val="16"/>
                <w:szCs w:val="16"/>
              </w:rPr>
            </w:pPr>
            <w:r w:rsidRPr="00181EF3">
              <w:rPr>
                <w:sz w:val="16"/>
                <w:szCs w:val="16"/>
              </w:rPr>
              <w:t>SF</w:t>
            </w:r>
          </w:p>
        </w:tc>
        <w:tc>
          <w:tcPr>
            <w:tcW w:w="417" w:type="dxa"/>
            <w:tcBorders>
              <w:bottom w:val="single" w:sz="4" w:space="0" w:color="A6A6A6" w:themeColor="background1" w:themeShade="A6"/>
            </w:tcBorders>
            <w:shd w:val="clear" w:color="auto" w:fill="auto"/>
          </w:tcPr>
          <w:p w14:paraId="4E57B347" w14:textId="77777777" w:rsidR="002D68F3" w:rsidRPr="00181EF3" w:rsidRDefault="002D68F3" w:rsidP="00E830F9">
            <w:pPr>
              <w:pStyle w:val="TableText"/>
              <w:spacing w:before="40" w:after="40"/>
              <w:jc w:val="center"/>
              <w:rPr>
                <w:sz w:val="16"/>
                <w:szCs w:val="16"/>
              </w:rPr>
            </w:pPr>
            <w:r w:rsidRPr="00181EF3">
              <w:rPr>
                <w:sz w:val="16"/>
                <w:szCs w:val="16"/>
              </w:rPr>
              <w:t>SF</w:t>
            </w:r>
          </w:p>
        </w:tc>
        <w:tc>
          <w:tcPr>
            <w:tcW w:w="417" w:type="dxa"/>
            <w:tcBorders>
              <w:bottom w:val="single" w:sz="4" w:space="0" w:color="A6A6A6" w:themeColor="background1" w:themeShade="A6"/>
            </w:tcBorders>
            <w:shd w:val="clear" w:color="auto" w:fill="auto"/>
          </w:tcPr>
          <w:p w14:paraId="158585D5" w14:textId="77777777" w:rsidR="002D68F3" w:rsidRPr="00181EF3" w:rsidRDefault="002D68F3" w:rsidP="00E830F9">
            <w:pPr>
              <w:pStyle w:val="TableText"/>
              <w:spacing w:before="40" w:after="40"/>
              <w:jc w:val="center"/>
              <w:rPr>
                <w:sz w:val="16"/>
                <w:szCs w:val="16"/>
              </w:rPr>
            </w:pPr>
            <w:r w:rsidRPr="00181EF3">
              <w:rPr>
                <w:sz w:val="16"/>
                <w:szCs w:val="16"/>
              </w:rPr>
              <w:t>SF</w:t>
            </w:r>
          </w:p>
        </w:tc>
        <w:tc>
          <w:tcPr>
            <w:tcW w:w="417" w:type="dxa"/>
            <w:tcBorders>
              <w:bottom w:val="single" w:sz="4" w:space="0" w:color="A6A6A6" w:themeColor="background1" w:themeShade="A6"/>
            </w:tcBorders>
            <w:shd w:val="clear" w:color="auto" w:fill="auto"/>
          </w:tcPr>
          <w:p w14:paraId="3E6C0A74" w14:textId="77777777" w:rsidR="002D68F3" w:rsidRPr="00181EF3" w:rsidRDefault="002D68F3" w:rsidP="00E830F9">
            <w:pPr>
              <w:pStyle w:val="TableText"/>
              <w:spacing w:before="40" w:after="40"/>
              <w:jc w:val="center"/>
              <w:rPr>
                <w:sz w:val="16"/>
                <w:szCs w:val="16"/>
              </w:rPr>
            </w:pPr>
            <w:r w:rsidRPr="00181EF3">
              <w:rPr>
                <w:sz w:val="16"/>
                <w:szCs w:val="16"/>
              </w:rPr>
              <w:t>SF</w:t>
            </w:r>
          </w:p>
        </w:tc>
        <w:tc>
          <w:tcPr>
            <w:tcW w:w="417" w:type="dxa"/>
            <w:tcBorders>
              <w:bottom w:val="single" w:sz="4" w:space="0" w:color="A6A6A6" w:themeColor="background1" w:themeShade="A6"/>
            </w:tcBorders>
            <w:shd w:val="clear" w:color="auto" w:fill="auto"/>
          </w:tcPr>
          <w:p w14:paraId="51D9E852" w14:textId="77777777" w:rsidR="002D68F3" w:rsidRPr="00181EF3" w:rsidRDefault="002D68F3" w:rsidP="00E830F9">
            <w:pPr>
              <w:pStyle w:val="TableText"/>
              <w:spacing w:before="40" w:after="40"/>
              <w:jc w:val="center"/>
              <w:rPr>
                <w:sz w:val="16"/>
                <w:szCs w:val="16"/>
              </w:rPr>
            </w:pPr>
            <w:r w:rsidRPr="00181EF3">
              <w:rPr>
                <w:sz w:val="16"/>
                <w:szCs w:val="16"/>
              </w:rPr>
              <w:t>SF</w:t>
            </w:r>
          </w:p>
        </w:tc>
        <w:tc>
          <w:tcPr>
            <w:tcW w:w="417" w:type="dxa"/>
            <w:tcBorders>
              <w:bottom w:val="single" w:sz="4" w:space="0" w:color="A6A6A6" w:themeColor="background1" w:themeShade="A6"/>
            </w:tcBorders>
            <w:shd w:val="clear" w:color="auto" w:fill="auto"/>
          </w:tcPr>
          <w:p w14:paraId="2FB26603" w14:textId="77777777" w:rsidR="002D68F3" w:rsidRPr="00181EF3" w:rsidRDefault="002D68F3" w:rsidP="00E830F9">
            <w:pPr>
              <w:pStyle w:val="TableText"/>
              <w:spacing w:before="40" w:after="40"/>
              <w:jc w:val="center"/>
              <w:rPr>
                <w:sz w:val="16"/>
                <w:szCs w:val="16"/>
              </w:rPr>
            </w:pPr>
            <w:r w:rsidRPr="00181EF3">
              <w:rPr>
                <w:sz w:val="16"/>
                <w:szCs w:val="16"/>
              </w:rPr>
              <w:t>SF</w:t>
            </w:r>
          </w:p>
        </w:tc>
        <w:tc>
          <w:tcPr>
            <w:tcW w:w="417" w:type="dxa"/>
            <w:tcBorders>
              <w:bottom w:val="single" w:sz="4" w:space="0" w:color="A6A6A6" w:themeColor="background1" w:themeShade="A6"/>
            </w:tcBorders>
            <w:shd w:val="clear" w:color="auto" w:fill="auto"/>
          </w:tcPr>
          <w:p w14:paraId="6A003ADB" w14:textId="77777777" w:rsidR="002D68F3" w:rsidRPr="00181EF3" w:rsidRDefault="002D68F3" w:rsidP="00E830F9">
            <w:pPr>
              <w:pStyle w:val="TableText"/>
              <w:spacing w:before="40" w:after="40"/>
              <w:jc w:val="center"/>
              <w:rPr>
                <w:sz w:val="16"/>
                <w:szCs w:val="16"/>
              </w:rPr>
            </w:pPr>
            <w:r w:rsidRPr="00181EF3">
              <w:rPr>
                <w:sz w:val="16"/>
                <w:szCs w:val="16"/>
              </w:rPr>
              <w:t>SF</w:t>
            </w:r>
          </w:p>
        </w:tc>
      </w:tr>
      <w:tr w:rsidR="002D68F3" w:rsidRPr="00181EF3" w14:paraId="2B38C26C" w14:textId="77777777" w:rsidTr="00E830F9">
        <w:trPr>
          <w:cantSplit/>
        </w:trPr>
        <w:tc>
          <w:tcPr>
            <w:tcW w:w="567" w:type="dxa"/>
            <w:vMerge/>
            <w:tcBorders>
              <w:top w:val="single" w:sz="4" w:space="0" w:color="A6A6A6" w:themeColor="background1" w:themeShade="A6"/>
              <w:bottom w:val="single" w:sz="4" w:space="0" w:color="A6A6A6" w:themeColor="background1" w:themeShade="A6"/>
            </w:tcBorders>
            <w:shd w:val="clear" w:color="auto" w:fill="auto"/>
          </w:tcPr>
          <w:p w14:paraId="73169E89" w14:textId="77777777" w:rsidR="002D68F3" w:rsidRPr="00181EF3" w:rsidRDefault="002D68F3" w:rsidP="00E830F9">
            <w:pPr>
              <w:pStyle w:val="TableText"/>
              <w:spacing w:before="40" w:after="40"/>
              <w:rPr>
                <w:sz w:val="16"/>
                <w:szCs w:val="16"/>
              </w:rPr>
            </w:pPr>
          </w:p>
        </w:tc>
        <w:tc>
          <w:tcPr>
            <w:tcW w:w="426" w:type="dxa"/>
            <w:tcBorders>
              <w:top w:val="single" w:sz="4" w:space="0" w:color="A6A6A6" w:themeColor="background1" w:themeShade="A6"/>
              <w:bottom w:val="single" w:sz="4" w:space="0" w:color="A6A6A6" w:themeColor="background1" w:themeShade="A6"/>
            </w:tcBorders>
            <w:shd w:val="clear" w:color="auto" w:fill="auto"/>
          </w:tcPr>
          <w:p w14:paraId="45CCDB77" w14:textId="77777777" w:rsidR="002D68F3" w:rsidRPr="00181EF3" w:rsidRDefault="002D68F3" w:rsidP="00E830F9">
            <w:pPr>
              <w:pStyle w:val="TableText"/>
              <w:spacing w:before="40" w:after="40"/>
              <w:jc w:val="center"/>
              <w:rPr>
                <w:sz w:val="16"/>
                <w:szCs w:val="16"/>
              </w:rPr>
            </w:pPr>
            <w:r w:rsidRPr="00181EF3">
              <w:rPr>
                <w:sz w:val="16"/>
                <w:szCs w:val="16"/>
              </w:rPr>
              <w:t>2</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5F0C3B12" w14:textId="77777777" w:rsidR="002D68F3" w:rsidRPr="00181EF3" w:rsidRDefault="002D68F3" w:rsidP="00E830F9">
            <w:pPr>
              <w:pStyle w:val="TableText"/>
              <w:spacing w:before="40" w:after="40"/>
              <w:jc w:val="center"/>
              <w:rPr>
                <w:sz w:val="16"/>
                <w:szCs w:val="16"/>
              </w:rPr>
            </w:pPr>
            <w:r w:rsidRPr="00181EF3">
              <w:rPr>
                <w:sz w:val="16"/>
                <w:szCs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3430F62" w14:textId="77777777" w:rsidR="002D68F3" w:rsidRPr="00181EF3" w:rsidRDefault="002D68F3" w:rsidP="00E830F9">
            <w:pPr>
              <w:pStyle w:val="TableText"/>
              <w:spacing w:before="40" w:after="40"/>
              <w:jc w:val="center"/>
              <w:rPr>
                <w:sz w:val="16"/>
                <w:szCs w:val="16"/>
              </w:rPr>
            </w:pPr>
            <w:r w:rsidRPr="00181EF3">
              <w:rPr>
                <w:sz w:val="16"/>
                <w:szCs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EB20761" w14:textId="77777777" w:rsidR="002D68F3" w:rsidRPr="00181EF3" w:rsidRDefault="002D68F3" w:rsidP="00E830F9">
            <w:pPr>
              <w:pStyle w:val="TableText"/>
              <w:spacing w:before="40" w:after="40"/>
              <w:jc w:val="center"/>
              <w:rPr>
                <w:sz w:val="16"/>
                <w:szCs w:val="16"/>
              </w:rPr>
            </w:pPr>
            <w:r w:rsidRPr="00181EF3">
              <w:rPr>
                <w:sz w:val="16"/>
                <w:szCs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ED1F9EB" w14:textId="77777777" w:rsidR="002D68F3" w:rsidRPr="00181EF3" w:rsidRDefault="002D68F3" w:rsidP="00E830F9">
            <w:pPr>
              <w:pStyle w:val="TableText"/>
              <w:spacing w:before="40" w:after="40"/>
              <w:jc w:val="center"/>
              <w:rPr>
                <w:sz w:val="16"/>
                <w:szCs w:val="16"/>
              </w:rPr>
            </w:pPr>
            <w:r w:rsidRPr="00181EF3">
              <w:rPr>
                <w:sz w:val="16"/>
                <w:szCs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86D7295" w14:textId="77777777" w:rsidR="002D68F3" w:rsidRPr="00181EF3" w:rsidRDefault="002D68F3" w:rsidP="00E830F9">
            <w:pPr>
              <w:pStyle w:val="TableText"/>
              <w:spacing w:before="40" w:after="40"/>
              <w:jc w:val="center"/>
              <w:rPr>
                <w:sz w:val="16"/>
                <w:szCs w:val="16"/>
              </w:rPr>
            </w:pPr>
            <w:r w:rsidRPr="00181EF3">
              <w:rPr>
                <w:sz w:val="16"/>
                <w:szCs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9D1792C" w14:textId="77777777" w:rsidR="002D68F3" w:rsidRPr="00181EF3" w:rsidRDefault="002D68F3" w:rsidP="00E830F9">
            <w:pPr>
              <w:pStyle w:val="TableText"/>
              <w:spacing w:before="40" w:after="40"/>
              <w:jc w:val="center"/>
              <w:rPr>
                <w:sz w:val="16"/>
                <w:szCs w:val="16"/>
              </w:rPr>
            </w:pPr>
            <w:r w:rsidRPr="00181EF3">
              <w:rPr>
                <w:sz w:val="16"/>
                <w:szCs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4226BEB" w14:textId="77777777" w:rsidR="002D68F3" w:rsidRPr="00181EF3" w:rsidRDefault="002D68F3" w:rsidP="00E830F9">
            <w:pPr>
              <w:pStyle w:val="TableText"/>
              <w:spacing w:before="40" w:after="40"/>
              <w:jc w:val="center"/>
              <w:rPr>
                <w:sz w:val="16"/>
                <w:szCs w:val="16"/>
              </w:rPr>
            </w:pPr>
            <w:r w:rsidRPr="00181EF3">
              <w:rPr>
                <w:sz w:val="16"/>
                <w:szCs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792F588" w14:textId="77777777" w:rsidR="002D68F3" w:rsidRPr="00181EF3" w:rsidRDefault="002D68F3" w:rsidP="00E830F9">
            <w:pPr>
              <w:pStyle w:val="TableText"/>
              <w:spacing w:before="40" w:after="40"/>
              <w:jc w:val="center"/>
              <w:rPr>
                <w:sz w:val="16"/>
                <w:szCs w:val="16"/>
              </w:rPr>
            </w:pPr>
            <w:r w:rsidRPr="00181EF3">
              <w:rPr>
                <w:sz w:val="16"/>
                <w:szCs w:val="16"/>
              </w:rPr>
              <w:t>SF</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4BE2301B" w14:textId="77777777" w:rsidR="002D68F3" w:rsidRPr="00181EF3" w:rsidRDefault="002D68F3" w:rsidP="00E830F9">
            <w:pPr>
              <w:pStyle w:val="TableText"/>
              <w:spacing w:before="40" w:after="40"/>
              <w:jc w:val="center"/>
              <w:rPr>
                <w:sz w:val="16"/>
                <w:szCs w:val="16"/>
              </w:rPr>
            </w:pPr>
            <w:r w:rsidRPr="00181EF3">
              <w:rPr>
                <w:sz w:val="16"/>
                <w:szCs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F5C6382" w14:textId="77777777" w:rsidR="002D68F3" w:rsidRPr="00181EF3" w:rsidRDefault="002D68F3" w:rsidP="00E830F9">
            <w:pPr>
              <w:pStyle w:val="TableText"/>
              <w:spacing w:before="40" w:after="40"/>
              <w:jc w:val="center"/>
              <w:rPr>
                <w:sz w:val="16"/>
                <w:szCs w:val="16"/>
              </w:rPr>
            </w:pPr>
            <w:r w:rsidRPr="00181EF3">
              <w:rPr>
                <w:sz w:val="16"/>
                <w:szCs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6625B0D" w14:textId="77777777" w:rsidR="002D68F3" w:rsidRPr="00181EF3" w:rsidRDefault="002D68F3" w:rsidP="00E830F9">
            <w:pPr>
              <w:pStyle w:val="TableText"/>
              <w:spacing w:before="40" w:after="40"/>
              <w:jc w:val="center"/>
              <w:rPr>
                <w:sz w:val="16"/>
                <w:szCs w:val="16"/>
              </w:rPr>
            </w:pPr>
            <w:r w:rsidRPr="00181EF3">
              <w:rPr>
                <w:sz w:val="16"/>
                <w:szCs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64BDFFC" w14:textId="77777777" w:rsidR="002D68F3" w:rsidRPr="00181EF3" w:rsidRDefault="002D68F3" w:rsidP="00E830F9">
            <w:pPr>
              <w:pStyle w:val="TableText"/>
              <w:spacing w:before="40" w:after="40"/>
              <w:jc w:val="center"/>
              <w:rPr>
                <w:sz w:val="16"/>
                <w:szCs w:val="16"/>
              </w:rPr>
            </w:pPr>
            <w:r w:rsidRPr="00181EF3">
              <w:rPr>
                <w:sz w:val="16"/>
                <w:szCs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7DC8D5A" w14:textId="77777777" w:rsidR="002D68F3" w:rsidRPr="00181EF3" w:rsidRDefault="002D68F3" w:rsidP="00E830F9">
            <w:pPr>
              <w:pStyle w:val="TableText"/>
              <w:spacing w:before="40" w:after="40"/>
              <w:jc w:val="center"/>
              <w:rPr>
                <w:sz w:val="16"/>
                <w:szCs w:val="16"/>
              </w:rPr>
            </w:pPr>
            <w:r w:rsidRPr="00181EF3">
              <w:rPr>
                <w:sz w:val="16"/>
                <w:szCs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327A87C" w14:textId="77777777" w:rsidR="002D68F3" w:rsidRPr="00181EF3" w:rsidRDefault="002D68F3" w:rsidP="00E830F9">
            <w:pPr>
              <w:pStyle w:val="TableText"/>
              <w:spacing w:before="40" w:after="40"/>
              <w:jc w:val="center"/>
              <w:rPr>
                <w:sz w:val="16"/>
                <w:szCs w:val="16"/>
              </w:rPr>
            </w:pPr>
            <w:r w:rsidRPr="00181EF3">
              <w:rPr>
                <w:sz w:val="16"/>
                <w:szCs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3778161" w14:textId="77777777" w:rsidR="002D68F3" w:rsidRPr="00181EF3" w:rsidRDefault="002D68F3" w:rsidP="00E830F9">
            <w:pPr>
              <w:pStyle w:val="TableText"/>
              <w:spacing w:before="40" w:after="40"/>
              <w:jc w:val="center"/>
              <w:rPr>
                <w:sz w:val="16"/>
                <w:szCs w:val="16"/>
              </w:rPr>
            </w:pPr>
            <w:r w:rsidRPr="00181EF3">
              <w:rPr>
                <w:sz w:val="16"/>
                <w:szCs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AAB2209" w14:textId="77777777" w:rsidR="002D68F3" w:rsidRPr="00181EF3" w:rsidRDefault="002D68F3" w:rsidP="00E830F9">
            <w:pPr>
              <w:pStyle w:val="TableText"/>
              <w:spacing w:before="40" w:after="40"/>
              <w:jc w:val="center"/>
              <w:rPr>
                <w:sz w:val="16"/>
                <w:szCs w:val="16"/>
              </w:rPr>
            </w:pPr>
            <w:r w:rsidRPr="00181EF3">
              <w:rPr>
                <w:sz w:val="16"/>
                <w:szCs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24564CC" w14:textId="77777777" w:rsidR="002D68F3" w:rsidRPr="00181EF3" w:rsidRDefault="002D68F3" w:rsidP="00E830F9">
            <w:pPr>
              <w:pStyle w:val="TableText"/>
              <w:spacing w:before="40" w:after="40"/>
              <w:jc w:val="center"/>
              <w:rPr>
                <w:sz w:val="16"/>
                <w:szCs w:val="16"/>
              </w:rPr>
            </w:pPr>
            <w:r w:rsidRPr="00181EF3">
              <w:rPr>
                <w:sz w:val="16"/>
                <w:szCs w:val="16"/>
              </w:rPr>
              <w:t>MV</w:t>
            </w:r>
          </w:p>
        </w:tc>
      </w:tr>
      <w:tr w:rsidR="002D68F3" w:rsidRPr="00181EF3" w14:paraId="0EE623A5" w14:textId="77777777" w:rsidTr="00E830F9">
        <w:trPr>
          <w:cantSplit/>
        </w:trPr>
        <w:tc>
          <w:tcPr>
            <w:tcW w:w="567" w:type="dxa"/>
            <w:vMerge/>
            <w:tcBorders>
              <w:top w:val="single" w:sz="4" w:space="0" w:color="A6A6A6" w:themeColor="background1" w:themeShade="A6"/>
              <w:bottom w:val="single" w:sz="4" w:space="0" w:color="A6A6A6" w:themeColor="background1" w:themeShade="A6"/>
            </w:tcBorders>
            <w:shd w:val="clear" w:color="auto" w:fill="auto"/>
          </w:tcPr>
          <w:p w14:paraId="3B877AAF" w14:textId="77777777" w:rsidR="002D68F3" w:rsidRPr="00181EF3" w:rsidRDefault="002D68F3" w:rsidP="00E830F9">
            <w:pPr>
              <w:pStyle w:val="TableText"/>
              <w:spacing w:before="40" w:after="40"/>
              <w:rPr>
                <w:sz w:val="16"/>
                <w:szCs w:val="16"/>
              </w:rPr>
            </w:pPr>
          </w:p>
        </w:tc>
        <w:tc>
          <w:tcPr>
            <w:tcW w:w="426" w:type="dxa"/>
            <w:tcBorders>
              <w:top w:val="single" w:sz="4" w:space="0" w:color="A6A6A6" w:themeColor="background1" w:themeShade="A6"/>
              <w:bottom w:val="single" w:sz="4" w:space="0" w:color="A6A6A6" w:themeColor="background1" w:themeShade="A6"/>
            </w:tcBorders>
            <w:shd w:val="clear" w:color="auto" w:fill="auto"/>
          </w:tcPr>
          <w:p w14:paraId="577A500F" w14:textId="77777777" w:rsidR="002D68F3" w:rsidRPr="00181EF3" w:rsidRDefault="002D68F3" w:rsidP="00E830F9">
            <w:pPr>
              <w:pStyle w:val="TableText"/>
              <w:spacing w:before="40" w:after="40"/>
              <w:jc w:val="center"/>
              <w:rPr>
                <w:sz w:val="16"/>
                <w:szCs w:val="16"/>
              </w:rPr>
            </w:pPr>
            <w:r w:rsidRPr="00181EF3">
              <w:rPr>
                <w:sz w:val="16"/>
                <w:szCs w:val="16"/>
              </w:rPr>
              <w:t>3</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0A5E2A0B" w14:textId="77777777" w:rsidR="002D68F3" w:rsidRPr="00181EF3" w:rsidRDefault="002D68F3" w:rsidP="00E830F9">
            <w:pPr>
              <w:pStyle w:val="TableText"/>
              <w:spacing w:before="40" w:after="40"/>
              <w:jc w:val="center"/>
              <w:rPr>
                <w:sz w:val="16"/>
                <w:szCs w:val="16"/>
              </w:rPr>
            </w:pPr>
            <w:r w:rsidRPr="00181EF3">
              <w:rPr>
                <w:sz w:val="16"/>
                <w:szCs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97F8C43" w14:textId="77777777" w:rsidR="002D68F3" w:rsidRPr="00181EF3" w:rsidRDefault="002D68F3" w:rsidP="00E830F9">
            <w:pPr>
              <w:pStyle w:val="TableText"/>
              <w:spacing w:before="40" w:after="40"/>
              <w:jc w:val="center"/>
              <w:rPr>
                <w:sz w:val="16"/>
                <w:szCs w:val="16"/>
              </w:rPr>
            </w:pPr>
            <w:r w:rsidRPr="00181EF3">
              <w:rPr>
                <w:sz w:val="16"/>
                <w:szCs w:val="16"/>
              </w:rPr>
              <w:t>TI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D34BCE3" w14:textId="77777777" w:rsidR="002D68F3" w:rsidRPr="00181EF3" w:rsidRDefault="002D68F3" w:rsidP="00E830F9">
            <w:pPr>
              <w:pStyle w:val="TableText"/>
              <w:spacing w:before="40" w:after="40"/>
              <w:jc w:val="center"/>
              <w:rPr>
                <w:sz w:val="16"/>
                <w:szCs w:val="16"/>
              </w:rPr>
            </w:pPr>
            <w:r w:rsidRPr="00181EF3">
              <w:rPr>
                <w:sz w:val="16"/>
                <w:szCs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B3EFC13" w14:textId="77777777" w:rsidR="002D68F3" w:rsidRPr="00181EF3" w:rsidRDefault="002D68F3" w:rsidP="00E830F9">
            <w:pPr>
              <w:pStyle w:val="TableText"/>
              <w:spacing w:before="40" w:after="40"/>
              <w:jc w:val="center"/>
              <w:rPr>
                <w:sz w:val="16"/>
                <w:szCs w:val="16"/>
              </w:rPr>
            </w:pPr>
            <w:r w:rsidRPr="00181EF3">
              <w:rPr>
                <w:sz w:val="16"/>
                <w:szCs w:val="16"/>
              </w:rPr>
              <w:t>TI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A5933CC" w14:textId="77777777" w:rsidR="002D68F3" w:rsidRPr="00181EF3" w:rsidRDefault="002D68F3" w:rsidP="00E830F9">
            <w:pPr>
              <w:pStyle w:val="TableText"/>
              <w:spacing w:before="40" w:after="40"/>
              <w:jc w:val="center"/>
              <w:rPr>
                <w:sz w:val="16"/>
                <w:szCs w:val="16"/>
              </w:rPr>
            </w:pPr>
            <w:r w:rsidRPr="00181EF3">
              <w:rPr>
                <w:sz w:val="16"/>
                <w:szCs w:val="16"/>
              </w:rPr>
              <w:t>TI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B252394" w14:textId="77777777" w:rsidR="002D68F3" w:rsidRPr="00181EF3" w:rsidRDefault="002D68F3" w:rsidP="00E830F9">
            <w:pPr>
              <w:pStyle w:val="TableText"/>
              <w:spacing w:before="40" w:after="40"/>
              <w:jc w:val="center"/>
              <w:rPr>
                <w:sz w:val="16"/>
                <w:szCs w:val="16"/>
              </w:rPr>
            </w:pPr>
            <w:r w:rsidRPr="00181EF3">
              <w:rPr>
                <w:sz w:val="16"/>
                <w:szCs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AD2B204" w14:textId="77777777" w:rsidR="002D68F3" w:rsidRPr="00181EF3" w:rsidRDefault="002D68F3" w:rsidP="00E830F9">
            <w:pPr>
              <w:pStyle w:val="TableText"/>
              <w:spacing w:before="40" w:after="40"/>
              <w:jc w:val="center"/>
              <w:rPr>
                <w:sz w:val="16"/>
                <w:szCs w:val="16"/>
              </w:rPr>
            </w:pPr>
            <w:r w:rsidRPr="00181EF3">
              <w:rPr>
                <w:sz w:val="16"/>
                <w:szCs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00427B5" w14:textId="77777777" w:rsidR="002D68F3" w:rsidRPr="00181EF3" w:rsidRDefault="002D68F3" w:rsidP="00E830F9">
            <w:pPr>
              <w:pStyle w:val="TableText"/>
              <w:spacing w:before="40" w:after="40"/>
              <w:jc w:val="center"/>
              <w:rPr>
                <w:sz w:val="16"/>
                <w:szCs w:val="16"/>
              </w:rPr>
            </w:pPr>
            <w:r w:rsidRPr="00181EF3">
              <w:rPr>
                <w:sz w:val="16"/>
                <w:szCs w:val="16"/>
              </w:rPr>
              <w:t>DS</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2A742618" w14:textId="77777777" w:rsidR="002D68F3" w:rsidRPr="00181EF3" w:rsidRDefault="002D68F3" w:rsidP="00E830F9">
            <w:pPr>
              <w:pStyle w:val="TableText"/>
              <w:spacing w:before="40" w:after="40"/>
              <w:jc w:val="center"/>
              <w:rPr>
                <w:sz w:val="16"/>
                <w:szCs w:val="16"/>
              </w:rPr>
            </w:pPr>
            <w:r w:rsidRPr="00181EF3">
              <w:rPr>
                <w:sz w:val="16"/>
                <w:szCs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4E62A4E" w14:textId="77777777" w:rsidR="002D68F3" w:rsidRPr="00181EF3" w:rsidRDefault="002D68F3" w:rsidP="00E830F9">
            <w:pPr>
              <w:pStyle w:val="TableText"/>
              <w:spacing w:before="40" w:after="40"/>
              <w:jc w:val="center"/>
              <w:rPr>
                <w:sz w:val="16"/>
                <w:szCs w:val="16"/>
              </w:rPr>
            </w:pPr>
            <w:r w:rsidRPr="00181EF3">
              <w:rPr>
                <w:sz w:val="16"/>
                <w:szCs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CF1C608" w14:textId="77777777" w:rsidR="002D68F3" w:rsidRPr="00181EF3" w:rsidRDefault="002D68F3" w:rsidP="00E830F9">
            <w:pPr>
              <w:pStyle w:val="TableText"/>
              <w:spacing w:before="40" w:after="40"/>
              <w:jc w:val="center"/>
              <w:rPr>
                <w:sz w:val="16"/>
                <w:szCs w:val="16"/>
              </w:rPr>
            </w:pPr>
            <w:r w:rsidRPr="00181EF3">
              <w:rPr>
                <w:sz w:val="16"/>
                <w:szCs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246F69F" w14:textId="77777777" w:rsidR="002D68F3" w:rsidRPr="00181EF3" w:rsidRDefault="002D68F3" w:rsidP="00E830F9">
            <w:pPr>
              <w:pStyle w:val="TableText"/>
              <w:spacing w:before="40" w:after="40"/>
              <w:jc w:val="center"/>
              <w:rPr>
                <w:sz w:val="16"/>
                <w:szCs w:val="16"/>
              </w:rPr>
            </w:pPr>
            <w:r w:rsidRPr="00181EF3">
              <w:rPr>
                <w:sz w:val="16"/>
                <w:szCs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7702A2C" w14:textId="77777777" w:rsidR="002D68F3" w:rsidRPr="00181EF3" w:rsidRDefault="002D68F3" w:rsidP="00E830F9">
            <w:pPr>
              <w:pStyle w:val="TableText"/>
              <w:spacing w:before="40" w:after="40"/>
              <w:jc w:val="center"/>
              <w:rPr>
                <w:sz w:val="16"/>
                <w:szCs w:val="16"/>
              </w:rPr>
            </w:pPr>
            <w:r w:rsidRPr="00181EF3">
              <w:rPr>
                <w:sz w:val="16"/>
                <w:szCs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50EAFEE" w14:textId="77777777" w:rsidR="002D68F3" w:rsidRPr="00181EF3" w:rsidRDefault="002D68F3" w:rsidP="00E830F9">
            <w:pPr>
              <w:pStyle w:val="TableText"/>
              <w:spacing w:before="40" w:after="40"/>
              <w:jc w:val="center"/>
              <w:rPr>
                <w:sz w:val="16"/>
                <w:szCs w:val="16"/>
              </w:rPr>
            </w:pPr>
            <w:r w:rsidRPr="00181EF3">
              <w:rPr>
                <w:sz w:val="16"/>
                <w:szCs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F7FFE0C" w14:textId="77777777" w:rsidR="002D68F3" w:rsidRPr="00181EF3" w:rsidRDefault="002D68F3" w:rsidP="00E830F9">
            <w:pPr>
              <w:pStyle w:val="TableText"/>
              <w:spacing w:before="40" w:after="40"/>
              <w:jc w:val="center"/>
              <w:rPr>
                <w:sz w:val="16"/>
                <w:szCs w:val="16"/>
              </w:rPr>
            </w:pPr>
            <w:r w:rsidRPr="00181EF3">
              <w:rPr>
                <w:sz w:val="16"/>
                <w:szCs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C42023B" w14:textId="77777777" w:rsidR="002D68F3" w:rsidRPr="00181EF3" w:rsidRDefault="002D68F3" w:rsidP="00E830F9">
            <w:pPr>
              <w:pStyle w:val="TableText"/>
              <w:spacing w:before="40" w:after="40"/>
              <w:jc w:val="center"/>
              <w:rPr>
                <w:sz w:val="16"/>
                <w:szCs w:val="16"/>
              </w:rPr>
            </w:pPr>
            <w:r w:rsidRPr="00181EF3">
              <w:rPr>
                <w:sz w:val="16"/>
                <w:szCs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B5C4C41" w14:textId="77777777" w:rsidR="002D68F3" w:rsidRPr="00181EF3" w:rsidRDefault="002D68F3" w:rsidP="00E830F9">
            <w:pPr>
              <w:pStyle w:val="TableText"/>
              <w:spacing w:before="40" w:after="40"/>
              <w:jc w:val="center"/>
              <w:rPr>
                <w:sz w:val="16"/>
                <w:szCs w:val="16"/>
              </w:rPr>
            </w:pPr>
            <w:r w:rsidRPr="00181EF3">
              <w:rPr>
                <w:sz w:val="16"/>
                <w:szCs w:val="16"/>
              </w:rPr>
              <w:t>DS</w:t>
            </w:r>
          </w:p>
        </w:tc>
      </w:tr>
      <w:tr w:rsidR="002D68F3" w:rsidRPr="00181EF3" w14:paraId="2C31D668" w14:textId="77777777" w:rsidTr="00E830F9">
        <w:trPr>
          <w:cantSplit/>
        </w:trPr>
        <w:tc>
          <w:tcPr>
            <w:tcW w:w="567" w:type="dxa"/>
            <w:vMerge w:val="restart"/>
            <w:tcBorders>
              <w:top w:val="single" w:sz="4" w:space="0" w:color="A6A6A6" w:themeColor="background1" w:themeShade="A6"/>
              <w:bottom w:val="single" w:sz="4" w:space="0" w:color="A6A6A6" w:themeColor="background1" w:themeShade="A6"/>
            </w:tcBorders>
            <w:shd w:val="clear" w:color="auto" w:fill="auto"/>
          </w:tcPr>
          <w:p w14:paraId="2DF2361A" w14:textId="0B403A5D" w:rsidR="002D68F3" w:rsidRPr="00181EF3" w:rsidRDefault="00EC03A3" w:rsidP="00E830F9">
            <w:pPr>
              <w:pStyle w:val="TableText"/>
              <w:spacing w:before="40" w:after="40"/>
              <w:rPr>
                <w:sz w:val="16"/>
                <w:szCs w:val="16"/>
              </w:rPr>
            </w:pPr>
            <w:r>
              <w:rPr>
                <w:sz w:val="16"/>
                <w:szCs w:val="16"/>
              </w:rPr>
              <w:t>Non</w:t>
            </w:r>
            <w:r>
              <w:rPr>
                <w:sz w:val="16"/>
                <w:szCs w:val="16"/>
              </w:rPr>
              <w:noBreakHyphen/>
              <w:t>M</w:t>
            </w:r>
            <w:r w:rsidR="002D68F3" w:rsidRPr="00181EF3">
              <w:rPr>
                <w:sz w:val="16"/>
                <w:szCs w:val="16"/>
              </w:rPr>
              <w:t>āori</w:t>
            </w:r>
          </w:p>
        </w:tc>
        <w:tc>
          <w:tcPr>
            <w:tcW w:w="426" w:type="dxa"/>
            <w:tcBorders>
              <w:top w:val="single" w:sz="4" w:space="0" w:color="A6A6A6" w:themeColor="background1" w:themeShade="A6"/>
              <w:bottom w:val="single" w:sz="4" w:space="0" w:color="A6A6A6" w:themeColor="background1" w:themeShade="A6"/>
            </w:tcBorders>
            <w:shd w:val="clear" w:color="auto" w:fill="auto"/>
          </w:tcPr>
          <w:p w14:paraId="40125006" w14:textId="77777777" w:rsidR="002D68F3" w:rsidRPr="00181EF3" w:rsidRDefault="002D68F3" w:rsidP="00E830F9">
            <w:pPr>
              <w:pStyle w:val="TableText"/>
              <w:spacing w:before="40" w:after="40"/>
              <w:jc w:val="center"/>
              <w:rPr>
                <w:sz w:val="16"/>
                <w:szCs w:val="16"/>
              </w:rPr>
            </w:pPr>
            <w:r w:rsidRPr="00181EF3">
              <w:rPr>
                <w:sz w:val="16"/>
                <w:szCs w:val="16"/>
              </w:rPr>
              <w:t>1</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1994C216" w14:textId="77777777" w:rsidR="002D68F3" w:rsidRPr="00181EF3" w:rsidRDefault="002D68F3" w:rsidP="00E830F9">
            <w:pPr>
              <w:pStyle w:val="TableText"/>
              <w:spacing w:before="40" w:after="40"/>
              <w:jc w:val="center"/>
              <w:rPr>
                <w:sz w:val="16"/>
                <w:szCs w:val="16"/>
              </w:rPr>
            </w:pPr>
            <w:r w:rsidRPr="00181EF3">
              <w:rPr>
                <w:sz w:val="16"/>
                <w:szCs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AE6798A" w14:textId="77777777" w:rsidR="002D68F3" w:rsidRPr="00181EF3" w:rsidRDefault="002D68F3" w:rsidP="00E830F9">
            <w:pPr>
              <w:pStyle w:val="TableText"/>
              <w:spacing w:before="40" w:after="40"/>
              <w:jc w:val="center"/>
              <w:rPr>
                <w:sz w:val="16"/>
                <w:szCs w:val="16"/>
              </w:rPr>
            </w:pPr>
            <w:r w:rsidRPr="00181EF3">
              <w:rPr>
                <w:sz w:val="16"/>
                <w:szCs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6D1A222" w14:textId="77777777" w:rsidR="002D68F3" w:rsidRPr="00181EF3" w:rsidRDefault="002D68F3" w:rsidP="00E830F9">
            <w:pPr>
              <w:pStyle w:val="TableText"/>
              <w:spacing w:before="40" w:after="40"/>
              <w:jc w:val="center"/>
              <w:rPr>
                <w:sz w:val="16"/>
                <w:szCs w:val="16"/>
              </w:rPr>
            </w:pPr>
            <w:r w:rsidRPr="00181EF3">
              <w:rPr>
                <w:sz w:val="16"/>
                <w:szCs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345EE0E" w14:textId="77777777" w:rsidR="002D68F3" w:rsidRPr="00181EF3" w:rsidRDefault="002D68F3" w:rsidP="00E830F9">
            <w:pPr>
              <w:pStyle w:val="TableText"/>
              <w:spacing w:before="40" w:after="40"/>
              <w:jc w:val="center"/>
              <w:rPr>
                <w:sz w:val="16"/>
                <w:szCs w:val="16"/>
              </w:rPr>
            </w:pPr>
            <w:r w:rsidRPr="00181EF3">
              <w:rPr>
                <w:sz w:val="16"/>
                <w:szCs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CCA8B19" w14:textId="77777777" w:rsidR="002D68F3" w:rsidRPr="00181EF3" w:rsidRDefault="002D68F3" w:rsidP="00E830F9">
            <w:pPr>
              <w:pStyle w:val="TableText"/>
              <w:spacing w:before="40" w:after="40"/>
              <w:jc w:val="center"/>
              <w:rPr>
                <w:sz w:val="16"/>
                <w:szCs w:val="16"/>
              </w:rPr>
            </w:pPr>
            <w:r w:rsidRPr="00181EF3">
              <w:rPr>
                <w:sz w:val="16"/>
                <w:szCs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146E2CC" w14:textId="77777777" w:rsidR="002D68F3" w:rsidRPr="00181EF3" w:rsidRDefault="002D68F3" w:rsidP="00E830F9">
            <w:pPr>
              <w:pStyle w:val="TableText"/>
              <w:spacing w:before="40" w:after="40"/>
              <w:jc w:val="center"/>
              <w:rPr>
                <w:sz w:val="16"/>
                <w:szCs w:val="16"/>
              </w:rPr>
            </w:pPr>
            <w:r w:rsidRPr="00181EF3">
              <w:rPr>
                <w:sz w:val="16"/>
                <w:szCs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777861A" w14:textId="77777777" w:rsidR="002D68F3" w:rsidRPr="00181EF3" w:rsidRDefault="002D68F3" w:rsidP="00E830F9">
            <w:pPr>
              <w:pStyle w:val="TableText"/>
              <w:spacing w:before="40" w:after="40"/>
              <w:jc w:val="center"/>
              <w:rPr>
                <w:sz w:val="16"/>
                <w:szCs w:val="16"/>
              </w:rPr>
            </w:pPr>
            <w:r w:rsidRPr="00181EF3">
              <w:rPr>
                <w:sz w:val="16"/>
                <w:szCs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F604CB1" w14:textId="77777777" w:rsidR="002D68F3" w:rsidRPr="00181EF3" w:rsidRDefault="002D68F3" w:rsidP="00E830F9">
            <w:pPr>
              <w:pStyle w:val="TableText"/>
              <w:spacing w:before="40" w:after="40"/>
              <w:jc w:val="center"/>
              <w:rPr>
                <w:sz w:val="16"/>
                <w:szCs w:val="16"/>
              </w:rPr>
            </w:pPr>
            <w:r w:rsidRPr="00181EF3">
              <w:rPr>
                <w:sz w:val="16"/>
                <w:szCs w:val="16"/>
              </w:rPr>
              <w:t>MV</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1C6AF373" w14:textId="77777777" w:rsidR="002D68F3" w:rsidRPr="00181EF3" w:rsidRDefault="002D68F3" w:rsidP="00E830F9">
            <w:pPr>
              <w:pStyle w:val="TableText"/>
              <w:spacing w:before="40" w:after="40"/>
              <w:jc w:val="center"/>
              <w:rPr>
                <w:sz w:val="16"/>
                <w:szCs w:val="16"/>
              </w:rPr>
            </w:pPr>
            <w:r w:rsidRPr="00181EF3">
              <w:rPr>
                <w:sz w:val="16"/>
                <w:szCs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E0A51C0" w14:textId="77777777" w:rsidR="002D68F3" w:rsidRPr="00181EF3" w:rsidRDefault="002D68F3" w:rsidP="00E830F9">
            <w:pPr>
              <w:pStyle w:val="TableText"/>
              <w:spacing w:before="40" w:after="40"/>
              <w:jc w:val="center"/>
              <w:rPr>
                <w:sz w:val="16"/>
                <w:szCs w:val="16"/>
              </w:rPr>
            </w:pPr>
            <w:r w:rsidRPr="00181EF3">
              <w:rPr>
                <w:sz w:val="16"/>
                <w:szCs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CEF1DD2" w14:textId="77777777" w:rsidR="002D68F3" w:rsidRPr="00181EF3" w:rsidRDefault="002D68F3" w:rsidP="00E830F9">
            <w:pPr>
              <w:pStyle w:val="TableText"/>
              <w:spacing w:before="40" w:after="40"/>
              <w:jc w:val="center"/>
              <w:rPr>
                <w:sz w:val="16"/>
                <w:szCs w:val="16"/>
              </w:rPr>
            </w:pPr>
            <w:r w:rsidRPr="00181EF3">
              <w:rPr>
                <w:sz w:val="16"/>
                <w:szCs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C57F0C7" w14:textId="77777777" w:rsidR="002D68F3" w:rsidRPr="00181EF3" w:rsidRDefault="002D68F3" w:rsidP="00E830F9">
            <w:pPr>
              <w:pStyle w:val="TableText"/>
              <w:spacing w:before="40" w:after="40"/>
              <w:jc w:val="center"/>
              <w:rPr>
                <w:sz w:val="16"/>
                <w:szCs w:val="16"/>
              </w:rPr>
            </w:pPr>
            <w:r w:rsidRPr="00181EF3">
              <w:rPr>
                <w:sz w:val="16"/>
                <w:szCs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4BD0D49" w14:textId="77777777" w:rsidR="002D68F3" w:rsidRPr="00181EF3" w:rsidRDefault="002D68F3" w:rsidP="00E830F9">
            <w:pPr>
              <w:pStyle w:val="TableText"/>
              <w:spacing w:before="40" w:after="40"/>
              <w:jc w:val="center"/>
              <w:rPr>
                <w:sz w:val="16"/>
                <w:szCs w:val="16"/>
              </w:rPr>
            </w:pPr>
            <w:r w:rsidRPr="00181EF3">
              <w:rPr>
                <w:sz w:val="16"/>
                <w:szCs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3B38142" w14:textId="77777777" w:rsidR="002D68F3" w:rsidRPr="00181EF3" w:rsidRDefault="002D68F3" w:rsidP="00E830F9">
            <w:pPr>
              <w:pStyle w:val="TableText"/>
              <w:spacing w:before="40" w:after="40"/>
              <w:jc w:val="center"/>
              <w:rPr>
                <w:sz w:val="16"/>
                <w:szCs w:val="16"/>
              </w:rPr>
            </w:pPr>
            <w:r w:rsidRPr="00181EF3">
              <w:rPr>
                <w:sz w:val="16"/>
                <w:szCs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872B5B7" w14:textId="77777777" w:rsidR="002D68F3" w:rsidRPr="00181EF3" w:rsidRDefault="002D68F3" w:rsidP="00E830F9">
            <w:pPr>
              <w:pStyle w:val="TableText"/>
              <w:spacing w:before="40" w:after="40"/>
              <w:jc w:val="center"/>
              <w:rPr>
                <w:sz w:val="16"/>
                <w:szCs w:val="16"/>
              </w:rPr>
            </w:pPr>
            <w:r w:rsidRPr="00181EF3">
              <w:rPr>
                <w:sz w:val="16"/>
                <w:szCs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3B20751" w14:textId="77777777" w:rsidR="002D68F3" w:rsidRPr="00181EF3" w:rsidRDefault="002D68F3" w:rsidP="00E830F9">
            <w:pPr>
              <w:pStyle w:val="TableText"/>
              <w:spacing w:before="40" w:after="40"/>
              <w:jc w:val="center"/>
              <w:rPr>
                <w:sz w:val="16"/>
                <w:szCs w:val="16"/>
              </w:rPr>
            </w:pPr>
            <w:r w:rsidRPr="00181EF3">
              <w:rPr>
                <w:sz w:val="16"/>
                <w:szCs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FCFA677" w14:textId="77777777" w:rsidR="002D68F3" w:rsidRPr="00181EF3" w:rsidRDefault="002D68F3" w:rsidP="00E830F9">
            <w:pPr>
              <w:pStyle w:val="TableText"/>
              <w:spacing w:before="40" w:after="40"/>
              <w:jc w:val="center"/>
              <w:rPr>
                <w:sz w:val="16"/>
                <w:szCs w:val="16"/>
              </w:rPr>
            </w:pPr>
            <w:r w:rsidRPr="00181EF3">
              <w:rPr>
                <w:sz w:val="16"/>
                <w:szCs w:val="16"/>
              </w:rPr>
              <w:t>MV</w:t>
            </w:r>
          </w:p>
        </w:tc>
      </w:tr>
      <w:tr w:rsidR="002D68F3" w:rsidRPr="00181EF3" w14:paraId="5A2D962B" w14:textId="77777777" w:rsidTr="00E830F9">
        <w:trPr>
          <w:cantSplit/>
        </w:trPr>
        <w:tc>
          <w:tcPr>
            <w:tcW w:w="567" w:type="dxa"/>
            <w:vMerge/>
            <w:tcBorders>
              <w:top w:val="single" w:sz="4" w:space="0" w:color="A6A6A6" w:themeColor="background1" w:themeShade="A6"/>
              <w:bottom w:val="single" w:sz="4" w:space="0" w:color="A6A6A6" w:themeColor="background1" w:themeShade="A6"/>
            </w:tcBorders>
            <w:shd w:val="clear" w:color="auto" w:fill="auto"/>
          </w:tcPr>
          <w:p w14:paraId="0EFB2FF2" w14:textId="77777777" w:rsidR="002D68F3" w:rsidRPr="00181EF3" w:rsidRDefault="002D68F3" w:rsidP="00E830F9">
            <w:pPr>
              <w:pStyle w:val="TableText"/>
              <w:spacing w:before="40" w:after="40"/>
              <w:rPr>
                <w:sz w:val="16"/>
                <w:szCs w:val="16"/>
              </w:rPr>
            </w:pPr>
          </w:p>
        </w:tc>
        <w:tc>
          <w:tcPr>
            <w:tcW w:w="426" w:type="dxa"/>
            <w:tcBorders>
              <w:top w:val="single" w:sz="4" w:space="0" w:color="A6A6A6" w:themeColor="background1" w:themeShade="A6"/>
              <w:bottom w:val="single" w:sz="4" w:space="0" w:color="A6A6A6" w:themeColor="background1" w:themeShade="A6"/>
            </w:tcBorders>
            <w:shd w:val="clear" w:color="auto" w:fill="auto"/>
          </w:tcPr>
          <w:p w14:paraId="556B1A6C" w14:textId="77777777" w:rsidR="002D68F3" w:rsidRPr="00181EF3" w:rsidRDefault="002D68F3" w:rsidP="00E830F9">
            <w:pPr>
              <w:pStyle w:val="TableText"/>
              <w:spacing w:before="40" w:after="40"/>
              <w:jc w:val="center"/>
              <w:rPr>
                <w:sz w:val="16"/>
                <w:szCs w:val="16"/>
              </w:rPr>
            </w:pPr>
            <w:r w:rsidRPr="00181EF3">
              <w:rPr>
                <w:sz w:val="16"/>
                <w:szCs w:val="16"/>
              </w:rPr>
              <w:t>2</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08E19454" w14:textId="77777777" w:rsidR="002D68F3" w:rsidRPr="00181EF3" w:rsidRDefault="002D68F3" w:rsidP="00E830F9">
            <w:pPr>
              <w:pStyle w:val="TableText"/>
              <w:spacing w:before="40" w:after="40"/>
              <w:jc w:val="center"/>
              <w:rPr>
                <w:sz w:val="16"/>
                <w:szCs w:val="16"/>
              </w:rPr>
            </w:pPr>
            <w:r w:rsidRPr="00181EF3">
              <w:rPr>
                <w:sz w:val="16"/>
                <w:szCs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1040DFE" w14:textId="77777777" w:rsidR="002D68F3" w:rsidRPr="00181EF3" w:rsidRDefault="002D68F3" w:rsidP="00E830F9">
            <w:pPr>
              <w:pStyle w:val="TableText"/>
              <w:spacing w:before="40" w:after="40"/>
              <w:jc w:val="center"/>
              <w:rPr>
                <w:sz w:val="16"/>
                <w:szCs w:val="16"/>
              </w:rPr>
            </w:pPr>
            <w:r w:rsidRPr="00181EF3">
              <w:rPr>
                <w:sz w:val="16"/>
                <w:szCs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3999AF3" w14:textId="77777777" w:rsidR="002D68F3" w:rsidRPr="00181EF3" w:rsidRDefault="002D68F3" w:rsidP="00E830F9">
            <w:pPr>
              <w:pStyle w:val="TableText"/>
              <w:spacing w:before="40" w:after="40"/>
              <w:jc w:val="center"/>
              <w:rPr>
                <w:sz w:val="16"/>
                <w:szCs w:val="16"/>
              </w:rPr>
            </w:pPr>
            <w:r w:rsidRPr="00181EF3">
              <w:rPr>
                <w:sz w:val="16"/>
                <w:szCs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6DA0F4D" w14:textId="77777777" w:rsidR="002D68F3" w:rsidRPr="00181EF3" w:rsidRDefault="002D68F3" w:rsidP="00E830F9">
            <w:pPr>
              <w:pStyle w:val="TableText"/>
              <w:spacing w:before="40" w:after="40"/>
              <w:jc w:val="center"/>
              <w:rPr>
                <w:sz w:val="16"/>
                <w:szCs w:val="16"/>
              </w:rPr>
            </w:pPr>
            <w:r w:rsidRPr="00181EF3">
              <w:rPr>
                <w:sz w:val="16"/>
                <w:szCs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689F191" w14:textId="77777777" w:rsidR="002D68F3" w:rsidRPr="00181EF3" w:rsidRDefault="002D68F3" w:rsidP="00E830F9">
            <w:pPr>
              <w:pStyle w:val="TableText"/>
              <w:spacing w:before="40" w:after="40"/>
              <w:jc w:val="center"/>
              <w:rPr>
                <w:sz w:val="16"/>
                <w:szCs w:val="16"/>
              </w:rPr>
            </w:pPr>
            <w:r w:rsidRPr="00181EF3">
              <w:rPr>
                <w:sz w:val="16"/>
                <w:szCs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504ED10" w14:textId="77777777" w:rsidR="002D68F3" w:rsidRPr="00181EF3" w:rsidRDefault="002D68F3" w:rsidP="00E830F9">
            <w:pPr>
              <w:pStyle w:val="TableText"/>
              <w:spacing w:before="40" w:after="40"/>
              <w:jc w:val="center"/>
              <w:rPr>
                <w:sz w:val="16"/>
                <w:szCs w:val="16"/>
              </w:rPr>
            </w:pPr>
            <w:r w:rsidRPr="00181EF3">
              <w:rPr>
                <w:sz w:val="16"/>
                <w:szCs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9077127" w14:textId="77777777" w:rsidR="002D68F3" w:rsidRPr="00181EF3" w:rsidRDefault="002D68F3" w:rsidP="00E830F9">
            <w:pPr>
              <w:pStyle w:val="TableText"/>
              <w:spacing w:before="40" w:after="40"/>
              <w:jc w:val="center"/>
              <w:rPr>
                <w:sz w:val="16"/>
                <w:szCs w:val="16"/>
              </w:rPr>
            </w:pPr>
            <w:r w:rsidRPr="00181EF3">
              <w:rPr>
                <w:sz w:val="16"/>
                <w:szCs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D8CC634" w14:textId="77777777" w:rsidR="002D68F3" w:rsidRPr="00181EF3" w:rsidRDefault="002D68F3" w:rsidP="00E830F9">
            <w:pPr>
              <w:pStyle w:val="TableText"/>
              <w:spacing w:before="40" w:after="40"/>
              <w:jc w:val="center"/>
              <w:rPr>
                <w:sz w:val="16"/>
                <w:szCs w:val="16"/>
              </w:rPr>
            </w:pPr>
            <w:r w:rsidRPr="00181EF3">
              <w:rPr>
                <w:sz w:val="16"/>
                <w:szCs w:val="16"/>
              </w:rPr>
              <w:t>SF</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6C9C74FB" w14:textId="77777777" w:rsidR="002D68F3" w:rsidRPr="00181EF3" w:rsidRDefault="002D68F3" w:rsidP="00E830F9">
            <w:pPr>
              <w:pStyle w:val="TableText"/>
              <w:spacing w:before="40" w:after="40"/>
              <w:jc w:val="center"/>
              <w:rPr>
                <w:sz w:val="16"/>
                <w:szCs w:val="16"/>
              </w:rPr>
            </w:pPr>
            <w:r w:rsidRPr="00181EF3">
              <w:rPr>
                <w:sz w:val="16"/>
                <w:szCs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940B4F3" w14:textId="77777777" w:rsidR="002D68F3" w:rsidRPr="00181EF3" w:rsidRDefault="002D68F3" w:rsidP="00E830F9">
            <w:pPr>
              <w:pStyle w:val="TableText"/>
              <w:spacing w:before="40" w:after="40"/>
              <w:jc w:val="center"/>
              <w:rPr>
                <w:sz w:val="16"/>
                <w:szCs w:val="16"/>
              </w:rPr>
            </w:pPr>
            <w:r w:rsidRPr="00181EF3">
              <w:rPr>
                <w:sz w:val="16"/>
                <w:szCs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26A9A2E" w14:textId="77777777" w:rsidR="002D68F3" w:rsidRPr="00181EF3" w:rsidRDefault="002D68F3" w:rsidP="00E830F9">
            <w:pPr>
              <w:pStyle w:val="TableText"/>
              <w:spacing w:before="40" w:after="40"/>
              <w:jc w:val="center"/>
              <w:rPr>
                <w:sz w:val="16"/>
                <w:szCs w:val="16"/>
              </w:rPr>
            </w:pPr>
            <w:r w:rsidRPr="00181EF3">
              <w:rPr>
                <w:sz w:val="16"/>
                <w:szCs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EA9B0A0" w14:textId="77777777" w:rsidR="002D68F3" w:rsidRPr="00181EF3" w:rsidRDefault="002D68F3" w:rsidP="00E830F9">
            <w:pPr>
              <w:pStyle w:val="TableText"/>
              <w:spacing w:before="40" w:after="40"/>
              <w:jc w:val="center"/>
              <w:rPr>
                <w:sz w:val="16"/>
                <w:szCs w:val="16"/>
              </w:rPr>
            </w:pPr>
            <w:r w:rsidRPr="00181EF3">
              <w:rPr>
                <w:sz w:val="16"/>
                <w:szCs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EE9C2C4" w14:textId="77777777" w:rsidR="002D68F3" w:rsidRPr="00181EF3" w:rsidRDefault="002D68F3" w:rsidP="00E830F9">
            <w:pPr>
              <w:pStyle w:val="TableText"/>
              <w:spacing w:before="40" w:after="40"/>
              <w:jc w:val="center"/>
              <w:rPr>
                <w:sz w:val="16"/>
                <w:szCs w:val="16"/>
              </w:rPr>
            </w:pPr>
            <w:r w:rsidRPr="00181EF3">
              <w:rPr>
                <w:sz w:val="16"/>
                <w:szCs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8E1AE78" w14:textId="77777777" w:rsidR="002D68F3" w:rsidRPr="00181EF3" w:rsidRDefault="002D68F3" w:rsidP="00E830F9">
            <w:pPr>
              <w:pStyle w:val="TableText"/>
              <w:spacing w:before="40" w:after="40"/>
              <w:jc w:val="center"/>
              <w:rPr>
                <w:sz w:val="16"/>
                <w:szCs w:val="16"/>
              </w:rPr>
            </w:pPr>
            <w:r w:rsidRPr="00181EF3">
              <w:rPr>
                <w:sz w:val="16"/>
                <w:szCs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4EF268E" w14:textId="77777777" w:rsidR="002D68F3" w:rsidRPr="00181EF3" w:rsidRDefault="002D68F3" w:rsidP="00E830F9">
            <w:pPr>
              <w:pStyle w:val="TableText"/>
              <w:spacing w:before="40" w:after="40"/>
              <w:jc w:val="center"/>
              <w:rPr>
                <w:sz w:val="16"/>
                <w:szCs w:val="16"/>
              </w:rPr>
            </w:pPr>
            <w:r w:rsidRPr="00181EF3">
              <w:rPr>
                <w:sz w:val="16"/>
                <w:szCs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5A7042E" w14:textId="77777777" w:rsidR="002D68F3" w:rsidRPr="00181EF3" w:rsidRDefault="002D68F3" w:rsidP="00E830F9">
            <w:pPr>
              <w:pStyle w:val="TableText"/>
              <w:spacing w:before="40" w:after="40"/>
              <w:jc w:val="center"/>
              <w:rPr>
                <w:sz w:val="16"/>
                <w:szCs w:val="16"/>
              </w:rPr>
            </w:pPr>
            <w:r w:rsidRPr="00181EF3">
              <w:rPr>
                <w:sz w:val="16"/>
                <w:szCs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3583673" w14:textId="77777777" w:rsidR="002D68F3" w:rsidRPr="00181EF3" w:rsidRDefault="002D68F3" w:rsidP="00E830F9">
            <w:pPr>
              <w:pStyle w:val="TableText"/>
              <w:spacing w:before="40" w:after="40"/>
              <w:jc w:val="center"/>
              <w:rPr>
                <w:sz w:val="16"/>
                <w:szCs w:val="16"/>
              </w:rPr>
            </w:pPr>
            <w:r w:rsidRPr="00181EF3">
              <w:rPr>
                <w:sz w:val="16"/>
                <w:szCs w:val="16"/>
              </w:rPr>
              <w:t>SF</w:t>
            </w:r>
          </w:p>
        </w:tc>
      </w:tr>
      <w:tr w:rsidR="002D68F3" w:rsidRPr="00181EF3" w14:paraId="09B71275" w14:textId="77777777" w:rsidTr="00E830F9">
        <w:trPr>
          <w:cantSplit/>
        </w:trPr>
        <w:tc>
          <w:tcPr>
            <w:tcW w:w="567" w:type="dxa"/>
            <w:vMerge/>
            <w:tcBorders>
              <w:top w:val="single" w:sz="4" w:space="0" w:color="A6A6A6" w:themeColor="background1" w:themeShade="A6"/>
              <w:bottom w:val="single" w:sz="4" w:space="0" w:color="A6A6A6" w:themeColor="background1" w:themeShade="A6"/>
            </w:tcBorders>
            <w:shd w:val="clear" w:color="auto" w:fill="auto"/>
          </w:tcPr>
          <w:p w14:paraId="21E6D8E6" w14:textId="77777777" w:rsidR="002D68F3" w:rsidRPr="00181EF3" w:rsidRDefault="002D68F3" w:rsidP="00E830F9">
            <w:pPr>
              <w:pStyle w:val="TableText"/>
              <w:spacing w:before="40" w:after="40"/>
              <w:rPr>
                <w:sz w:val="16"/>
                <w:szCs w:val="16"/>
              </w:rPr>
            </w:pPr>
          </w:p>
        </w:tc>
        <w:tc>
          <w:tcPr>
            <w:tcW w:w="426" w:type="dxa"/>
            <w:tcBorders>
              <w:top w:val="single" w:sz="4" w:space="0" w:color="A6A6A6" w:themeColor="background1" w:themeShade="A6"/>
              <w:bottom w:val="single" w:sz="4" w:space="0" w:color="A6A6A6" w:themeColor="background1" w:themeShade="A6"/>
            </w:tcBorders>
            <w:shd w:val="clear" w:color="auto" w:fill="auto"/>
          </w:tcPr>
          <w:p w14:paraId="301BAAE6" w14:textId="77777777" w:rsidR="002D68F3" w:rsidRPr="00181EF3" w:rsidRDefault="002D68F3" w:rsidP="00E830F9">
            <w:pPr>
              <w:pStyle w:val="TableText"/>
              <w:spacing w:before="40" w:after="40"/>
              <w:jc w:val="center"/>
              <w:rPr>
                <w:sz w:val="16"/>
                <w:szCs w:val="16"/>
              </w:rPr>
            </w:pPr>
            <w:r w:rsidRPr="00181EF3">
              <w:rPr>
                <w:sz w:val="16"/>
                <w:szCs w:val="16"/>
              </w:rPr>
              <w:t>3</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30780E00" w14:textId="77777777" w:rsidR="002D68F3" w:rsidRPr="00181EF3" w:rsidRDefault="002D68F3" w:rsidP="00E830F9">
            <w:pPr>
              <w:pStyle w:val="TableText"/>
              <w:spacing w:before="40" w:after="40"/>
              <w:jc w:val="center"/>
              <w:rPr>
                <w:sz w:val="16"/>
                <w:szCs w:val="16"/>
              </w:rPr>
            </w:pPr>
            <w:r w:rsidRPr="00181EF3">
              <w:rPr>
                <w:sz w:val="16"/>
                <w:szCs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8BDE4AE" w14:textId="77777777" w:rsidR="002D68F3" w:rsidRPr="00181EF3" w:rsidRDefault="002D68F3" w:rsidP="00E830F9">
            <w:pPr>
              <w:pStyle w:val="TableText"/>
              <w:spacing w:before="40" w:after="40"/>
              <w:jc w:val="center"/>
              <w:rPr>
                <w:sz w:val="16"/>
                <w:szCs w:val="16"/>
              </w:rPr>
            </w:pPr>
            <w:r w:rsidRPr="00181EF3">
              <w:rPr>
                <w:sz w:val="16"/>
                <w:szCs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7FA900B" w14:textId="77777777" w:rsidR="002D68F3" w:rsidRPr="00181EF3" w:rsidRDefault="002D68F3" w:rsidP="00E830F9">
            <w:pPr>
              <w:pStyle w:val="TableText"/>
              <w:spacing w:before="40" w:after="40"/>
              <w:jc w:val="center"/>
              <w:rPr>
                <w:sz w:val="16"/>
                <w:szCs w:val="16"/>
              </w:rPr>
            </w:pPr>
            <w:r w:rsidRPr="00181EF3">
              <w:rPr>
                <w:sz w:val="16"/>
                <w:szCs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274F5F9" w14:textId="77777777" w:rsidR="002D68F3" w:rsidRPr="00181EF3" w:rsidRDefault="002D68F3" w:rsidP="00E830F9">
            <w:pPr>
              <w:pStyle w:val="TableText"/>
              <w:spacing w:before="40" w:after="40"/>
              <w:jc w:val="center"/>
              <w:rPr>
                <w:sz w:val="16"/>
                <w:szCs w:val="16"/>
              </w:rPr>
            </w:pPr>
            <w:r w:rsidRPr="00181EF3">
              <w:rPr>
                <w:sz w:val="16"/>
                <w:szCs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C0D3496" w14:textId="77777777" w:rsidR="002D68F3" w:rsidRPr="00181EF3" w:rsidRDefault="002D68F3" w:rsidP="00E830F9">
            <w:pPr>
              <w:pStyle w:val="TableText"/>
              <w:spacing w:before="40" w:after="40"/>
              <w:jc w:val="center"/>
              <w:rPr>
                <w:sz w:val="16"/>
                <w:szCs w:val="16"/>
              </w:rPr>
            </w:pPr>
            <w:r w:rsidRPr="00181EF3">
              <w:rPr>
                <w:sz w:val="16"/>
                <w:szCs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1A7443E" w14:textId="77777777" w:rsidR="002D68F3" w:rsidRPr="00181EF3" w:rsidRDefault="002D68F3" w:rsidP="00E830F9">
            <w:pPr>
              <w:pStyle w:val="TableText"/>
              <w:spacing w:before="40" w:after="40"/>
              <w:jc w:val="center"/>
              <w:rPr>
                <w:sz w:val="16"/>
                <w:szCs w:val="16"/>
              </w:rPr>
            </w:pPr>
            <w:r w:rsidRPr="00181EF3">
              <w:rPr>
                <w:sz w:val="16"/>
                <w:szCs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8F1F1FC" w14:textId="77777777" w:rsidR="002D68F3" w:rsidRPr="00181EF3" w:rsidRDefault="002D68F3" w:rsidP="00E830F9">
            <w:pPr>
              <w:pStyle w:val="TableText"/>
              <w:spacing w:before="40" w:after="40"/>
              <w:jc w:val="center"/>
              <w:rPr>
                <w:sz w:val="16"/>
                <w:szCs w:val="16"/>
              </w:rPr>
            </w:pPr>
            <w:r w:rsidRPr="00181EF3">
              <w:rPr>
                <w:sz w:val="16"/>
                <w:szCs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4DD4D3B" w14:textId="77777777" w:rsidR="002D68F3" w:rsidRPr="00181EF3" w:rsidRDefault="002D68F3" w:rsidP="00E830F9">
            <w:pPr>
              <w:pStyle w:val="TableText"/>
              <w:spacing w:before="40" w:after="40"/>
              <w:jc w:val="center"/>
              <w:rPr>
                <w:sz w:val="16"/>
                <w:szCs w:val="16"/>
              </w:rPr>
            </w:pPr>
            <w:r w:rsidRPr="00181EF3">
              <w:rPr>
                <w:sz w:val="16"/>
                <w:szCs w:val="16"/>
              </w:rPr>
              <w:t>DS</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58E88D80" w14:textId="77777777" w:rsidR="002D68F3" w:rsidRPr="00181EF3" w:rsidRDefault="002D68F3" w:rsidP="00E830F9">
            <w:pPr>
              <w:pStyle w:val="TableText"/>
              <w:spacing w:before="40" w:after="40"/>
              <w:jc w:val="center"/>
              <w:rPr>
                <w:sz w:val="16"/>
                <w:szCs w:val="16"/>
              </w:rPr>
            </w:pPr>
            <w:r w:rsidRPr="00181EF3">
              <w:rPr>
                <w:sz w:val="16"/>
                <w:szCs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C8942C3" w14:textId="77777777" w:rsidR="002D68F3" w:rsidRPr="00181EF3" w:rsidRDefault="002D68F3" w:rsidP="00E830F9">
            <w:pPr>
              <w:pStyle w:val="TableText"/>
              <w:spacing w:before="40" w:after="40"/>
              <w:jc w:val="center"/>
              <w:rPr>
                <w:sz w:val="16"/>
                <w:szCs w:val="16"/>
              </w:rPr>
            </w:pPr>
            <w:r w:rsidRPr="00181EF3">
              <w:rPr>
                <w:sz w:val="16"/>
                <w:szCs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8D315D1" w14:textId="77777777" w:rsidR="002D68F3" w:rsidRPr="00181EF3" w:rsidRDefault="002D68F3" w:rsidP="00E830F9">
            <w:pPr>
              <w:pStyle w:val="TableText"/>
              <w:spacing w:before="40" w:after="40"/>
              <w:jc w:val="center"/>
              <w:rPr>
                <w:sz w:val="16"/>
                <w:szCs w:val="16"/>
              </w:rPr>
            </w:pPr>
            <w:r w:rsidRPr="00181EF3">
              <w:rPr>
                <w:sz w:val="16"/>
                <w:szCs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4F8F12F" w14:textId="77777777" w:rsidR="002D68F3" w:rsidRPr="00181EF3" w:rsidRDefault="002D68F3" w:rsidP="00E830F9">
            <w:pPr>
              <w:pStyle w:val="TableText"/>
              <w:spacing w:before="40" w:after="40"/>
              <w:jc w:val="center"/>
              <w:rPr>
                <w:sz w:val="16"/>
                <w:szCs w:val="16"/>
              </w:rPr>
            </w:pPr>
            <w:r w:rsidRPr="00181EF3">
              <w:rPr>
                <w:sz w:val="16"/>
                <w:szCs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D494E05" w14:textId="77777777" w:rsidR="002D68F3" w:rsidRPr="00181EF3" w:rsidRDefault="002D68F3" w:rsidP="00E830F9">
            <w:pPr>
              <w:pStyle w:val="TableText"/>
              <w:spacing w:before="40" w:after="40"/>
              <w:jc w:val="center"/>
              <w:rPr>
                <w:sz w:val="16"/>
                <w:szCs w:val="16"/>
              </w:rPr>
            </w:pPr>
            <w:r w:rsidRPr="00181EF3">
              <w:rPr>
                <w:sz w:val="16"/>
                <w:szCs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0430DA0" w14:textId="77777777" w:rsidR="002D68F3" w:rsidRPr="00181EF3" w:rsidRDefault="002D68F3" w:rsidP="00E830F9">
            <w:pPr>
              <w:pStyle w:val="TableText"/>
              <w:spacing w:before="40" w:after="40"/>
              <w:jc w:val="center"/>
              <w:rPr>
                <w:sz w:val="16"/>
                <w:szCs w:val="16"/>
              </w:rPr>
            </w:pPr>
            <w:r w:rsidRPr="00181EF3">
              <w:rPr>
                <w:sz w:val="16"/>
                <w:szCs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76E9DFA" w14:textId="77777777" w:rsidR="002D68F3" w:rsidRPr="00181EF3" w:rsidRDefault="002D68F3" w:rsidP="00E830F9">
            <w:pPr>
              <w:pStyle w:val="TableText"/>
              <w:spacing w:before="40" w:after="40"/>
              <w:jc w:val="center"/>
              <w:rPr>
                <w:sz w:val="16"/>
                <w:szCs w:val="16"/>
              </w:rPr>
            </w:pPr>
            <w:r w:rsidRPr="00181EF3">
              <w:rPr>
                <w:sz w:val="16"/>
                <w:szCs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9AF340C" w14:textId="77777777" w:rsidR="002D68F3" w:rsidRPr="00181EF3" w:rsidRDefault="002D68F3" w:rsidP="00E830F9">
            <w:pPr>
              <w:pStyle w:val="TableText"/>
              <w:spacing w:before="40" w:after="40"/>
              <w:jc w:val="center"/>
              <w:rPr>
                <w:sz w:val="16"/>
                <w:szCs w:val="16"/>
              </w:rPr>
            </w:pPr>
            <w:r w:rsidRPr="00181EF3">
              <w:rPr>
                <w:sz w:val="16"/>
                <w:szCs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16C7AFE" w14:textId="77777777" w:rsidR="002D68F3" w:rsidRPr="00181EF3" w:rsidRDefault="002D68F3" w:rsidP="00E830F9">
            <w:pPr>
              <w:pStyle w:val="TableText"/>
              <w:spacing w:before="40" w:after="40"/>
              <w:jc w:val="center"/>
              <w:rPr>
                <w:sz w:val="16"/>
                <w:szCs w:val="16"/>
              </w:rPr>
            </w:pPr>
            <w:r w:rsidRPr="00181EF3">
              <w:rPr>
                <w:sz w:val="16"/>
                <w:szCs w:val="16"/>
              </w:rPr>
              <w:t>DS</w:t>
            </w:r>
          </w:p>
        </w:tc>
      </w:tr>
    </w:tbl>
    <w:p w14:paraId="4F4BBE1D" w14:textId="77777777" w:rsidR="00062616" w:rsidRDefault="00062616" w:rsidP="00062616">
      <w:pPr>
        <w:pStyle w:val="Note"/>
      </w:pPr>
      <w:r w:rsidRPr="00181EF3">
        <w:t>Note</w:t>
      </w:r>
      <w:r>
        <w:t>s</w:t>
      </w:r>
      <w:r w:rsidRPr="00181EF3">
        <w:t>:</w:t>
      </w:r>
    </w:p>
    <w:p w14:paraId="42EEEA75" w14:textId="702D49F0" w:rsidR="008A5642" w:rsidRDefault="00446D86" w:rsidP="00062616">
      <w:pPr>
        <w:pStyle w:val="Note"/>
      </w:pPr>
      <w:r>
        <w:t>Figures are age-standardised to the 2001 Census total Māori population</w:t>
      </w:r>
      <w:r w:rsidR="00062616" w:rsidRPr="00181EF3">
        <w:t>.</w:t>
      </w:r>
    </w:p>
    <w:p w14:paraId="6BE0DF6D" w14:textId="13691FA0" w:rsidR="00062616" w:rsidRPr="00181EF3" w:rsidRDefault="00062616" w:rsidP="00062616">
      <w:pPr>
        <w:pStyle w:val="Note"/>
      </w:pPr>
      <w:r>
        <w:t>Prioritised ethnicity has been used.</w:t>
      </w:r>
    </w:p>
    <w:p w14:paraId="2CE84C37" w14:textId="77777777" w:rsidR="00062616" w:rsidRPr="00181EF3" w:rsidRDefault="00062616" w:rsidP="00062616">
      <w:pPr>
        <w:pStyle w:val="Source"/>
        <w:rPr>
          <w:rFonts w:eastAsia="Calibri"/>
        </w:rPr>
      </w:pPr>
      <w:r w:rsidRPr="00181EF3">
        <w:rPr>
          <w:rFonts w:eastAsia="Calibri"/>
        </w:rPr>
        <w:t>Source: Mortality Collection Data Set (MORT), Ministry of Health</w:t>
      </w:r>
      <w:r>
        <w:rPr>
          <w:rFonts w:eastAsia="Calibri"/>
        </w:rPr>
        <w:t xml:space="preserve">, </w:t>
      </w:r>
      <w:r w:rsidRPr="00181EF3">
        <w:t>1996–98 to 2012–14</w:t>
      </w:r>
      <w:r w:rsidRPr="00181EF3">
        <w:rPr>
          <w:rFonts w:eastAsia="Calibri"/>
        </w:rPr>
        <w:t>.</w:t>
      </w:r>
    </w:p>
    <w:p w14:paraId="66C097F2" w14:textId="77777777" w:rsidR="002D68F3" w:rsidRPr="00181EF3" w:rsidRDefault="002D68F3" w:rsidP="002D68F3"/>
    <w:p w14:paraId="05920113" w14:textId="6FF5815F" w:rsidR="002D68F3" w:rsidRPr="00181EF3" w:rsidRDefault="002D68F3" w:rsidP="002D68F3">
      <w:r w:rsidRPr="00181EF3">
        <w:t>Table 2</w:t>
      </w:r>
      <w:r w:rsidR="00062616">
        <w:t>6</w:t>
      </w:r>
      <w:r w:rsidRPr="00181EF3">
        <w:t xml:space="preserve"> shows the three leading unintentional injury mortality categories for Māori and </w:t>
      </w:r>
      <w:r w:rsidR="00EC03A3">
        <w:t>non</w:t>
      </w:r>
      <w:r w:rsidR="00EC03A3">
        <w:noBreakHyphen/>
        <w:t>M</w:t>
      </w:r>
      <w:r w:rsidRPr="00181EF3">
        <w:t>āori males aged 0–14 years ranked by age-standardised rates.</w:t>
      </w:r>
    </w:p>
    <w:p w14:paraId="4D3FE76E" w14:textId="77777777" w:rsidR="002D68F3" w:rsidRPr="00181EF3" w:rsidRDefault="002D68F3" w:rsidP="002D68F3"/>
    <w:p w14:paraId="279E4346" w14:textId="2E82B36B" w:rsidR="002D68F3" w:rsidRPr="00181EF3" w:rsidRDefault="002D68F3" w:rsidP="002D68F3">
      <w:r w:rsidRPr="00181EF3">
        <w:t xml:space="preserve">Motor vehicle accidents </w:t>
      </w:r>
      <w:r w:rsidR="00784D02" w:rsidRPr="00181EF3">
        <w:t xml:space="preserve">(MV) </w:t>
      </w:r>
      <w:r w:rsidRPr="00181EF3">
        <w:t>was the leading category for Māori males aged 0–14 years between 1996–98 and 2000</w:t>
      </w:r>
      <w:r w:rsidR="00784D02" w:rsidRPr="00181EF3">
        <w:t>–</w:t>
      </w:r>
      <w:r w:rsidRPr="00181EF3">
        <w:t>02 and again in 2002</w:t>
      </w:r>
      <w:r w:rsidR="00784D02" w:rsidRPr="00181EF3">
        <w:t>–</w:t>
      </w:r>
      <w:r w:rsidRPr="00181EF3">
        <w:t>04 to 2004</w:t>
      </w:r>
      <w:r w:rsidR="00784D02" w:rsidRPr="00181EF3">
        <w:t>–</w:t>
      </w:r>
      <w:r w:rsidRPr="00181EF3">
        <w:t>06. Suffocation (SF) was the leading category in 2001–03 and between 2005–07 and 2012–14. Drowning and submersions (DS) and thermal injury (TI) were the other categories that made up the three leading causes of unintentional injury for Māori males aged 0–14 years.</w:t>
      </w:r>
    </w:p>
    <w:p w14:paraId="7D87A5E0" w14:textId="77777777" w:rsidR="002D68F3" w:rsidRPr="00181EF3" w:rsidRDefault="002D68F3" w:rsidP="002D68F3"/>
    <w:p w14:paraId="57F36D39" w14:textId="06141C9A" w:rsidR="002D68F3" w:rsidRPr="00181EF3" w:rsidRDefault="002D68F3" w:rsidP="002D68F3">
      <w:r w:rsidRPr="00181EF3">
        <w:t xml:space="preserve">Motor vehicle accidents was the leading category for </w:t>
      </w:r>
      <w:r w:rsidR="00EC03A3">
        <w:t>non</w:t>
      </w:r>
      <w:r w:rsidR="00EC03A3">
        <w:noBreakHyphen/>
        <w:t>M</w:t>
      </w:r>
      <w:r w:rsidRPr="00181EF3">
        <w:t xml:space="preserve">āori males aged 0–14 years between 1996–98 and 2007–09 and again in 2010–12 to 2012–14. Suffocation was the leading category in 2008–10 and 2009–11. Drowning and submersions was the other leading category for </w:t>
      </w:r>
      <w:r w:rsidR="00EC03A3">
        <w:t>non</w:t>
      </w:r>
      <w:r w:rsidR="00EC03A3">
        <w:noBreakHyphen/>
        <w:t>M</w:t>
      </w:r>
      <w:r w:rsidRPr="00181EF3">
        <w:t>āori males aged 0–14 years.</w:t>
      </w:r>
    </w:p>
    <w:p w14:paraId="30B1FE72" w14:textId="77777777" w:rsidR="002D68F3" w:rsidRPr="00181EF3" w:rsidRDefault="002D68F3" w:rsidP="002D68F3"/>
    <w:p w14:paraId="377B33FB" w14:textId="4C8AAD37" w:rsidR="002D68F3" w:rsidRPr="00181EF3" w:rsidRDefault="002D68F3" w:rsidP="002D68F3">
      <w:r w:rsidRPr="00181EF3">
        <w:t>Thermal Injury (third in 1997–98, 1999–01 and 2000</w:t>
      </w:r>
      <w:r w:rsidR="00784D02" w:rsidRPr="00181EF3">
        <w:t>–</w:t>
      </w:r>
      <w:r w:rsidRPr="00181EF3">
        <w:t xml:space="preserve">02) was one of the leading categories for Māori males aged 0–14 years but did not occur in the three leading categories for </w:t>
      </w:r>
      <w:r w:rsidR="00EC03A3">
        <w:t>non</w:t>
      </w:r>
      <w:r w:rsidR="00EC03A3">
        <w:noBreakHyphen/>
        <w:t>M</w:t>
      </w:r>
      <w:r w:rsidRPr="00181EF3">
        <w:t>āori males in the same age group.</w:t>
      </w:r>
    </w:p>
    <w:p w14:paraId="0C85F27D" w14:textId="77777777" w:rsidR="002D68F3" w:rsidRPr="00181EF3" w:rsidRDefault="002D68F3" w:rsidP="002D68F3"/>
    <w:p w14:paraId="65B1BA6C" w14:textId="77777777" w:rsidR="002D68F3" w:rsidRPr="00181EF3" w:rsidRDefault="002D68F3" w:rsidP="005B55FD">
      <w:pPr>
        <w:pStyle w:val="Heading3"/>
        <w:pageBreakBefore/>
        <w:spacing w:before="0"/>
      </w:pPr>
      <w:bookmarkStart w:id="359" w:name="_Toc19102428"/>
      <w:r w:rsidRPr="00181EF3">
        <w:lastRenderedPageBreak/>
        <w:t>Unintentional injury mortality rankings for males</w:t>
      </w:r>
      <w:r w:rsidR="00062616">
        <w:t xml:space="preserve"> </w:t>
      </w:r>
      <w:r w:rsidRPr="00181EF3">
        <w:t>aged 15–64 years</w:t>
      </w:r>
      <w:bookmarkEnd w:id="359"/>
    </w:p>
    <w:p w14:paraId="6E49A27D" w14:textId="60B15DD4" w:rsidR="002D68F3" w:rsidRPr="00181EF3" w:rsidRDefault="002D68F3" w:rsidP="002D68F3">
      <w:pPr>
        <w:pStyle w:val="Table"/>
      </w:pPr>
      <w:bookmarkStart w:id="360" w:name="_Toc18594767"/>
      <w:r w:rsidRPr="00181EF3">
        <w:t xml:space="preserve">Table </w:t>
      </w:r>
      <w:r w:rsidR="00062616">
        <w:t>27</w:t>
      </w:r>
      <w:r w:rsidRPr="00181EF3">
        <w:t xml:space="preserve">: </w:t>
      </w:r>
      <w:r w:rsidR="00062616" w:rsidRPr="00181EF3">
        <w:t xml:space="preserve">Three leading injury mortalities, </w:t>
      </w:r>
      <w:r w:rsidR="00062616">
        <w:t xml:space="preserve">ranked </w:t>
      </w:r>
      <w:r w:rsidR="00062616" w:rsidRPr="00181EF3">
        <w:t xml:space="preserve">by age-standardised rates, </w:t>
      </w:r>
      <w:r w:rsidR="00062616">
        <w:t>15</w:t>
      </w:r>
      <w:r w:rsidR="00062616" w:rsidRPr="00181EF3">
        <w:t>–</w:t>
      </w:r>
      <w:r w:rsidR="00062616">
        <w:t>6</w:t>
      </w:r>
      <w:r w:rsidR="00062616" w:rsidRPr="00181EF3">
        <w:t>4 years</w:t>
      </w:r>
      <w:r w:rsidR="00062616">
        <w:t xml:space="preserve">, </w:t>
      </w:r>
      <w:r w:rsidR="00062616" w:rsidRPr="00181EF3">
        <w:t xml:space="preserve">Māori and </w:t>
      </w:r>
      <w:r w:rsidR="00EC03A3">
        <w:t>non</w:t>
      </w:r>
      <w:r w:rsidR="00EC03A3">
        <w:noBreakHyphen/>
        <w:t>M</w:t>
      </w:r>
      <w:r w:rsidR="00062616" w:rsidRPr="00181EF3">
        <w:t>āori</w:t>
      </w:r>
      <w:r w:rsidR="00784D02">
        <w:t xml:space="preserve"> males</w:t>
      </w:r>
      <w:bookmarkEnd w:id="360"/>
    </w:p>
    <w:tbl>
      <w:tblPr>
        <w:tblW w:w="8080" w:type="dxa"/>
        <w:tblInd w:w="57" w:type="dxa"/>
        <w:tblLayout w:type="fixed"/>
        <w:tblCellMar>
          <w:left w:w="57" w:type="dxa"/>
          <w:right w:w="57" w:type="dxa"/>
        </w:tblCellMar>
        <w:tblLook w:val="04A0" w:firstRow="1" w:lastRow="0" w:firstColumn="1" w:lastColumn="0" w:noHBand="0" w:noVBand="1"/>
      </w:tblPr>
      <w:tblGrid>
        <w:gridCol w:w="567"/>
        <w:gridCol w:w="426"/>
        <w:gridCol w:w="416"/>
        <w:gridCol w:w="417"/>
        <w:gridCol w:w="417"/>
        <w:gridCol w:w="417"/>
        <w:gridCol w:w="417"/>
        <w:gridCol w:w="417"/>
        <w:gridCol w:w="417"/>
        <w:gridCol w:w="417"/>
        <w:gridCol w:w="416"/>
        <w:gridCol w:w="417"/>
        <w:gridCol w:w="417"/>
        <w:gridCol w:w="417"/>
        <w:gridCol w:w="417"/>
        <w:gridCol w:w="417"/>
        <w:gridCol w:w="417"/>
        <w:gridCol w:w="417"/>
        <w:gridCol w:w="417"/>
      </w:tblGrid>
      <w:tr w:rsidR="002D68F3" w:rsidRPr="00181EF3" w14:paraId="7A2A41A1" w14:textId="77777777" w:rsidTr="00E830F9">
        <w:trPr>
          <w:cantSplit/>
          <w:trHeight w:val="365"/>
        </w:trPr>
        <w:tc>
          <w:tcPr>
            <w:tcW w:w="567" w:type="dxa"/>
            <w:vMerge w:val="restart"/>
            <w:tcBorders>
              <w:left w:val="nil"/>
            </w:tcBorders>
            <w:shd w:val="clear" w:color="auto" w:fill="D9D9D9" w:themeFill="background1" w:themeFillShade="D9"/>
          </w:tcPr>
          <w:p w14:paraId="19EB8CC6" w14:textId="77777777" w:rsidR="002D68F3" w:rsidRPr="00181EF3" w:rsidRDefault="002D68F3" w:rsidP="00E830F9">
            <w:pPr>
              <w:pStyle w:val="TableText"/>
              <w:spacing w:before="40" w:after="40"/>
              <w:rPr>
                <w:b/>
                <w:sz w:val="16"/>
                <w:szCs w:val="16"/>
              </w:rPr>
            </w:pPr>
          </w:p>
        </w:tc>
        <w:tc>
          <w:tcPr>
            <w:tcW w:w="426" w:type="dxa"/>
            <w:vMerge w:val="restart"/>
            <w:shd w:val="clear" w:color="auto" w:fill="D9D9D9" w:themeFill="background1" w:themeFillShade="D9"/>
            <w:textDirection w:val="btLr"/>
            <w:vAlign w:val="center"/>
          </w:tcPr>
          <w:p w14:paraId="7C84490A" w14:textId="77777777" w:rsidR="002D68F3" w:rsidRPr="00181EF3" w:rsidRDefault="002D68F3" w:rsidP="00E830F9">
            <w:pPr>
              <w:pStyle w:val="TableText"/>
              <w:spacing w:before="40" w:after="40"/>
              <w:ind w:left="113"/>
              <w:rPr>
                <w:b/>
                <w:sz w:val="16"/>
                <w:szCs w:val="16"/>
              </w:rPr>
            </w:pPr>
            <w:r w:rsidRPr="00181EF3">
              <w:rPr>
                <w:b/>
                <w:sz w:val="16"/>
                <w:szCs w:val="16"/>
              </w:rPr>
              <w:t>Ranking</w:t>
            </w:r>
          </w:p>
        </w:tc>
        <w:tc>
          <w:tcPr>
            <w:tcW w:w="7087" w:type="dxa"/>
            <w:gridSpan w:val="17"/>
            <w:shd w:val="clear" w:color="auto" w:fill="D9D9D9" w:themeFill="background1" w:themeFillShade="D9"/>
          </w:tcPr>
          <w:p w14:paraId="79F2FEEA" w14:textId="77777777" w:rsidR="002D68F3" w:rsidRPr="00181EF3" w:rsidRDefault="002D68F3" w:rsidP="00E830F9">
            <w:pPr>
              <w:pStyle w:val="TableText"/>
              <w:spacing w:before="40" w:after="40"/>
              <w:jc w:val="center"/>
              <w:rPr>
                <w:b/>
                <w:sz w:val="16"/>
                <w:szCs w:val="16"/>
              </w:rPr>
            </w:pPr>
            <w:r w:rsidRPr="00181EF3">
              <w:rPr>
                <w:b/>
                <w:sz w:val="16"/>
                <w:szCs w:val="16"/>
              </w:rPr>
              <w:t>Year</w:t>
            </w:r>
          </w:p>
        </w:tc>
      </w:tr>
      <w:tr w:rsidR="002D68F3" w:rsidRPr="00181EF3" w14:paraId="116FF3F0" w14:textId="77777777" w:rsidTr="00E830F9">
        <w:trPr>
          <w:cantSplit/>
          <w:trHeight w:val="851"/>
        </w:trPr>
        <w:tc>
          <w:tcPr>
            <w:tcW w:w="567" w:type="dxa"/>
            <w:vMerge/>
            <w:tcBorders>
              <w:left w:val="nil"/>
            </w:tcBorders>
            <w:shd w:val="clear" w:color="auto" w:fill="D9D9D9" w:themeFill="background1" w:themeFillShade="D9"/>
          </w:tcPr>
          <w:p w14:paraId="4224A99C" w14:textId="77777777" w:rsidR="002D68F3" w:rsidRPr="00181EF3" w:rsidRDefault="002D68F3" w:rsidP="00E830F9">
            <w:pPr>
              <w:pStyle w:val="TableText"/>
              <w:spacing w:before="40" w:after="40"/>
              <w:rPr>
                <w:b/>
                <w:sz w:val="16"/>
                <w:szCs w:val="16"/>
              </w:rPr>
            </w:pPr>
          </w:p>
        </w:tc>
        <w:tc>
          <w:tcPr>
            <w:tcW w:w="426" w:type="dxa"/>
            <w:vMerge/>
            <w:shd w:val="clear" w:color="auto" w:fill="D9D9D9" w:themeFill="background1" w:themeFillShade="D9"/>
          </w:tcPr>
          <w:p w14:paraId="138BA3B6" w14:textId="77777777" w:rsidR="002D68F3" w:rsidRPr="00181EF3" w:rsidRDefault="002D68F3" w:rsidP="00E830F9">
            <w:pPr>
              <w:pStyle w:val="TableText"/>
              <w:spacing w:before="40" w:after="40"/>
              <w:jc w:val="center"/>
              <w:rPr>
                <w:b/>
                <w:sz w:val="16"/>
                <w:szCs w:val="16"/>
              </w:rPr>
            </w:pPr>
          </w:p>
        </w:tc>
        <w:tc>
          <w:tcPr>
            <w:tcW w:w="416" w:type="dxa"/>
            <w:shd w:val="clear" w:color="auto" w:fill="D9D9D9" w:themeFill="background1" w:themeFillShade="D9"/>
            <w:textDirection w:val="btLr"/>
            <w:vAlign w:val="center"/>
          </w:tcPr>
          <w:p w14:paraId="6F142F04" w14:textId="77777777" w:rsidR="002D68F3" w:rsidRPr="00181EF3" w:rsidRDefault="002D68F3" w:rsidP="00E830F9">
            <w:pPr>
              <w:pStyle w:val="TableText"/>
              <w:spacing w:before="0" w:after="0"/>
              <w:ind w:left="113"/>
              <w:rPr>
                <w:b/>
                <w:sz w:val="16"/>
                <w:szCs w:val="16"/>
              </w:rPr>
            </w:pPr>
            <w:r w:rsidRPr="00181EF3">
              <w:rPr>
                <w:b/>
                <w:sz w:val="16"/>
                <w:szCs w:val="16"/>
              </w:rPr>
              <w:t>1996–98</w:t>
            </w:r>
          </w:p>
        </w:tc>
        <w:tc>
          <w:tcPr>
            <w:tcW w:w="417" w:type="dxa"/>
            <w:shd w:val="clear" w:color="auto" w:fill="D9D9D9" w:themeFill="background1" w:themeFillShade="D9"/>
            <w:textDirection w:val="btLr"/>
            <w:vAlign w:val="center"/>
          </w:tcPr>
          <w:p w14:paraId="745CAB9B" w14:textId="77777777" w:rsidR="002D68F3" w:rsidRPr="00181EF3" w:rsidRDefault="002D68F3" w:rsidP="00E830F9">
            <w:pPr>
              <w:pStyle w:val="TableText"/>
              <w:spacing w:before="0" w:after="0"/>
              <w:ind w:left="113"/>
              <w:rPr>
                <w:b/>
                <w:sz w:val="16"/>
                <w:szCs w:val="16"/>
              </w:rPr>
            </w:pPr>
            <w:r w:rsidRPr="00181EF3">
              <w:rPr>
                <w:b/>
                <w:sz w:val="16"/>
                <w:szCs w:val="16"/>
              </w:rPr>
              <w:t>1997–99</w:t>
            </w:r>
          </w:p>
        </w:tc>
        <w:tc>
          <w:tcPr>
            <w:tcW w:w="417" w:type="dxa"/>
            <w:shd w:val="clear" w:color="auto" w:fill="D9D9D9" w:themeFill="background1" w:themeFillShade="D9"/>
            <w:textDirection w:val="btLr"/>
            <w:vAlign w:val="center"/>
          </w:tcPr>
          <w:p w14:paraId="22303C97" w14:textId="77777777" w:rsidR="002D68F3" w:rsidRPr="00181EF3" w:rsidRDefault="002D68F3" w:rsidP="00E830F9">
            <w:pPr>
              <w:pStyle w:val="TableText"/>
              <w:spacing w:before="0" w:after="0"/>
              <w:ind w:left="113"/>
              <w:rPr>
                <w:b/>
                <w:sz w:val="16"/>
                <w:szCs w:val="16"/>
              </w:rPr>
            </w:pPr>
            <w:r w:rsidRPr="00181EF3">
              <w:rPr>
                <w:b/>
                <w:sz w:val="16"/>
                <w:szCs w:val="16"/>
              </w:rPr>
              <w:t>1998-00</w:t>
            </w:r>
          </w:p>
        </w:tc>
        <w:tc>
          <w:tcPr>
            <w:tcW w:w="417" w:type="dxa"/>
            <w:shd w:val="clear" w:color="auto" w:fill="D9D9D9" w:themeFill="background1" w:themeFillShade="D9"/>
            <w:textDirection w:val="btLr"/>
            <w:vAlign w:val="center"/>
          </w:tcPr>
          <w:p w14:paraId="2F913A42" w14:textId="77777777" w:rsidR="002D68F3" w:rsidRPr="00181EF3" w:rsidRDefault="002D68F3" w:rsidP="00E830F9">
            <w:pPr>
              <w:pStyle w:val="TableText"/>
              <w:spacing w:before="0" w:after="0"/>
              <w:ind w:left="113"/>
              <w:rPr>
                <w:b/>
                <w:sz w:val="16"/>
                <w:szCs w:val="16"/>
              </w:rPr>
            </w:pPr>
            <w:r w:rsidRPr="00181EF3">
              <w:rPr>
                <w:b/>
                <w:sz w:val="16"/>
                <w:szCs w:val="16"/>
              </w:rPr>
              <w:t>1999–01</w:t>
            </w:r>
          </w:p>
        </w:tc>
        <w:tc>
          <w:tcPr>
            <w:tcW w:w="417" w:type="dxa"/>
            <w:shd w:val="clear" w:color="auto" w:fill="D9D9D9" w:themeFill="background1" w:themeFillShade="D9"/>
            <w:textDirection w:val="btLr"/>
            <w:vAlign w:val="center"/>
          </w:tcPr>
          <w:p w14:paraId="7174C1CD" w14:textId="77777777" w:rsidR="002D68F3" w:rsidRPr="00181EF3" w:rsidRDefault="002D68F3" w:rsidP="00E830F9">
            <w:pPr>
              <w:pStyle w:val="TableText"/>
              <w:spacing w:before="0" w:after="0"/>
              <w:ind w:left="113"/>
              <w:rPr>
                <w:b/>
                <w:sz w:val="16"/>
                <w:szCs w:val="16"/>
              </w:rPr>
            </w:pPr>
            <w:r w:rsidRPr="00181EF3">
              <w:rPr>
                <w:b/>
                <w:sz w:val="16"/>
                <w:szCs w:val="16"/>
              </w:rPr>
              <w:t>2000-02</w:t>
            </w:r>
          </w:p>
        </w:tc>
        <w:tc>
          <w:tcPr>
            <w:tcW w:w="417" w:type="dxa"/>
            <w:shd w:val="clear" w:color="auto" w:fill="D9D9D9" w:themeFill="background1" w:themeFillShade="D9"/>
            <w:textDirection w:val="btLr"/>
            <w:vAlign w:val="center"/>
          </w:tcPr>
          <w:p w14:paraId="273BCEC9" w14:textId="77777777" w:rsidR="002D68F3" w:rsidRPr="00181EF3" w:rsidRDefault="002D68F3" w:rsidP="00E830F9">
            <w:pPr>
              <w:pStyle w:val="TableText"/>
              <w:spacing w:before="0" w:after="0"/>
              <w:ind w:left="113"/>
              <w:rPr>
                <w:b/>
                <w:sz w:val="16"/>
                <w:szCs w:val="16"/>
              </w:rPr>
            </w:pPr>
            <w:r w:rsidRPr="00181EF3">
              <w:rPr>
                <w:b/>
                <w:sz w:val="16"/>
                <w:szCs w:val="16"/>
              </w:rPr>
              <w:t>2001–03</w:t>
            </w:r>
          </w:p>
        </w:tc>
        <w:tc>
          <w:tcPr>
            <w:tcW w:w="417" w:type="dxa"/>
            <w:shd w:val="clear" w:color="auto" w:fill="D9D9D9" w:themeFill="background1" w:themeFillShade="D9"/>
            <w:textDirection w:val="btLr"/>
            <w:vAlign w:val="center"/>
          </w:tcPr>
          <w:p w14:paraId="3C78AB7E" w14:textId="77777777" w:rsidR="002D68F3" w:rsidRPr="00181EF3" w:rsidRDefault="002D68F3" w:rsidP="00E830F9">
            <w:pPr>
              <w:pStyle w:val="TableText"/>
              <w:spacing w:before="0" w:after="0"/>
              <w:ind w:left="113"/>
              <w:rPr>
                <w:b/>
                <w:sz w:val="16"/>
                <w:szCs w:val="16"/>
              </w:rPr>
            </w:pPr>
            <w:r w:rsidRPr="00181EF3">
              <w:rPr>
                <w:b/>
                <w:sz w:val="16"/>
                <w:szCs w:val="16"/>
              </w:rPr>
              <w:t>2002-04</w:t>
            </w:r>
          </w:p>
        </w:tc>
        <w:tc>
          <w:tcPr>
            <w:tcW w:w="417" w:type="dxa"/>
            <w:shd w:val="clear" w:color="auto" w:fill="D9D9D9" w:themeFill="background1" w:themeFillShade="D9"/>
            <w:textDirection w:val="btLr"/>
            <w:vAlign w:val="center"/>
          </w:tcPr>
          <w:p w14:paraId="7C57DCA2" w14:textId="77777777" w:rsidR="002D68F3" w:rsidRPr="00181EF3" w:rsidRDefault="002D68F3" w:rsidP="00E830F9">
            <w:pPr>
              <w:pStyle w:val="TableText"/>
              <w:spacing w:before="0" w:after="0"/>
              <w:ind w:left="113"/>
              <w:rPr>
                <w:b/>
                <w:sz w:val="16"/>
                <w:szCs w:val="16"/>
              </w:rPr>
            </w:pPr>
            <w:r w:rsidRPr="00181EF3">
              <w:rPr>
                <w:b/>
                <w:sz w:val="16"/>
                <w:szCs w:val="16"/>
              </w:rPr>
              <w:t>2003-05</w:t>
            </w:r>
          </w:p>
        </w:tc>
        <w:tc>
          <w:tcPr>
            <w:tcW w:w="416" w:type="dxa"/>
            <w:shd w:val="clear" w:color="auto" w:fill="D9D9D9" w:themeFill="background1" w:themeFillShade="D9"/>
            <w:textDirection w:val="btLr"/>
            <w:vAlign w:val="center"/>
          </w:tcPr>
          <w:p w14:paraId="51B82737" w14:textId="77777777" w:rsidR="002D68F3" w:rsidRPr="00181EF3" w:rsidRDefault="002D68F3" w:rsidP="00E830F9">
            <w:pPr>
              <w:pStyle w:val="TableText"/>
              <w:spacing w:before="0" w:after="0"/>
              <w:ind w:left="113"/>
              <w:rPr>
                <w:b/>
                <w:sz w:val="16"/>
                <w:szCs w:val="16"/>
              </w:rPr>
            </w:pPr>
            <w:r w:rsidRPr="00181EF3">
              <w:rPr>
                <w:b/>
                <w:sz w:val="16"/>
                <w:szCs w:val="16"/>
              </w:rPr>
              <w:t>2004-06</w:t>
            </w:r>
          </w:p>
        </w:tc>
        <w:tc>
          <w:tcPr>
            <w:tcW w:w="417" w:type="dxa"/>
            <w:shd w:val="clear" w:color="auto" w:fill="D9D9D9" w:themeFill="background1" w:themeFillShade="D9"/>
            <w:textDirection w:val="btLr"/>
            <w:vAlign w:val="center"/>
          </w:tcPr>
          <w:p w14:paraId="20C54645" w14:textId="77777777" w:rsidR="002D68F3" w:rsidRPr="00181EF3" w:rsidRDefault="002D68F3" w:rsidP="00E830F9">
            <w:pPr>
              <w:pStyle w:val="TableText"/>
              <w:spacing w:before="0" w:after="0"/>
              <w:ind w:left="113"/>
              <w:rPr>
                <w:b/>
                <w:sz w:val="16"/>
                <w:szCs w:val="16"/>
              </w:rPr>
            </w:pPr>
            <w:r w:rsidRPr="00181EF3">
              <w:rPr>
                <w:b/>
                <w:sz w:val="16"/>
                <w:szCs w:val="16"/>
              </w:rPr>
              <w:t>2005–07</w:t>
            </w:r>
          </w:p>
        </w:tc>
        <w:tc>
          <w:tcPr>
            <w:tcW w:w="417" w:type="dxa"/>
            <w:shd w:val="clear" w:color="auto" w:fill="D9D9D9" w:themeFill="background1" w:themeFillShade="D9"/>
            <w:textDirection w:val="btLr"/>
            <w:vAlign w:val="center"/>
          </w:tcPr>
          <w:p w14:paraId="4B257E03" w14:textId="77777777" w:rsidR="002D68F3" w:rsidRPr="00181EF3" w:rsidRDefault="002D68F3" w:rsidP="00E830F9">
            <w:pPr>
              <w:pStyle w:val="TableText"/>
              <w:spacing w:before="0" w:after="0"/>
              <w:ind w:left="113"/>
              <w:rPr>
                <w:b/>
                <w:sz w:val="16"/>
                <w:szCs w:val="16"/>
              </w:rPr>
            </w:pPr>
            <w:r w:rsidRPr="00181EF3">
              <w:rPr>
                <w:b/>
                <w:sz w:val="16"/>
                <w:szCs w:val="16"/>
              </w:rPr>
              <w:t>2006–08</w:t>
            </w:r>
          </w:p>
        </w:tc>
        <w:tc>
          <w:tcPr>
            <w:tcW w:w="417" w:type="dxa"/>
            <w:shd w:val="clear" w:color="auto" w:fill="D9D9D9" w:themeFill="background1" w:themeFillShade="D9"/>
            <w:textDirection w:val="btLr"/>
            <w:vAlign w:val="center"/>
          </w:tcPr>
          <w:p w14:paraId="786014B9" w14:textId="77777777" w:rsidR="002D68F3" w:rsidRPr="00181EF3" w:rsidRDefault="002D68F3" w:rsidP="00E830F9">
            <w:pPr>
              <w:pStyle w:val="TableText"/>
              <w:spacing w:before="0" w:after="0"/>
              <w:ind w:left="113"/>
              <w:rPr>
                <w:b/>
                <w:sz w:val="16"/>
                <w:szCs w:val="16"/>
              </w:rPr>
            </w:pPr>
            <w:r w:rsidRPr="00181EF3">
              <w:rPr>
                <w:b/>
                <w:sz w:val="16"/>
                <w:szCs w:val="16"/>
              </w:rPr>
              <w:t>2007–09</w:t>
            </w:r>
          </w:p>
        </w:tc>
        <w:tc>
          <w:tcPr>
            <w:tcW w:w="417" w:type="dxa"/>
            <w:shd w:val="clear" w:color="auto" w:fill="D9D9D9" w:themeFill="background1" w:themeFillShade="D9"/>
            <w:textDirection w:val="btLr"/>
            <w:vAlign w:val="center"/>
          </w:tcPr>
          <w:p w14:paraId="19080308" w14:textId="77777777" w:rsidR="002D68F3" w:rsidRPr="00181EF3" w:rsidRDefault="002D68F3" w:rsidP="00E830F9">
            <w:pPr>
              <w:pStyle w:val="TableText"/>
              <w:spacing w:before="0" w:after="0"/>
              <w:ind w:left="113"/>
              <w:rPr>
                <w:b/>
                <w:sz w:val="16"/>
                <w:szCs w:val="16"/>
              </w:rPr>
            </w:pPr>
            <w:r w:rsidRPr="00181EF3">
              <w:rPr>
                <w:b/>
                <w:sz w:val="16"/>
                <w:szCs w:val="16"/>
              </w:rPr>
              <w:t>2008–10</w:t>
            </w:r>
          </w:p>
        </w:tc>
        <w:tc>
          <w:tcPr>
            <w:tcW w:w="417" w:type="dxa"/>
            <w:shd w:val="clear" w:color="auto" w:fill="D9D9D9" w:themeFill="background1" w:themeFillShade="D9"/>
            <w:textDirection w:val="btLr"/>
            <w:vAlign w:val="center"/>
          </w:tcPr>
          <w:p w14:paraId="63690D44" w14:textId="77777777" w:rsidR="002D68F3" w:rsidRPr="00181EF3" w:rsidRDefault="002D68F3" w:rsidP="00E830F9">
            <w:pPr>
              <w:pStyle w:val="TableText"/>
              <w:spacing w:before="0" w:after="0"/>
              <w:ind w:left="113"/>
              <w:rPr>
                <w:b/>
                <w:sz w:val="16"/>
                <w:szCs w:val="16"/>
              </w:rPr>
            </w:pPr>
            <w:r w:rsidRPr="00181EF3">
              <w:rPr>
                <w:b/>
                <w:sz w:val="16"/>
                <w:szCs w:val="16"/>
              </w:rPr>
              <w:t>2009–11</w:t>
            </w:r>
          </w:p>
        </w:tc>
        <w:tc>
          <w:tcPr>
            <w:tcW w:w="417" w:type="dxa"/>
            <w:shd w:val="clear" w:color="auto" w:fill="D9D9D9" w:themeFill="background1" w:themeFillShade="D9"/>
            <w:textDirection w:val="btLr"/>
            <w:vAlign w:val="center"/>
          </w:tcPr>
          <w:p w14:paraId="502ECEDB" w14:textId="77777777" w:rsidR="002D68F3" w:rsidRPr="00181EF3" w:rsidRDefault="002D68F3" w:rsidP="00E830F9">
            <w:pPr>
              <w:pStyle w:val="TableText"/>
              <w:spacing w:before="0" w:after="0"/>
              <w:ind w:left="113"/>
              <w:rPr>
                <w:b/>
                <w:sz w:val="16"/>
                <w:szCs w:val="16"/>
              </w:rPr>
            </w:pPr>
            <w:r w:rsidRPr="00181EF3">
              <w:rPr>
                <w:b/>
                <w:sz w:val="16"/>
                <w:szCs w:val="16"/>
              </w:rPr>
              <w:t>2010–12</w:t>
            </w:r>
          </w:p>
        </w:tc>
        <w:tc>
          <w:tcPr>
            <w:tcW w:w="417" w:type="dxa"/>
            <w:shd w:val="clear" w:color="auto" w:fill="D9D9D9" w:themeFill="background1" w:themeFillShade="D9"/>
            <w:textDirection w:val="btLr"/>
            <w:vAlign w:val="center"/>
          </w:tcPr>
          <w:p w14:paraId="2EC289A4" w14:textId="77777777" w:rsidR="002D68F3" w:rsidRPr="00181EF3" w:rsidRDefault="002D68F3" w:rsidP="00E830F9">
            <w:pPr>
              <w:pStyle w:val="TableText"/>
              <w:spacing w:before="0" w:after="0"/>
              <w:ind w:left="113"/>
              <w:rPr>
                <w:b/>
                <w:sz w:val="16"/>
                <w:szCs w:val="16"/>
              </w:rPr>
            </w:pPr>
            <w:r w:rsidRPr="00181EF3">
              <w:rPr>
                <w:b/>
                <w:sz w:val="16"/>
                <w:szCs w:val="16"/>
              </w:rPr>
              <w:t>2011–13</w:t>
            </w:r>
          </w:p>
        </w:tc>
        <w:tc>
          <w:tcPr>
            <w:tcW w:w="417" w:type="dxa"/>
            <w:shd w:val="clear" w:color="auto" w:fill="D9D9D9" w:themeFill="background1" w:themeFillShade="D9"/>
            <w:textDirection w:val="btLr"/>
            <w:vAlign w:val="center"/>
          </w:tcPr>
          <w:p w14:paraId="7827297F" w14:textId="77777777" w:rsidR="002D68F3" w:rsidRPr="00181EF3" w:rsidRDefault="002D68F3" w:rsidP="00E830F9">
            <w:pPr>
              <w:pStyle w:val="TableText"/>
              <w:spacing w:before="0" w:after="0"/>
              <w:ind w:left="113"/>
              <w:rPr>
                <w:b/>
                <w:sz w:val="16"/>
                <w:szCs w:val="16"/>
              </w:rPr>
            </w:pPr>
            <w:r w:rsidRPr="00181EF3">
              <w:rPr>
                <w:b/>
                <w:sz w:val="16"/>
                <w:szCs w:val="16"/>
              </w:rPr>
              <w:t>2012–14</w:t>
            </w:r>
          </w:p>
        </w:tc>
      </w:tr>
      <w:tr w:rsidR="002D68F3" w:rsidRPr="00181EF3" w14:paraId="0A537F0A" w14:textId="77777777" w:rsidTr="00E830F9">
        <w:trPr>
          <w:cantSplit/>
        </w:trPr>
        <w:tc>
          <w:tcPr>
            <w:tcW w:w="567" w:type="dxa"/>
            <w:vMerge w:val="restart"/>
            <w:tcBorders>
              <w:bottom w:val="single" w:sz="4" w:space="0" w:color="A6A6A6" w:themeColor="background1" w:themeShade="A6"/>
            </w:tcBorders>
            <w:shd w:val="clear" w:color="auto" w:fill="auto"/>
          </w:tcPr>
          <w:p w14:paraId="0EEDE8FA" w14:textId="77777777" w:rsidR="002D68F3" w:rsidRPr="00181EF3" w:rsidRDefault="002D68F3" w:rsidP="00E830F9">
            <w:pPr>
              <w:pStyle w:val="TableText"/>
              <w:spacing w:before="40" w:after="40"/>
              <w:rPr>
                <w:sz w:val="16"/>
                <w:szCs w:val="16"/>
              </w:rPr>
            </w:pPr>
            <w:r w:rsidRPr="00181EF3">
              <w:rPr>
                <w:sz w:val="16"/>
                <w:szCs w:val="16"/>
              </w:rPr>
              <w:t>Māori</w:t>
            </w:r>
          </w:p>
        </w:tc>
        <w:tc>
          <w:tcPr>
            <w:tcW w:w="426" w:type="dxa"/>
            <w:tcBorders>
              <w:bottom w:val="single" w:sz="4" w:space="0" w:color="A6A6A6" w:themeColor="background1" w:themeShade="A6"/>
            </w:tcBorders>
            <w:shd w:val="clear" w:color="auto" w:fill="auto"/>
          </w:tcPr>
          <w:p w14:paraId="580F676E" w14:textId="77777777" w:rsidR="002D68F3" w:rsidRPr="00181EF3" w:rsidRDefault="002D68F3" w:rsidP="00E830F9">
            <w:pPr>
              <w:pStyle w:val="TableText"/>
              <w:spacing w:before="40" w:after="40"/>
              <w:jc w:val="center"/>
              <w:rPr>
                <w:sz w:val="16"/>
                <w:szCs w:val="16"/>
              </w:rPr>
            </w:pPr>
            <w:r w:rsidRPr="00181EF3">
              <w:rPr>
                <w:sz w:val="16"/>
                <w:szCs w:val="16"/>
              </w:rPr>
              <w:t>1</w:t>
            </w:r>
          </w:p>
        </w:tc>
        <w:tc>
          <w:tcPr>
            <w:tcW w:w="416" w:type="dxa"/>
            <w:tcBorders>
              <w:bottom w:val="single" w:sz="4" w:space="0" w:color="A6A6A6" w:themeColor="background1" w:themeShade="A6"/>
            </w:tcBorders>
            <w:shd w:val="clear" w:color="auto" w:fill="auto"/>
          </w:tcPr>
          <w:p w14:paraId="61FFD208"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MV</w:t>
            </w:r>
          </w:p>
        </w:tc>
        <w:tc>
          <w:tcPr>
            <w:tcW w:w="417" w:type="dxa"/>
            <w:tcBorders>
              <w:bottom w:val="single" w:sz="4" w:space="0" w:color="A6A6A6" w:themeColor="background1" w:themeShade="A6"/>
            </w:tcBorders>
            <w:shd w:val="clear" w:color="auto" w:fill="auto"/>
          </w:tcPr>
          <w:p w14:paraId="2E296C67"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MV</w:t>
            </w:r>
          </w:p>
        </w:tc>
        <w:tc>
          <w:tcPr>
            <w:tcW w:w="417" w:type="dxa"/>
            <w:tcBorders>
              <w:bottom w:val="single" w:sz="4" w:space="0" w:color="A6A6A6" w:themeColor="background1" w:themeShade="A6"/>
            </w:tcBorders>
            <w:shd w:val="clear" w:color="auto" w:fill="auto"/>
          </w:tcPr>
          <w:p w14:paraId="063069B0"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MV</w:t>
            </w:r>
          </w:p>
        </w:tc>
        <w:tc>
          <w:tcPr>
            <w:tcW w:w="417" w:type="dxa"/>
            <w:tcBorders>
              <w:bottom w:val="single" w:sz="4" w:space="0" w:color="A6A6A6" w:themeColor="background1" w:themeShade="A6"/>
            </w:tcBorders>
            <w:shd w:val="clear" w:color="auto" w:fill="auto"/>
          </w:tcPr>
          <w:p w14:paraId="0A53363E"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MV</w:t>
            </w:r>
          </w:p>
        </w:tc>
        <w:tc>
          <w:tcPr>
            <w:tcW w:w="417" w:type="dxa"/>
            <w:tcBorders>
              <w:bottom w:val="single" w:sz="4" w:space="0" w:color="A6A6A6" w:themeColor="background1" w:themeShade="A6"/>
            </w:tcBorders>
            <w:shd w:val="clear" w:color="auto" w:fill="auto"/>
          </w:tcPr>
          <w:p w14:paraId="3554AFEE"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MV</w:t>
            </w:r>
          </w:p>
        </w:tc>
        <w:tc>
          <w:tcPr>
            <w:tcW w:w="417" w:type="dxa"/>
            <w:tcBorders>
              <w:bottom w:val="single" w:sz="4" w:space="0" w:color="A6A6A6" w:themeColor="background1" w:themeShade="A6"/>
            </w:tcBorders>
            <w:shd w:val="clear" w:color="auto" w:fill="auto"/>
          </w:tcPr>
          <w:p w14:paraId="0CEE1B46"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MV</w:t>
            </w:r>
          </w:p>
        </w:tc>
        <w:tc>
          <w:tcPr>
            <w:tcW w:w="417" w:type="dxa"/>
            <w:tcBorders>
              <w:bottom w:val="single" w:sz="4" w:space="0" w:color="A6A6A6" w:themeColor="background1" w:themeShade="A6"/>
            </w:tcBorders>
            <w:shd w:val="clear" w:color="auto" w:fill="auto"/>
          </w:tcPr>
          <w:p w14:paraId="25990FCB"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MV</w:t>
            </w:r>
          </w:p>
        </w:tc>
        <w:tc>
          <w:tcPr>
            <w:tcW w:w="417" w:type="dxa"/>
            <w:tcBorders>
              <w:bottom w:val="single" w:sz="4" w:space="0" w:color="A6A6A6" w:themeColor="background1" w:themeShade="A6"/>
            </w:tcBorders>
            <w:shd w:val="clear" w:color="auto" w:fill="auto"/>
          </w:tcPr>
          <w:p w14:paraId="7BFF9D88"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MV</w:t>
            </w:r>
          </w:p>
        </w:tc>
        <w:tc>
          <w:tcPr>
            <w:tcW w:w="416" w:type="dxa"/>
            <w:tcBorders>
              <w:bottom w:val="single" w:sz="4" w:space="0" w:color="A6A6A6" w:themeColor="background1" w:themeShade="A6"/>
            </w:tcBorders>
            <w:shd w:val="clear" w:color="auto" w:fill="auto"/>
          </w:tcPr>
          <w:p w14:paraId="184B72DA"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MV</w:t>
            </w:r>
          </w:p>
        </w:tc>
        <w:tc>
          <w:tcPr>
            <w:tcW w:w="417" w:type="dxa"/>
            <w:tcBorders>
              <w:bottom w:val="single" w:sz="4" w:space="0" w:color="A6A6A6" w:themeColor="background1" w:themeShade="A6"/>
            </w:tcBorders>
            <w:shd w:val="clear" w:color="auto" w:fill="auto"/>
          </w:tcPr>
          <w:p w14:paraId="2181E632"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MV</w:t>
            </w:r>
          </w:p>
        </w:tc>
        <w:tc>
          <w:tcPr>
            <w:tcW w:w="417" w:type="dxa"/>
            <w:tcBorders>
              <w:bottom w:val="single" w:sz="4" w:space="0" w:color="A6A6A6" w:themeColor="background1" w:themeShade="A6"/>
            </w:tcBorders>
            <w:shd w:val="clear" w:color="auto" w:fill="auto"/>
          </w:tcPr>
          <w:p w14:paraId="0F68CD35"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MV</w:t>
            </w:r>
          </w:p>
        </w:tc>
        <w:tc>
          <w:tcPr>
            <w:tcW w:w="417" w:type="dxa"/>
            <w:tcBorders>
              <w:bottom w:val="single" w:sz="4" w:space="0" w:color="A6A6A6" w:themeColor="background1" w:themeShade="A6"/>
            </w:tcBorders>
            <w:shd w:val="clear" w:color="auto" w:fill="auto"/>
          </w:tcPr>
          <w:p w14:paraId="429510D8"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MV</w:t>
            </w:r>
          </w:p>
        </w:tc>
        <w:tc>
          <w:tcPr>
            <w:tcW w:w="417" w:type="dxa"/>
            <w:tcBorders>
              <w:bottom w:val="single" w:sz="4" w:space="0" w:color="A6A6A6" w:themeColor="background1" w:themeShade="A6"/>
            </w:tcBorders>
            <w:shd w:val="clear" w:color="auto" w:fill="auto"/>
          </w:tcPr>
          <w:p w14:paraId="6BB3F6D9"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MV</w:t>
            </w:r>
          </w:p>
        </w:tc>
        <w:tc>
          <w:tcPr>
            <w:tcW w:w="417" w:type="dxa"/>
            <w:tcBorders>
              <w:bottom w:val="single" w:sz="4" w:space="0" w:color="A6A6A6" w:themeColor="background1" w:themeShade="A6"/>
            </w:tcBorders>
            <w:shd w:val="clear" w:color="auto" w:fill="auto"/>
          </w:tcPr>
          <w:p w14:paraId="7211CE80"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MV</w:t>
            </w:r>
          </w:p>
        </w:tc>
        <w:tc>
          <w:tcPr>
            <w:tcW w:w="417" w:type="dxa"/>
            <w:tcBorders>
              <w:bottom w:val="single" w:sz="4" w:space="0" w:color="A6A6A6" w:themeColor="background1" w:themeShade="A6"/>
            </w:tcBorders>
            <w:shd w:val="clear" w:color="auto" w:fill="auto"/>
          </w:tcPr>
          <w:p w14:paraId="302C0574"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MV</w:t>
            </w:r>
          </w:p>
        </w:tc>
        <w:tc>
          <w:tcPr>
            <w:tcW w:w="417" w:type="dxa"/>
            <w:tcBorders>
              <w:bottom w:val="single" w:sz="4" w:space="0" w:color="A6A6A6" w:themeColor="background1" w:themeShade="A6"/>
            </w:tcBorders>
            <w:shd w:val="clear" w:color="auto" w:fill="auto"/>
          </w:tcPr>
          <w:p w14:paraId="23D9FDD9"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MV</w:t>
            </w:r>
          </w:p>
        </w:tc>
        <w:tc>
          <w:tcPr>
            <w:tcW w:w="417" w:type="dxa"/>
            <w:tcBorders>
              <w:bottom w:val="single" w:sz="4" w:space="0" w:color="A6A6A6" w:themeColor="background1" w:themeShade="A6"/>
            </w:tcBorders>
            <w:shd w:val="clear" w:color="auto" w:fill="auto"/>
          </w:tcPr>
          <w:p w14:paraId="7CEC24FA"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MV</w:t>
            </w:r>
          </w:p>
        </w:tc>
      </w:tr>
      <w:tr w:rsidR="002D68F3" w:rsidRPr="00181EF3" w14:paraId="69479CC4" w14:textId="77777777" w:rsidTr="00E830F9">
        <w:trPr>
          <w:cantSplit/>
        </w:trPr>
        <w:tc>
          <w:tcPr>
            <w:tcW w:w="567" w:type="dxa"/>
            <w:vMerge/>
            <w:tcBorders>
              <w:top w:val="single" w:sz="4" w:space="0" w:color="A6A6A6" w:themeColor="background1" w:themeShade="A6"/>
              <w:bottom w:val="single" w:sz="4" w:space="0" w:color="A6A6A6" w:themeColor="background1" w:themeShade="A6"/>
            </w:tcBorders>
            <w:shd w:val="clear" w:color="auto" w:fill="auto"/>
          </w:tcPr>
          <w:p w14:paraId="403D4B9E" w14:textId="77777777" w:rsidR="002D68F3" w:rsidRPr="00181EF3" w:rsidRDefault="002D68F3" w:rsidP="00E830F9">
            <w:pPr>
              <w:pStyle w:val="TableText"/>
              <w:spacing w:before="40" w:after="40"/>
              <w:rPr>
                <w:sz w:val="16"/>
                <w:szCs w:val="16"/>
              </w:rPr>
            </w:pPr>
          </w:p>
        </w:tc>
        <w:tc>
          <w:tcPr>
            <w:tcW w:w="426" w:type="dxa"/>
            <w:tcBorders>
              <w:top w:val="single" w:sz="4" w:space="0" w:color="A6A6A6" w:themeColor="background1" w:themeShade="A6"/>
              <w:bottom w:val="single" w:sz="4" w:space="0" w:color="A6A6A6" w:themeColor="background1" w:themeShade="A6"/>
            </w:tcBorders>
            <w:shd w:val="clear" w:color="auto" w:fill="auto"/>
          </w:tcPr>
          <w:p w14:paraId="0A8AD3F4" w14:textId="77777777" w:rsidR="002D68F3" w:rsidRPr="00181EF3" w:rsidRDefault="002D68F3" w:rsidP="00E830F9">
            <w:pPr>
              <w:pStyle w:val="TableText"/>
              <w:spacing w:before="40" w:after="40"/>
              <w:jc w:val="center"/>
              <w:rPr>
                <w:sz w:val="16"/>
                <w:szCs w:val="16"/>
              </w:rPr>
            </w:pPr>
            <w:r w:rsidRPr="00181EF3">
              <w:rPr>
                <w:sz w:val="16"/>
                <w:szCs w:val="16"/>
              </w:rPr>
              <w:t>2</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0AF1EC2B"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DFDEDC2"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19717E7"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C7CA619"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4FCFB3B"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83EBA81"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PO</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985F049"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PO</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25FD917"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PO</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72182683"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PO</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38A63A8"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PO</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F1DE572"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PO</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8F80FD9"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PO</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F84AB9C"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PO</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FB846DB"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PO</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B830877"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PO</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CE88CF4"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PO</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07450AB"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PO</w:t>
            </w:r>
          </w:p>
        </w:tc>
      </w:tr>
      <w:tr w:rsidR="002D68F3" w:rsidRPr="00181EF3" w14:paraId="581F9E1F" w14:textId="77777777" w:rsidTr="00E830F9">
        <w:trPr>
          <w:cantSplit/>
        </w:trPr>
        <w:tc>
          <w:tcPr>
            <w:tcW w:w="567" w:type="dxa"/>
            <w:vMerge/>
            <w:tcBorders>
              <w:top w:val="single" w:sz="4" w:space="0" w:color="A6A6A6" w:themeColor="background1" w:themeShade="A6"/>
              <w:bottom w:val="single" w:sz="4" w:space="0" w:color="A6A6A6" w:themeColor="background1" w:themeShade="A6"/>
            </w:tcBorders>
            <w:shd w:val="clear" w:color="auto" w:fill="auto"/>
          </w:tcPr>
          <w:p w14:paraId="7B55F393" w14:textId="77777777" w:rsidR="002D68F3" w:rsidRPr="00181EF3" w:rsidRDefault="002D68F3" w:rsidP="00E830F9">
            <w:pPr>
              <w:pStyle w:val="TableText"/>
              <w:spacing w:before="40" w:after="40"/>
              <w:rPr>
                <w:sz w:val="16"/>
                <w:szCs w:val="16"/>
              </w:rPr>
            </w:pPr>
          </w:p>
        </w:tc>
        <w:tc>
          <w:tcPr>
            <w:tcW w:w="426" w:type="dxa"/>
            <w:tcBorders>
              <w:top w:val="single" w:sz="4" w:space="0" w:color="A6A6A6" w:themeColor="background1" w:themeShade="A6"/>
              <w:bottom w:val="single" w:sz="4" w:space="0" w:color="A6A6A6" w:themeColor="background1" w:themeShade="A6"/>
            </w:tcBorders>
            <w:shd w:val="clear" w:color="auto" w:fill="auto"/>
          </w:tcPr>
          <w:p w14:paraId="2B6E4F95" w14:textId="77777777" w:rsidR="002D68F3" w:rsidRPr="00181EF3" w:rsidRDefault="002D68F3" w:rsidP="00E830F9">
            <w:pPr>
              <w:pStyle w:val="TableText"/>
              <w:spacing w:before="40" w:after="40"/>
              <w:jc w:val="center"/>
              <w:rPr>
                <w:sz w:val="16"/>
                <w:szCs w:val="16"/>
              </w:rPr>
            </w:pPr>
            <w:r w:rsidRPr="00181EF3">
              <w:rPr>
                <w:sz w:val="16"/>
                <w:szCs w:val="16"/>
              </w:rPr>
              <w:t>3</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41EFC04D"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5B11427"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55EEF44"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60DC809"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9BFF44A"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40B6778"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PO</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48D1CFD"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49E112C"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DS</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0F0570BF"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EC305DC"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AC4A4C8"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4F28105"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64C7A1A"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EF516C0"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B76C5C1"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68D3649"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26858B2"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DS</w:t>
            </w:r>
          </w:p>
        </w:tc>
      </w:tr>
      <w:tr w:rsidR="002D68F3" w:rsidRPr="00181EF3" w14:paraId="3B88BCFA" w14:textId="77777777" w:rsidTr="00E830F9">
        <w:trPr>
          <w:cantSplit/>
        </w:trPr>
        <w:tc>
          <w:tcPr>
            <w:tcW w:w="567" w:type="dxa"/>
            <w:vMerge w:val="restart"/>
            <w:tcBorders>
              <w:top w:val="single" w:sz="4" w:space="0" w:color="A6A6A6" w:themeColor="background1" w:themeShade="A6"/>
              <w:bottom w:val="single" w:sz="4" w:space="0" w:color="A6A6A6" w:themeColor="background1" w:themeShade="A6"/>
            </w:tcBorders>
            <w:shd w:val="clear" w:color="auto" w:fill="auto"/>
          </w:tcPr>
          <w:p w14:paraId="5001F5F5" w14:textId="6E01DF56" w:rsidR="002D68F3" w:rsidRPr="00181EF3" w:rsidRDefault="00EC03A3" w:rsidP="00E830F9">
            <w:pPr>
              <w:pStyle w:val="TableText"/>
              <w:spacing w:before="40" w:after="40"/>
              <w:rPr>
                <w:sz w:val="16"/>
                <w:szCs w:val="16"/>
              </w:rPr>
            </w:pPr>
            <w:r>
              <w:rPr>
                <w:sz w:val="16"/>
                <w:szCs w:val="16"/>
              </w:rPr>
              <w:t>Non</w:t>
            </w:r>
            <w:r>
              <w:rPr>
                <w:sz w:val="16"/>
                <w:szCs w:val="16"/>
              </w:rPr>
              <w:noBreakHyphen/>
              <w:t>M</w:t>
            </w:r>
            <w:r w:rsidR="002D68F3" w:rsidRPr="00181EF3">
              <w:rPr>
                <w:sz w:val="16"/>
                <w:szCs w:val="16"/>
              </w:rPr>
              <w:t>āori</w:t>
            </w:r>
          </w:p>
        </w:tc>
        <w:tc>
          <w:tcPr>
            <w:tcW w:w="426" w:type="dxa"/>
            <w:tcBorders>
              <w:top w:val="single" w:sz="4" w:space="0" w:color="A6A6A6" w:themeColor="background1" w:themeShade="A6"/>
              <w:bottom w:val="single" w:sz="4" w:space="0" w:color="A6A6A6" w:themeColor="background1" w:themeShade="A6"/>
            </w:tcBorders>
            <w:shd w:val="clear" w:color="auto" w:fill="auto"/>
          </w:tcPr>
          <w:p w14:paraId="7645AB04" w14:textId="77777777" w:rsidR="002D68F3" w:rsidRPr="00181EF3" w:rsidRDefault="002D68F3" w:rsidP="00E830F9">
            <w:pPr>
              <w:pStyle w:val="TableText"/>
              <w:spacing w:before="40" w:after="40"/>
              <w:jc w:val="center"/>
              <w:rPr>
                <w:sz w:val="16"/>
                <w:szCs w:val="16"/>
              </w:rPr>
            </w:pPr>
            <w:r w:rsidRPr="00181EF3">
              <w:rPr>
                <w:sz w:val="16"/>
                <w:szCs w:val="16"/>
              </w:rPr>
              <w:t>1</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69BEB1AF"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3B382E1"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8B0D8B1"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375C7CF"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87F0AF1"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CD3A8FA"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F06482D"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F0BB984"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MV</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0FD8EE9F"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047124C"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1959A7F"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354A60C"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172DEC5"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ED8FF30"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5C2A330"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6FB3E9B"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F9D95CD"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MV</w:t>
            </w:r>
          </w:p>
        </w:tc>
      </w:tr>
      <w:tr w:rsidR="002D68F3" w:rsidRPr="00181EF3" w14:paraId="42DB0E4B" w14:textId="77777777" w:rsidTr="00E830F9">
        <w:trPr>
          <w:cantSplit/>
        </w:trPr>
        <w:tc>
          <w:tcPr>
            <w:tcW w:w="567" w:type="dxa"/>
            <w:vMerge/>
            <w:tcBorders>
              <w:top w:val="single" w:sz="4" w:space="0" w:color="A6A6A6" w:themeColor="background1" w:themeShade="A6"/>
              <w:bottom w:val="single" w:sz="4" w:space="0" w:color="A6A6A6" w:themeColor="background1" w:themeShade="A6"/>
            </w:tcBorders>
            <w:shd w:val="clear" w:color="auto" w:fill="auto"/>
          </w:tcPr>
          <w:p w14:paraId="07C6A50E" w14:textId="77777777" w:rsidR="002D68F3" w:rsidRPr="00181EF3" w:rsidRDefault="002D68F3" w:rsidP="00E830F9">
            <w:pPr>
              <w:pStyle w:val="TableText"/>
              <w:spacing w:before="40" w:after="40"/>
              <w:rPr>
                <w:sz w:val="16"/>
                <w:szCs w:val="16"/>
              </w:rPr>
            </w:pPr>
          </w:p>
        </w:tc>
        <w:tc>
          <w:tcPr>
            <w:tcW w:w="426" w:type="dxa"/>
            <w:tcBorders>
              <w:top w:val="single" w:sz="4" w:space="0" w:color="A6A6A6" w:themeColor="background1" w:themeShade="A6"/>
              <w:bottom w:val="single" w:sz="4" w:space="0" w:color="A6A6A6" w:themeColor="background1" w:themeShade="A6"/>
            </w:tcBorders>
            <w:shd w:val="clear" w:color="auto" w:fill="auto"/>
          </w:tcPr>
          <w:p w14:paraId="6AB6C294" w14:textId="77777777" w:rsidR="002D68F3" w:rsidRPr="00181EF3" w:rsidRDefault="002D68F3" w:rsidP="00E830F9">
            <w:pPr>
              <w:pStyle w:val="TableText"/>
              <w:spacing w:before="40" w:after="40"/>
              <w:jc w:val="center"/>
              <w:rPr>
                <w:sz w:val="16"/>
                <w:szCs w:val="16"/>
              </w:rPr>
            </w:pPr>
            <w:r w:rsidRPr="00181EF3">
              <w:rPr>
                <w:sz w:val="16"/>
                <w:szCs w:val="16"/>
              </w:rPr>
              <w:t>2</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0053A653"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420699D"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A806D01"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BE26D5E"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88A9D38"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8BE40BD"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5C672DD"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931912E"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FA</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5D9B6627"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DAADB35"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PO</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EA84F75"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PO</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9FCEEC1"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PO</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760453F"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PO</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34D4147"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PO</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5CE0DE5"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PO</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CF7E082"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PO</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C6CBEA9"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PO</w:t>
            </w:r>
          </w:p>
        </w:tc>
      </w:tr>
      <w:tr w:rsidR="002D68F3" w:rsidRPr="00181EF3" w14:paraId="02D57F7C" w14:textId="77777777" w:rsidTr="00E830F9">
        <w:trPr>
          <w:cantSplit/>
        </w:trPr>
        <w:tc>
          <w:tcPr>
            <w:tcW w:w="567" w:type="dxa"/>
            <w:vMerge/>
            <w:tcBorders>
              <w:top w:val="single" w:sz="4" w:space="0" w:color="A6A6A6" w:themeColor="background1" w:themeShade="A6"/>
              <w:bottom w:val="single" w:sz="4" w:space="0" w:color="A6A6A6" w:themeColor="background1" w:themeShade="A6"/>
            </w:tcBorders>
            <w:shd w:val="clear" w:color="auto" w:fill="auto"/>
          </w:tcPr>
          <w:p w14:paraId="68C03639" w14:textId="77777777" w:rsidR="002D68F3" w:rsidRPr="00181EF3" w:rsidRDefault="002D68F3" w:rsidP="00E830F9">
            <w:pPr>
              <w:pStyle w:val="TableText"/>
              <w:spacing w:before="40" w:after="40"/>
              <w:rPr>
                <w:sz w:val="16"/>
                <w:szCs w:val="16"/>
              </w:rPr>
            </w:pPr>
          </w:p>
        </w:tc>
        <w:tc>
          <w:tcPr>
            <w:tcW w:w="426" w:type="dxa"/>
            <w:tcBorders>
              <w:top w:val="single" w:sz="4" w:space="0" w:color="A6A6A6" w:themeColor="background1" w:themeShade="A6"/>
              <w:bottom w:val="single" w:sz="4" w:space="0" w:color="A6A6A6" w:themeColor="background1" w:themeShade="A6"/>
            </w:tcBorders>
            <w:shd w:val="clear" w:color="auto" w:fill="auto"/>
          </w:tcPr>
          <w:p w14:paraId="30ED26E3" w14:textId="77777777" w:rsidR="002D68F3" w:rsidRPr="00181EF3" w:rsidRDefault="002D68F3" w:rsidP="00E830F9">
            <w:pPr>
              <w:pStyle w:val="TableText"/>
              <w:spacing w:before="40" w:after="40"/>
              <w:jc w:val="center"/>
              <w:rPr>
                <w:sz w:val="16"/>
                <w:szCs w:val="16"/>
              </w:rPr>
            </w:pPr>
            <w:r w:rsidRPr="00181EF3">
              <w:rPr>
                <w:sz w:val="16"/>
                <w:szCs w:val="16"/>
              </w:rPr>
              <w:t>3</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14F9A7D0"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8A785C4"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DC39AAD"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411BCF5"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78AE23D"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61612D5"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7DD3298"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BEADA6B"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DS</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6BCA159B"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PO</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2ABDA3D"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5E0249C"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2E95555"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C7B5D7F"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3BE8CC8"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02B9E9D"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470AB3A"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165A0C6" w14:textId="77777777" w:rsidR="002D68F3" w:rsidRPr="00181EF3" w:rsidRDefault="002D68F3" w:rsidP="00E830F9">
            <w:pPr>
              <w:pStyle w:val="TableText"/>
              <w:spacing w:before="40" w:after="40"/>
              <w:jc w:val="center"/>
              <w:rPr>
                <w:rFonts w:cs="Segoe UI"/>
                <w:sz w:val="16"/>
                <w:szCs w:val="16"/>
              </w:rPr>
            </w:pPr>
            <w:r w:rsidRPr="00181EF3">
              <w:rPr>
                <w:rFonts w:cs="Segoe UI"/>
                <w:sz w:val="16"/>
                <w:szCs w:val="16"/>
              </w:rPr>
              <w:t>DS</w:t>
            </w:r>
          </w:p>
        </w:tc>
      </w:tr>
    </w:tbl>
    <w:p w14:paraId="53886A53" w14:textId="77777777" w:rsidR="00062616" w:rsidRDefault="00062616" w:rsidP="00062616">
      <w:pPr>
        <w:pStyle w:val="Note"/>
      </w:pPr>
      <w:r w:rsidRPr="00181EF3">
        <w:t>Note</w:t>
      </w:r>
      <w:r>
        <w:t>s</w:t>
      </w:r>
      <w:r w:rsidRPr="00181EF3">
        <w:t>:</w:t>
      </w:r>
    </w:p>
    <w:p w14:paraId="7D693CC0" w14:textId="38340EF9" w:rsidR="008A5642" w:rsidRDefault="00446D86" w:rsidP="00062616">
      <w:pPr>
        <w:pStyle w:val="Note"/>
      </w:pPr>
      <w:r>
        <w:t>Figures are age-standardised to the 2001 Census total Māori population</w:t>
      </w:r>
      <w:r w:rsidR="00062616" w:rsidRPr="00181EF3">
        <w:t>.</w:t>
      </w:r>
    </w:p>
    <w:p w14:paraId="15E65FD7" w14:textId="62A56038" w:rsidR="00062616" w:rsidRPr="00181EF3" w:rsidRDefault="00062616" w:rsidP="00062616">
      <w:pPr>
        <w:pStyle w:val="Note"/>
      </w:pPr>
      <w:r>
        <w:t>Prioritised ethnicity has been used.</w:t>
      </w:r>
    </w:p>
    <w:p w14:paraId="41F77A45" w14:textId="77777777" w:rsidR="00062616" w:rsidRPr="00181EF3" w:rsidRDefault="00062616" w:rsidP="00062616">
      <w:pPr>
        <w:pStyle w:val="Source"/>
        <w:rPr>
          <w:rFonts w:eastAsia="Calibri"/>
        </w:rPr>
      </w:pPr>
      <w:r w:rsidRPr="00181EF3">
        <w:rPr>
          <w:rFonts w:eastAsia="Calibri"/>
        </w:rPr>
        <w:t>Source: Mortality Collection Data Set (MORT), Ministry of Health</w:t>
      </w:r>
      <w:r>
        <w:rPr>
          <w:rFonts w:eastAsia="Calibri"/>
        </w:rPr>
        <w:t xml:space="preserve">, </w:t>
      </w:r>
      <w:r w:rsidRPr="00181EF3">
        <w:t>1996–98 to 2012–14</w:t>
      </w:r>
      <w:r w:rsidRPr="00181EF3">
        <w:rPr>
          <w:rFonts w:eastAsia="Calibri"/>
        </w:rPr>
        <w:t>.</w:t>
      </w:r>
    </w:p>
    <w:p w14:paraId="4E1A87A0" w14:textId="77777777" w:rsidR="002D68F3" w:rsidRPr="00181EF3" w:rsidRDefault="002D68F3" w:rsidP="002D68F3"/>
    <w:p w14:paraId="6AD1E7CE" w14:textId="15A49737" w:rsidR="002D68F3" w:rsidRPr="00181EF3" w:rsidRDefault="002D68F3" w:rsidP="002D68F3">
      <w:r w:rsidRPr="00181EF3">
        <w:t xml:space="preserve">Table </w:t>
      </w:r>
      <w:r w:rsidR="00062616">
        <w:t>27</w:t>
      </w:r>
      <w:r w:rsidRPr="00181EF3">
        <w:t xml:space="preserve"> shows the three leading unintentional injury mortality categories for Māori and </w:t>
      </w:r>
      <w:r w:rsidR="00EC03A3">
        <w:t>non</w:t>
      </w:r>
      <w:r w:rsidR="00EC03A3">
        <w:noBreakHyphen/>
        <w:t>M</w:t>
      </w:r>
      <w:r w:rsidRPr="00181EF3">
        <w:t>āori males aged 15–64 years ranked by age-standardised rates.</w:t>
      </w:r>
    </w:p>
    <w:p w14:paraId="11B6AC25" w14:textId="77777777" w:rsidR="002D68F3" w:rsidRPr="00181EF3" w:rsidRDefault="002D68F3" w:rsidP="002D68F3"/>
    <w:p w14:paraId="27F6C6E8" w14:textId="38D94ECE" w:rsidR="002D68F3" w:rsidRPr="00181EF3" w:rsidRDefault="002D68F3" w:rsidP="002D68F3">
      <w:r w:rsidRPr="00181EF3">
        <w:t xml:space="preserve">Motor vehicle accidents was the leading category for both Māori and </w:t>
      </w:r>
      <w:r w:rsidR="00EC03A3">
        <w:t>non</w:t>
      </w:r>
      <w:r w:rsidR="00EC03A3">
        <w:noBreakHyphen/>
        <w:t>M</w:t>
      </w:r>
      <w:r w:rsidRPr="00181EF3">
        <w:t>āori males aged 15–64 years between 1996–98 and 2012–14.</w:t>
      </w:r>
    </w:p>
    <w:p w14:paraId="4139865A" w14:textId="77777777" w:rsidR="002D68F3" w:rsidRPr="00181EF3" w:rsidRDefault="002D68F3" w:rsidP="002D68F3"/>
    <w:p w14:paraId="56E3FCE4" w14:textId="59B68EBF" w:rsidR="002D68F3" w:rsidRPr="00181EF3" w:rsidRDefault="002D68F3" w:rsidP="002D68F3">
      <w:r w:rsidRPr="00181EF3">
        <w:t>Drowning and submersions was the second leading category of unintentional injury for Māori males aged 15–64 years between 1996–98 and 2000</w:t>
      </w:r>
      <w:r w:rsidR="00784D02" w:rsidRPr="00181EF3">
        <w:t>–</w:t>
      </w:r>
      <w:r w:rsidRPr="00181EF3">
        <w:t>02. Poisonings (PO) was the second leading category from 2001–03 to 2012–14. Falls (FA) was the other leading category for Māori males aged 15–64 between 1996–98 and 2012–14.</w:t>
      </w:r>
    </w:p>
    <w:p w14:paraId="03699AA3" w14:textId="77777777" w:rsidR="002D68F3" w:rsidRPr="00181EF3" w:rsidRDefault="002D68F3" w:rsidP="002D68F3"/>
    <w:p w14:paraId="055E1099" w14:textId="39C67D72" w:rsidR="002D68F3" w:rsidRDefault="002D68F3" w:rsidP="002D68F3">
      <w:r w:rsidRPr="00181EF3">
        <w:t xml:space="preserve">Drowning and submersions, falls, and poisonings were the remaining categories that appeared in the second and third leading mortalities for </w:t>
      </w:r>
      <w:r w:rsidR="00EC03A3">
        <w:t>non</w:t>
      </w:r>
      <w:r w:rsidR="00EC03A3">
        <w:noBreakHyphen/>
        <w:t>M</w:t>
      </w:r>
      <w:r w:rsidRPr="00181EF3">
        <w:t>āori males aged 15–64 years.</w:t>
      </w:r>
    </w:p>
    <w:p w14:paraId="17208B33" w14:textId="77777777" w:rsidR="005B55FD" w:rsidRPr="00181EF3" w:rsidRDefault="005B55FD" w:rsidP="002D68F3"/>
    <w:p w14:paraId="57D951E8" w14:textId="77777777" w:rsidR="002D68F3" w:rsidRPr="00181EF3" w:rsidRDefault="002D68F3" w:rsidP="005B55FD">
      <w:pPr>
        <w:pStyle w:val="Heading3"/>
        <w:pageBreakBefore/>
        <w:spacing w:before="0"/>
      </w:pPr>
      <w:bookmarkStart w:id="361" w:name="_Toc19102429"/>
      <w:r w:rsidRPr="00181EF3">
        <w:lastRenderedPageBreak/>
        <w:t>Unintentional injury mortality rankings for males</w:t>
      </w:r>
      <w:r w:rsidR="00062616">
        <w:t xml:space="preserve"> </w:t>
      </w:r>
      <w:r w:rsidRPr="00181EF3">
        <w:t>aged 65+ years</w:t>
      </w:r>
      <w:bookmarkEnd w:id="361"/>
    </w:p>
    <w:p w14:paraId="47281B61" w14:textId="31EC7EB9" w:rsidR="002D68F3" w:rsidRPr="00181EF3" w:rsidRDefault="002D68F3" w:rsidP="002D68F3">
      <w:pPr>
        <w:pStyle w:val="Table"/>
      </w:pPr>
      <w:bookmarkStart w:id="362" w:name="_Toc18594768"/>
      <w:r w:rsidRPr="00181EF3">
        <w:t xml:space="preserve">Table </w:t>
      </w:r>
      <w:r w:rsidR="00062616">
        <w:t>28</w:t>
      </w:r>
      <w:r w:rsidRPr="00181EF3">
        <w:t xml:space="preserve">: </w:t>
      </w:r>
      <w:r w:rsidR="00062616" w:rsidRPr="00181EF3">
        <w:t xml:space="preserve">Three leading injury mortalities, </w:t>
      </w:r>
      <w:r w:rsidR="00062616">
        <w:t xml:space="preserve">ranked </w:t>
      </w:r>
      <w:r w:rsidR="00062616" w:rsidRPr="00181EF3">
        <w:t xml:space="preserve">by age-standardised rates, </w:t>
      </w:r>
      <w:r w:rsidR="00062616">
        <w:t>65+</w:t>
      </w:r>
      <w:r w:rsidR="005B55FD">
        <w:t> </w:t>
      </w:r>
      <w:r w:rsidR="00062616" w:rsidRPr="00181EF3">
        <w:t>years</w:t>
      </w:r>
      <w:r w:rsidR="00062616">
        <w:t xml:space="preserve">, </w:t>
      </w:r>
      <w:r w:rsidR="00062616" w:rsidRPr="00181EF3">
        <w:t xml:space="preserve">Māori and </w:t>
      </w:r>
      <w:r w:rsidR="00EC03A3">
        <w:t>non</w:t>
      </w:r>
      <w:r w:rsidR="00EC03A3">
        <w:noBreakHyphen/>
        <w:t>M</w:t>
      </w:r>
      <w:r w:rsidR="00062616" w:rsidRPr="00181EF3">
        <w:t>āori</w:t>
      </w:r>
      <w:r w:rsidR="00784D02">
        <w:t xml:space="preserve"> males</w:t>
      </w:r>
      <w:bookmarkEnd w:id="362"/>
    </w:p>
    <w:tbl>
      <w:tblPr>
        <w:tblW w:w="8080" w:type="dxa"/>
        <w:tblInd w:w="57" w:type="dxa"/>
        <w:tblLayout w:type="fixed"/>
        <w:tblCellMar>
          <w:left w:w="57" w:type="dxa"/>
          <w:right w:w="57" w:type="dxa"/>
        </w:tblCellMar>
        <w:tblLook w:val="04A0" w:firstRow="1" w:lastRow="0" w:firstColumn="1" w:lastColumn="0" w:noHBand="0" w:noVBand="1"/>
      </w:tblPr>
      <w:tblGrid>
        <w:gridCol w:w="567"/>
        <w:gridCol w:w="426"/>
        <w:gridCol w:w="416"/>
        <w:gridCol w:w="417"/>
        <w:gridCol w:w="417"/>
        <w:gridCol w:w="417"/>
        <w:gridCol w:w="417"/>
        <w:gridCol w:w="417"/>
        <w:gridCol w:w="417"/>
        <w:gridCol w:w="417"/>
        <w:gridCol w:w="416"/>
        <w:gridCol w:w="417"/>
        <w:gridCol w:w="417"/>
        <w:gridCol w:w="417"/>
        <w:gridCol w:w="417"/>
        <w:gridCol w:w="417"/>
        <w:gridCol w:w="417"/>
        <w:gridCol w:w="417"/>
        <w:gridCol w:w="417"/>
      </w:tblGrid>
      <w:tr w:rsidR="002D68F3" w:rsidRPr="00181EF3" w14:paraId="4E356B14" w14:textId="77777777" w:rsidTr="00E830F9">
        <w:trPr>
          <w:cantSplit/>
          <w:trHeight w:val="365"/>
        </w:trPr>
        <w:tc>
          <w:tcPr>
            <w:tcW w:w="567" w:type="dxa"/>
            <w:vMerge w:val="restart"/>
            <w:tcBorders>
              <w:left w:val="nil"/>
            </w:tcBorders>
            <w:shd w:val="clear" w:color="auto" w:fill="D9D9D9" w:themeFill="background1" w:themeFillShade="D9"/>
          </w:tcPr>
          <w:p w14:paraId="68AF39DE" w14:textId="77777777" w:rsidR="002D68F3" w:rsidRPr="00181EF3" w:rsidRDefault="002D68F3" w:rsidP="00E830F9">
            <w:pPr>
              <w:pStyle w:val="TableText"/>
              <w:keepNext/>
              <w:spacing w:before="40" w:after="40"/>
              <w:rPr>
                <w:b/>
                <w:sz w:val="16"/>
                <w:szCs w:val="16"/>
              </w:rPr>
            </w:pPr>
          </w:p>
        </w:tc>
        <w:tc>
          <w:tcPr>
            <w:tcW w:w="426" w:type="dxa"/>
            <w:vMerge w:val="restart"/>
            <w:shd w:val="clear" w:color="auto" w:fill="D9D9D9" w:themeFill="background1" w:themeFillShade="D9"/>
            <w:textDirection w:val="btLr"/>
            <w:vAlign w:val="center"/>
          </w:tcPr>
          <w:p w14:paraId="254BED7D" w14:textId="77777777" w:rsidR="002D68F3" w:rsidRPr="00181EF3" w:rsidRDefault="002D68F3" w:rsidP="00E830F9">
            <w:pPr>
              <w:pStyle w:val="TableText"/>
              <w:keepNext/>
              <w:spacing w:before="40" w:after="40"/>
              <w:ind w:left="113"/>
              <w:rPr>
                <w:b/>
                <w:sz w:val="16"/>
                <w:szCs w:val="16"/>
              </w:rPr>
            </w:pPr>
            <w:r w:rsidRPr="00181EF3">
              <w:rPr>
                <w:b/>
                <w:sz w:val="16"/>
                <w:szCs w:val="16"/>
              </w:rPr>
              <w:t>Ranking</w:t>
            </w:r>
          </w:p>
        </w:tc>
        <w:tc>
          <w:tcPr>
            <w:tcW w:w="7087" w:type="dxa"/>
            <w:gridSpan w:val="17"/>
            <w:shd w:val="clear" w:color="auto" w:fill="D9D9D9" w:themeFill="background1" w:themeFillShade="D9"/>
          </w:tcPr>
          <w:p w14:paraId="6CE2A734" w14:textId="77777777" w:rsidR="002D68F3" w:rsidRPr="00181EF3" w:rsidRDefault="002D68F3" w:rsidP="00E830F9">
            <w:pPr>
              <w:pStyle w:val="TableText"/>
              <w:keepNext/>
              <w:spacing w:before="40" w:after="40"/>
              <w:jc w:val="center"/>
              <w:rPr>
                <w:b/>
                <w:sz w:val="16"/>
                <w:szCs w:val="16"/>
              </w:rPr>
            </w:pPr>
            <w:r w:rsidRPr="00181EF3">
              <w:rPr>
                <w:b/>
                <w:sz w:val="16"/>
                <w:szCs w:val="16"/>
              </w:rPr>
              <w:t>Year</w:t>
            </w:r>
          </w:p>
        </w:tc>
      </w:tr>
      <w:tr w:rsidR="002D68F3" w:rsidRPr="00181EF3" w14:paraId="0CD4BE75" w14:textId="77777777" w:rsidTr="00E830F9">
        <w:trPr>
          <w:cantSplit/>
          <w:trHeight w:val="851"/>
        </w:trPr>
        <w:tc>
          <w:tcPr>
            <w:tcW w:w="567" w:type="dxa"/>
            <w:vMerge/>
            <w:tcBorders>
              <w:left w:val="nil"/>
            </w:tcBorders>
            <w:shd w:val="clear" w:color="auto" w:fill="D9D9D9" w:themeFill="background1" w:themeFillShade="D9"/>
          </w:tcPr>
          <w:p w14:paraId="7259BB66" w14:textId="77777777" w:rsidR="002D68F3" w:rsidRPr="00181EF3" w:rsidRDefault="002D68F3" w:rsidP="00E830F9">
            <w:pPr>
              <w:pStyle w:val="TableText"/>
              <w:spacing w:before="40" w:after="40"/>
              <w:rPr>
                <w:b/>
                <w:sz w:val="16"/>
                <w:szCs w:val="16"/>
              </w:rPr>
            </w:pPr>
          </w:p>
        </w:tc>
        <w:tc>
          <w:tcPr>
            <w:tcW w:w="426" w:type="dxa"/>
            <w:vMerge/>
            <w:shd w:val="clear" w:color="auto" w:fill="D9D9D9" w:themeFill="background1" w:themeFillShade="D9"/>
          </w:tcPr>
          <w:p w14:paraId="77772FC9" w14:textId="77777777" w:rsidR="002D68F3" w:rsidRPr="00181EF3" w:rsidRDefault="002D68F3" w:rsidP="00E830F9">
            <w:pPr>
              <w:pStyle w:val="TableText"/>
              <w:spacing w:before="40" w:after="40"/>
              <w:jc w:val="center"/>
              <w:rPr>
                <w:b/>
                <w:sz w:val="16"/>
                <w:szCs w:val="16"/>
              </w:rPr>
            </w:pPr>
          </w:p>
        </w:tc>
        <w:tc>
          <w:tcPr>
            <w:tcW w:w="416" w:type="dxa"/>
            <w:shd w:val="clear" w:color="auto" w:fill="D9D9D9" w:themeFill="background1" w:themeFillShade="D9"/>
            <w:textDirection w:val="btLr"/>
            <w:vAlign w:val="center"/>
          </w:tcPr>
          <w:p w14:paraId="32713C6A" w14:textId="77777777" w:rsidR="002D68F3" w:rsidRPr="00181EF3" w:rsidRDefault="002D68F3" w:rsidP="00E830F9">
            <w:pPr>
              <w:pStyle w:val="TableText"/>
              <w:spacing w:before="0" w:after="0"/>
              <w:ind w:left="113"/>
              <w:rPr>
                <w:b/>
                <w:sz w:val="16"/>
                <w:szCs w:val="16"/>
              </w:rPr>
            </w:pPr>
            <w:r w:rsidRPr="00181EF3">
              <w:rPr>
                <w:b/>
                <w:sz w:val="16"/>
                <w:szCs w:val="16"/>
              </w:rPr>
              <w:t>1996–98</w:t>
            </w:r>
          </w:p>
        </w:tc>
        <w:tc>
          <w:tcPr>
            <w:tcW w:w="417" w:type="dxa"/>
            <w:shd w:val="clear" w:color="auto" w:fill="D9D9D9" w:themeFill="background1" w:themeFillShade="D9"/>
            <w:textDirection w:val="btLr"/>
            <w:vAlign w:val="center"/>
          </w:tcPr>
          <w:p w14:paraId="3D2774DE" w14:textId="77777777" w:rsidR="002D68F3" w:rsidRPr="00181EF3" w:rsidRDefault="002D68F3" w:rsidP="00E830F9">
            <w:pPr>
              <w:pStyle w:val="TableText"/>
              <w:spacing w:before="0" w:after="0"/>
              <w:ind w:left="113"/>
              <w:rPr>
                <w:b/>
                <w:sz w:val="16"/>
                <w:szCs w:val="16"/>
              </w:rPr>
            </w:pPr>
            <w:r w:rsidRPr="00181EF3">
              <w:rPr>
                <w:b/>
                <w:sz w:val="16"/>
                <w:szCs w:val="16"/>
              </w:rPr>
              <w:t>1997–99</w:t>
            </w:r>
          </w:p>
        </w:tc>
        <w:tc>
          <w:tcPr>
            <w:tcW w:w="417" w:type="dxa"/>
            <w:shd w:val="clear" w:color="auto" w:fill="D9D9D9" w:themeFill="background1" w:themeFillShade="D9"/>
            <w:textDirection w:val="btLr"/>
            <w:vAlign w:val="center"/>
          </w:tcPr>
          <w:p w14:paraId="2DBB31A1" w14:textId="77777777" w:rsidR="002D68F3" w:rsidRPr="00181EF3" w:rsidRDefault="002D68F3" w:rsidP="00E830F9">
            <w:pPr>
              <w:pStyle w:val="TableText"/>
              <w:spacing w:before="0" w:after="0"/>
              <w:ind w:left="113"/>
              <w:rPr>
                <w:b/>
                <w:sz w:val="16"/>
                <w:szCs w:val="16"/>
              </w:rPr>
            </w:pPr>
            <w:r w:rsidRPr="00181EF3">
              <w:rPr>
                <w:b/>
                <w:sz w:val="16"/>
                <w:szCs w:val="16"/>
              </w:rPr>
              <w:t>1998-00</w:t>
            </w:r>
          </w:p>
        </w:tc>
        <w:tc>
          <w:tcPr>
            <w:tcW w:w="417" w:type="dxa"/>
            <w:shd w:val="clear" w:color="auto" w:fill="D9D9D9" w:themeFill="background1" w:themeFillShade="D9"/>
            <w:textDirection w:val="btLr"/>
            <w:vAlign w:val="center"/>
          </w:tcPr>
          <w:p w14:paraId="016BC42F" w14:textId="77777777" w:rsidR="002D68F3" w:rsidRPr="00181EF3" w:rsidRDefault="002D68F3" w:rsidP="00E830F9">
            <w:pPr>
              <w:pStyle w:val="TableText"/>
              <w:spacing w:before="0" w:after="0"/>
              <w:ind w:left="113"/>
              <w:rPr>
                <w:b/>
                <w:sz w:val="16"/>
                <w:szCs w:val="16"/>
              </w:rPr>
            </w:pPr>
            <w:r w:rsidRPr="00181EF3">
              <w:rPr>
                <w:b/>
                <w:sz w:val="16"/>
                <w:szCs w:val="16"/>
              </w:rPr>
              <w:t>1999–01</w:t>
            </w:r>
          </w:p>
        </w:tc>
        <w:tc>
          <w:tcPr>
            <w:tcW w:w="417" w:type="dxa"/>
            <w:shd w:val="clear" w:color="auto" w:fill="D9D9D9" w:themeFill="background1" w:themeFillShade="D9"/>
            <w:textDirection w:val="btLr"/>
            <w:vAlign w:val="center"/>
          </w:tcPr>
          <w:p w14:paraId="1E51F89F" w14:textId="77777777" w:rsidR="002D68F3" w:rsidRPr="00181EF3" w:rsidRDefault="002D68F3" w:rsidP="00E830F9">
            <w:pPr>
              <w:pStyle w:val="TableText"/>
              <w:spacing w:before="0" w:after="0"/>
              <w:ind w:left="113"/>
              <w:rPr>
                <w:b/>
                <w:sz w:val="16"/>
                <w:szCs w:val="16"/>
              </w:rPr>
            </w:pPr>
            <w:r w:rsidRPr="00181EF3">
              <w:rPr>
                <w:b/>
                <w:sz w:val="16"/>
                <w:szCs w:val="16"/>
              </w:rPr>
              <w:t>2000-02</w:t>
            </w:r>
          </w:p>
        </w:tc>
        <w:tc>
          <w:tcPr>
            <w:tcW w:w="417" w:type="dxa"/>
            <w:shd w:val="clear" w:color="auto" w:fill="D9D9D9" w:themeFill="background1" w:themeFillShade="D9"/>
            <w:textDirection w:val="btLr"/>
            <w:vAlign w:val="center"/>
          </w:tcPr>
          <w:p w14:paraId="49BBB26C" w14:textId="77777777" w:rsidR="002D68F3" w:rsidRPr="00181EF3" w:rsidRDefault="002D68F3" w:rsidP="00E830F9">
            <w:pPr>
              <w:pStyle w:val="TableText"/>
              <w:spacing w:before="0" w:after="0"/>
              <w:ind w:left="113"/>
              <w:rPr>
                <w:b/>
                <w:sz w:val="16"/>
                <w:szCs w:val="16"/>
              </w:rPr>
            </w:pPr>
            <w:r w:rsidRPr="00181EF3">
              <w:rPr>
                <w:b/>
                <w:sz w:val="16"/>
                <w:szCs w:val="16"/>
              </w:rPr>
              <w:t>2001–03</w:t>
            </w:r>
          </w:p>
        </w:tc>
        <w:tc>
          <w:tcPr>
            <w:tcW w:w="417" w:type="dxa"/>
            <w:shd w:val="clear" w:color="auto" w:fill="D9D9D9" w:themeFill="background1" w:themeFillShade="D9"/>
            <w:textDirection w:val="btLr"/>
            <w:vAlign w:val="center"/>
          </w:tcPr>
          <w:p w14:paraId="40B8A33A" w14:textId="77777777" w:rsidR="002D68F3" w:rsidRPr="00181EF3" w:rsidRDefault="002D68F3" w:rsidP="00E830F9">
            <w:pPr>
              <w:pStyle w:val="TableText"/>
              <w:spacing w:before="0" w:after="0"/>
              <w:ind w:left="113"/>
              <w:rPr>
                <w:b/>
                <w:sz w:val="16"/>
                <w:szCs w:val="16"/>
              </w:rPr>
            </w:pPr>
            <w:r w:rsidRPr="00181EF3">
              <w:rPr>
                <w:b/>
                <w:sz w:val="16"/>
                <w:szCs w:val="16"/>
              </w:rPr>
              <w:t>2002-04</w:t>
            </w:r>
          </w:p>
        </w:tc>
        <w:tc>
          <w:tcPr>
            <w:tcW w:w="417" w:type="dxa"/>
            <w:shd w:val="clear" w:color="auto" w:fill="D9D9D9" w:themeFill="background1" w:themeFillShade="D9"/>
            <w:textDirection w:val="btLr"/>
            <w:vAlign w:val="center"/>
          </w:tcPr>
          <w:p w14:paraId="065ABCE5" w14:textId="77777777" w:rsidR="002D68F3" w:rsidRPr="00181EF3" w:rsidRDefault="002D68F3" w:rsidP="00E830F9">
            <w:pPr>
              <w:pStyle w:val="TableText"/>
              <w:spacing w:before="0" w:after="0"/>
              <w:ind w:left="113"/>
              <w:rPr>
                <w:b/>
                <w:sz w:val="16"/>
                <w:szCs w:val="16"/>
              </w:rPr>
            </w:pPr>
            <w:r w:rsidRPr="00181EF3">
              <w:rPr>
                <w:b/>
                <w:sz w:val="16"/>
                <w:szCs w:val="16"/>
              </w:rPr>
              <w:t>2003-05</w:t>
            </w:r>
          </w:p>
        </w:tc>
        <w:tc>
          <w:tcPr>
            <w:tcW w:w="416" w:type="dxa"/>
            <w:shd w:val="clear" w:color="auto" w:fill="D9D9D9" w:themeFill="background1" w:themeFillShade="D9"/>
            <w:textDirection w:val="btLr"/>
            <w:vAlign w:val="center"/>
          </w:tcPr>
          <w:p w14:paraId="620D41FB" w14:textId="77777777" w:rsidR="002D68F3" w:rsidRPr="00181EF3" w:rsidRDefault="002D68F3" w:rsidP="00E830F9">
            <w:pPr>
              <w:pStyle w:val="TableText"/>
              <w:spacing w:before="0" w:after="0"/>
              <w:ind w:left="113"/>
              <w:rPr>
                <w:b/>
                <w:sz w:val="16"/>
                <w:szCs w:val="16"/>
              </w:rPr>
            </w:pPr>
            <w:r w:rsidRPr="00181EF3">
              <w:rPr>
                <w:b/>
                <w:sz w:val="16"/>
                <w:szCs w:val="16"/>
              </w:rPr>
              <w:t>2004-06</w:t>
            </w:r>
          </w:p>
        </w:tc>
        <w:tc>
          <w:tcPr>
            <w:tcW w:w="417" w:type="dxa"/>
            <w:shd w:val="clear" w:color="auto" w:fill="D9D9D9" w:themeFill="background1" w:themeFillShade="D9"/>
            <w:textDirection w:val="btLr"/>
            <w:vAlign w:val="center"/>
          </w:tcPr>
          <w:p w14:paraId="31A91B24" w14:textId="77777777" w:rsidR="002D68F3" w:rsidRPr="00181EF3" w:rsidRDefault="002D68F3" w:rsidP="00E830F9">
            <w:pPr>
              <w:pStyle w:val="TableText"/>
              <w:spacing w:before="0" w:after="0"/>
              <w:ind w:left="113"/>
              <w:rPr>
                <w:b/>
                <w:sz w:val="16"/>
                <w:szCs w:val="16"/>
              </w:rPr>
            </w:pPr>
            <w:r w:rsidRPr="00181EF3">
              <w:rPr>
                <w:b/>
                <w:sz w:val="16"/>
                <w:szCs w:val="16"/>
              </w:rPr>
              <w:t>2005–07</w:t>
            </w:r>
          </w:p>
        </w:tc>
        <w:tc>
          <w:tcPr>
            <w:tcW w:w="417" w:type="dxa"/>
            <w:shd w:val="clear" w:color="auto" w:fill="D9D9D9" w:themeFill="background1" w:themeFillShade="D9"/>
            <w:textDirection w:val="btLr"/>
            <w:vAlign w:val="center"/>
          </w:tcPr>
          <w:p w14:paraId="3F830F91" w14:textId="77777777" w:rsidR="002D68F3" w:rsidRPr="00181EF3" w:rsidRDefault="002D68F3" w:rsidP="00E830F9">
            <w:pPr>
              <w:pStyle w:val="TableText"/>
              <w:spacing w:before="0" w:after="0"/>
              <w:ind w:left="113"/>
              <w:rPr>
                <w:b/>
                <w:sz w:val="16"/>
                <w:szCs w:val="16"/>
              </w:rPr>
            </w:pPr>
            <w:r w:rsidRPr="00181EF3">
              <w:rPr>
                <w:b/>
                <w:sz w:val="16"/>
                <w:szCs w:val="16"/>
              </w:rPr>
              <w:t>2006–08</w:t>
            </w:r>
          </w:p>
        </w:tc>
        <w:tc>
          <w:tcPr>
            <w:tcW w:w="417" w:type="dxa"/>
            <w:shd w:val="clear" w:color="auto" w:fill="D9D9D9" w:themeFill="background1" w:themeFillShade="D9"/>
            <w:textDirection w:val="btLr"/>
            <w:vAlign w:val="center"/>
          </w:tcPr>
          <w:p w14:paraId="21F8FF33" w14:textId="77777777" w:rsidR="002D68F3" w:rsidRPr="00181EF3" w:rsidRDefault="002D68F3" w:rsidP="00E830F9">
            <w:pPr>
              <w:pStyle w:val="TableText"/>
              <w:spacing w:before="0" w:after="0"/>
              <w:ind w:left="113"/>
              <w:rPr>
                <w:b/>
                <w:sz w:val="16"/>
                <w:szCs w:val="16"/>
              </w:rPr>
            </w:pPr>
            <w:r w:rsidRPr="00181EF3">
              <w:rPr>
                <w:b/>
                <w:sz w:val="16"/>
                <w:szCs w:val="16"/>
              </w:rPr>
              <w:t>2007–09</w:t>
            </w:r>
          </w:p>
        </w:tc>
        <w:tc>
          <w:tcPr>
            <w:tcW w:w="417" w:type="dxa"/>
            <w:shd w:val="clear" w:color="auto" w:fill="D9D9D9" w:themeFill="background1" w:themeFillShade="D9"/>
            <w:textDirection w:val="btLr"/>
            <w:vAlign w:val="center"/>
          </w:tcPr>
          <w:p w14:paraId="686312FA" w14:textId="77777777" w:rsidR="002D68F3" w:rsidRPr="00181EF3" w:rsidRDefault="002D68F3" w:rsidP="00E830F9">
            <w:pPr>
              <w:pStyle w:val="TableText"/>
              <w:spacing w:before="0" w:after="0"/>
              <w:ind w:left="113"/>
              <w:rPr>
                <w:b/>
                <w:sz w:val="16"/>
                <w:szCs w:val="16"/>
              </w:rPr>
            </w:pPr>
            <w:r w:rsidRPr="00181EF3">
              <w:rPr>
                <w:b/>
                <w:sz w:val="16"/>
                <w:szCs w:val="16"/>
              </w:rPr>
              <w:t>2008–10</w:t>
            </w:r>
          </w:p>
        </w:tc>
        <w:tc>
          <w:tcPr>
            <w:tcW w:w="417" w:type="dxa"/>
            <w:shd w:val="clear" w:color="auto" w:fill="D9D9D9" w:themeFill="background1" w:themeFillShade="D9"/>
            <w:textDirection w:val="btLr"/>
            <w:vAlign w:val="center"/>
          </w:tcPr>
          <w:p w14:paraId="3BDBFDA7" w14:textId="77777777" w:rsidR="002D68F3" w:rsidRPr="00181EF3" w:rsidRDefault="002D68F3" w:rsidP="00E830F9">
            <w:pPr>
              <w:pStyle w:val="TableText"/>
              <w:spacing w:before="0" w:after="0"/>
              <w:ind w:left="113"/>
              <w:rPr>
                <w:b/>
                <w:sz w:val="16"/>
                <w:szCs w:val="16"/>
              </w:rPr>
            </w:pPr>
            <w:r w:rsidRPr="00181EF3">
              <w:rPr>
                <w:b/>
                <w:sz w:val="16"/>
                <w:szCs w:val="16"/>
              </w:rPr>
              <w:t>2009–11</w:t>
            </w:r>
          </w:p>
        </w:tc>
        <w:tc>
          <w:tcPr>
            <w:tcW w:w="417" w:type="dxa"/>
            <w:shd w:val="clear" w:color="auto" w:fill="D9D9D9" w:themeFill="background1" w:themeFillShade="D9"/>
            <w:textDirection w:val="btLr"/>
            <w:vAlign w:val="center"/>
          </w:tcPr>
          <w:p w14:paraId="019EBAAD" w14:textId="77777777" w:rsidR="002D68F3" w:rsidRPr="00181EF3" w:rsidRDefault="002D68F3" w:rsidP="00E830F9">
            <w:pPr>
              <w:pStyle w:val="TableText"/>
              <w:spacing w:before="0" w:after="0"/>
              <w:ind w:left="113"/>
              <w:rPr>
                <w:b/>
                <w:sz w:val="16"/>
                <w:szCs w:val="16"/>
              </w:rPr>
            </w:pPr>
            <w:r w:rsidRPr="00181EF3">
              <w:rPr>
                <w:b/>
                <w:sz w:val="16"/>
                <w:szCs w:val="16"/>
              </w:rPr>
              <w:t>2010–12</w:t>
            </w:r>
          </w:p>
        </w:tc>
        <w:tc>
          <w:tcPr>
            <w:tcW w:w="417" w:type="dxa"/>
            <w:shd w:val="clear" w:color="auto" w:fill="D9D9D9" w:themeFill="background1" w:themeFillShade="D9"/>
            <w:textDirection w:val="btLr"/>
            <w:vAlign w:val="center"/>
          </w:tcPr>
          <w:p w14:paraId="416C2B81" w14:textId="77777777" w:rsidR="002D68F3" w:rsidRPr="00181EF3" w:rsidRDefault="002D68F3" w:rsidP="00E830F9">
            <w:pPr>
              <w:pStyle w:val="TableText"/>
              <w:spacing w:before="0" w:after="0"/>
              <w:ind w:left="113"/>
              <w:rPr>
                <w:b/>
                <w:sz w:val="16"/>
                <w:szCs w:val="16"/>
              </w:rPr>
            </w:pPr>
            <w:r w:rsidRPr="00181EF3">
              <w:rPr>
                <w:b/>
                <w:sz w:val="16"/>
                <w:szCs w:val="16"/>
              </w:rPr>
              <w:t>2011–13</w:t>
            </w:r>
          </w:p>
        </w:tc>
        <w:tc>
          <w:tcPr>
            <w:tcW w:w="417" w:type="dxa"/>
            <w:shd w:val="clear" w:color="auto" w:fill="D9D9D9" w:themeFill="background1" w:themeFillShade="D9"/>
            <w:textDirection w:val="btLr"/>
            <w:vAlign w:val="center"/>
          </w:tcPr>
          <w:p w14:paraId="6DCDD797" w14:textId="77777777" w:rsidR="002D68F3" w:rsidRPr="00181EF3" w:rsidRDefault="002D68F3" w:rsidP="00E830F9">
            <w:pPr>
              <w:pStyle w:val="TableText"/>
              <w:spacing w:before="0" w:after="0"/>
              <w:ind w:left="113"/>
              <w:rPr>
                <w:b/>
                <w:sz w:val="16"/>
                <w:szCs w:val="16"/>
              </w:rPr>
            </w:pPr>
            <w:r w:rsidRPr="00181EF3">
              <w:rPr>
                <w:b/>
                <w:sz w:val="16"/>
                <w:szCs w:val="16"/>
              </w:rPr>
              <w:t>2012–14</w:t>
            </w:r>
          </w:p>
        </w:tc>
      </w:tr>
      <w:tr w:rsidR="002D68F3" w:rsidRPr="00181EF3" w14:paraId="6824A1C4" w14:textId="77777777" w:rsidTr="00E830F9">
        <w:trPr>
          <w:cantSplit/>
        </w:trPr>
        <w:tc>
          <w:tcPr>
            <w:tcW w:w="567" w:type="dxa"/>
            <w:vMerge w:val="restart"/>
            <w:tcBorders>
              <w:bottom w:val="single" w:sz="4" w:space="0" w:color="A6A6A6" w:themeColor="background1" w:themeShade="A6"/>
            </w:tcBorders>
            <w:shd w:val="clear" w:color="auto" w:fill="auto"/>
          </w:tcPr>
          <w:p w14:paraId="589B590E" w14:textId="77777777" w:rsidR="002D68F3" w:rsidRPr="00181EF3" w:rsidRDefault="002D68F3" w:rsidP="00E830F9">
            <w:pPr>
              <w:pStyle w:val="TableText"/>
              <w:spacing w:before="40" w:after="40"/>
              <w:rPr>
                <w:sz w:val="16"/>
                <w:szCs w:val="16"/>
              </w:rPr>
            </w:pPr>
            <w:r w:rsidRPr="00181EF3">
              <w:rPr>
                <w:sz w:val="16"/>
                <w:szCs w:val="16"/>
              </w:rPr>
              <w:t>Māori</w:t>
            </w:r>
          </w:p>
        </w:tc>
        <w:tc>
          <w:tcPr>
            <w:tcW w:w="426" w:type="dxa"/>
            <w:tcBorders>
              <w:bottom w:val="single" w:sz="4" w:space="0" w:color="A6A6A6" w:themeColor="background1" w:themeShade="A6"/>
            </w:tcBorders>
            <w:shd w:val="clear" w:color="auto" w:fill="auto"/>
          </w:tcPr>
          <w:p w14:paraId="5AB46406" w14:textId="77777777" w:rsidR="002D68F3" w:rsidRPr="00181EF3" w:rsidRDefault="002D68F3" w:rsidP="00E830F9">
            <w:pPr>
              <w:pStyle w:val="TableText"/>
              <w:spacing w:before="40" w:after="40"/>
              <w:jc w:val="center"/>
              <w:rPr>
                <w:sz w:val="16"/>
                <w:szCs w:val="16"/>
              </w:rPr>
            </w:pPr>
            <w:r w:rsidRPr="00181EF3">
              <w:rPr>
                <w:sz w:val="16"/>
                <w:szCs w:val="16"/>
              </w:rPr>
              <w:t>1</w:t>
            </w:r>
          </w:p>
        </w:tc>
        <w:tc>
          <w:tcPr>
            <w:tcW w:w="416" w:type="dxa"/>
            <w:tcBorders>
              <w:bottom w:val="single" w:sz="4" w:space="0" w:color="A6A6A6" w:themeColor="background1" w:themeShade="A6"/>
            </w:tcBorders>
            <w:shd w:val="clear" w:color="auto" w:fill="auto"/>
          </w:tcPr>
          <w:p w14:paraId="556E1045"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bottom w:val="single" w:sz="4" w:space="0" w:color="A6A6A6" w:themeColor="background1" w:themeShade="A6"/>
            </w:tcBorders>
            <w:shd w:val="clear" w:color="auto" w:fill="auto"/>
          </w:tcPr>
          <w:p w14:paraId="7A731BF4"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bottom w:val="single" w:sz="4" w:space="0" w:color="A6A6A6" w:themeColor="background1" w:themeShade="A6"/>
            </w:tcBorders>
            <w:shd w:val="clear" w:color="auto" w:fill="auto"/>
          </w:tcPr>
          <w:p w14:paraId="2D044745"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bottom w:val="single" w:sz="4" w:space="0" w:color="A6A6A6" w:themeColor="background1" w:themeShade="A6"/>
            </w:tcBorders>
            <w:shd w:val="clear" w:color="auto" w:fill="auto"/>
          </w:tcPr>
          <w:p w14:paraId="182EDDA3"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bottom w:val="single" w:sz="4" w:space="0" w:color="A6A6A6" w:themeColor="background1" w:themeShade="A6"/>
            </w:tcBorders>
            <w:shd w:val="clear" w:color="auto" w:fill="auto"/>
          </w:tcPr>
          <w:p w14:paraId="58F97933"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bottom w:val="single" w:sz="4" w:space="0" w:color="A6A6A6" w:themeColor="background1" w:themeShade="A6"/>
            </w:tcBorders>
            <w:shd w:val="clear" w:color="auto" w:fill="auto"/>
          </w:tcPr>
          <w:p w14:paraId="75AB8233"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bottom w:val="single" w:sz="4" w:space="0" w:color="A6A6A6" w:themeColor="background1" w:themeShade="A6"/>
            </w:tcBorders>
            <w:shd w:val="clear" w:color="auto" w:fill="auto"/>
          </w:tcPr>
          <w:p w14:paraId="4FAED537"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bottom w:val="single" w:sz="4" w:space="0" w:color="A6A6A6" w:themeColor="background1" w:themeShade="A6"/>
            </w:tcBorders>
            <w:shd w:val="clear" w:color="auto" w:fill="auto"/>
          </w:tcPr>
          <w:p w14:paraId="01366E09" w14:textId="77777777" w:rsidR="002D68F3" w:rsidRPr="00181EF3" w:rsidRDefault="002D68F3" w:rsidP="00E830F9">
            <w:pPr>
              <w:pStyle w:val="TableText"/>
              <w:spacing w:before="40" w:after="40"/>
              <w:jc w:val="center"/>
              <w:rPr>
                <w:sz w:val="16"/>
              </w:rPr>
            </w:pPr>
            <w:r w:rsidRPr="00181EF3">
              <w:rPr>
                <w:sz w:val="16"/>
              </w:rPr>
              <w:t>FA</w:t>
            </w:r>
          </w:p>
        </w:tc>
        <w:tc>
          <w:tcPr>
            <w:tcW w:w="416" w:type="dxa"/>
            <w:tcBorders>
              <w:bottom w:val="single" w:sz="4" w:space="0" w:color="A6A6A6" w:themeColor="background1" w:themeShade="A6"/>
            </w:tcBorders>
            <w:shd w:val="clear" w:color="auto" w:fill="auto"/>
          </w:tcPr>
          <w:p w14:paraId="2027F496"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bottom w:val="single" w:sz="4" w:space="0" w:color="A6A6A6" w:themeColor="background1" w:themeShade="A6"/>
            </w:tcBorders>
            <w:shd w:val="clear" w:color="auto" w:fill="auto"/>
          </w:tcPr>
          <w:p w14:paraId="37DEE381"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bottom w:val="single" w:sz="4" w:space="0" w:color="A6A6A6" w:themeColor="background1" w:themeShade="A6"/>
            </w:tcBorders>
            <w:shd w:val="clear" w:color="auto" w:fill="auto"/>
          </w:tcPr>
          <w:p w14:paraId="7CCA9600"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bottom w:val="single" w:sz="4" w:space="0" w:color="A6A6A6" w:themeColor="background1" w:themeShade="A6"/>
            </w:tcBorders>
            <w:shd w:val="clear" w:color="auto" w:fill="auto"/>
          </w:tcPr>
          <w:p w14:paraId="02E9871F"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bottom w:val="single" w:sz="4" w:space="0" w:color="A6A6A6" w:themeColor="background1" w:themeShade="A6"/>
            </w:tcBorders>
            <w:shd w:val="clear" w:color="auto" w:fill="auto"/>
          </w:tcPr>
          <w:p w14:paraId="53F17352"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bottom w:val="single" w:sz="4" w:space="0" w:color="A6A6A6" w:themeColor="background1" w:themeShade="A6"/>
            </w:tcBorders>
            <w:shd w:val="clear" w:color="auto" w:fill="auto"/>
          </w:tcPr>
          <w:p w14:paraId="70E2006F"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bottom w:val="single" w:sz="4" w:space="0" w:color="A6A6A6" w:themeColor="background1" w:themeShade="A6"/>
            </w:tcBorders>
            <w:shd w:val="clear" w:color="auto" w:fill="auto"/>
          </w:tcPr>
          <w:p w14:paraId="29378588"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bottom w:val="single" w:sz="4" w:space="0" w:color="A6A6A6" w:themeColor="background1" w:themeShade="A6"/>
            </w:tcBorders>
            <w:shd w:val="clear" w:color="auto" w:fill="auto"/>
          </w:tcPr>
          <w:p w14:paraId="520A78C3"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bottom w:val="single" w:sz="4" w:space="0" w:color="A6A6A6" w:themeColor="background1" w:themeShade="A6"/>
            </w:tcBorders>
            <w:shd w:val="clear" w:color="auto" w:fill="auto"/>
          </w:tcPr>
          <w:p w14:paraId="76C7C02E" w14:textId="77777777" w:rsidR="002D68F3" w:rsidRPr="00181EF3" w:rsidRDefault="002D68F3" w:rsidP="00E830F9">
            <w:pPr>
              <w:pStyle w:val="TableText"/>
              <w:spacing w:before="40" w:after="40"/>
              <w:jc w:val="center"/>
              <w:rPr>
                <w:sz w:val="16"/>
              </w:rPr>
            </w:pPr>
            <w:r w:rsidRPr="00181EF3">
              <w:rPr>
                <w:sz w:val="16"/>
              </w:rPr>
              <w:t>FA</w:t>
            </w:r>
          </w:p>
        </w:tc>
      </w:tr>
      <w:tr w:rsidR="002D68F3" w:rsidRPr="00181EF3" w14:paraId="703F2891" w14:textId="77777777" w:rsidTr="00E830F9">
        <w:trPr>
          <w:cantSplit/>
        </w:trPr>
        <w:tc>
          <w:tcPr>
            <w:tcW w:w="567" w:type="dxa"/>
            <w:vMerge/>
            <w:tcBorders>
              <w:top w:val="single" w:sz="4" w:space="0" w:color="A6A6A6" w:themeColor="background1" w:themeShade="A6"/>
              <w:bottom w:val="single" w:sz="4" w:space="0" w:color="A6A6A6" w:themeColor="background1" w:themeShade="A6"/>
            </w:tcBorders>
            <w:shd w:val="clear" w:color="auto" w:fill="auto"/>
          </w:tcPr>
          <w:p w14:paraId="605EBC2F" w14:textId="77777777" w:rsidR="002D68F3" w:rsidRPr="00181EF3" w:rsidRDefault="002D68F3" w:rsidP="00E830F9">
            <w:pPr>
              <w:pStyle w:val="TableText"/>
              <w:spacing w:before="40" w:after="40"/>
              <w:rPr>
                <w:sz w:val="16"/>
                <w:szCs w:val="16"/>
              </w:rPr>
            </w:pPr>
          </w:p>
        </w:tc>
        <w:tc>
          <w:tcPr>
            <w:tcW w:w="426" w:type="dxa"/>
            <w:tcBorders>
              <w:top w:val="single" w:sz="4" w:space="0" w:color="A6A6A6" w:themeColor="background1" w:themeShade="A6"/>
              <w:bottom w:val="single" w:sz="4" w:space="0" w:color="A6A6A6" w:themeColor="background1" w:themeShade="A6"/>
            </w:tcBorders>
            <w:shd w:val="clear" w:color="auto" w:fill="auto"/>
          </w:tcPr>
          <w:p w14:paraId="2D664B11" w14:textId="77777777" w:rsidR="002D68F3" w:rsidRPr="00181EF3" w:rsidRDefault="002D68F3" w:rsidP="00E830F9">
            <w:pPr>
              <w:pStyle w:val="TableText"/>
              <w:spacing w:before="40" w:after="40"/>
              <w:jc w:val="center"/>
              <w:rPr>
                <w:sz w:val="16"/>
                <w:szCs w:val="16"/>
              </w:rPr>
            </w:pPr>
            <w:r w:rsidRPr="00181EF3">
              <w:rPr>
                <w:sz w:val="16"/>
                <w:szCs w:val="16"/>
              </w:rPr>
              <w:t>2</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485A858B"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3C21271"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74A56EF"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9F5FF84"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D584BFC"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F67E501"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FC924C3"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2943F08" w14:textId="77777777" w:rsidR="002D68F3" w:rsidRPr="00181EF3" w:rsidRDefault="002D68F3" w:rsidP="00E830F9">
            <w:pPr>
              <w:pStyle w:val="TableText"/>
              <w:spacing w:before="40" w:after="40"/>
              <w:jc w:val="center"/>
              <w:rPr>
                <w:sz w:val="16"/>
              </w:rPr>
            </w:pPr>
            <w:r w:rsidRPr="00181EF3">
              <w:rPr>
                <w:sz w:val="16"/>
              </w:rPr>
              <w:t>MV</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4C42E8DA"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DEBCFF5"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A95BEE6"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DC94FAC"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F027CAF"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D762184"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7F07390"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E8E0E0A"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ABD6E5A" w14:textId="77777777" w:rsidR="002D68F3" w:rsidRPr="00181EF3" w:rsidRDefault="002D68F3" w:rsidP="00E830F9">
            <w:pPr>
              <w:pStyle w:val="TableText"/>
              <w:spacing w:before="40" w:after="40"/>
              <w:jc w:val="center"/>
              <w:rPr>
                <w:sz w:val="16"/>
              </w:rPr>
            </w:pPr>
            <w:r w:rsidRPr="00181EF3">
              <w:rPr>
                <w:sz w:val="16"/>
              </w:rPr>
              <w:t>MV</w:t>
            </w:r>
          </w:p>
        </w:tc>
      </w:tr>
      <w:tr w:rsidR="002D68F3" w:rsidRPr="00181EF3" w14:paraId="1F50FFA7" w14:textId="77777777" w:rsidTr="00E830F9">
        <w:trPr>
          <w:cantSplit/>
        </w:trPr>
        <w:tc>
          <w:tcPr>
            <w:tcW w:w="567" w:type="dxa"/>
            <w:vMerge/>
            <w:tcBorders>
              <w:top w:val="single" w:sz="4" w:space="0" w:color="A6A6A6" w:themeColor="background1" w:themeShade="A6"/>
              <w:bottom w:val="single" w:sz="4" w:space="0" w:color="A6A6A6" w:themeColor="background1" w:themeShade="A6"/>
            </w:tcBorders>
            <w:shd w:val="clear" w:color="auto" w:fill="auto"/>
          </w:tcPr>
          <w:p w14:paraId="42043385" w14:textId="77777777" w:rsidR="002D68F3" w:rsidRPr="00181EF3" w:rsidRDefault="002D68F3" w:rsidP="00E830F9">
            <w:pPr>
              <w:pStyle w:val="TableText"/>
              <w:spacing w:before="40" w:after="40"/>
              <w:rPr>
                <w:sz w:val="16"/>
                <w:szCs w:val="16"/>
              </w:rPr>
            </w:pPr>
          </w:p>
        </w:tc>
        <w:tc>
          <w:tcPr>
            <w:tcW w:w="426" w:type="dxa"/>
            <w:tcBorders>
              <w:top w:val="single" w:sz="4" w:space="0" w:color="A6A6A6" w:themeColor="background1" w:themeShade="A6"/>
              <w:bottom w:val="single" w:sz="4" w:space="0" w:color="A6A6A6" w:themeColor="background1" w:themeShade="A6"/>
            </w:tcBorders>
            <w:shd w:val="clear" w:color="auto" w:fill="auto"/>
          </w:tcPr>
          <w:p w14:paraId="36393E13" w14:textId="77777777" w:rsidR="002D68F3" w:rsidRPr="00181EF3" w:rsidRDefault="002D68F3" w:rsidP="00E830F9">
            <w:pPr>
              <w:pStyle w:val="TableText"/>
              <w:spacing w:before="40" w:after="40"/>
              <w:jc w:val="center"/>
              <w:rPr>
                <w:sz w:val="16"/>
                <w:szCs w:val="16"/>
              </w:rPr>
            </w:pPr>
            <w:r w:rsidRPr="00181EF3">
              <w:rPr>
                <w:sz w:val="16"/>
                <w:szCs w:val="16"/>
              </w:rPr>
              <w:t>3</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4D0F20B0" w14:textId="77777777" w:rsidR="002D68F3" w:rsidRPr="00181EF3" w:rsidRDefault="002D68F3" w:rsidP="00E830F9">
            <w:pPr>
              <w:pStyle w:val="TableText"/>
              <w:spacing w:before="40" w:after="40"/>
              <w:jc w:val="center"/>
              <w:rPr>
                <w:sz w:val="16"/>
              </w:rPr>
            </w:pPr>
            <w:r w:rsidRPr="00181EF3">
              <w:rPr>
                <w:sz w:val="16"/>
              </w:rPr>
              <w:t>TI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865EC35" w14:textId="77777777" w:rsidR="002D68F3" w:rsidRPr="00181EF3" w:rsidRDefault="002D68F3" w:rsidP="00E830F9">
            <w:pPr>
              <w:pStyle w:val="TableText"/>
              <w:spacing w:before="40" w:after="40"/>
              <w:jc w:val="center"/>
              <w:rPr>
                <w:sz w:val="16"/>
              </w:rPr>
            </w:pPr>
            <w:r w:rsidRPr="00181EF3">
              <w:rPr>
                <w:sz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9239926" w14:textId="77777777" w:rsidR="002D68F3" w:rsidRPr="00181EF3" w:rsidRDefault="002D68F3" w:rsidP="00E830F9">
            <w:pPr>
              <w:pStyle w:val="TableText"/>
              <w:spacing w:before="40" w:after="40"/>
              <w:jc w:val="center"/>
              <w:rPr>
                <w:sz w:val="16"/>
              </w:rPr>
            </w:pPr>
            <w:r w:rsidRPr="00181EF3">
              <w:rPr>
                <w:sz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5B73639" w14:textId="77777777" w:rsidR="002D68F3" w:rsidRPr="00181EF3" w:rsidRDefault="002D68F3" w:rsidP="00E830F9">
            <w:pPr>
              <w:pStyle w:val="TableText"/>
              <w:spacing w:before="40" w:after="40"/>
              <w:jc w:val="center"/>
              <w:rPr>
                <w:sz w:val="16"/>
              </w:rPr>
            </w:pPr>
            <w:r w:rsidRPr="00181EF3">
              <w:rPr>
                <w:sz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0A8065F" w14:textId="77777777" w:rsidR="002D68F3" w:rsidRPr="00181EF3" w:rsidRDefault="002D68F3" w:rsidP="00E830F9">
            <w:pPr>
              <w:pStyle w:val="TableText"/>
              <w:spacing w:before="40" w:after="40"/>
              <w:jc w:val="center"/>
              <w:rPr>
                <w:sz w:val="16"/>
              </w:rPr>
            </w:pPr>
            <w:r w:rsidRPr="00181EF3">
              <w:rPr>
                <w:sz w:val="16"/>
              </w:rPr>
              <w:t>TI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9091FEF" w14:textId="77777777" w:rsidR="002D68F3" w:rsidRPr="00181EF3" w:rsidRDefault="002D68F3" w:rsidP="00E830F9">
            <w:pPr>
              <w:pStyle w:val="TableText"/>
              <w:spacing w:before="40" w:after="40"/>
              <w:jc w:val="center"/>
              <w:rPr>
                <w:sz w:val="16"/>
              </w:rPr>
            </w:pPr>
            <w:r w:rsidRPr="00181EF3">
              <w:rPr>
                <w:sz w:val="16"/>
              </w:rPr>
              <w:t>TI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E1B0139" w14:textId="77777777" w:rsidR="002D68F3" w:rsidRPr="00181EF3" w:rsidRDefault="002D68F3" w:rsidP="00E830F9">
            <w:pPr>
              <w:pStyle w:val="TableText"/>
              <w:spacing w:before="40" w:after="40"/>
              <w:jc w:val="center"/>
              <w:rPr>
                <w:sz w:val="16"/>
              </w:rPr>
            </w:pPr>
            <w:r w:rsidRPr="00181EF3">
              <w:rPr>
                <w:sz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D0AA2AE" w14:textId="77777777" w:rsidR="002D68F3" w:rsidRPr="00181EF3" w:rsidRDefault="002D68F3" w:rsidP="00E830F9">
            <w:pPr>
              <w:pStyle w:val="TableText"/>
              <w:spacing w:before="40" w:after="40"/>
              <w:jc w:val="center"/>
              <w:rPr>
                <w:sz w:val="16"/>
              </w:rPr>
            </w:pPr>
            <w:r w:rsidRPr="00181EF3">
              <w:rPr>
                <w:sz w:val="16"/>
              </w:rPr>
              <w:t>DS</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6C0F9ED0" w14:textId="77777777" w:rsidR="002D68F3" w:rsidRPr="00181EF3" w:rsidRDefault="002D68F3" w:rsidP="00E830F9">
            <w:pPr>
              <w:pStyle w:val="TableText"/>
              <w:spacing w:before="40" w:after="40"/>
              <w:jc w:val="center"/>
              <w:rPr>
                <w:sz w:val="16"/>
              </w:rPr>
            </w:pPr>
            <w:r w:rsidRPr="00181EF3">
              <w:rPr>
                <w:sz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E4C74D8" w14:textId="77777777" w:rsidR="002D68F3" w:rsidRPr="00181EF3" w:rsidRDefault="002D68F3" w:rsidP="00E830F9">
            <w:pPr>
              <w:pStyle w:val="TableText"/>
              <w:spacing w:before="40" w:after="40"/>
              <w:jc w:val="center"/>
              <w:rPr>
                <w:sz w:val="16"/>
              </w:rPr>
            </w:pPr>
            <w:r w:rsidRPr="00181EF3">
              <w:rPr>
                <w:sz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62B4FDF" w14:textId="77777777" w:rsidR="002D68F3" w:rsidRPr="00181EF3" w:rsidRDefault="002D68F3" w:rsidP="00E830F9">
            <w:pPr>
              <w:pStyle w:val="TableText"/>
              <w:spacing w:before="40" w:after="40"/>
              <w:jc w:val="center"/>
              <w:rPr>
                <w:sz w:val="16"/>
              </w:rPr>
            </w:pPr>
            <w:r w:rsidRPr="00181EF3">
              <w:rPr>
                <w:sz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6A3E9D8" w14:textId="77777777" w:rsidR="002D68F3" w:rsidRPr="00181EF3" w:rsidRDefault="002D68F3" w:rsidP="00E830F9">
            <w:pPr>
              <w:pStyle w:val="TableText"/>
              <w:spacing w:before="40" w:after="40"/>
              <w:jc w:val="center"/>
              <w:rPr>
                <w:sz w:val="16"/>
              </w:rPr>
            </w:pPr>
            <w:r w:rsidRPr="00181EF3">
              <w:rPr>
                <w:sz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94EB00D" w14:textId="77777777" w:rsidR="002D68F3" w:rsidRPr="00181EF3" w:rsidRDefault="002D68F3" w:rsidP="00E830F9">
            <w:pPr>
              <w:pStyle w:val="TableText"/>
              <w:spacing w:before="40" w:after="40"/>
              <w:jc w:val="center"/>
              <w:rPr>
                <w:sz w:val="16"/>
              </w:rPr>
            </w:pPr>
            <w:r w:rsidRPr="00181EF3">
              <w:rPr>
                <w:sz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AC4BF7C" w14:textId="77777777" w:rsidR="002D68F3" w:rsidRPr="00181EF3" w:rsidRDefault="002D68F3" w:rsidP="00E830F9">
            <w:pPr>
              <w:pStyle w:val="TableText"/>
              <w:spacing w:before="40" w:after="40"/>
              <w:jc w:val="center"/>
              <w:rPr>
                <w:sz w:val="16"/>
              </w:rPr>
            </w:pPr>
            <w:r w:rsidRPr="00181EF3">
              <w:rPr>
                <w:sz w:val="16"/>
              </w:rPr>
              <w:t>PO</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8F2CCF1" w14:textId="77777777" w:rsidR="002D68F3" w:rsidRPr="00181EF3" w:rsidRDefault="002D68F3" w:rsidP="00E830F9">
            <w:pPr>
              <w:pStyle w:val="TableText"/>
              <w:spacing w:before="40" w:after="40"/>
              <w:jc w:val="center"/>
              <w:rPr>
                <w:sz w:val="16"/>
              </w:rPr>
            </w:pPr>
            <w:r w:rsidRPr="00181EF3">
              <w:rPr>
                <w:sz w:val="16"/>
              </w:rPr>
              <w:t>PO</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5AD0BAD" w14:textId="77777777" w:rsidR="002D68F3" w:rsidRPr="00181EF3" w:rsidRDefault="002D68F3" w:rsidP="00E830F9">
            <w:pPr>
              <w:pStyle w:val="TableText"/>
              <w:spacing w:before="40" w:after="40"/>
              <w:jc w:val="center"/>
              <w:rPr>
                <w:sz w:val="16"/>
              </w:rPr>
            </w:pPr>
            <w:r w:rsidRPr="00181EF3">
              <w:rPr>
                <w:sz w:val="16"/>
              </w:rPr>
              <w:t>PO</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AA5A252" w14:textId="77777777" w:rsidR="002D68F3" w:rsidRPr="00181EF3" w:rsidRDefault="002D68F3" w:rsidP="00E830F9">
            <w:pPr>
              <w:pStyle w:val="TableText"/>
              <w:spacing w:before="40" w:after="40"/>
              <w:jc w:val="center"/>
              <w:rPr>
                <w:sz w:val="16"/>
              </w:rPr>
            </w:pPr>
            <w:r w:rsidRPr="00181EF3">
              <w:rPr>
                <w:sz w:val="16"/>
              </w:rPr>
              <w:t>TI</w:t>
            </w:r>
          </w:p>
        </w:tc>
      </w:tr>
      <w:tr w:rsidR="002D68F3" w:rsidRPr="00181EF3" w14:paraId="23091361" w14:textId="77777777" w:rsidTr="00E830F9">
        <w:trPr>
          <w:cantSplit/>
        </w:trPr>
        <w:tc>
          <w:tcPr>
            <w:tcW w:w="567" w:type="dxa"/>
            <w:vMerge w:val="restart"/>
            <w:tcBorders>
              <w:top w:val="single" w:sz="4" w:space="0" w:color="A6A6A6" w:themeColor="background1" w:themeShade="A6"/>
              <w:bottom w:val="single" w:sz="4" w:space="0" w:color="A6A6A6" w:themeColor="background1" w:themeShade="A6"/>
            </w:tcBorders>
            <w:shd w:val="clear" w:color="auto" w:fill="auto"/>
          </w:tcPr>
          <w:p w14:paraId="016C77AC" w14:textId="6CDF7A55" w:rsidR="002D68F3" w:rsidRPr="00181EF3" w:rsidRDefault="00EC03A3" w:rsidP="00E830F9">
            <w:pPr>
              <w:pStyle w:val="TableText"/>
              <w:spacing w:before="40" w:after="40"/>
              <w:rPr>
                <w:sz w:val="16"/>
                <w:szCs w:val="16"/>
              </w:rPr>
            </w:pPr>
            <w:r>
              <w:rPr>
                <w:sz w:val="16"/>
                <w:szCs w:val="16"/>
              </w:rPr>
              <w:t>Non</w:t>
            </w:r>
            <w:r>
              <w:rPr>
                <w:sz w:val="16"/>
                <w:szCs w:val="16"/>
              </w:rPr>
              <w:noBreakHyphen/>
              <w:t>M</w:t>
            </w:r>
            <w:r w:rsidR="002D68F3" w:rsidRPr="00181EF3">
              <w:rPr>
                <w:sz w:val="16"/>
                <w:szCs w:val="16"/>
              </w:rPr>
              <w:t>āori</w:t>
            </w:r>
          </w:p>
        </w:tc>
        <w:tc>
          <w:tcPr>
            <w:tcW w:w="426" w:type="dxa"/>
            <w:tcBorders>
              <w:top w:val="single" w:sz="4" w:space="0" w:color="A6A6A6" w:themeColor="background1" w:themeShade="A6"/>
              <w:bottom w:val="single" w:sz="4" w:space="0" w:color="A6A6A6" w:themeColor="background1" w:themeShade="A6"/>
            </w:tcBorders>
            <w:shd w:val="clear" w:color="auto" w:fill="auto"/>
          </w:tcPr>
          <w:p w14:paraId="3937B855" w14:textId="77777777" w:rsidR="002D68F3" w:rsidRPr="00181EF3" w:rsidRDefault="002D68F3" w:rsidP="00E830F9">
            <w:pPr>
              <w:pStyle w:val="TableText"/>
              <w:spacing w:before="40" w:after="40"/>
              <w:jc w:val="center"/>
              <w:rPr>
                <w:sz w:val="16"/>
                <w:szCs w:val="16"/>
              </w:rPr>
            </w:pPr>
            <w:r w:rsidRPr="00181EF3">
              <w:rPr>
                <w:sz w:val="16"/>
                <w:szCs w:val="16"/>
              </w:rPr>
              <w:t>1</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29A76D39"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715E892"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E87D9BE"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CB92A68"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69CD68F"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9E012AD"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43951D0"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6045FAB" w14:textId="77777777" w:rsidR="002D68F3" w:rsidRPr="00181EF3" w:rsidRDefault="002D68F3" w:rsidP="00E830F9">
            <w:pPr>
              <w:pStyle w:val="TableText"/>
              <w:spacing w:before="40" w:after="40"/>
              <w:jc w:val="center"/>
              <w:rPr>
                <w:sz w:val="16"/>
              </w:rPr>
            </w:pPr>
            <w:r w:rsidRPr="00181EF3">
              <w:rPr>
                <w:sz w:val="16"/>
              </w:rPr>
              <w:t>FA</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20D70B6C"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4DE0214"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4029CED"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34AD3B0"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8A7EB7E"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D02119E"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36ADA3A"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542B86A"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BA99014" w14:textId="77777777" w:rsidR="002D68F3" w:rsidRPr="00181EF3" w:rsidRDefault="002D68F3" w:rsidP="00E830F9">
            <w:pPr>
              <w:pStyle w:val="TableText"/>
              <w:spacing w:before="40" w:after="40"/>
              <w:jc w:val="center"/>
              <w:rPr>
                <w:sz w:val="16"/>
              </w:rPr>
            </w:pPr>
            <w:r w:rsidRPr="00181EF3">
              <w:rPr>
                <w:sz w:val="16"/>
              </w:rPr>
              <w:t>FA</w:t>
            </w:r>
          </w:p>
        </w:tc>
      </w:tr>
      <w:tr w:rsidR="002D68F3" w:rsidRPr="00181EF3" w14:paraId="0AC6940C" w14:textId="77777777" w:rsidTr="00E830F9">
        <w:trPr>
          <w:cantSplit/>
        </w:trPr>
        <w:tc>
          <w:tcPr>
            <w:tcW w:w="567" w:type="dxa"/>
            <w:vMerge/>
            <w:tcBorders>
              <w:top w:val="single" w:sz="4" w:space="0" w:color="A6A6A6" w:themeColor="background1" w:themeShade="A6"/>
              <w:bottom w:val="single" w:sz="4" w:space="0" w:color="A6A6A6" w:themeColor="background1" w:themeShade="A6"/>
            </w:tcBorders>
            <w:shd w:val="clear" w:color="auto" w:fill="auto"/>
          </w:tcPr>
          <w:p w14:paraId="2E3927FD" w14:textId="77777777" w:rsidR="002D68F3" w:rsidRPr="00181EF3" w:rsidRDefault="002D68F3" w:rsidP="00E830F9">
            <w:pPr>
              <w:pStyle w:val="TableText"/>
              <w:spacing w:before="40" w:after="40"/>
              <w:rPr>
                <w:sz w:val="16"/>
                <w:szCs w:val="16"/>
              </w:rPr>
            </w:pPr>
          </w:p>
        </w:tc>
        <w:tc>
          <w:tcPr>
            <w:tcW w:w="426" w:type="dxa"/>
            <w:tcBorders>
              <w:top w:val="single" w:sz="4" w:space="0" w:color="A6A6A6" w:themeColor="background1" w:themeShade="A6"/>
              <w:bottom w:val="single" w:sz="4" w:space="0" w:color="A6A6A6" w:themeColor="background1" w:themeShade="A6"/>
            </w:tcBorders>
            <w:shd w:val="clear" w:color="auto" w:fill="auto"/>
          </w:tcPr>
          <w:p w14:paraId="61BFCDC7" w14:textId="77777777" w:rsidR="002D68F3" w:rsidRPr="00181EF3" w:rsidRDefault="002D68F3" w:rsidP="00E830F9">
            <w:pPr>
              <w:pStyle w:val="TableText"/>
              <w:spacing w:before="40" w:after="40"/>
              <w:jc w:val="center"/>
              <w:rPr>
                <w:sz w:val="16"/>
                <w:szCs w:val="16"/>
              </w:rPr>
            </w:pPr>
            <w:r w:rsidRPr="00181EF3">
              <w:rPr>
                <w:sz w:val="16"/>
                <w:szCs w:val="16"/>
              </w:rPr>
              <w:t>2</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16464654"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104C1BC"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E890C22"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AA34F16"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61DFDEB"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7A31530"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6708CBC"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6D3C7EA" w14:textId="77777777" w:rsidR="002D68F3" w:rsidRPr="00181EF3" w:rsidRDefault="002D68F3" w:rsidP="00E830F9">
            <w:pPr>
              <w:pStyle w:val="TableText"/>
              <w:spacing w:before="40" w:after="40"/>
              <w:jc w:val="center"/>
              <w:rPr>
                <w:sz w:val="16"/>
              </w:rPr>
            </w:pPr>
            <w:r w:rsidRPr="00181EF3">
              <w:rPr>
                <w:sz w:val="16"/>
              </w:rPr>
              <w:t>MV</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55A917A6"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2FD2B9F"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57F5751"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1458F20"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4908A27"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810D79B"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92C1C31"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C425733"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817F95F" w14:textId="77777777" w:rsidR="002D68F3" w:rsidRPr="00181EF3" w:rsidRDefault="002D68F3" w:rsidP="00E830F9">
            <w:pPr>
              <w:pStyle w:val="TableText"/>
              <w:spacing w:before="40" w:after="40"/>
              <w:jc w:val="center"/>
              <w:rPr>
                <w:sz w:val="16"/>
              </w:rPr>
            </w:pPr>
            <w:r w:rsidRPr="00181EF3">
              <w:rPr>
                <w:sz w:val="16"/>
              </w:rPr>
              <w:t>MV</w:t>
            </w:r>
          </w:p>
        </w:tc>
      </w:tr>
      <w:tr w:rsidR="002D68F3" w:rsidRPr="00181EF3" w14:paraId="0539CBE3" w14:textId="77777777" w:rsidTr="00E830F9">
        <w:trPr>
          <w:cantSplit/>
        </w:trPr>
        <w:tc>
          <w:tcPr>
            <w:tcW w:w="567" w:type="dxa"/>
            <w:vMerge/>
            <w:tcBorders>
              <w:top w:val="single" w:sz="4" w:space="0" w:color="A6A6A6" w:themeColor="background1" w:themeShade="A6"/>
              <w:bottom w:val="single" w:sz="4" w:space="0" w:color="A6A6A6" w:themeColor="background1" w:themeShade="A6"/>
            </w:tcBorders>
            <w:shd w:val="clear" w:color="auto" w:fill="auto"/>
          </w:tcPr>
          <w:p w14:paraId="7F2A3E5D" w14:textId="77777777" w:rsidR="002D68F3" w:rsidRPr="00181EF3" w:rsidRDefault="002D68F3" w:rsidP="00E830F9">
            <w:pPr>
              <w:pStyle w:val="TableText"/>
              <w:spacing w:before="40" w:after="40"/>
              <w:rPr>
                <w:sz w:val="16"/>
                <w:szCs w:val="16"/>
              </w:rPr>
            </w:pPr>
          </w:p>
        </w:tc>
        <w:tc>
          <w:tcPr>
            <w:tcW w:w="426" w:type="dxa"/>
            <w:tcBorders>
              <w:top w:val="single" w:sz="4" w:space="0" w:color="A6A6A6" w:themeColor="background1" w:themeShade="A6"/>
              <w:bottom w:val="single" w:sz="4" w:space="0" w:color="A6A6A6" w:themeColor="background1" w:themeShade="A6"/>
            </w:tcBorders>
            <w:shd w:val="clear" w:color="auto" w:fill="auto"/>
          </w:tcPr>
          <w:p w14:paraId="12A763DC" w14:textId="77777777" w:rsidR="002D68F3" w:rsidRPr="00181EF3" w:rsidRDefault="002D68F3" w:rsidP="00E830F9">
            <w:pPr>
              <w:pStyle w:val="TableText"/>
              <w:spacing w:before="40" w:after="40"/>
              <w:jc w:val="center"/>
              <w:rPr>
                <w:sz w:val="16"/>
                <w:szCs w:val="16"/>
              </w:rPr>
            </w:pPr>
            <w:r w:rsidRPr="00181EF3">
              <w:rPr>
                <w:sz w:val="16"/>
                <w:szCs w:val="16"/>
              </w:rPr>
              <w:t>3</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3AAE9BF4" w14:textId="77777777" w:rsidR="002D68F3" w:rsidRPr="00181EF3" w:rsidRDefault="002D68F3" w:rsidP="00E830F9">
            <w:pPr>
              <w:pStyle w:val="TableText"/>
              <w:spacing w:before="40" w:after="40"/>
              <w:jc w:val="center"/>
              <w:rPr>
                <w:sz w:val="16"/>
              </w:rPr>
            </w:pPr>
            <w:r w:rsidRPr="00181EF3">
              <w:rPr>
                <w:sz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7A1BFD9" w14:textId="77777777" w:rsidR="002D68F3" w:rsidRPr="00181EF3" w:rsidRDefault="002D68F3" w:rsidP="00E830F9">
            <w:pPr>
              <w:pStyle w:val="TableText"/>
              <w:spacing w:before="40" w:after="40"/>
              <w:jc w:val="center"/>
              <w:rPr>
                <w:sz w:val="16"/>
              </w:rPr>
            </w:pPr>
            <w:r w:rsidRPr="00181EF3">
              <w:rPr>
                <w:sz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349CA5C" w14:textId="77777777" w:rsidR="002D68F3" w:rsidRPr="00181EF3" w:rsidRDefault="002D68F3" w:rsidP="00E830F9">
            <w:pPr>
              <w:pStyle w:val="TableText"/>
              <w:spacing w:before="40" w:after="40"/>
              <w:jc w:val="center"/>
              <w:rPr>
                <w:sz w:val="16"/>
              </w:rPr>
            </w:pPr>
            <w:r w:rsidRPr="00181EF3">
              <w:rPr>
                <w:sz w:val="16"/>
              </w:rPr>
              <w:t>TI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0E52627" w14:textId="77777777" w:rsidR="002D68F3" w:rsidRPr="00181EF3" w:rsidRDefault="002D68F3" w:rsidP="00E830F9">
            <w:pPr>
              <w:pStyle w:val="TableText"/>
              <w:spacing w:before="40" w:after="40"/>
              <w:jc w:val="center"/>
              <w:rPr>
                <w:sz w:val="16"/>
              </w:rPr>
            </w:pPr>
            <w:r w:rsidRPr="00181EF3">
              <w:rPr>
                <w:sz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1F59464" w14:textId="77777777" w:rsidR="002D68F3" w:rsidRPr="00181EF3" w:rsidRDefault="002D68F3" w:rsidP="00E830F9">
            <w:pPr>
              <w:pStyle w:val="TableText"/>
              <w:spacing w:before="40" w:after="40"/>
              <w:jc w:val="center"/>
              <w:rPr>
                <w:sz w:val="16"/>
              </w:rPr>
            </w:pPr>
            <w:r w:rsidRPr="00181EF3">
              <w:rPr>
                <w:sz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54A7B4B" w14:textId="77777777" w:rsidR="002D68F3" w:rsidRPr="00181EF3" w:rsidRDefault="002D68F3" w:rsidP="00E830F9">
            <w:pPr>
              <w:pStyle w:val="TableText"/>
              <w:spacing w:before="40" w:after="40"/>
              <w:jc w:val="center"/>
              <w:rPr>
                <w:sz w:val="16"/>
              </w:rPr>
            </w:pPr>
            <w:r w:rsidRPr="00181EF3">
              <w:rPr>
                <w:sz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568EA92" w14:textId="77777777" w:rsidR="002D68F3" w:rsidRPr="00181EF3" w:rsidRDefault="002D68F3" w:rsidP="00E830F9">
            <w:pPr>
              <w:pStyle w:val="TableText"/>
              <w:spacing w:before="40" w:after="40"/>
              <w:jc w:val="center"/>
              <w:rPr>
                <w:sz w:val="16"/>
              </w:rPr>
            </w:pPr>
            <w:r w:rsidRPr="00181EF3">
              <w:rPr>
                <w:sz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4FBECAE" w14:textId="77777777" w:rsidR="002D68F3" w:rsidRPr="00181EF3" w:rsidRDefault="002D68F3" w:rsidP="00E830F9">
            <w:pPr>
              <w:pStyle w:val="TableText"/>
              <w:spacing w:before="40" w:after="40"/>
              <w:jc w:val="center"/>
              <w:rPr>
                <w:sz w:val="16"/>
              </w:rPr>
            </w:pPr>
            <w:r w:rsidRPr="00181EF3">
              <w:rPr>
                <w:sz w:val="16"/>
              </w:rPr>
              <w:t>DS</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5FB3C2F9" w14:textId="77777777" w:rsidR="002D68F3" w:rsidRPr="00181EF3" w:rsidRDefault="002D68F3" w:rsidP="00E830F9">
            <w:pPr>
              <w:pStyle w:val="TableText"/>
              <w:spacing w:before="40" w:after="40"/>
              <w:jc w:val="center"/>
              <w:rPr>
                <w:sz w:val="16"/>
              </w:rPr>
            </w:pPr>
            <w:r w:rsidRPr="00181EF3">
              <w:rPr>
                <w:sz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E4BBCA7" w14:textId="77777777" w:rsidR="002D68F3" w:rsidRPr="00181EF3" w:rsidRDefault="002D68F3" w:rsidP="00E830F9">
            <w:pPr>
              <w:pStyle w:val="TableText"/>
              <w:spacing w:before="40" w:after="40"/>
              <w:jc w:val="center"/>
              <w:rPr>
                <w:sz w:val="16"/>
              </w:rPr>
            </w:pPr>
            <w:r w:rsidRPr="00181EF3">
              <w:rPr>
                <w:sz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A90FF41" w14:textId="77777777" w:rsidR="002D68F3" w:rsidRPr="00181EF3" w:rsidRDefault="002D68F3" w:rsidP="00E830F9">
            <w:pPr>
              <w:pStyle w:val="TableText"/>
              <w:spacing w:before="40" w:after="40"/>
              <w:jc w:val="center"/>
              <w:rPr>
                <w:sz w:val="16"/>
              </w:rPr>
            </w:pPr>
            <w:r w:rsidRPr="00181EF3">
              <w:rPr>
                <w:sz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79D1702" w14:textId="77777777" w:rsidR="002D68F3" w:rsidRPr="00181EF3" w:rsidRDefault="002D68F3" w:rsidP="00E830F9">
            <w:pPr>
              <w:pStyle w:val="TableText"/>
              <w:spacing w:before="40" w:after="40"/>
              <w:jc w:val="center"/>
              <w:rPr>
                <w:sz w:val="16"/>
              </w:rPr>
            </w:pPr>
            <w:r w:rsidRPr="00181EF3">
              <w:rPr>
                <w:sz w:val="16"/>
              </w:rPr>
              <w:t>PO</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088A2FB" w14:textId="77777777" w:rsidR="002D68F3" w:rsidRPr="00181EF3" w:rsidRDefault="002D68F3" w:rsidP="00E830F9">
            <w:pPr>
              <w:pStyle w:val="TableText"/>
              <w:spacing w:before="40" w:after="40"/>
              <w:jc w:val="center"/>
              <w:rPr>
                <w:sz w:val="16"/>
              </w:rPr>
            </w:pPr>
            <w:r w:rsidRPr="00181EF3">
              <w:rPr>
                <w:sz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4E16FBE" w14:textId="77777777" w:rsidR="002D68F3" w:rsidRPr="00181EF3" w:rsidRDefault="002D68F3" w:rsidP="00E830F9">
            <w:pPr>
              <w:pStyle w:val="TableText"/>
              <w:spacing w:before="40" w:after="40"/>
              <w:jc w:val="center"/>
              <w:rPr>
                <w:sz w:val="16"/>
              </w:rPr>
            </w:pPr>
            <w:r w:rsidRPr="00181EF3">
              <w:rPr>
                <w:sz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788AFD5" w14:textId="77777777" w:rsidR="002D68F3" w:rsidRPr="00181EF3" w:rsidRDefault="002D68F3" w:rsidP="00E830F9">
            <w:pPr>
              <w:pStyle w:val="TableText"/>
              <w:spacing w:before="40" w:after="40"/>
              <w:jc w:val="center"/>
              <w:rPr>
                <w:sz w:val="16"/>
              </w:rPr>
            </w:pPr>
            <w:r w:rsidRPr="00181EF3">
              <w:rPr>
                <w:sz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1CE2FC2" w14:textId="77777777" w:rsidR="002D68F3" w:rsidRPr="00181EF3" w:rsidRDefault="002D68F3" w:rsidP="00E830F9">
            <w:pPr>
              <w:pStyle w:val="TableText"/>
              <w:spacing w:before="40" w:after="40"/>
              <w:jc w:val="center"/>
              <w:rPr>
                <w:sz w:val="16"/>
              </w:rPr>
            </w:pPr>
            <w:r w:rsidRPr="00181EF3">
              <w:rPr>
                <w:sz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E0AF3D9" w14:textId="77777777" w:rsidR="002D68F3" w:rsidRPr="00181EF3" w:rsidRDefault="002D68F3" w:rsidP="00E830F9">
            <w:pPr>
              <w:pStyle w:val="TableText"/>
              <w:spacing w:before="40" w:after="40"/>
              <w:jc w:val="center"/>
              <w:rPr>
                <w:sz w:val="16"/>
              </w:rPr>
            </w:pPr>
            <w:r w:rsidRPr="00181EF3">
              <w:rPr>
                <w:sz w:val="16"/>
              </w:rPr>
              <w:t>SF</w:t>
            </w:r>
          </w:p>
        </w:tc>
      </w:tr>
    </w:tbl>
    <w:p w14:paraId="154F8747" w14:textId="77777777" w:rsidR="00062616" w:rsidRDefault="00062616" w:rsidP="00062616">
      <w:pPr>
        <w:pStyle w:val="Note"/>
      </w:pPr>
      <w:r w:rsidRPr="00181EF3">
        <w:t>Note</w:t>
      </w:r>
      <w:r>
        <w:t>s</w:t>
      </w:r>
      <w:r w:rsidRPr="00181EF3">
        <w:t>:</w:t>
      </w:r>
    </w:p>
    <w:p w14:paraId="18EFB62B" w14:textId="6DBA2CB0" w:rsidR="008A5642" w:rsidRDefault="00446D86" w:rsidP="00062616">
      <w:pPr>
        <w:pStyle w:val="Note"/>
      </w:pPr>
      <w:r>
        <w:t>Figures are age-standardised to the 2001 Census total Māori population</w:t>
      </w:r>
      <w:r w:rsidR="00062616" w:rsidRPr="00181EF3">
        <w:t>.</w:t>
      </w:r>
    </w:p>
    <w:p w14:paraId="16CE0944" w14:textId="494C8DFB" w:rsidR="00062616" w:rsidRPr="00181EF3" w:rsidRDefault="00062616" w:rsidP="00062616">
      <w:pPr>
        <w:pStyle w:val="Note"/>
      </w:pPr>
      <w:r>
        <w:t>Prioritised ethnicity has been used.</w:t>
      </w:r>
    </w:p>
    <w:p w14:paraId="79462282" w14:textId="77777777" w:rsidR="00062616" w:rsidRPr="00181EF3" w:rsidRDefault="00062616" w:rsidP="00062616">
      <w:pPr>
        <w:pStyle w:val="Source"/>
        <w:rPr>
          <w:rFonts w:eastAsia="Calibri"/>
        </w:rPr>
      </w:pPr>
      <w:r w:rsidRPr="00181EF3">
        <w:rPr>
          <w:rFonts w:eastAsia="Calibri"/>
        </w:rPr>
        <w:t>Source: Mortality Collection Data Set (MORT), Ministry of Health</w:t>
      </w:r>
      <w:r>
        <w:rPr>
          <w:rFonts w:eastAsia="Calibri"/>
        </w:rPr>
        <w:t xml:space="preserve">, </w:t>
      </w:r>
      <w:r w:rsidRPr="00181EF3">
        <w:t>1996–98 to 2012–14</w:t>
      </w:r>
      <w:r w:rsidRPr="00181EF3">
        <w:rPr>
          <w:rFonts w:eastAsia="Calibri"/>
        </w:rPr>
        <w:t>.</w:t>
      </w:r>
    </w:p>
    <w:p w14:paraId="12A6C6E5" w14:textId="77777777" w:rsidR="00062616" w:rsidRDefault="00062616" w:rsidP="002D68F3"/>
    <w:p w14:paraId="232907CD" w14:textId="32138E9F" w:rsidR="002D68F3" w:rsidRPr="00181EF3" w:rsidRDefault="002D68F3" w:rsidP="002D68F3">
      <w:r w:rsidRPr="00181EF3">
        <w:t xml:space="preserve">Table </w:t>
      </w:r>
      <w:r w:rsidR="00062616">
        <w:t>28</w:t>
      </w:r>
      <w:r w:rsidRPr="00181EF3">
        <w:t xml:space="preserve"> shows the three leading unintentional injury mortality categories for Māori and </w:t>
      </w:r>
      <w:r w:rsidR="00EC03A3">
        <w:t>non</w:t>
      </w:r>
      <w:r w:rsidR="00EC03A3">
        <w:noBreakHyphen/>
        <w:t>M</w:t>
      </w:r>
      <w:r w:rsidRPr="00181EF3">
        <w:t>āori males aged 65 years and above ranked by age-standardised rates.</w:t>
      </w:r>
    </w:p>
    <w:p w14:paraId="781CF752" w14:textId="77777777" w:rsidR="002D68F3" w:rsidRPr="00181EF3" w:rsidRDefault="002D68F3" w:rsidP="002D68F3"/>
    <w:p w14:paraId="0A48F94E" w14:textId="6CAEA460" w:rsidR="002D68F3" w:rsidRPr="00181EF3" w:rsidRDefault="002D68F3" w:rsidP="002D68F3">
      <w:r w:rsidRPr="00181EF3">
        <w:t>Between 1996–98 and 2000</w:t>
      </w:r>
      <w:r w:rsidR="00784D02" w:rsidRPr="00181EF3">
        <w:t>–</w:t>
      </w:r>
      <w:r w:rsidRPr="00181EF3">
        <w:t xml:space="preserve">02 and again in 2005–07 motor vehicle accidents was the leading category and </w:t>
      </w:r>
      <w:r>
        <w:t>f</w:t>
      </w:r>
      <w:r w:rsidRPr="00181EF3">
        <w:t>alls was the second leading category of unintentional injury mortalities for Māori males aged 65 years and above. From 2002</w:t>
      </w:r>
      <w:r w:rsidR="00784D02" w:rsidRPr="00181EF3">
        <w:t>–</w:t>
      </w:r>
      <w:r w:rsidRPr="00181EF3">
        <w:t>04 to 2004</w:t>
      </w:r>
      <w:r w:rsidR="00784D02" w:rsidRPr="00181EF3">
        <w:t>–</w:t>
      </w:r>
      <w:r w:rsidRPr="00181EF3">
        <w:t>06 and 2006–08 to 2012–14</w:t>
      </w:r>
      <w:r w:rsidR="003F3EA8">
        <w:t>,</w:t>
      </w:r>
      <w:r w:rsidRPr="00181EF3">
        <w:t xml:space="preserve"> falls was the leading category and motor vehicle accidents was the second leading category for Māori males aged 65 years and above.</w:t>
      </w:r>
    </w:p>
    <w:p w14:paraId="2C90EA32" w14:textId="77777777" w:rsidR="002D68F3" w:rsidRPr="00181EF3" w:rsidRDefault="002D68F3" w:rsidP="002D68F3"/>
    <w:p w14:paraId="4E75573B" w14:textId="1B4708C7" w:rsidR="002D68F3" w:rsidRPr="00181EF3" w:rsidRDefault="002D68F3" w:rsidP="002D68F3">
      <w:r w:rsidRPr="00181EF3">
        <w:t xml:space="preserve">Falls was the leading category and motor vehicle accidents were the second leading category for </w:t>
      </w:r>
      <w:r w:rsidR="00EC03A3">
        <w:t>non</w:t>
      </w:r>
      <w:r w:rsidR="00EC03A3">
        <w:noBreakHyphen/>
        <w:t>M</w:t>
      </w:r>
      <w:r w:rsidRPr="00181EF3">
        <w:t>āori males aged 65 years and above between 1996–98 and</w:t>
      </w:r>
      <w:r w:rsidRPr="00181EF3">
        <w:br/>
        <w:t>2012–14.</w:t>
      </w:r>
    </w:p>
    <w:p w14:paraId="06A04ED3" w14:textId="77777777" w:rsidR="002D68F3" w:rsidRPr="00181EF3" w:rsidRDefault="002D68F3" w:rsidP="002D68F3"/>
    <w:p w14:paraId="4EFCA6B4" w14:textId="1D866A8D" w:rsidR="002D68F3" w:rsidRPr="00181EF3" w:rsidRDefault="002D68F3" w:rsidP="002D68F3">
      <w:r w:rsidRPr="00181EF3">
        <w:t xml:space="preserve">Suffocation, thermal injury, drowning and submersions and poisonings were the third leading category at various times between 1996–98 and 2012–14 for both Māori and </w:t>
      </w:r>
      <w:r w:rsidR="00EC03A3">
        <w:t>non</w:t>
      </w:r>
      <w:r w:rsidR="00EC03A3">
        <w:noBreakHyphen/>
        <w:t>M</w:t>
      </w:r>
      <w:r w:rsidRPr="00181EF3">
        <w:t>āori males aged 65 years and above.</w:t>
      </w:r>
    </w:p>
    <w:p w14:paraId="4D942E1E" w14:textId="77777777" w:rsidR="002D68F3" w:rsidRPr="00181EF3" w:rsidRDefault="002D68F3" w:rsidP="002D68F3"/>
    <w:p w14:paraId="24FF5865" w14:textId="77777777" w:rsidR="002D68F3" w:rsidRPr="00181EF3" w:rsidRDefault="002D68F3" w:rsidP="009F7B61">
      <w:pPr>
        <w:pStyle w:val="Heading3"/>
        <w:pageBreakBefore/>
        <w:spacing w:before="0"/>
      </w:pPr>
      <w:bookmarkStart w:id="363" w:name="_Toc19102430"/>
      <w:r w:rsidRPr="00181EF3">
        <w:lastRenderedPageBreak/>
        <w:t>Unintentional injury mortality rankings for females</w:t>
      </w:r>
      <w:r w:rsidR="00062616">
        <w:t xml:space="preserve"> </w:t>
      </w:r>
      <w:r w:rsidRPr="00181EF3">
        <w:t>aged 0–14 years</w:t>
      </w:r>
      <w:bookmarkEnd w:id="363"/>
    </w:p>
    <w:p w14:paraId="72EEDCA0" w14:textId="661F6C8C" w:rsidR="002D68F3" w:rsidRPr="00181EF3" w:rsidRDefault="002D68F3" w:rsidP="002D68F3">
      <w:pPr>
        <w:pStyle w:val="Table"/>
      </w:pPr>
      <w:bookmarkStart w:id="364" w:name="_Toc18594769"/>
      <w:r w:rsidRPr="00181EF3">
        <w:t xml:space="preserve">Table </w:t>
      </w:r>
      <w:r w:rsidR="00062616">
        <w:t>29</w:t>
      </w:r>
      <w:r w:rsidRPr="00181EF3">
        <w:t xml:space="preserve">: </w:t>
      </w:r>
      <w:r w:rsidR="00062616" w:rsidRPr="00181EF3">
        <w:t xml:space="preserve">Three leading injury mortalities, </w:t>
      </w:r>
      <w:r w:rsidR="00062616">
        <w:t xml:space="preserve">ranked </w:t>
      </w:r>
      <w:r w:rsidR="00062616" w:rsidRPr="00181EF3">
        <w:t>by age-standardised rates,</w:t>
      </w:r>
      <w:r w:rsidR="009F7B61">
        <w:br/>
      </w:r>
      <w:r w:rsidR="00062616" w:rsidRPr="00181EF3">
        <w:t>0–14 years</w:t>
      </w:r>
      <w:r w:rsidR="00062616">
        <w:t xml:space="preserve">, </w:t>
      </w:r>
      <w:r w:rsidR="00062616" w:rsidRPr="00181EF3">
        <w:t xml:space="preserve">Māori and </w:t>
      </w:r>
      <w:r w:rsidR="00EC03A3">
        <w:t>non</w:t>
      </w:r>
      <w:r w:rsidR="00EC03A3">
        <w:noBreakHyphen/>
        <w:t>M</w:t>
      </w:r>
      <w:r w:rsidR="00062616" w:rsidRPr="00181EF3">
        <w:t>āori</w:t>
      </w:r>
      <w:r w:rsidR="00784D02">
        <w:t xml:space="preserve"> females</w:t>
      </w:r>
      <w:bookmarkEnd w:id="364"/>
    </w:p>
    <w:tbl>
      <w:tblPr>
        <w:tblW w:w="8080" w:type="dxa"/>
        <w:tblInd w:w="57" w:type="dxa"/>
        <w:tblLayout w:type="fixed"/>
        <w:tblCellMar>
          <w:left w:w="57" w:type="dxa"/>
          <w:right w:w="57" w:type="dxa"/>
        </w:tblCellMar>
        <w:tblLook w:val="04A0" w:firstRow="1" w:lastRow="0" w:firstColumn="1" w:lastColumn="0" w:noHBand="0" w:noVBand="1"/>
      </w:tblPr>
      <w:tblGrid>
        <w:gridCol w:w="567"/>
        <w:gridCol w:w="426"/>
        <w:gridCol w:w="416"/>
        <w:gridCol w:w="417"/>
        <w:gridCol w:w="417"/>
        <w:gridCol w:w="417"/>
        <w:gridCol w:w="417"/>
        <w:gridCol w:w="417"/>
        <w:gridCol w:w="417"/>
        <w:gridCol w:w="417"/>
        <w:gridCol w:w="416"/>
        <w:gridCol w:w="417"/>
        <w:gridCol w:w="417"/>
        <w:gridCol w:w="417"/>
        <w:gridCol w:w="417"/>
        <w:gridCol w:w="417"/>
        <w:gridCol w:w="417"/>
        <w:gridCol w:w="417"/>
        <w:gridCol w:w="417"/>
      </w:tblGrid>
      <w:tr w:rsidR="002D68F3" w:rsidRPr="00181EF3" w14:paraId="5AA6B4E9" w14:textId="77777777" w:rsidTr="00E830F9">
        <w:trPr>
          <w:cantSplit/>
          <w:trHeight w:val="365"/>
        </w:trPr>
        <w:tc>
          <w:tcPr>
            <w:tcW w:w="567" w:type="dxa"/>
            <w:vMerge w:val="restart"/>
            <w:tcBorders>
              <w:left w:val="nil"/>
            </w:tcBorders>
            <w:shd w:val="clear" w:color="auto" w:fill="D9D9D9" w:themeFill="background1" w:themeFillShade="D9"/>
          </w:tcPr>
          <w:p w14:paraId="5092E055" w14:textId="77777777" w:rsidR="002D68F3" w:rsidRPr="00181EF3" w:rsidRDefault="002D68F3" w:rsidP="00E830F9">
            <w:pPr>
              <w:pStyle w:val="TableText"/>
              <w:spacing w:before="40" w:after="40"/>
              <w:rPr>
                <w:b/>
                <w:sz w:val="16"/>
                <w:szCs w:val="16"/>
              </w:rPr>
            </w:pPr>
          </w:p>
        </w:tc>
        <w:tc>
          <w:tcPr>
            <w:tcW w:w="426" w:type="dxa"/>
            <w:vMerge w:val="restart"/>
            <w:shd w:val="clear" w:color="auto" w:fill="D9D9D9" w:themeFill="background1" w:themeFillShade="D9"/>
            <w:textDirection w:val="btLr"/>
            <w:vAlign w:val="center"/>
          </w:tcPr>
          <w:p w14:paraId="2DB5009C" w14:textId="77777777" w:rsidR="002D68F3" w:rsidRPr="00181EF3" w:rsidRDefault="002D68F3" w:rsidP="00E830F9">
            <w:pPr>
              <w:pStyle w:val="TableText"/>
              <w:spacing w:before="40" w:after="40"/>
              <w:ind w:left="113"/>
              <w:rPr>
                <w:b/>
                <w:sz w:val="16"/>
                <w:szCs w:val="16"/>
              </w:rPr>
            </w:pPr>
            <w:r w:rsidRPr="00181EF3">
              <w:rPr>
                <w:b/>
                <w:sz w:val="16"/>
                <w:szCs w:val="16"/>
              </w:rPr>
              <w:t>Ranking</w:t>
            </w:r>
          </w:p>
        </w:tc>
        <w:tc>
          <w:tcPr>
            <w:tcW w:w="7087" w:type="dxa"/>
            <w:gridSpan w:val="17"/>
            <w:shd w:val="clear" w:color="auto" w:fill="D9D9D9" w:themeFill="background1" w:themeFillShade="D9"/>
          </w:tcPr>
          <w:p w14:paraId="13E53173" w14:textId="77777777" w:rsidR="002D68F3" w:rsidRPr="00181EF3" w:rsidRDefault="002D68F3" w:rsidP="00E830F9">
            <w:pPr>
              <w:pStyle w:val="TableText"/>
              <w:spacing w:before="40" w:after="40"/>
              <w:jc w:val="center"/>
              <w:rPr>
                <w:b/>
                <w:sz w:val="16"/>
                <w:szCs w:val="16"/>
              </w:rPr>
            </w:pPr>
            <w:r w:rsidRPr="00181EF3">
              <w:rPr>
                <w:b/>
                <w:sz w:val="16"/>
                <w:szCs w:val="16"/>
              </w:rPr>
              <w:t>Year</w:t>
            </w:r>
          </w:p>
        </w:tc>
      </w:tr>
      <w:tr w:rsidR="002D68F3" w:rsidRPr="00181EF3" w14:paraId="4CF6DF31" w14:textId="77777777" w:rsidTr="00E830F9">
        <w:trPr>
          <w:cantSplit/>
          <w:trHeight w:val="851"/>
        </w:trPr>
        <w:tc>
          <w:tcPr>
            <w:tcW w:w="567" w:type="dxa"/>
            <w:vMerge/>
            <w:tcBorders>
              <w:left w:val="nil"/>
            </w:tcBorders>
            <w:shd w:val="clear" w:color="auto" w:fill="D9D9D9" w:themeFill="background1" w:themeFillShade="D9"/>
          </w:tcPr>
          <w:p w14:paraId="487727F5" w14:textId="77777777" w:rsidR="002D68F3" w:rsidRPr="00181EF3" w:rsidRDefault="002D68F3" w:rsidP="00E830F9">
            <w:pPr>
              <w:pStyle w:val="TableText"/>
              <w:spacing w:before="40" w:after="40"/>
              <w:rPr>
                <w:b/>
                <w:sz w:val="16"/>
                <w:szCs w:val="16"/>
              </w:rPr>
            </w:pPr>
          </w:p>
        </w:tc>
        <w:tc>
          <w:tcPr>
            <w:tcW w:w="426" w:type="dxa"/>
            <w:vMerge/>
            <w:shd w:val="clear" w:color="auto" w:fill="D9D9D9" w:themeFill="background1" w:themeFillShade="D9"/>
          </w:tcPr>
          <w:p w14:paraId="1E44CFA0" w14:textId="77777777" w:rsidR="002D68F3" w:rsidRPr="00181EF3" w:rsidRDefault="002D68F3" w:rsidP="00E830F9">
            <w:pPr>
              <w:pStyle w:val="TableText"/>
              <w:spacing w:before="40" w:after="40"/>
              <w:jc w:val="center"/>
              <w:rPr>
                <w:b/>
                <w:sz w:val="16"/>
                <w:szCs w:val="16"/>
              </w:rPr>
            </w:pPr>
          </w:p>
        </w:tc>
        <w:tc>
          <w:tcPr>
            <w:tcW w:w="416" w:type="dxa"/>
            <w:shd w:val="clear" w:color="auto" w:fill="D9D9D9" w:themeFill="background1" w:themeFillShade="D9"/>
            <w:textDirection w:val="btLr"/>
            <w:vAlign w:val="center"/>
          </w:tcPr>
          <w:p w14:paraId="50DDFCFF" w14:textId="77777777" w:rsidR="002D68F3" w:rsidRPr="00181EF3" w:rsidRDefault="002D68F3" w:rsidP="00E830F9">
            <w:pPr>
              <w:pStyle w:val="TableText"/>
              <w:spacing w:before="0" w:after="0"/>
              <w:ind w:left="113"/>
              <w:rPr>
                <w:b/>
                <w:sz w:val="16"/>
                <w:szCs w:val="16"/>
              </w:rPr>
            </w:pPr>
            <w:r w:rsidRPr="00181EF3">
              <w:rPr>
                <w:b/>
                <w:sz w:val="16"/>
                <w:szCs w:val="16"/>
              </w:rPr>
              <w:t>1996–98</w:t>
            </w:r>
          </w:p>
        </w:tc>
        <w:tc>
          <w:tcPr>
            <w:tcW w:w="417" w:type="dxa"/>
            <w:shd w:val="clear" w:color="auto" w:fill="D9D9D9" w:themeFill="background1" w:themeFillShade="D9"/>
            <w:textDirection w:val="btLr"/>
            <w:vAlign w:val="center"/>
          </w:tcPr>
          <w:p w14:paraId="6F3FB49A" w14:textId="77777777" w:rsidR="002D68F3" w:rsidRPr="00181EF3" w:rsidRDefault="002D68F3" w:rsidP="00E830F9">
            <w:pPr>
              <w:pStyle w:val="TableText"/>
              <w:spacing w:before="0" w:after="0"/>
              <w:ind w:left="113"/>
              <w:rPr>
                <w:b/>
                <w:sz w:val="16"/>
                <w:szCs w:val="16"/>
              </w:rPr>
            </w:pPr>
            <w:r w:rsidRPr="00181EF3">
              <w:rPr>
                <w:b/>
                <w:sz w:val="16"/>
                <w:szCs w:val="16"/>
              </w:rPr>
              <w:t>1997–99</w:t>
            </w:r>
          </w:p>
        </w:tc>
        <w:tc>
          <w:tcPr>
            <w:tcW w:w="417" w:type="dxa"/>
            <w:shd w:val="clear" w:color="auto" w:fill="D9D9D9" w:themeFill="background1" w:themeFillShade="D9"/>
            <w:textDirection w:val="btLr"/>
            <w:vAlign w:val="center"/>
          </w:tcPr>
          <w:p w14:paraId="7A005C59" w14:textId="77777777" w:rsidR="002D68F3" w:rsidRPr="00181EF3" w:rsidRDefault="002D68F3" w:rsidP="00E830F9">
            <w:pPr>
              <w:pStyle w:val="TableText"/>
              <w:spacing w:before="0" w:after="0"/>
              <w:ind w:left="113"/>
              <w:rPr>
                <w:b/>
                <w:sz w:val="16"/>
                <w:szCs w:val="16"/>
              </w:rPr>
            </w:pPr>
            <w:r w:rsidRPr="00181EF3">
              <w:rPr>
                <w:b/>
                <w:sz w:val="16"/>
                <w:szCs w:val="16"/>
              </w:rPr>
              <w:t>1998-00</w:t>
            </w:r>
          </w:p>
        </w:tc>
        <w:tc>
          <w:tcPr>
            <w:tcW w:w="417" w:type="dxa"/>
            <w:shd w:val="clear" w:color="auto" w:fill="D9D9D9" w:themeFill="background1" w:themeFillShade="D9"/>
            <w:textDirection w:val="btLr"/>
            <w:vAlign w:val="center"/>
          </w:tcPr>
          <w:p w14:paraId="7AE3AB74" w14:textId="77777777" w:rsidR="002D68F3" w:rsidRPr="00181EF3" w:rsidRDefault="002D68F3" w:rsidP="00E830F9">
            <w:pPr>
              <w:pStyle w:val="TableText"/>
              <w:spacing w:before="0" w:after="0"/>
              <w:ind w:left="113"/>
              <w:rPr>
                <w:b/>
                <w:sz w:val="16"/>
                <w:szCs w:val="16"/>
              </w:rPr>
            </w:pPr>
            <w:r w:rsidRPr="00181EF3">
              <w:rPr>
                <w:b/>
                <w:sz w:val="16"/>
                <w:szCs w:val="16"/>
              </w:rPr>
              <w:t>1999–01</w:t>
            </w:r>
          </w:p>
        </w:tc>
        <w:tc>
          <w:tcPr>
            <w:tcW w:w="417" w:type="dxa"/>
            <w:shd w:val="clear" w:color="auto" w:fill="D9D9D9" w:themeFill="background1" w:themeFillShade="D9"/>
            <w:textDirection w:val="btLr"/>
            <w:vAlign w:val="center"/>
          </w:tcPr>
          <w:p w14:paraId="0B357B5A" w14:textId="77777777" w:rsidR="002D68F3" w:rsidRPr="00181EF3" w:rsidRDefault="002D68F3" w:rsidP="00E830F9">
            <w:pPr>
              <w:pStyle w:val="TableText"/>
              <w:spacing w:before="0" w:after="0"/>
              <w:ind w:left="113"/>
              <w:rPr>
                <w:b/>
                <w:sz w:val="16"/>
                <w:szCs w:val="16"/>
              </w:rPr>
            </w:pPr>
            <w:r w:rsidRPr="00181EF3">
              <w:rPr>
                <w:b/>
                <w:sz w:val="16"/>
                <w:szCs w:val="16"/>
              </w:rPr>
              <w:t>2000-02</w:t>
            </w:r>
          </w:p>
        </w:tc>
        <w:tc>
          <w:tcPr>
            <w:tcW w:w="417" w:type="dxa"/>
            <w:shd w:val="clear" w:color="auto" w:fill="D9D9D9" w:themeFill="background1" w:themeFillShade="D9"/>
            <w:textDirection w:val="btLr"/>
            <w:vAlign w:val="center"/>
          </w:tcPr>
          <w:p w14:paraId="1DC9E910" w14:textId="77777777" w:rsidR="002D68F3" w:rsidRPr="00181EF3" w:rsidRDefault="002D68F3" w:rsidP="00E830F9">
            <w:pPr>
              <w:pStyle w:val="TableText"/>
              <w:spacing w:before="0" w:after="0"/>
              <w:ind w:left="113"/>
              <w:rPr>
                <w:b/>
                <w:sz w:val="16"/>
                <w:szCs w:val="16"/>
              </w:rPr>
            </w:pPr>
            <w:r w:rsidRPr="00181EF3">
              <w:rPr>
                <w:b/>
                <w:sz w:val="16"/>
                <w:szCs w:val="16"/>
              </w:rPr>
              <w:t>2001–03</w:t>
            </w:r>
          </w:p>
        </w:tc>
        <w:tc>
          <w:tcPr>
            <w:tcW w:w="417" w:type="dxa"/>
            <w:shd w:val="clear" w:color="auto" w:fill="D9D9D9" w:themeFill="background1" w:themeFillShade="D9"/>
            <w:textDirection w:val="btLr"/>
            <w:vAlign w:val="center"/>
          </w:tcPr>
          <w:p w14:paraId="65FEDB95" w14:textId="77777777" w:rsidR="002D68F3" w:rsidRPr="00181EF3" w:rsidRDefault="002D68F3" w:rsidP="00E830F9">
            <w:pPr>
              <w:pStyle w:val="TableText"/>
              <w:spacing w:before="0" w:after="0"/>
              <w:ind w:left="113"/>
              <w:rPr>
                <w:b/>
                <w:sz w:val="16"/>
                <w:szCs w:val="16"/>
              </w:rPr>
            </w:pPr>
            <w:r w:rsidRPr="00181EF3">
              <w:rPr>
                <w:b/>
                <w:sz w:val="16"/>
                <w:szCs w:val="16"/>
              </w:rPr>
              <w:t>2002-04</w:t>
            </w:r>
          </w:p>
        </w:tc>
        <w:tc>
          <w:tcPr>
            <w:tcW w:w="417" w:type="dxa"/>
            <w:shd w:val="clear" w:color="auto" w:fill="D9D9D9" w:themeFill="background1" w:themeFillShade="D9"/>
            <w:textDirection w:val="btLr"/>
            <w:vAlign w:val="center"/>
          </w:tcPr>
          <w:p w14:paraId="7D3ADBFC" w14:textId="77777777" w:rsidR="002D68F3" w:rsidRPr="00181EF3" w:rsidRDefault="002D68F3" w:rsidP="00E830F9">
            <w:pPr>
              <w:pStyle w:val="TableText"/>
              <w:spacing w:before="0" w:after="0"/>
              <w:ind w:left="113"/>
              <w:rPr>
                <w:b/>
                <w:sz w:val="16"/>
                <w:szCs w:val="16"/>
              </w:rPr>
            </w:pPr>
            <w:r w:rsidRPr="00181EF3">
              <w:rPr>
                <w:b/>
                <w:sz w:val="16"/>
                <w:szCs w:val="16"/>
              </w:rPr>
              <w:t>2003-05</w:t>
            </w:r>
          </w:p>
        </w:tc>
        <w:tc>
          <w:tcPr>
            <w:tcW w:w="416" w:type="dxa"/>
            <w:shd w:val="clear" w:color="auto" w:fill="D9D9D9" w:themeFill="background1" w:themeFillShade="D9"/>
            <w:textDirection w:val="btLr"/>
            <w:vAlign w:val="center"/>
          </w:tcPr>
          <w:p w14:paraId="56165239" w14:textId="77777777" w:rsidR="002D68F3" w:rsidRPr="00181EF3" w:rsidRDefault="002D68F3" w:rsidP="00E830F9">
            <w:pPr>
              <w:pStyle w:val="TableText"/>
              <w:spacing w:before="0" w:after="0"/>
              <w:ind w:left="113"/>
              <w:rPr>
                <w:b/>
                <w:sz w:val="16"/>
                <w:szCs w:val="16"/>
              </w:rPr>
            </w:pPr>
            <w:r w:rsidRPr="00181EF3">
              <w:rPr>
                <w:b/>
                <w:sz w:val="16"/>
                <w:szCs w:val="16"/>
              </w:rPr>
              <w:t>2004-06</w:t>
            </w:r>
          </w:p>
        </w:tc>
        <w:tc>
          <w:tcPr>
            <w:tcW w:w="417" w:type="dxa"/>
            <w:shd w:val="clear" w:color="auto" w:fill="D9D9D9" w:themeFill="background1" w:themeFillShade="D9"/>
            <w:textDirection w:val="btLr"/>
            <w:vAlign w:val="center"/>
          </w:tcPr>
          <w:p w14:paraId="315D4254" w14:textId="77777777" w:rsidR="002D68F3" w:rsidRPr="00181EF3" w:rsidRDefault="002D68F3" w:rsidP="00E830F9">
            <w:pPr>
              <w:pStyle w:val="TableText"/>
              <w:spacing w:before="0" w:after="0"/>
              <w:ind w:left="113"/>
              <w:rPr>
                <w:b/>
                <w:sz w:val="16"/>
                <w:szCs w:val="16"/>
              </w:rPr>
            </w:pPr>
            <w:r w:rsidRPr="00181EF3">
              <w:rPr>
                <w:b/>
                <w:sz w:val="16"/>
                <w:szCs w:val="16"/>
              </w:rPr>
              <w:t>2005–07</w:t>
            </w:r>
          </w:p>
        </w:tc>
        <w:tc>
          <w:tcPr>
            <w:tcW w:w="417" w:type="dxa"/>
            <w:shd w:val="clear" w:color="auto" w:fill="D9D9D9" w:themeFill="background1" w:themeFillShade="D9"/>
            <w:textDirection w:val="btLr"/>
            <w:vAlign w:val="center"/>
          </w:tcPr>
          <w:p w14:paraId="61C66063" w14:textId="77777777" w:rsidR="002D68F3" w:rsidRPr="00181EF3" w:rsidRDefault="002D68F3" w:rsidP="00E830F9">
            <w:pPr>
              <w:pStyle w:val="TableText"/>
              <w:spacing w:before="0" w:after="0"/>
              <w:ind w:left="113"/>
              <w:rPr>
                <w:b/>
                <w:sz w:val="16"/>
                <w:szCs w:val="16"/>
              </w:rPr>
            </w:pPr>
            <w:r w:rsidRPr="00181EF3">
              <w:rPr>
                <w:b/>
                <w:sz w:val="16"/>
                <w:szCs w:val="16"/>
              </w:rPr>
              <w:t>2006–08</w:t>
            </w:r>
          </w:p>
        </w:tc>
        <w:tc>
          <w:tcPr>
            <w:tcW w:w="417" w:type="dxa"/>
            <w:shd w:val="clear" w:color="auto" w:fill="D9D9D9" w:themeFill="background1" w:themeFillShade="D9"/>
            <w:textDirection w:val="btLr"/>
            <w:vAlign w:val="center"/>
          </w:tcPr>
          <w:p w14:paraId="126CA7EF" w14:textId="77777777" w:rsidR="002D68F3" w:rsidRPr="00181EF3" w:rsidRDefault="002D68F3" w:rsidP="00E830F9">
            <w:pPr>
              <w:pStyle w:val="TableText"/>
              <w:spacing w:before="0" w:after="0"/>
              <w:ind w:left="113"/>
              <w:rPr>
                <w:b/>
                <w:sz w:val="16"/>
                <w:szCs w:val="16"/>
              </w:rPr>
            </w:pPr>
            <w:r w:rsidRPr="00181EF3">
              <w:rPr>
                <w:b/>
                <w:sz w:val="16"/>
                <w:szCs w:val="16"/>
              </w:rPr>
              <w:t>2007–09</w:t>
            </w:r>
          </w:p>
        </w:tc>
        <w:tc>
          <w:tcPr>
            <w:tcW w:w="417" w:type="dxa"/>
            <w:shd w:val="clear" w:color="auto" w:fill="D9D9D9" w:themeFill="background1" w:themeFillShade="D9"/>
            <w:textDirection w:val="btLr"/>
            <w:vAlign w:val="center"/>
          </w:tcPr>
          <w:p w14:paraId="6D7339DD" w14:textId="77777777" w:rsidR="002D68F3" w:rsidRPr="00181EF3" w:rsidRDefault="002D68F3" w:rsidP="00E830F9">
            <w:pPr>
              <w:pStyle w:val="TableText"/>
              <w:spacing w:before="0" w:after="0"/>
              <w:ind w:left="113"/>
              <w:rPr>
                <w:b/>
                <w:sz w:val="16"/>
                <w:szCs w:val="16"/>
              </w:rPr>
            </w:pPr>
            <w:r w:rsidRPr="00181EF3">
              <w:rPr>
                <w:b/>
                <w:sz w:val="16"/>
                <w:szCs w:val="16"/>
              </w:rPr>
              <w:t>2008–10</w:t>
            </w:r>
          </w:p>
        </w:tc>
        <w:tc>
          <w:tcPr>
            <w:tcW w:w="417" w:type="dxa"/>
            <w:shd w:val="clear" w:color="auto" w:fill="D9D9D9" w:themeFill="background1" w:themeFillShade="D9"/>
            <w:textDirection w:val="btLr"/>
            <w:vAlign w:val="center"/>
          </w:tcPr>
          <w:p w14:paraId="787FBC68" w14:textId="77777777" w:rsidR="002D68F3" w:rsidRPr="00181EF3" w:rsidRDefault="002D68F3" w:rsidP="00E830F9">
            <w:pPr>
              <w:pStyle w:val="TableText"/>
              <w:spacing w:before="0" w:after="0"/>
              <w:ind w:left="113"/>
              <w:rPr>
                <w:b/>
                <w:sz w:val="16"/>
                <w:szCs w:val="16"/>
              </w:rPr>
            </w:pPr>
            <w:r w:rsidRPr="00181EF3">
              <w:rPr>
                <w:b/>
                <w:sz w:val="16"/>
                <w:szCs w:val="16"/>
              </w:rPr>
              <w:t>2009–11</w:t>
            </w:r>
          </w:p>
        </w:tc>
        <w:tc>
          <w:tcPr>
            <w:tcW w:w="417" w:type="dxa"/>
            <w:shd w:val="clear" w:color="auto" w:fill="D9D9D9" w:themeFill="background1" w:themeFillShade="D9"/>
            <w:textDirection w:val="btLr"/>
            <w:vAlign w:val="center"/>
          </w:tcPr>
          <w:p w14:paraId="576BDBFD" w14:textId="77777777" w:rsidR="002D68F3" w:rsidRPr="00181EF3" w:rsidRDefault="002D68F3" w:rsidP="00E830F9">
            <w:pPr>
              <w:pStyle w:val="TableText"/>
              <w:spacing w:before="0" w:after="0"/>
              <w:ind w:left="113"/>
              <w:rPr>
                <w:b/>
                <w:sz w:val="16"/>
                <w:szCs w:val="16"/>
              </w:rPr>
            </w:pPr>
            <w:r w:rsidRPr="00181EF3">
              <w:rPr>
                <w:b/>
                <w:sz w:val="16"/>
                <w:szCs w:val="16"/>
              </w:rPr>
              <w:t>2010–12</w:t>
            </w:r>
          </w:p>
        </w:tc>
        <w:tc>
          <w:tcPr>
            <w:tcW w:w="417" w:type="dxa"/>
            <w:shd w:val="clear" w:color="auto" w:fill="D9D9D9" w:themeFill="background1" w:themeFillShade="D9"/>
            <w:textDirection w:val="btLr"/>
            <w:vAlign w:val="center"/>
          </w:tcPr>
          <w:p w14:paraId="5FE35CA3" w14:textId="77777777" w:rsidR="002D68F3" w:rsidRPr="00181EF3" w:rsidRDefault="002D68F3" w:rsidP="00E830F9">
            <w:pPr>
              <w:pStyle w:val="TableText"/>
              <w:spacing w:before="0" w:after="0"/>
              <w:ind w:left="113"/>
              <w:rPr>
                <w:b/>
                <w:sz w:val="16"/>
                <w:szCs w:val="16"/>
              </w:rPr>
            </w:pPr>
            <w:r w:rsidRPr="00181EF3">
              <w:rPr>
                <w:b/>
                <w:sz w:val="16"/>
                <w:szCs w:val="16"/>
              </w:rPr>
              <w:t>2011–13</w:t>
            </w:r>
          </w:p>
        </w:tc>
        <w:tc>
          <w:tcPr>
            <w:tcW w:w="417" w:type="dxa"/>
            <w:shd w:val="clear" w:color="auto" w:fill="D9D9D9" w:themeFill="background1" w:themeFillShade="D9"/>
            <w:textDirection w:val="btLr"/>
            <w:vAlign w:val="center"/>
          </w:tcPr>
          <w:p w14:paraId="3065D05A" w14:textId="77777777" w:rsidR="002D68F3" w:rsidRPr="00181EF3" w:rsidRDefault="002D68F3" w:rsidP="00E830F9">
            <w:pPr>
              <w:pStyle w:val="TableText"/>
              <w:spacing w:before="0" w:after="0"/>
              <w:ind w:left="113"/>
              <w:rPr>
                <w:b/>
                <w:sz w:val="16"/>
                <w:szCs w:val="16"/>
              </w:rPr>
            </w:pPr>
            <w:r w:rsidRPr="00181EF3">
              <w:rPr>
                <w:b/>
                <w:sz w:val="16"/>
                <w:szCs w:val="16"/>
              </w:rPr>
              <w:t>2012–14</w:t>
            </w:r>
          </w:p>
        </w:tc>
      </w:tr>
      <w:tr w:rsidR="002D68F3" w:rsidRPr="00181EF3" w14:paraId="300D5E78" w14:textId="77777777" w:rsidTr="00E830F9">
        <w:trPr>
          <w:cantSplit/>
        </w:trPr>
        <w:tc>
          <w:tcPr>
            <w:tcW w:w="567" w:type="dxa"/>
            <w:vMerge w:val="restart"/>
            <w:tcBorders>
              <w:bottom w:val="single" w:sz="4" w:space="0" w:color="A6A6A6" w:themeColor="background1" w:themeShade="A6"/>
            </w:tcBorders>
            <w:shd w:val="clear" w:color="auto" w:fill="auto"/>
          </w:tcPr>
          <w:p w14:paraId="35DD341E" w14:textId="77777777" w:rsidR="002D68F3" w:rsidRPr="00181EF3" w:rsidRDefault="002D68F3" w:rsidP="00E830F9">
            <w:pPr>
              <w:pStyle w:val="TableText"/>
              <w:spacing w:before="40" w:after="40"/>
              <w:rPr>
                <w:sz w:val="16"/>
                <w:szCs w:val="16"/>
              </w:rPr>
            </w:pPr>
            <w:r w:rsidRPr="00181EF3">
              <w:rPr>
                <w:sz w:val="16"/>
                <w:szCs w:val="16"/>
              </w:rPr>
              <w:t>Māori</w:t>
            </w:r>
          </w:p>
        </w:tc>
        <w:tc>
          <w:tcPr>
            <w:tcW w:w="426" w:type="dxa"/>
            <w:tcBorders>
              <w:bottom w:val="single" w:sz="4" w:space="0" w:color="A6A6A6" w:themeColor="background1" w:themeShade="A6"/>
            </w:tcBorders>
            <w:shd w:val="clear" w:color="auto" w:fill="auto"/>
          </w:tcPr>
          <w:p w14:paraId="02252A29" w14:textId="77777777" w:rsidR="002D68F3" w:rsidRPr="00181EF3" w:rsidRDefault="002D68F3" w:rsidP="00E830F9">
            <w:pPr>
              <w:pStyle w:val="TableText"/>
              <w:spacing w:before="40" w:after="40"/>
              <w:jc w:val="center"/>
              <w:rPr>
                <w:sz w:val="16"/>
                <w:szCs w:val="16"/>
              </w:rPr>
            </w:pPr>
            <w:r w:rsidRPr="00181EF3">
              <w:rPr>
                <w:sz w:val="16"/>
                <w:szCs w:val="16"/>
              </w:rPr>
              <w:t>1</w:t>
            </w:r>
          </w:p>
        </w:tc>
        <w:tc>
          <w:tcPr>
            <w:tcW w:w="416" w:type="dxa"/>
            <w:tcBorders>
              <w:bottom w:val="single" w:sz="4" w:space="0" w:color="A6A6A6" w:themeColor="background1" w:themeShade="A6"/>
            </w:tcBorders>
            <w:shd w:val="clear" w:color="auto" w:fill="auto"/>
          </w:tcPr>
          <w:p w14:paraId="66CF1067"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bottom w:val="single" w:sz="4" w:space="0" w:color="A6A6A6" w:themeColor="background1" w:themeShade="A6"/>
            </w:tcBorders>
            <w:shd w:val="clear" w:color="auto" w:fill="auto"/>
          </w:tcPr>
          <w:p w14:paraId="30B53163"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bottom w:val="single" w:sz="4" w:space="0" w:color="A6A6A6" w:themeColor="background1" w:themeShade="A6"/>
            </w:tcBorders>
            <w:shd w:val="clear" w:color="auto" w:fill="auto"/>
          </w:tcPr>
          <w:p w14:paraId="32347802"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bottom w:val="single" w:sz="4" w:space="0" w:color="A6A6A6" w:themeColor="background1" w:themeShade="A6"/>
            </w:tcBorders>
            <w:shd w:val="clear" w:color="auto" w:fill="auto"/>
          </w:tcPr>
          <w:p w14:paraId="21ECC4C9"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bottom w:val="single" w:sz="4" w:space="0" w:color="A6A6A6" w:themeColor="background1" w:themeShade="A6"/>
            </w:tcBorders>
            <w:shd w:val="clear" w:color="auto" w:fill="auto"/>
          </w:tcPr>
          <w:p w14:paraId="1346279E"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bottom w:val="single" w:sz="4" w:space="0" w:color="A6A6A6" w:themeColor="background1" w:themeShade="A6"/>
            </w:tcBorders>
            <w:shd w:val="clear" w:color="auto" w:fill="auto"/>
          </w:tcPr>
          <w:p w14:paraId="056A8EA7"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bottom w:val="single" w:sz="4" w:space="0" w:color="A6A6A6" w:themeColor="background1" w:themeShade="A6"/>
            </w:tcBorders>
            <w:shd w:val="clear" w:color="auto" w:fill="auto"/>
          </w:tcPr>
          <w:p w14:paraId="63EF3D43"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bottom w:val="single" w:sz="4" w:space="0" w:color="A6A6A6" w:themeColor="background1" w:themeShade="A6"/>
            </w:tcBorders>
            <w:shd w:val="clear" w:color="auto" w:fill="auto"/>
          </w:tcPr>
          <w:p w14:paraId="6C0E0DB3" w14:textId="77777777" w:rsidR="002D68F3" w:rsidRPr="00181EF3" w:rsidRDefault="002D68F3" w:rsidP="00E830F9">
            <w:pPr>
              <w:pStyle w:val="TableText"/>
              <w:spacing w:before="40" w:after="40"/>
              <w:jc w:val="center"/>
              <w:rPr>
                <w:sz w:val="16"/>
              </w:rPr>
            </w:pPr>
            <w:r w:rsidRPr="00181EF3">
              <w:rPr>
                <w:sz w:val="16"/>
              </w:rPr>
              <w:t>MV</w:t>
            </w:r>
          </w:p>
        </w:tc>
        <w:tc>
          <w:tcPr>
            <w:tcW w:w="416" w:type="dxa"/>
            <w:tcBorders>
              <w:bottom w:val="single" w:sz="4" w:space="0" w:color="A6A6A6" w:themeColor="background1" w:themeShade="A6"/>
            </w:tcBorders>
            <w:shd w:val="clear" w:color="auto" w:fill="auto"/>
          </w:tcPr>
          <w:p w14:paraId="72308E7A"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bottom w:val="single" w:sz="4" w:space="0" w:color="A6A6A6" w:themeColor="background1" w:themeShade="A6"/>
            </w:tcBorders>
            <w:shd w:val="clear" w:color="auto" w:fill="auto"/>
          </w:tcPr>
          <w:p w14:paraId="4BD6C14D"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bottom w:val="single" w:sz="4" w:space="0" w:color="A6A6A6" w:themeColor="background1" w:themeShade="A6"/>
            </w:tcBorders>
            <w:shd w:val="clear" w:color="auto" w:fill="auto"/>
          </w:tcPr>
          <w:p w14:paraId="08C27EDE" w14:textId="77777777" w:rsidR="002D68F3" w:rsidRPr="00181EF3" w:rsidRDefault="002D68F3" w:rsidP="00E830F9">
            <w:pPr>
              <w:pStyle w:val="TableText"/>
              <w:spacing w:before="40" w:after="40"/>
              <w:jc w:val="center"/>
              <w:rPr>
                <w:sz w:val="16"/>
              </w:rPr>
            </w:pPr>
            <w:r w:rsidRPr="00181EF3">
              <w:rPr>
                <w:sz w:val="16"/>
              </w:rPr>
              <w:t>SF</w:t>
            </w:r>
          </w:p>
        </w:tc>
        <w:tc>
          <w:tcPr>
            <w:tcW w:w="417" w:type="dxa"/>
            <w:tcBorders>
              <w:bottom w:val="single" w:sz="4" w:space="0" w:color="A6A6A6" w:themeColor="background1" w:themeShade="A6"/>
            </w:tcBorders>
            <w:shd w:val="clear" w:color="auto" w:fill="auto"/>
          </w:tcPr>
          <w:p w14:paraId="2889C099" w14:textId="77777777" w:rsidR="002D68F3" w:rsidRPr="00181EF3" w:rsidRDefault="002D68F3" w:rsidP="00E830F9">
            <w:pPr>
              <w:pStyle w:val="TableText"/>
              <w:spacing w:before="40" w:after="40"/>
              <w:jc w:val="center"/>
              <w:rPr>
                <w:sz w:val="16"/>
              </w:rPr>
            </w:pPr>
            <w:r w:rsidRPr="00181EF3">
              <w:rPr>
                <w:sz w:val="16"/>
              </w:rPr>
              <w:t>SF</w:t>
            </w:r>
          </w:p>
        </w:tc>
        <w:tc>
          <w:tcPr>
            <w:tcW w:w="417" w:type="dxa"/>
            <w:tcBorders>
              <w:bottom w:val="single" w:sz="4" w:space="0" w:color="A6A6A6" w:themeColor="background1" w:themeShade="A6"/>
            </w:tcBorders>
            <w:shd w:val="clear" w:color="auto" w:fill="auto"/>
          </w:tcPr>
          <w:p w14:paraId="47AE7F07" w14:textId="77777777" w:rsidR="002D68F3" w:rsidRPr="00181EF3" w:rsidRDefault="002D68F3" w:rsidP="00E830F9">
            <w:pPr>
              <w:pStyle w:val="TableText"/>
              <w:spacing w:before="40" w:after="40"/>
              <w:jc w:val="center"/>
              <w:rPr>
                <w:sz w:val="16"/>
              </w:rPr>
            </w:pPr>
            <w:r w:rsidRPr="00181EF3">
              <w:rPr>
                <w:sz w:val="16"/>
              </w:rPr>
              <w:t>SF</w:t>
            </w:r>
          </w:p>
        </w:tc>
        <w:tc>
          <w:tcPr>
            <w:tcW w:w="417" w:type="dxa"/>
            <w:tcBorders>
              <w:bottom w:val="single" w:sz="4" w:space="0" w:color="A6A6A6" w:themeColor="background1" w:themeShade="A6"/>
            </w:tcBorders>
            <w:shd w:val="clear" w:color="auto" w:fill="auto"/>
          </w:tcPr>
          <w:p w14:paraId="0C4C1A65" w14:textId="77777777" w:rsidR="002D68F3" w:rsidRPr="00181EF3" w:rsidRDefault="002D68F3" w:rsidP="00E830F9">
            <w:pPr>
              <w:pStyle w:val="TableText"/>
              <w:spacing w:before="40" w:after="40"/>
              <w:jc w:val="center"/>
              <w:rPr>
                <w:sz w:val="16"/>
              </w:rPr>
            </w:pPr>
            <w:r w:rsidRPr="00181EF3">
              <w:rPr>
                <w:sz w:val="16"/>
              </w:rPr>
              <w:t>SF</w:t>
            </w:r>
          </w:p>
        </w:tc>
        <w:tc>
          <w:tcPr>
            <w:tcW w:w="417" w:type="dxa"/>
            <w:tcBorders>
              <w:bottom w:val="single" w:sz="4" w:space="0" w:color="A6A6A6" w:themeColor="background1" w:themeShade="A6"/>
            </w:tcBorders>
            <w:shd w:val="clear" w:color="auto" w:fill="auto"/>
          </w:tcPr>
          <w:p w14:paraId="5E9D48EA" w14:textId="77777777" w:rsidR="002D68F3" w:rsidRPr="00181EF3" w:rsidRDefault="002D68F3" w:rsidP="00E830F9">
            <w:pPr>
              <w:pStyle w:val="TableText"/>
              <w:spacing w:before="40" w:after="40"/>
              <w:jc w:val="center"/>
              <w:rPr>
                <w:sz w:val="16"/>
              </w:rPr>
            </w:pPr>
            <w:r w:rsidRPr="00181EF3">
              <w:rPr>
                <w:sz w:val="16"/>
              </w:rPr>
              <w:t>SF</w:t>
            </w:r>
          </w:p>
        </w:tc>
        <w:tc>
          <w:tcPr>
            <w:tcW w:w="417" w:type="dxa"/>
            <w:tcBorders>
              <w:bottom w:val="single" w:sz="4" w:space="0" w:color="A6A6A6" w:themeColor="background1" w:themeShade="A6"/>
            </w:tcBorders>
            <w:shd w:val="clear" w:color="auto" w:fill="auto"/>
          </w:tcPr>
          <w:p w14:paraId="53032A00" w14:textId="77777777" w:rsidR="002D68F3" w:rsidRPr="00181EF3" w:rsidRDefault="002D68F3" w:rsidP="00E830F9">
            <w:pPr>
              <w:pStyle w:val="TableText"/>
              <w:spacing w:before="40" w:after="40"/>
              <w:jc w:val="center"/>
              <w:rPr>
                <w:sz w:val="16"/>
              </w:rPr>
            </w:pPr>
            <w:r w:rsidRPr="00181EF3">
              <w:rPr>
                <w:sz w:val="16"/>
              </w:rPr>
              <w:t>SF</w:t>
            </w:r>
          </w:p>
        </w:tc>
        <w:tc>
          <w:tcPr>
            <w:tcW w:w="417" w:type="dxa"/>
            <w:tcBorders>
              <w:bottom w:val="single" w:sz="4" w:space="0" w:color="A6A6A6" w:themeColor="background1" w:themeShade="A6"/>
            </w:tcBorders>
            <w:shd w:val="clear" w:color="auto" w:fill="auto"/>
          </w:tcPr>
          <w:p w14:paraId="3B6F188B" w14:textId="77777777" w:rsidR="002D68F3" w:rsidRPr="00181EF3" w:rsidRDefault="002D68F3" w:rsidP="00E830F9">
            <w:pPr>
              <w:pStyle w:val="TableText"/>
              <w:spacing w:before="40" w:after="40"/>
              <w:jc w:val="center"/>
              <w:rPr>
                <w:sz w:val="16"/>
              </w:rPr>
            </w:pPr>
            <w:r w:rsidRPr="00181EF3">
              <w:rPr>
                <w:sz w:val="16"/>
              </w:rPr>
              <w:t>SF</w:t>
            </w:r>
          </w:p>
        </w:tc>
      </w:tr>
      <w:tr w:rsidR="002D68F3" w:rsidRPr="00181EF3" w14:paraId="151451F2" w14:textId="77777777" w:rsidTr="00E830F9">
        <w:trPr>
          <w:cantSplit/>
        </w:trPr>
        <w:tc>
          <w:tcPr>
            <w:tcW w:w="567" w:type="dxa"/>
            <w:vMerge/>
            <w:tcBorders>
              <w:top w:val="single" w:sz="4" w:space="0" w:color="A6A6A6" w:themeColor="background1" w:themeShade="A6"/>
              <w:bottom w:val="single" w:sz="4" w:space="0" w:color="A6A6A6" w:themeColor="background1" w:themeShade="A6"/>
            </w:tcBorders>
            <w:shd w:val="clear" w:color="auto" w:fill="auto"/>
          </w:tcPr>
          <w:p w14:paraId="0BEDF07F" w14:textId="77777777" w:rsidR="002D68F3" w:rsidRPr="00181EF3" w:rsidRDefault="002D68F3" w:rsidP="00E830F9">
            <w:pPr>
              <w:pStyle w:val="TableText"/>
              <w:spacing w:before="40" w:after="40"/>
              <w:rPr>
                <w:sz w:val="16"/>
                <w:szCs w:val="16"/>
              </w:rPr>
            </w:pPr>
          </w:p>
        </w:tc>
        <w:tc>
          <w:tcPr>
            <w:tcW w:w="426" w:type="dxa"/>
            <w:tcBorders>
              <w:top w:val="single" w:sz="4" w:space="0" w:color="A6A6A6" w:themeColor="background1" w:themeShade="A6"/>
              <w:bottom w:val="single" w:sz="4" w:space="0" w:color="A6A6A6" w:themeColor="background1" w:themeShade="A6"/>
            </w:tcBorders>
            <w:shd w:val="clear" w:color="auto" w:fill="auto"/>
          </w:tcPr>
          <w:p w14:paraId="422FF5E1" w14:textId="77777777" w:rsidR="002D68F3" w:rsidRPr="00181EF3" w:rsidRDefault="002D68F3" w:rsidP="00E830F9">
            <w:pPr>
              <w:pStyle w:val="TableText"/>
              <w:spacing w:before="40" w:after="40"/>
              <w:jc w:val="center"/>
              <w:rPr>
                <w:sz w:val="16"/>
                <w:szCs w:val="16"/>
              </w:rPr>
            </w:pPr>
            <w:r w:rsidRPr="00181EF3">
              <w:rPr>
                <w:sz w:val="16"/>
                <w:szCs w:val="16"/>
              </w:rPr>
              <w:t>2</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44F885FD" w14:textId="77777777" w:rsidR="002D68F3" w:rsidRPr="00181EF3" w:rsidRDefault="002D68F3" w:rsidP="00E830F9">
            <w:pPr>
              <w:pStyle w:val="TableText"/>
              <w:spacing w:before="40" w:after="40"/>
              <w:jc w:val="center"/>
              <w:rPr>
                <w:sz w:val="16"/>
              </w:rPr>
            </w:pPr>
            <w:r w:rsidRPr="00181EF3">
              <w:rPr>
                <w:sz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D391F2B" w14:textId="77777777" w:rsidR="002D68F3" w:rsidRPr="00181EF3" w:rsidRDefault="002D68F3" w:rsidP="00E830F9">
            <w:pPr>
              <w:pStyle w:val="TableText"/>
              <w:spacing w:before="40" w:after="40"/>
              <w:jc w:val="center"/>
              <w:rPr>
                <w:sz w:val="16"/>
              </w:rPr>
            </w:pPr>
            <w:r w:rsidRPr="00181EF3">
              <w:rPr>
                <w:sz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36D6972" w14:textId="77777777" w:rsidR="002D68F3" w:rsidRPr="00181EF3" w:rsidRDefault="002D68F3" w:rsidP="00E830F9">
            <w:pPr>
              <w:pStyle w:val="TableText"/>
              <w:spacing w:before="40" w:after="40"/>
              <w:jc w:val="center"/>
              <w:rPr>
                <w:sz w:val="16"/>
              </w:rPr>
            </w:pPr>
            <w:r w:rsidRPr="00181EF3">
              <w:rPr>
                <w:sz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773166C" w14:textId="77777777" w:rsidR="002D68F3" w:rsidRPr="00181EF3" w:rsidRDefault="002D68F3" w:rsidP="00E830F9">
            <w:pPr>
              <w:pStyle w:val="TableText"/>
              <w:spacing w:before="40" w:after="40"/>
              <w:jc w:val="center"/>
              <w:rPr>
                <w:sz w:val="16"/>
              </w:rPr>
            </w:pPr>
            <w:r w:rsidRPr="00181EF3">
              <w:rPr>
                <w:sz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5302F8A" w14:textId="77777777" w:rsidR="002D68F3" w:rsidRPr="00181EF3" w:rsidRDefault="002D68F3" w:rsidP="00E830F9">
            <w:pPr>
              <w:pStyle w:val="TableText"/>
              <w:spacing w:before="40" w:after="40"/>
              <w:jc w:val="center"/>
              <w:rPr>
                <w:sz w:val="16"/>
              </w:rPr>
            </w:pPr>
            <w:r w:rsidRPr="00181EF3">
              <w:rPr>
                <w:sz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49C6FCF" w14:textId="77777777" w:rsidR="002D68F3" w:rsidRPr="00181EF3" w:rsidRDefault="002D68F3" w:rsidP="00E830F9">
            <w:pPr>
              <w:pStyle w:val="TableText"/>
              <w:spacing w:before="40" w:after="40"/>
              <w:jc w:val="center"/>
              <w:rPr>
                <w:sz w:val="16"/>
              </w:rPr>
            </w:pPr>
            <w:r w:rsidRPr="00181EF3">
              <w:rPr>
                <w:sz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07A5E9F" w14:textId="77777777" w:rsidR="002D68F3" w:rsidRPr="00181EF3" w:rsidRDefault="002D68F3" w:rsidP="00E830F9">
            <w:pPr>
              <w:pStyle w:val="TableText"/>
              <w:spacing w:before="40" w:after="40"/>
              <w:jc w:val="center"/>
              <w:rPr>
                <w:sz w:val="16"/>
              </w:rPr>
            </w:pPr>
            <w:r w:rsidRPr="00181EF3">
              <w:rPr>
                <w:sz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18CCE81" w14:textId="77777777" w:rsidR="002D68F3" w:rsidRPr="00181EF3" w:rsidRDefault="002D68F3" w:rsidP="00E830F9">
            <w:pPr>
              <w:pStyle w:val="TableText"/>
              <w:spacing w:before="40" w:after="40"/>
              <w:jc w:val="center"/>
              <w:rPr>
                <w:sz w:val="16"/>
              </w:rPr>
            </w:pPr>
            <w:r w:rsidRPr="00181EF3">
              <w:rPr>
                <w:sz w:val="16"/>
              </w:rPr>
              <w:t>SF</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71DB1569" w14:textId="77777777" w:rsidR="002D68F3" w:rsidRPr="00181EF3" w:rsidRDefault="002D68F3" w:rsidP="00E830F9">
            <w:pPr>
              <w:pStyle w:val="TableText"/>
              <w:spacing w:before="40" w:after="40"/>
              <w:jc w:val="center"/>
              <w:rPr>
                <w:sz w:val="16"/>
              </w:rPr>
            </w:pPr>
            <w:r w:rsidRPr="00181EF3">
              <w:rPr>
                <w:sz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CD14238" w14:textId="77777777" w:rsidR="002D68F3" w:rsidRPr="00181EF3" w:rsidRDefault="002D68F3" w:rsidP="00E830F9">
            <w:pPr>
              <w:pStyle w:val="TableText"/>
              <w:spacing w:before="40" w:after="40"/>
              <w:jc w:val="center"/>
              <w:rPr>
                <w:sz w:val="16"/>
              </w:rPr>
            </w:pPr>
            <w:r w:rsidRPr="00181EF3">
              <w:rPr>
                <w:sz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2E65FE6"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AF9B047"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7EC76B4"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59298E2"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3FFC022"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57AD4BB"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43FF7DB" w14:textId="77777777" w:rsidR="002D68F3" w:rsidRPr="00181EF3" w:rsidRDefault="002D68F3" w:rsidP="00E830F9">
            <w:pPr>
              <w:pStyle w:val="TableText"/>
              <w:spacing w:before="40" w:after="40"/>
              <w:jc w:val="center"/>
              <w:rPr>
                <w:sz w:val="16"/>
              </w:rPr>
            </w:pPr>
            <w:r w:rsidRPr="00181EF3">
              <w:rPr>
                <w:sz w:val="16"/>
              </w:rPr>
              <w:t>MV</w:t>
            </w:r>
          </w:p>
        </w:tc>
      </w:tr>
      <w:tr w:rsidR="002D68F3" w:rsidRPr="00181EF3" w14:paraId="1DA4F63B" w14:textId="77777777" w:rsidTr="00E830F9">
        <w:trPr>
          <w:cantSplit/>
        </w:trPr>
        <w:tc>
          <w:tcPr>
            <w:tcW w:w="567" w:type="dxa"/>
            <w:vMerge/>
            <w:tcBorders>
              <w:top w:val="single" w:sz="4" w:space="0" w:color="A6A6A6" w:themeColor="background1" w:themeShade="A6"/>
              <w:bottom w:val="single" w:sz="4" w:space="0" w:color="A6A6A6" w:themeColor="background1" w:themeShade="A6"/>
            </w:tcBorders>
            <w:shd w:val="clear" w:color="auto" w:fill="auto"/>
          </w:tcPr>
          <w:p w14:paraId="47986C08" w14:textId="77777777" w:rsidR="002D68F3" w:rsidRPr="00181EF3" w:rsidRDefault="002D68F3" w:rsidP="00E830F9">
            <w:pPr>
              <w:pStyle w:val="TableText"/>
              <w:spacing w:before="40" w:after="40"/>
              <w:rPr>
                <w:sz w:val="16"/>
                <w:szCs w:val="16"/>
              </w:rPr>
            </w:pPr>
          </w:p>
        </w:tc>
        <w:tc>
          <w:tcPr>
            <w:tcW w:w="426" w:type="dxa"/>
            <w:tcBorders>
              <w:top w:val="single" w:sz="4" w:space="0" w:color="A6A6A6" w:themeColor="background1" w:themeShade="A6"/>
              <w:bottom w:val="single" w:sz="4" w:space="0" w:color="A6A6A6" w:themeColor="background1" w:themeShade="A6"/>
            </w:tcBorders>
            <w:shd w:val="clear" w:color="auto" w:fill="auto"/>
          </w:tcPr>
          <w:p w14:paraId="3D7554CF" w14:textId="77777777" w:rsidR="002D68F3" w:rsidRPr="00181EF3" w:rsidRDefault="002D68F3" w:rsidP="00E830F9">
            <w:pPr>
              <w:pStyle w:val="TableText"/>
              <w:spacing w:before="40" w:after="40"/>
              <w:jc w:val="center"/>
              <w:rPr>
                <w:sz w:val="16"/>
                <w:szCs w:val="16"/>
              </w:rPr>
            </w:pPr>
            <w:r w:rsidRPr="00181EF3">
              <w:rPr>
                <w:sz w:val="16"/>
                <w:szCs w:val="16"/>
              </w:rPr>
              <w:t>3</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5943643C" w14:textId="77777777" w:rsidR="002D68F3" w:rsidRPr="00181EF3" w:rsidRDefault="002D68F3" w:rsidP="00E830F9">
            <w:pPr>
              <w:pStyle w:val="TableText"/>
              <w:spacing w:before="40" w:after="40"/>
              <w:jc w:val="center"/>
              <w:rPr>
                <w:sz w:val="16"/>
              </w:rPr>
            </w:pPr>
            <w:r w:rsidRPr="00181EF3">
              <w:rPr>
                <w:sz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969463D" w14:textId="77777777" w:rsidR="002D68F3" w:rsidRPr="00181EF3" w:rsidRDefault="002D68F3" w:rsidP="00E830F9">
            <w:pPr>
              <w:pStyle w:val="TableText"/>
              <w:spacing w:before="40" w:after="40"/>
              <w:jc w:val="center"/>
              <w:rPr>
                <w:sz w:val="16"/>
              </w:rPr>
            </w:pPr>
            <w:r w:rsidRPr="00181EF3">
              <w:rPr>
                <w:sz w:val="16"/>
              </w:rPr>
              <w:t>TI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6B84FFA" w14:textId="77777777" w:rsidR="002D68F3" w:rsidRPr="00181EF3" w:rsidRDefault="002D68F3" w:rsidP="00E830F9">
            <w:pPr>
              <w:pStyle w:val="TableText"/>
              <w:spacing w:before="40" w:after="40"/>
              <w:jc w:val="center"/>
              <w:rPr>
                <w:sz w:val="16"/>
              </w:rPr>
            </w:pPr>
            <w:r w:rsidRPr="00181EF3">
              <w:rPr>
                <w:sz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7E0FE0B" w14:textId="77777777" w:rsidR="002D68F3" w:rsidRPr="00181EF3" w:rsidRDefault="002D68F3" w:rsidP="00E830F9">
            <w:pPr>
              <w:pStyle w:val="TableText"/>
              <w:spacing w:before="40" w:after="40"/>
              <w:jc w:val="center"/>
              <w:rPr>
                <w:sz w:val="16"/>
              </w:rPr>
            </w:pPr>
            <w:r w:rsidRPr="00181EF3">
              <w:rPr>
                <w:sz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D7EA5C4" w14:textId="77777777" w:rsidR="002D68F3" w:rsidRPr="00181EF3" w:rsidRDefault="002D68F3" w:rsidP="00E830F9">
            <w:pPr>
              <w:pStyle w:val="TableText"/>
              <w:spacing w:before="40" w:after="40"/>
              <w:jc w:val="center"/>
              <w:rPr>
                <w:sz w:val="16"/>
              </w:rPr>
            </w:pPr>
            <w:r w:rsidRPr="00181EF3">
              <w:rPr>
                <w:sz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EAA2BC4" w14:textId="77777777" w:rsidR="002D68F3" w:rsidRPr="00181EF3" w:rsidRDefault="002D68F3" w:rsidP="00E830F9">
            <w:pPr>
              <w:pStyle w:val="TableText"/>
              <w:spacing w:before="40" w:after="40"/>
              <w:jc w:val="center"/>
              <w:rPr>
                <w:sz w:val="16"/>
              </w:rPr>
            </w:pPr>
            <w:r w:rsidRPr="00181EF3">
              <w:rPr>
                <w:sz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15DD6B2" w14:textId="77777777" w:rsidR="002D68F3" w:rsidRPr="00181EF3" w:rsidRDefault="002D68F3" w:rsidP="00E830F9">
            <w:pPr>
              <w:pStyle w:val="TableText"/>
              <w:spacing w:before="40" w:after="40"/>
              <w:jc w:val="center"/>
              <w:rPr>
                <w:sz w:val="16"/>
              </w:rPr>
            </w:pPr>
            <w:r w:rsidRPr="00181EF3">
              <w:rPr>
                <w:sz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80231FF" w14:textId="77777777" w:rsidR="002D68F3" w:rsidRPr="00181EF3" w:rsidRDefault="002D68F3" w:rsidP="00E830F9">
            <w:pPr>
              <w:pStyle w:val="TableText"/>
              <w:spacing w:before="40" w:after="40"/>
              <w:jc w:val="center"/>
              <w:rPr>
                <w:sz w:val="16"/>
              </w:rPr>
            </w:pPr>
            <w:r w:rsidRPr="00181EF3">
              <w:rPr>
                <w:sz w:val="16"/>
              </w:rPr>
              <w:t>DS</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1744DA7B" w14:textId="77777777" w:rsidR="002D68F3" w:rsidRPr="00181EF3" w:rsidRDefault="002D68F3" w:rsidP="00E830F9">
            <w:pPr>
              <w:pStyle w:val="TableText"/>
              <w:spacing w:before="40" w:after="40"/>
              <w:jc w:val="center"/>
              <w:rPr>
                <w:sz w:val="16"/>
              </w:rPr>
            </w:pPr>
            <w:r w:rsidRPr="00181EF3">
              <w:rPr>
                <w:sz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77E682A" w14:textId="77777777" w:rsidR="002D68F3" w:rsidRPr="00181EF3" w:rsidRDefault="002D68F3" w:rsidP="00E830F9">
            <w:pPr>
              <w:pStyle w:val="TableText"/>
              <w:spacing w:before="40" w:after="40"/>
              <w:jc w:val="center"/>
              <w:rPr>
                <w:sz w:val="16"/>
              </w:rPr>
            </w:pPr>
            <w:r w:rsidRPr="00181EF3">
              <w:rPr>
                <w:sz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76EF809" w14:textId="77777777" w:rsidR="002D68F3" w:rsidRPr="00181EF3" w:rsidRDefault="002D68F3" w:rsidP="00E830F9">
            <w:pPr>
              <w:pStyle w:val="TableText"/>
              <w:spacing w:before="40" w:after="40"/>
              <w:jc w:val="center"/>
              <w:rPr>
                <w:sz w:val="16"/>
              </w:rPr>
            </w:pPr>
            <w:r w:rsidRPr="00181EF3">
              <w:rPr>
                <w:sz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72E56DF" w14:textId="77777777" w:rsidR="002D68F3" w:rsidRPr="00181EF3" w:rsidRDefault="002D68F3" w:rsidP="00E830F9">
            <w:pPr>
              <w:pStyle w:val="TableText"/>
              <w:spacing w:before="40" w:after="40"/>
              <w:jc w:val="center"/>
              <w:rPr>
                <w:sz w:val="16"/>
              </w:rPr>
            </w:pPr>
            <w:r w:rsidRPr="00181EF3">
              <w:rPr>
                <w:sz w:val="16"/>
              </w:rPr>
              <w:t>PO</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7C78E8B" w14:textId="77777777" w:rsidR="002D68F3" w:rsidRPr="00181EF3" w:rsidRDefault="002D68F3" w:rsidP="00E830F9">
            <w:pPr>
              <w:pStyle w:val="TableText"/>
              <w:spacing w:before="40" w:after="40"/>
              <w:jc w:val="center"/>
              <w:rPr>
                <w:sz w:val="16"/>
              </w:rPr>
            </w:pPr>
            <w:r w:rsidRPr="00181EF3">
              <w:rPr>
                <w:sz w:val="16"/>
              </w:rPr>
              <w:t>PO</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DB422B2" w14:textId="77777777" w:rsidR="002D68F3" w:rsidRPr="00181EF3" w:rsidRDefault="002D68F3" w:rsidP="00E830F9">
            <w:pPr>
              <w:pStyle w:val="TableText"/>
              <w:spacing w:before="40" w:after="40"/>
              <w:jc w:val="center"/>
              <w:rPr>
                <w:sz w:val="16"/>
              </w:rPr>
            </w:pPr>
            <w:r w:rsidRPr="00181EF3">
              <w:rPr>
                <w:sz w:val="16"/>
              </w:rPr>
              <w:t>PO</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2A3C2FB" w14:textId="77777777" w:rsidR="002D68F3" w:rsidRPr="00181EF3" w:rsidRDefault="002D68F3" w:rsidP="00E830F9">
            <w:pPr>
              <w:pStyle w:val="TableText"/>
              <w:spacing w:before="40" w:after="40"/>
              <w:jc w:val="center"/>
              <w:rPr>
                <w:sz w:val="16"/>
              </w:rPr>
            </w:pPr>
            <w:r w:rsidRPr="00181EF3">
              <w:rPr>
                <w:sz w:val="16"/>
              </w:rPr>
              <w:t>PO</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F7BF97E" w14:textId="77777777" w:rsidR="002D68F3" w:rsidRPr="00181EF3" w:rsidRDefault="002D68F3" w:rsidP="00E830F9">
            <w:pPr>
              <w:pStyle w:val="TableText"/>
              <w:spacing w:before="40" w:after="40"/>
              <w:jc w:val="center"/>
              <w:rPr>
                <w:sz w:val="16"/>
              </w:rPr>
            </w:pPr>
            <w:r w:rsidRPr="00181EF3">
              <w:rPr>
                <w:sz w:val="16"/>
              </w:rPr>
              <w:t>PO</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21F163D" w14:textId="77777777" w:rsidR="002D68F3" w:rsidRPr="00181EF3" w:rsidRDefault="002D68F3" w:rsidP="00E830F9">
            <w:pPr>
              <w:pStyle w:val="TableText"/>
              <w:spacing w:before="40" w:after="40"/>
              <w:jc w:val="center"/>
              <w:rPr>
                <w:sz w:val="16"/>
              </w:rPr>
            </w:pPr>
            <w:r w:rsidRPr="00181EF3">
              <w:rPr>
                <w:sz w:val="16"/>
              </w:rPr>
              <w:t>TI</w:t>
            </w:r>
          </w:p>
        </w:tc>
      </w:tr>
      <w:tr w:rsidR="002D68F3" w:rsidRPr="00181EF3" w14:paraId="2AE8B34E" w14:textId="77777777" w:rsidTr="00E830F9">
        <w:trPr>
          <w:cantSplit/>
        </w:trPr>
        <w:tc>
          <w:tcPr>
            <w:tcW w:w="567" w:type="dxa"/>
            <w:vMerge w:val="restart"/>
            <w:tcBorders>
              <w:top w:val="single" w:sz="4" w:space="0" w:color="A6A6A6" w:themeColor="background1" w:themeShade="A6"/>
              <w:bottom w:val="single" w:sz="4" w:space="0" w:color="A6A6A6" w:themeColor="background1" w:themeShade="A6"/>
            </w:tcBorders>
            <w:shd w:val="clear" w:color="auto" w:fill="auto"/>
          </w:tcPr>
          <w:p w14:paraId="5C8707A1" w14:textId="40EFAD9B" w:rsidR="002D68F3" w:rsidRPr="00181EF3" w:rsidRDefault="00EC03A3" w:rsidP="00E830F9">
            <w:pPr>
              <w:pStyle w:val="TableText"/>
              <w:spacing w:before="40" w:after="40"/>
              <w:rPr>
                <w:sz w:val="16"/>
                <w:szCs w:val="16"/>
              </w:rPr>
            </w:pPr>
            <w:r>
              <w:rPr>
                <w:sz w:val="16"/>
                <w:szCs w:val="16"/>
              </w:rPr>
              <w:t>Non</w:t>
            </w:r>
            <w:r>
              <w:rPr>
                <w:sz w:val="16"/>
                <w:szCs w:val="16"/>
              </w:rPr>
              <w:noBreakHyphen/>
              <w:t>M</w:t>
            </w:r>
            <w:r w:rsidR="002D68F3" w:rsidRPr="00181EF3">
              <w:rPr>
                <w:sz w:val="16"/>
                <w:szCs w:val="16"/>
              </w:rPr>
              <w:t>āori</w:t>
            </w:r>
          </w:p>
        </w:tc>
        <w:tc>
          <w:tcPr>
            <w:tcW w:w="426" w:type="dxa"/>
            <w:tcBorders>
              <w:top w:val="single" w:sz="4" w:space="0" w:color="A6A6A6" w:themeColor="background1" w:themeShade="A6"/>
              <w:bottom w:val="single" w:sz="4" w:space="0" w:color="A6A6A6" w:themeColor="background1" w:themeShade="A6"/>
            </w:tcBorders>
            <w:shd w:val="clear" w:color="auto" w:fill="auto"/>
          </w:tcPr>
          <w:p w14:paraId="433C8F4B" w14:textId="77777777" w:rsidR="002D68F3" w:rsidRPr="00181EF3" w:rsidRDefault="002D68F3" w:rsidP="00E830F9">
            <w:pPr>
              <w:pStyle w:val="TableText"/>
              <w:spacing w:before="40" w:after="40"/>
              <w:jc w:val="center"/>
              <w:rPr>
                <w:sz w:val="16"/>
                <w:szCs w:val="16"/>
              </w:rPr>
            </w:pPr>
            <w:r w:rsidRPr="00181EF3">
              <w:rPr>
                <w:sz w:val="16"/>
                <w:szCs w:val="16"/>
              </w:rPr>
              <w:t>1</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055207FE"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7094349"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9672135"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471D85B"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E85D654"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F7C21FF"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830E012"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610E15C" w14:textId="77777777" w:rsidR="002D68F3" w:rsidRPr="00181EF3" w:rsidRDefault="002D68F3" w:rsidP="00E830F9">
            <w:pPr>
              <w:pStyle w:val="TableText"/>
              <w:spacing w:before="40" w:after="40"/>
              <w:jc w:val="center"/>
              <w:rPr>
                <w:sz w:val="16"/>
              </w:rPr>
            </w:pPr>
            <w:r w:rsidRPr="00181EF3">
              <w:rPr>
                <w:sz w:val="16"/>
              </w:rPr>
              <w:t>MV</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00A289ED"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691F42E"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851738F"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7CB1B14"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5DA97D8"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E00218B"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613B6CD"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D58A020" w14:textId="77777777" w:rsidR="002D68F3" w:rsidRPr="00181EF3" w:rsidRDefault="002D68F3" w:rsidP="00E830F9">
            <w:pPr>
              <w:pStyle w:val="TableText"/>
              <w:spacing w:before="40" w:after="40"/>
              <w:jc w:val="center"/>
              <w:rPr>
                <w:sz w:val="16"/>
              </w:rPr>
            </w:pPr>
            <w:r w:rsidRPr="00181EF3">
              <w:rPr>
                <w:sz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C03DAAC" w14:textId="77777777" w:rsidR="002D68F3" w:rsidRPr="00181EF3" w:rsidRDefault="002D68F3" w:rsidP="00E830F9">
            <w:pPr>
              <w:pStyle w:val="TableText"/>
              <w:spacing w:before="40" w:after="40"/>
              <w:jc w:val="center"/>
              <w:rPr>
                <w:sz w:val="16"/>
              </w:rPr>
            </w:pPr>
            <w:r w:rsidRPr="00181EF3">
              <w:rPr>
                <w:sz w:val="16"/>
              </w:rPr>
              <w:t>MV</w:t>
            </w:r>
          </w:p>
        </w:tc>
      </w:tr>
      <w:tr w:rsidR="002D68F3" w:rsidRPr="00181EF3" w14:paraId="44661CE7" w14:textId="77777777" w:rsidTr="00E830F9">
        <w:trPr>
          <w:cantSplit/>
        </w:trPr>
        <w:tc>
          <w:tcPr>
            <w:tcW w:w="567" w:type="dxa"/>
            <w:vMerge/>
            <w:tcBorders>
              <w:top w:val="single" w:sz="4" w:space="0" w:color="A6A6A6" w:themeColor="background1" w:themeShade="A6"/>
              <w:bottom w:val="single" w:sz="4" w:space="0" w:color="A6A6A6" w:themeColor="background1" w:themeShade="A6"/>
            </w:tcBorders>
            <w:shd w:val="clear" w:color="auto" w:fill="auto"/>
          </w:tcPr>
          <w:p w14:paraId="3C33815E" w14:textId="77777777" w:rsidR="002D68F3" w:rsidRPr="00181EF3" w:rsidRDefault="002D68F3" w:rsidP="00E830F9">
            <w:pPr>
              <w:pStyle w:val="TableText"/>
              <w:spacing w:before="40" w:after="40"/>
              <w:rPr>
                <w:sz w:val="16"/>
                <w:szCs w:val="16"/>
              </w:rPr>
            </w:pPr>
          </w:p>
        </w:tc>
        <w:tc>
          <w:tcPr>
            <w:tcW w:w="426" w:type="dxa"/>
            <w:tcBorders>
              <w:top w:val="single" w:sz="4" w:space="0" w:color="A6A6A6" w:themeColor="background1" w:themeShade="A6"/>
              <w:bottom w:val="single" w:sz="4" w:space="0" w:color="A6A6A6" w:themeColor="background1" w:themeShade="A6"/>
            </w:tcBorders>
            <w:shd w:val="clear" w:color="auto" w:fill="auto"/>
          </w:tcPr>
          <w:p w14:paraId="1EF6B84F" w14:textId="77777777" w:rsidR="002D68F3" w:rsidRPr="00181EF3" w:rsidRDefault="002D68F3" w:rsidP="00E830F9">
            <w:pPr>
              <w:pStyle w:val="TableText"/>
              <w:spacing w:before="40" w:after="40"/>
              <w:jc w:val="center"/>
              <w:rPr>
                <w:sz w:val="16"/>
                <w:szCs w:val="16"/>
              </w:rPr>
            </w:pPr>
            <w:r w:rsidRPr="00181EF3">
              <w:rPr>
                <w:sz w:val="16"/>
                <w:szCs w:val="16"/>
              </w:rPr>
              <w:t>2</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7A097B46" w14:textId="77777777" w:rsidR="002D68F3" w:rsidRPr="00181EF3" w:rsidRDefault="002D68F3" w:rsidP="00E830F9">
            <w:pPr>
              <w:pStyle w:val="TableText"/>
              <w:spacing w:before="40" w:after="40"/>
              <w:jc w:val="center"/>
              <w:rPr>
                <w:sz w:val="16"/>
              </w:rPr>
            </w:pPr>
            <w:r w:rsidRPr="00181EF3">
              <w:rPr>
                <w:sz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8CB1EB2" w14:textId="77777777" w:rsidR="002D68F3" w:rsidRPr="00181EF3" w:rsidRDefault="002D68F3" w:rsidP="00E830F9">
            <w:pPr>
              <w:pStyle w:val="TableText"/>
              <w:spacing w:before="40" w:after="40"/>
              <w:jc w:val="center"/>
              <w:rPr>
                <w:sz w:val="16"/>
              </w:rPr>
            </w:pPr>
            <w:r w:rsidRPr="00181EF3">
              <w:rPr>
                <w:sz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3656CA8" w14:textId="77777777" w:rsidR="002D68F3" w:rsidRPr="00181EF3" w:rsidRDefault="002D68F3" w:rsidP="00E830F9">
            <w:pPr>
              <w:pStyle w:val="TableText"/>
              <w:spacing w:before="40" w:after="40"/>
              <w:jc w:val="center"/>
              <w:rPr>
                <w:sz w:val="16"/>
              </w:rPr>
            </w:pPr>
            <w:r w:rsidRPr="00181EF3">
              <w:rPr>
                <w:sz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5062246" w14:textId="77777777" w:rsidR="002D68F3" w:rsidRPr="00181EF3" w:rsidRDefault="002D68F3" w:rsidP="00E830F9">
            <w:pPr>
              <w:pStyle w:val="TableText"/>
              <w:spacing w:before="40" w:after="40"/>
              <w:jc w:val="center"/>
              <w:rPr>
                <w:sz w:val="16"/>
              </w:rPr>
            </w:pPr>
            <w:r w:rsidRPr="00181EF3">
              <w:rPr>
                <w:sz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75DCEF1" w14:textId="77777777" w:rsidR="002D68F3" w:rsidRPr="00181EF3" w:rsidRDefault="002D68F3" w:rsidP="00E830F9">
            <w:pPr>
              <w:pStyle w:val="TableText"/>
              <w:spacing w:before="40" w:after="40"/>
              <w:jc w:val="center"/>
              <w:rPr>
                <w:sz w:val="16"/>
              </w:rPr>
            </w:pPr>
            <w:r w:rsidRPr="00181EF3">
              <w:rPr>
                <w:sz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4D8C287" w14:textId="77777777" w:rsidR="002D68F3" w:rsidRPr="00181EF3" w:rsidRDefault="002D68F3" w:rsidP="00E830F9">
            <w:pPr>
              <w:pStyle w:val="TableText"/>
              <w:spacing w:before="40" w:after="40"/>
              <w:jc w:val="center"/>
              <w:rPr>
                <w:sz w:val="16"/>
              </w:rPr>
            </w:pPr>
            <w:r w:rsidRPr="00181EF3">
              <w:rPr>
                <w:sz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AAB79C1" w14:textId="77777777" w:rsidR="002D68F3" w:rsidRPr="00181EF3" w:rsidRDefault="002D68F3" w:rsidP="00E830F9">
            <w:pPr>
              <w:pStyle w:val="TableText"/>
              <w:spacing w:before="40" w:after="40"/>
              <w:jc w:val="center"/>
              <w:rPr>
                <w:sz w:val="16"/>
              </w:rPr>
            </w:pPr>
            <w:r w:rsidRPr="00181EF3">
              <w:rPr>
                <w:sz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F6AAA3F" w14:textId="77777777" w:rsidR="002D68F3" w:rsidRPr="00181EF3" w:rsidRDefault="002D68F3" w:rsidP="00E830F9">
            <w:pPr>
              <w:pStyle w:val="TableText"/>
              <w:spacing w:before="40" w:after="40"/>
              <w:jc w:val="center"/>
              <w:rPr>
                <w:sz w:val="16"/>
              </w:rPr>
            </w:pPr>
            <w:r w:rsidRPr="00181EF3">
              <w:rPr>
                <w:sz w:val="16"/>
              </w:rPr>
              <w:t>SF</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0A11F128" w14:textId="77777777" w:rsidR="002D68F3" w:rsidRPr="00181EF3" w:rsidRDefault="002D68F3" w:rsidP="00E830F9">
            <w:pPr>
              <w:pStyle w:val="TableText"/>
              <w:spacing w:before="40" w:after="40"/>
              <w:jc w:val="center"/>
              <w:rPr>
                <w:sz w:val="16"/>
              </w:rPr>
            </w:pPr>
            <w:r w:rsidRPr="00181EF3">
              <w:rPr>
                <w:sz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D5D3CD5" w14:textId="77777777" w:rsidR="002D68F3" w:rsidRPr="00181EF3" w:rsidRDefault="002D68F3" w:rsidP="00E830F9">
            <w:pPr>
              <w:pStyle w:val="TableText"/>
              <w:spacing w:before="40" w:after="40"/>
              <w:jc w:val="center"/>
              <w:rPr>
                <w:sz w:val="16"/>
              </w:rPr>
            </w:pPr>
            <w:r w:rsidRPr="00181EF3">
              <w:rPr>
                <w:sz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CF3A526" w14:textId="77777777" w:rsidR="002D68F3" w:rsidRPr="00181EF3" w:rsidRDefault="002D68F3" w:rsidP="00E830F9">
            <w:pPr>
              <w:pStyle w:val="TableText"/>
              <w:spacing w:before="40" w:after="40"/>
              <w:jc w:val="center"/>
              <w:rPr>
                <w:sz w:val="16"/>
              </w:rPr>
            </w:pPr>
            <w:r w:rsidRPr="00181EF3">
              <w:rPr>
                <w:sz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A1380B1" w14:textId="77777777" w:rsidR="002D68F3" w:rsidRPr="00181EF3" w:rsidRDefault="002D68F3" w:rsidP="00E830F9">
            <w:pPr>
              <w:pStyle w:val="TableText"/>
              <w:spacing w:before="40" w:after="40"/>
              <w:jc w:val="center"/>
              <w:rPr>
                <w:sz w:val="16"/>
              </w:rPr>
            </w:pPr>
            <w:r w:rsidRPr="00181EF3">
              <w:rPr>
                <w:sz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93CD0A0" w14:textId="77777777" w:rsidR="002D68F3" w:rsidRPr="00181EF3" w:rsidRDefault="002D68F3" w:rsidP="00E830F9">
            <w:pPr>
              <w:pStyle w:val="TableText"/>
              <w:spacing w:before="40" w:after="40"/>
              <w:jc w:val="center"/>
              <w:rPr>
                <w:sz w:val="16"/>
              </w:rPr>
            </w:pPr>
            <w:r w:rsidRPr="00181EF3">
              <w:rPr>
                <w:sz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D1C9186" w14:textId="77777777" w:rsidR="002D68F3" w:rsidRPr="00181EF3" w:rsidRDefault="002D68F3" w:rsidP="00E830F9">
            <w:pPr>
              <w:pStyle w:val="TableText"/>
              <w:spacing w:before="40" w:after="40"/>
              <w:jc w:val="center"/>
              <w:rPr>
                <w:sz w:val="16"/>
              </w:rPr>
            </w:pPr>
            <w:r w:rsidRPr="00181EF3">
              <w:rPr>
                <w:sz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C077DD9" w14:textId="77777777" w:rsidR="002D68F3" w:rsidRPr="00181EF3" w:rsidRDefault="002D68F3" w:rsidP="00E830F9">
            <w:pPr>
              <w:pStyle w:val="TableText"/>
              <w:spacing w:before="40" w:after="40"/>
              <w:jc w:val="center"/>
              <w:rPr>
                <w:sz w:val="16"/>
              </w:rPr>
            </w:pPr>
            <w:r w:rsidRPr="00181EF3">
              <w:rPr>
                <w:sz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673C235" w14:textId="77777777" w:rsidR="002D68F3" w:rsidRPr="00181EF3" w:rsidRDefault="002D68F3" w:rsidP="00E830F9">
            <w:pPr>
              <w:pStyle w:val="TableText"/>
              <w:spacing w:before="40" w:after="40"/>
              <w:jc w:val="center"/>
              <w:rPr>
                <w:sz w:val="16"/>
              </w:rPr>
            </w:pPr>
            <w:r w:rsidRPr="00181EF3">
              <w:rPr>
                <w:sz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1EE0C99" w14:textId="77777777" w:rsidR="002D68F3" w:rsidRPr="00181EF3" w:rsidRDefault="002D68F3" w:rsidP="00E830F9">
            <w:pPr>
              <w:pStyle w:val="TableText"/>
              <w:spacing w:before="40" w:after="40"/>
              <w:jc w:val="center"/>
              <w:rPr>
                <w:sz w:val="16"/>
              </w:rPr>
            </w:pPr>
            <w:r w:rsidRPr="00181EF3">
              <w:rPr>
                <w:sz w:val="16"/>
              </w:rPr>
              <w:t>SF</w:t>
            </w:r>
          </w:p>
        </w:tc>
      </w:tr>
      <w:tr w:rsidR="002D68F3" w:rsidRPr="00181EF3" w14:paraId="6D6644AC" w14:textId="77777777" w:rsidTr="00E830F9">
        <w:trPr>
          <w:cantSplit/>
        </w:trPr>
        <w:tc>
          <w:tcPr>
            <w:tcW w:w="567" w:type="dxa"/>
            <w:vMerge/>
            <w:tcBorders>
              <w:top w:val="single" w:sz="4" w:space="0" w:color="A6A6A6" w:themeColor="background1" w:themeShade="A6"/>
              <w:bottom w:val="single" w:sz="4" w:space="0" w:color="A6A6A6" w:themeColor="background1" w:themeShade="A6"/>
            </w:tcBorders>
            <w:shd w:val="clear" w:color="auto" w:fill="auto"/>
          </w:tcPr>
          <w:p w14:paraId="1C6FA329" w14:textId="77777777" w:rsidR="002D68F3" w:rsidRPr="00181EF3" w:rsidRDefault="002D68F3" w:rsidP="00E830F9">
            <w:pPr>
              <w:pStyle w:val="TableText"/>
              <w:spacing w:before="40" w:after="40"/>
              <w:rPr>
                <w:sz w:val="16"/>
                <w:szCs w:val="16"/>
              </w:rPr>
            </w:pPr>
          </w:p>
        </w:tc>
        <w:tc>
          <w:tcPr>
            <w:tcW w:w="426" w:type="dxa"/>
            <w:tcBorders>
              <w:top w:val="single" w:sz="4" w:space="0" w:color="A6A6A6" w:themeColor="background1" w:themeShade="A6"/>
              <w:bottom w:val="single" w:sz="4" w:space="0" w:color="A6A6A6" w:themeColor="background1" w:themeShade="A6"/>
            </w:tcBorders>
            <w:shd w:val="clear" w:color="auto" w:fill="auto"/>
          </w:tcPr>
          <w:p w14:paraId="01D31C30" w14:textId="77777777" w:rsidR="002D68F3" w:rsidRPr="00181EF3" w:rsidRDefault="002D68F3" w:rsidP="00E830F9">
            <w:pPr>
              <w:pStyle w:val="TableText"/>
              <w:spacing w:before="40" w:after="40"/>
              <w:jc w:val="center"/>
              <w:rPr>
                <w:sz w:val="16"/>
                <w:szCs w:val="16"/>
              </w:rPr>
            </w:pPr>
            <w:r w:rsidRPr="00181EF3">
              <w:rPr>
                <w:sz w:val="16"/>
                <w:szCs w:val="16"/>
              </w:rPr>
              <w:t>3</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1AED0B12" w14:textId="77777777" w:rsidR="002D68F3" w:rsidRPr="00181EF3" w:rsidRDefault="002D68F3" w:rsidP="00E830F9">
            <w:pPr>
              <w:pStyle w:val="TableText"/>
              <w:spacing w:before="40" w:after="40"/>
              <w:jc w:val="center"/>
              <w:rPr>
                <w:sz w:val="16"/>
              </w:rPr>
            </w:pPr>
            <w:r w:rsidRPr="00181EF3">
              <w:rPr>
                <w:sz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2CE7CC6" w14:textId="77777777" w:rsidR="002D68F3" w:rsidRPr="00181EF3" w:rsidRDefault="002D68F3" w:rsidP="00E830F9">
            <w:pPr>
              <w:pStyle w:val="TableText"/>
              <w:spacing w:before="40" w:after="40"/>
              <w:jc w:val="center"/>
              <w:rPr>
                <w:sz w:val="16"/>
              </w:rPr>
            </w:pPr>
            <w:r w:rsidRPr="00181EF3">
              <w:rPr>
                <w:sz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6956A22" w14:textId="77777777" w:rsidR="002D68F3" w:rsidRPr="00181EF3" w:rsidRDefault="002D68F3" w:rsidP="00E830F9">
            <w:pPr>
              <w:pStyle w:val="TableText"/>
              <w:spacing w:before="40" w:after="40"/>
              <w:jc w:val="center"/>
              <w:rPr>
                <w:sz w:val="16"/>
              </w:rPr>
            </w:pPr>
            <w:r w:rsidRPr="00181EF3">
              <w:rPr>
                <w:sz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D1568A6" w14:textId="77777777" w:rsidR="002D68F3" w:rsidRPr="00181EF3" w:rsidRDefault="002D68F3" w:rsidP="00E830F9">
            <w:pPr>
              <w:pStyle w:val="TableText"/>
              <w:spacing w:before="40" w:after="40"/>
              <w:jc w:val="center"/>
              <w:rPr>
                <w:sz w:val="16"/>
              </w:rPr>
            </w:pPr>
            <w:r w:rsidRPr="00181EF3">
              <w:rPr>
                <w:sz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95CA164" w14:textId="77777777" w:rsidR="002D68F3" w:rsidRPr="00181EF3" w:rsidRDefault="002D68F3" w:rsidP="00E830F9">
            <w:pPr>
              <w:pStyle w:val="TableText"/>
              <w:spacing w:before="40" w:after="40"/>
              <w:jc w:val="center"/>
              <w:rPr>
                <w:sz w:val="16"/>
              </w:rPr>
            </w:pPr>
            <w:r w:rsidRPr="00181EF3">
              <w:rPr>
                <w:sz w:val="16"/>
              </w:rPr>
              <w:t>TI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1A84130" w14:textId="77777777" w:rsidR="002D68F3" w:rsidRPr="00181EF3" w:rsidRDefault="002D68F3" w:rsidP="00E830F9">
            <w:pPr>
              <w:pStyle w:val="TableText"/>
              <w:spacing w:before="40" w:after="40"/>
              <w:jc w:val="center"/>
              <w:rPr>
                <w:sz w:val="16"/>
              </w:rPr>
            </w:pPr>
            <w:r w:rsidRPr="00181EF3">
              <w:rPr>
                <w:sz w:val="16"/>
              </w:rPr>
              <w:t>TI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ED98955" w14:textId="77777777" w:rsidR="002D68F3" w:rsidRPr="00181EF3" w:rsidRDefault="002D68F3" w:rsidP="00E830F9">
            <w:pPr>
              <w:pStyle w:val="TableText"/>
              <w:spacing w:before="40" w:after="40"/>
              <w:jc w:val="center"/>
              <w:rPr>
                <w:sz w:val="16"/>
              </w:rPr>
            </w:pPr>
            <w:r w:rsidRPr="00181EF3">
              <w:rPr>
                <w:sz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A7652E1" w14:textId="77777777" w:rsidR="002D68F3" w:rsidRPr="00181EF3" w:rsidRDefault="002D68F3" w:rsidP="00E830F9">
            <w:pPr>
              <w:pStyle w:val="TableText"/>
              <w:spacing w:before="40" w:after="40"/>
              <w:jc w:val="center"/>
              <w:rPr>
                <w:sz w:val="16"/>
              </w:rPr>
            </w:pPr>
            <w:r w:rsidRPr="00181EF3">
              <w:rPr>
                <w:sz w:val="16"/>
              </w:rPr>
              <w:t>DS</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485642C7" w14:textId="77777777" w:rsidR="002D68F3" w:rsidRPr="00181EF3" w:rsidRDefault="002D68F3" w:rsidP="00E830F9">
            <w:pPr>
              <w:pStyle w:val="TableText"/>
              <w:spacing w:before="40" w:after="40"/>
              <w:jc w:val="center"/>
              <w:rPr>
                <w:sz w:val="16"/>
              </w:rPr>
            </w:pPr>
            <w:r w:rsidRPr="00181EF3">
              <w:rPr>
                <w:sz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04C993F" w14:textId="77777777" w:rsidR="002D68F3" w:rsidRPr="00181EF3" w:rsidRDefault="002D68F3" w:rsidP="00E830F9">
            <w:pPr>
              <w:pStyle w:val="TableText"/>
              <w:spacing w:before="40" w:after="40"/>
              <w:jc w:val="center"/>
              <w:rPr>
                <w:sz w:val="16"/>
              </w:rPr>
            </w:pPr>
            <w:r w:rsidRPr="00181EF3">
              <w:rPr>
                <w:sz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59FCE45" w14:textId="77777777" w:rsidR="002D68F3" w:rsidRPr="00181EF3" w:rsidRDefault="002D68F3" w:rsidP="00E830F9">
            <w:pPr>
              <w:pStyle w:val="TableText"/>
              <w:spacing w:before="40" w:after="40"/>
              <w:jc w:val="center"/>
              <w:rPr>
                <w:sz w:val="16"/>
              </w:rPr>
            </w:pPr>
            <w:r w:rsidRPr="00181EF3">
              <w:rPr>
                <w:sz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EB8F260" w14:textId="77777777" w:rsidR="002D68F3" w:rsidRPr="00181EF3" w:rsidRDefault="002D68F3" w:rsidP="00E830F9">
            <w:pPr>
              <w:pStyle w:val="TableText"/>
              <w:spacing w:before="40" w:after="40"/>
              <w:jc w:val="center"/>
              <w:rPr>
                <w:sz w:val="16"/>
              </w:rPr>
            </w:pPr>
            <w:r w:rsidRPr="00181EF3">
              <w:rPr>
                <w:sz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8372763" w14:textId="77777777" w:rsidR="002D68F3" w:rsidRPr="00181EF3" w:rsidRDefault="002D68F3" w:rsidP="00E830F9">
            <w:pPr>
              <w:pStyle w:val="TableText"/>
              <w:spacing w:before="40" w:after="40"/>
              <w:jc w:val="center"/>
              <w:rPr>
                <w:sz w:val="16"/>
              </w:rPr>
            </w:pPr>
            <w:r w:rsidRPr="00181EF3">
              <w:rPr>
                <w:sz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6EEEAFC" w14:textId="77777777" w:rsidR="002D68F3" w:rsidRPr="00181EF3" w:rsidRDefault="002D68F3" w:rsidP="00E830F9">
            <w:pPr>
              <w:pStyle w:val="TableText"/>
              <w:spacing w:before="40" w:after="40"/>
              <w:jc w:val="center"/>
              <w:rPr>
                <w:sz w:val="16"/>
              </w:rPr>
            </w:pPr>
            <w:r w:rsidRPr="00181EF3">
              <w:rPr>
                <w:sz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6B9C6A6" w14:textId="77777777" w:rsidR="002D68F3" w:rsidRPr="00181EF3" w:rsidRDefault="002D68F3" w:rsidP="00E830F9">
            <w:pPr>
              <w:pStyle w:val="TableText"/>
              <w:spacing w:before="40" w:after="40"/>
              <w:jc w:val="center"/>
              <w:rPr>
                <w:sz w:val="16"/>
              </w:rPr>
            </w:pPr>
            <w:r w:rsidRPr="00181EF3">
              <w:rPr>
                <w:sz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006A6F1"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A3F672E" w14:textId="77777777" w:rsidR="002D68F3" w:rsidRPr="00181EF3" w:rsidRDefault="002D68F3" w:rsidP="00E830F9">
            <w:pPr>
              <w:pStyle w:val="TableText"/>
              <w:spacing w:before="40" w:after="40"/>
              <w:jc w:val="center"/>
              <w:rPr>
                <w:sz w:val="16"/>
              </w:rPr>
            </w:pPr>
            <w:r w:rsidRPr="00181EF3">
              <w:rPr>
                <w:sz w:val="16"/>
              </w:rPr>
              <w:t>DS</w:t>
            </w:r>
          </w:p>
        </w:tc>
      </w:tr>
    </w:tbl>
    <w:p w14:paraId="07656928" w14:textId="77777777" w:rsidR="00062616" w:rsidRDefault="00062616" w:rsidP="00062616">
      <w:pPr>
        <w:pStyle w:val="Note"/>
      </w:pPr>
      <w:r w:rsidRPr="00181EF3">
        <w:t>Note</w:t>
      </w:r>
      <w:r>
        <w:t>s</w:t>
      </w:r>
      <w:r w:rsidRPr="00181EF3">
        <w:t>:</w:t>
      </w:r>
    </w:p>
    <w:p w14:paraId="24021A9F" w14:textId="3B042862" w:rsidR="008A5642" w:rsidRDefault="00446D86" w:rsidP="00062616">
      <w:pPr>
        <w:pStyle w:val="Note"/>
      </w:pPr>
      <w:r>
        <w:t>Figures are age-standardised to the 2001 Census total Māori population</w:t>
      </w:r>
      <w:r w:rsidR="00062616" w:rsidRPr="00181EF3">
        <w:t>.</w:t>
      </w:r>
    </w:p>
    <w:p w14:paraId="3D0BE684" w14:textId="3F2C5D3F" w:rsidR="00062616" w:rsidRPr="00181EF3" w:rsidRDefault="00062616" w:rsidP="00062616">
      <w:pPr>
        <w:pStyle w:val="Note"/>
      </w:pPr>
      <w:r>
        <w:t>Prioritised ethnicity has been used.</w:t>
      </w:r>
    </w:p>
    <w:p w14:paraId="0C973B7C" w14:textId="77777777" w:rsidR="00062616" w:rsidRPr="00181EF3" w:rsidRDefault="00062616" w:rsidP="00062616">
      <w:pPr>
        <w:pStyle w:val="Source"/>
        <w:rPr>
          <w:rFonts w:eastAsia="Calibri"/>
        </w:rPr>
      </w:pPr>
      <w:r w:rsidRPr="00181EF3">
        <w:rPr>
          <w:rFonts w:eastAsia="Calibri"/>
        </w:rPr>
        <w:t>Source: Mortality Collection Data Set (MORT), Ministry of Health</w:t>
      </w:r>
      <w:r>
        <w:rPr>
          <w:rFonts w:eastAsia="Calibri"/>
        </w:rPr>
        <w:t xml:space="preserve">, </w:t>
      </w:r>
      <w:r w:rsidRPr="00181EF3">
        <w:t>1996–98 to 2012–14</w:t>
      </w:r>
      <w:r w:rsidRPr="00181EF3">
        <w:rPr>
          <w:rFonts w:eastAsia="Calibri"/>
        </w:rPr>
        <w:t>.</w:t>
      </w:r>
    </w:p>
    <w:p w14:paraId="20D1BC3F" w14:textId="77777777" w:rsidR="002D68F3" w:rsidRPr="00181EF3" w:rsidRDefault="002D68F3" w:rsidP="002D68F3"/>
    <w:p w14:paraId="292F7935" w14:textId="28DFC058" w:rsidR="002D68F3" w:rsidRPr="00181EF3" w:rsidRDefault="002D68F3" w:rsidP="002D68F3">
      <w:r w:rsidRPr="00181EF3">
        <w:t xml:space="preserve">Table </w:t>
      </w:r>
      <w:r w:rsidR="00062616">
        <w:t>29</w:t>
      </w:r>
      <w:r w:rsidRPr="00181EF3">
        <w:t xml:space="preserve"> shows the three leading unintentional injury mortality categories for Māori and </w:t>
      </w:r>
      <w:r w:rsidR="00EC03A3">
        <w:t>non</w:t>
      </w:r>
      <w:r w:rsidR="00EC03A3">
        <w:noBreakHyphen/>
        <w:t>M</w:t>
      </w:r>
      <w:r w:rsidRPr="00181EF3">
        <w:t>āori females aged 0–14 years ranked by age-standardised rates.</w:t>
      </w:r>
    </w:p>
    <w:p w14:paraId="1D49A233" w14:textId="77777777" w:rsidR="002D68F3" w:rsidRPr="00181EF3" w:rsidRDefault="002D68F3" w:rsidP="002D68F3"/>
    <w:p w14:paraId="2CE03DFE" w14:textId="77777777" w:rsidR="002D68F3" w:rsidRPr="00181EF3" w:rsidRDefault="002D68F3" w:rsidP="002D68F3">
      <w:r w:rsidRPr="00181EF3">
        <w:t>The leading category for Māori females aged 0–14 years was motor vehicle accidents between 1996–98 and 2005–07 and suffocation from 2006–08 to 2012–14. Drowning and submersions, thermal injury and poisonings were the remaining categories that appeared in the third leading unintentional injury mortality between 1996–98 and 2012–14.</w:t>
      </w:r>
    </w:p>
    <w:p w14:paraId="31B70D58" w14:textId="77777777" w:rsidR="002D68F3" w:rsidRPr="00181EF3" w:rsidRDefault="002D68F3" w:rsidP="002D68F3"/>
    <w:p w14:paraId="5687BB2A" w14:textId="31F4325C" w:rsidR="002D68F3" w:rsidRPr="00181EF3" w:rsidRDefault="002D68F3" w:rsidP="002D68F3">
      <w:r w:rsidRPr="00181EF3">
        <w:t xml:space="preserve">The leading category for </w:t>
      </w:r>
      <w:r w:rsidR="00EC03A3">
        <w:t>non</w:t>
      </w:r>
      <w:r w:rsidR="00EC03A3">
        <w:noBreakHyphen/>
        <w:t>M</w:t>
      </w:r>
      <w:r w:rsidRPr="00181EF3">
        <w:t xml:space="preserve">āori females aged 0–14 years was motor vehicle accidents between 1996–98 and 2010–12 and again in 2012–14. In 2011–13, drowning and submersions was the leading category for </w:t>
      </w:r>
      <w:r w:rsidR="00EC03A3">
        <w:t>non</w:t>
      </w:r>
      <w:r w:rsidR="00EC03A3">
        <w:noBreakHyphen/>
        <w:t>M</w:t>
      </w:r>
      <w:r w:rsidRPr="00181EF3">
        <w:t>āori females.</w:t>
      </w:r>
    </w:p>
    <w:p w14:paraId="30241E10" w14:textId="77777777" w:rsidR="002D68F3" w:rsidRPr="00181EF3" w:rsidRDefault="002D68F3" w:rsidP="002D68F3"/>
    <w:p w14:paraId="74A2238D" w14:textId="3425FCD8" w:rsidR="002D68F3" w:rsidRPr="00181EF3" w:rsidRDefault="002D68F3" w:rsidP="002D68F3">
      <w:r w:rsidRPr="00181EF3">
        <w:t xml:space="preserve">Poisonings was a frequently occurring category for Māori females aged 0–14 years that did not feature for </w:t>
      </w:r>
      <w:r w:rsidR="00EC03A3">
        <w:t>non</w:t>
      </w:r>
      <w:r w:rsidR="00EC03A3">
        <w:noBreakHyphen/>
        <w:t>M</w:t>
      </w:r>
      <w:r w:rsidRPr="00181EF3">
        <w:t>āori females of the same age group between 1996–98 and 2012–14.</w:t>
      </w:r>
    </w:p>
    <w:p w14:paraId="0B3ACCF7" w14:textId="77777777" w:rsidR="002D68F3" w:rsidRPr="00181EF3" w:rsidRDefault="002D68F3" w:rsidP="002D68F3"/>
    <w:p w14:paraId="4B1469ED" w14:textId="77777777" w:rsidR="002D68F3" w:rsidRPr="00181EF3" w:rsidRDefault="002D68F3" w:rsidP="009F7B61">
      <w:pPr>
        <w:pStyle w:val="Heading3"/>
        <w:pageBreakBefore/>
        <w:spacing w:before="0"/>
      </w:pPr>
      <w:bookmarkStart w:id="365" w:name="_Toc19102431"/>
      <w:r w:rsidRPr="00181EF3">
        <w:lastRenderedPageBreak/>
        <w:t>Unintentional injury mortality rankings for females aged 15–64 years</w:t>
      </w:r>
      <w:bookmarkEnd w:id="365"/>
    </w:p>
    <w:p w14:paraId="6930827C" w14:textId="1C31B349" w:rsidR="002D68F3" w:rsidRPr="00181EF3" w:rsidRDefault="002D68F3" w:rsidP="002D68F3">
      <w:pPr>
        <w:pStyle w:val="Table"/>
      </w:pPr>
      <w:bookmarkStart w:id="366" w:name="_Toc18594770"/>
      <w:r w:rsidRPr="00181EF3">
        <w:t xml:space="preserve">Table </w:t>
      </w:r>
      <w:r w:rsidR="00062616">
        <w:t>30</w:t>
      </w:r>
      <w:r w:rsidRPr="00181EF3">
        <w:t xml:space="preserve">: </w:t>
      </w:r>
      <w:r w:rsidR="00062616" w:rsidRPr="00181EF3">
        <w:t xml:space="preserve">Three leading injury mortalities, </w:t>
      </w:r>
      <w:r w:rsidR="00062616">
        <w:t xml:space="preserve">ranked </w:t>
      </w:r>
      <w:r w:rsidR="00062616" w:rsidRPr="00181EF3">
        <w:t>by age-standardised rates,</w:t>
      </w:r>
      <w:r w:rsidR="009F7B61">
        <w:br/>
      </w:r>
      <w:r w:rsidR="00062616">
        <w:t>15</w:t>
      </w:r>
      <w:r w:rsidR="00062616" w:rsidRPr="00181EF3">
        <w:t>–</w:t>
      </w:r>
      <w:r w:rsidR="00062616">
        <w:t>64</w:t>
      </w:r>
      <w:r w:rsidR="00062616" w:rsidRPr="00181EF3">
        <w:t xml:space="preserve"> years</w:t>
      </w:r>
      <w:r w:rsidR="00062616">
        <w:t xml:space="preserve">, </w:t>
      </w:r>
      <w:r w:rsidR="00062616" w:rsidRPr="00181EF3">
        <w:t xml:space="preserve">Māori and </w:t>
      </w:r>
      <w:r w:rsidR="00EC03A3">
        <w:t>non</w:t>
      </w:r>
      <w:r w:rsidR="00EC03A3">
        <w:noBreakHyphen/>
        <w:t>M</w:t>
      </w:r>
      <w:r w:rsidR="00062616" w:rsidRPr="00181EF3">
        <w:t>āori</w:t>
      </w:r>
      <w:r w:rsidR="0078298C">
        <w:t xml:space="preserve"> females</w:t>
      </w:r>
      <w:bookmarkEnd w:id="366"/>
    </w:p>
    <w:tbl>
      <w:tblPr>
        <w:tblW w:w="8080" w:type="dxa"/>
        <w:tblInd w:w="57" w:type="dxa"/>
        <w:tblLayout w:type="fixed"/>
        <w:tblCellMar>
          <w:left w:w="57" w:type="dxa"/>
          <w:right w:w="57" w:type="dxa"/>
        </w:tblCellMar>
        <w:tblLook w:val="04A0" w:firstRow="1" w:lastRow="0" w:firstColumn="1" w:lastColumn="0" w:noHBand="0" w:noVBand="1"/>
      </w:tblPr>
      <w:tblGrid>
        <w:gridCol w:w="567"/>
        <w:gridCol w:w="426"/>
        <w:gridCol w:w="416"/>
        <w:gridCol w:w="417"/>
        <w:gridCol w:w="417"/>
        <w:gridCol w:w="417"/>
        <w:gridCol w:w="417"/>
        <w:gridCol w:w="417"/>
        <w:gridCol w:w="417"/>
        <w:gridCol w:w="417"/>
        <w:gridCol w:w="416"/>
        <w:gridCol w:w="417"/>
        <w:gridCol w:w="417"/>
        <w:gridCol w:w="417"/>
        <w:gridCol w:w="417"/>
        <w:gridCol w:w="417"/>
        <w:gridCol w:w="417"/>
        <w:gridCol w:w="417"/>
        <w:gridCol w:w="417"/>
      </w:tblGrid>
      <w:tr w:rsidR="002D68F3" w:rsidRPr="00181EF3" w14:paraId="33D8B86C" w14:textId="77777777" w:rsidTr="00E830F9">
        <w:trPr>
          <w:cantSplit/>
          <w:trHeight w:val="365"/>
        </w:trPr>
        <w:tc>
          <w:tcPr>
            <w:tcW w:w="567" w:type="dxa"/>
            <w:vMerge w:val="restart"/>
            <w:tcBorders>
              <w:left w:val="nil"/>
            </w:tcBorders>
            <w:shd w:val="clear" w:color="auto" w:fill="D9D9D9" w:themeFill="background1" w:themeFillShade="D9"/>
          </w:tcPr>
          <w:p w14:paraId="050AC3A4" w14:textId="77777777" w:rsidR="002D68F3" w:rsidRPr="00181EF3" w:rsidRDefault="002D68F3" w:rsidP="00E830F9">
            <w:pPr>
              <w:pStyle w:val="TableText"/>
              <w:spacing w:before="40" w:after="40"/>
              <w:rPr>
                <w:b/>
                <w:sz w:val="16"/>
                <w:szCs w:val="16"/>
              </w:rPr>
            </w:pPr>
          </w:p>
        </w:tc>
        <w:tc>
          <w:tcPr>
            <w:tcW w:w="426" w:type="dxa"/>
            <w:vMerge w:val="restart"/>
            <w:shd w:val="clear" w:color="auto" w:fill="D9D9D9" w:themeFill="background1" w:themeFillShade="D9"/>
            <w:textDirection w:val="btLr"/>
            <w:vAlign w:val="center"/>
          </w:tcPr>
          <w:p w14:paraId="09000FF9" w14:textId="77777777" w:rsidR="002D68F3" w:rsidRPr="00181EF3" w:rsidRDefault="002D68F3" w:rsidP="00E830F9">
            <w:pPr>
              <w:pStyle w:val="TableText"/>
              <w:spacing w:before="40" w:after="40"/>
              <w:ind w:left="113"/>
              <w:rPr>
                <w:b/>
                <w:sz w:val="16"/>
                <w:szCs w:val="16"/>
              </w:rPr>
            </w:pPr>
            <w:r w:rsidRPr="00181EF3">
              <w:rPr>
                <w:b/>
                <w:sz w:val="16"/>
                <w:szCs w:val="16"/>
              </w:rPr>
              <w:t>Ranking</w:t>
            </w:r>
          </w:p>
        </w:tc>
        <w:tc>
          <w:tcPr>
            <w:tcW w:w="7087" w:type="dxa"/>
            <w:gridSpan w:val="17"/>
            <w:shd w:val="clear" w:color="auto" w:fill="D9D9D9" w:themeFill="background1" w:themeFillShade="D9"/>
          </w:tcPr>
          <w:p w14:paraId="62716912" w14:textId="77777777" w:rsidR="002D68F3" w:rsidRPr="00181EF3" w:rsidRDefault="002D68F3" w:rsidP="00E830F9">
            <w:pPr>
              <w:pStyle w:val="TableText"/>
              <w:spacing w:before="40" w:after="40"/>
              <w:jc w:val="center"/>
              <w:rPr>
                <w:b/>
                <w:sz w:val="16"/>
                <w:szCs w:val="16"/>
              </w:rPr>
            </w:pPr>
            <w:r w:rsidRPr="00181EF3">
              <w:rPr>
                <w:b/>
                <w:sz w:val="16"/>
                <w:szCs w:val="16"/>
              </w:rPr>
              <w:t>Year</w:t>
            </w:r>
          </w:p>
        </w:tc>
      </w:tr>
      <w:tr w:rsidR="002D68F3" w:rsidRPr="00181EF3" w14:paraId="3FB37593" w14:textId="77777777" w:rsidTr="00E830F9">
        <w:trPr>
          <w:cantSplit/>
          <w:trHeight w:val="851"/>
        </w:trPr>
        <w:tc>
          <w:tcPr>
            <w:tcW w:w="567" w:type="dxa"/>
            <w:vMerge/>
            <w:tcBorders>
              <w:left w:val="nil"/>
            </w:tcBorders>
            <w:shd w:val="clear" w:color="auto" w:fill="D9D9D9" w:themeFill="background1" w:themeFillShade="D9"/>
          </w:tcPr>
          <w:p w14:paraId="1C27DBC2" w14:textId="77777777" w:rsidR="002D68F3" w:rsidRPr="00181EF3" w:rsidRDefault="002D68F3" w:rsidP="00E830F9">
            <w:pPr>
              <w:pStyle w:val="TableText"/>
              <w:spacing w:before="40" w:after="40"/>
              <w:rPr>
                <w:b/>
                <w:sz w:val="16"/>
                <w:szCs w:val="16"/>
              </w:rPr>
            </w:pPr>
          </w:p>
        </w:tc>
        <w:tc>
          <w:tcPr>
            <w:tcW w:w="426" w:type="dxa"/>
            <w:vMerge/>
            <w:shd w:val="clear" w:color="auto" w:fill="D9D9D9" w:themeFill="background1" w:themeFillShade="D9"/>
          </w:tcPr>
          <w:p w14:paraId="402650C2" w14:textId="77777777" w:rsidR="002D68F3" w:rsidRPr="00181EF3" w:rsidRDefault="002D68F3" w:rsidP="00E830F9">
            <w:pPr>
              <w:pStyle w:val="TableText"/>
              <w:spacing w:before="40" w:after="40"/>
              <w:jc w:val="center"/>
              <w:rPr>
                <w:b/>
                <w:sz w:val="16"/>
                <w:szCs w:val="16"/>
              </w:rPr>
            </w:pPr>
          </w:p>
        </w:tc>
        <w:tc>
          <w:tcPr>
            <w:tcW w:w="416" w:type="dxa"/>
            <w:shd w:val="clear" w:color="auto" w:fill="D9D9D9" w:themeFill="background1" w:themeFillShade="D9"/>
            <w:textDirection w:val="btLr"/>
            <w:vAlign w:val="center"/>
          </w:tcPr>
          <w:p w14:paraId="18F4ED8F" w14:textId="77777777" w:rsidR="002D68F3" w:rsidRPr="00181EF3" w:rsidRDefault="002D68F3" w:rsidP="00E830F9">
            <w:pPr>
              <w:pStyle w:val="TableText"/>
              <w:spacing w:before="0" w:after="0"/>
              <w:ind w:left="113"/>
              <w:rPr>
                <w:b/>
                <w:sz w:val="16"/>
                <w:szCs w:val="16"/>
              </w:rPr>
            </w:pPr>
            <w:r w:rsidRPr="00181EF3">
              <w:rPr>
                <w:b/>
                <w:sz w:val="16"/>
                <w:szCs w:val="16"/>
              </w:rPr>
              <w:t>1996–98</w:t>
            </w:r>
          </w:p>
        </w:tc>
        <w:tc>
          <w:tcPr>
            <w:tcW w:w="417" w:type="dxa"/>
            <w:shd w:val="clear" w:color="auto" w:fill="D9D9D9" w:themeFill="background1" w:themeFillShade="D9"/>
            <w:textDirection w:val="btLr"/>
            <w:vAlign w:val="center"/>
          </w:tcPr>
          <w:p w14:paraId="074A3A94" w14:textId="77777777" w:rsidR="002D68F3" w:rsidRPr="00181EF3" w:rsidRDefault="002D68F3" w:rsidP="00E830F9">
            <w:pPr>
              <w:pStyle w:val="TableText"/>
              <w:spacing w:before="0" w:after="0"/>
              <w:ind w:left="113"/>
              <w:rPr>
                <w:b/>
                <w:sz w:val="16"/>
                <w:szCs w:val="16"/>
              </w:rPr>
            </w:pPr>
            <w:r w:rsidRPr="00181EF3">
              <w:rPr>
                <w:b/>
                <w:sz w:val="16"/>
                <w:szCs w:val="16"/>
              </w:rPr>
              <w:t>1997–99</w:t>
            </w:r>
          </w:p>
        </w:tc>
        <w:tc>
          <w:tcPr>
            <w:tcW w:w="417" w:type="dxa"/>
            <w:shd w:val="clear" w:color="auto" w:fill="D9D9D9" w:themeFill="background1" w:themeFillShade="D9"/>
            <w:textDirection w:val="btLr"/>
            <w:vAlign w:val="center"/>
          </w:tcPr>
          <w:p w14:paraId="45B5F903" w14:textId="77777777" w:rsidR="002D68F3" w:rsidRPr="00181EF3" w:rsidRDefault="002D68F3" w:rsidP="00E830F9">
            <w:pPr>
              <w:pStyle w:val="TableText"/>
              <w:spacing w:before="0" w:after="0"/>
              <w:ind w:left="113"/>
              <w:rPr>
                <w:b/>
                <w:sz w:val="16"/>
                <w:szCs w:val="16"/>
              </w:rPr>
            </w:pPr>
            <w:r w:rsidRPr="00181EF3">
              <w:rPr>
                <w:b/>
                <w:sz w:val="16"/>
                <w:szCs w:val="16"/>
              </w:rPr>
              <w:t>1998-00</w:t>
            </w:r>
          </w:p>
        </w:tc>
        <w:tc>
          <w:tcPr>
            <w:tcW w:w="417" w:type="dxa"/>
            <w:shd w:val="clear" w:color="auto" w:fill="D9D9D9" w:themeFill="background1" w:themeFillShade="D9"/>
            <w:textDirection w:val="btLr"/>
            <w:vAlign w:val="center"/>
          </w:tcPr>
          <w:p w14:paraId="711EB93C" w14:textId="77777777" w:rsidR="002D68F3" w:rsidRPr="00181EF3" w:rsidRDefault="002D68F3" w:rsidP="00E830F9">
            <w:pPr>
              <w:pStyle w:val="TableText"/>
              <w:spacing w:before="0" w:after="0"/>
              <w:ind w:left="113"/>
              <w:rPr>
                <w:b/>
                <w:sz w:val="16"/>
                <w:szCs w:val="16"/>
              </w:rPr>
            </w:pPr>
            <w:r w:rsidRPr="00181EF3">
              <w:rPr>
                <w:b/>
                <w:sz w:val="16"/>
                <w:szCs w:val="16"/>
              </w:rPr>
              <w:t>1999–01</w:t>
            </w:r>
          </w:p>
        </w:tc>
        <w:tc>
          <w:tcPr>
            <w:tcW w:w="417" w:type="dxa"/>
            <w:shd w:val="clear" w:color="auto" w:fill="D9D9D9" w:themeFill="background1" w:themeFillShade="D9"/>
            <w:textDirection w:val="btLr"/>
            <w:vAlign w:val="center"/>
          </w:tcPr>
          <w:p w14:paraId="42B52822" w14:textId="77777777" w:rsidR="002D68F3" w:rsidRPr="00181EF3" w:rsidRDefault="002D68F3" w:rsidP="00E830F9">
            <w:pPr>
              <w:pStyle w:val="TableText"/>
              <w:spacing w:before="0" w:after="0"/>
              <w:ind w:left="113"/>
              <w:rPr>
                <w:b/>
                <w:sz w:val="16"/>
                <w:szCs w:val="16"/>
              </w:rPr>
            </w:pPr>
            <w:r w:rsidRPr="00181EF3">
              <w:rPr>
                <w:b/>
                <w:sz w:val="16"/>
                <w:szCs w:val="16"/>
              </w:rPr>
              <w:t>2000-02</w:t>
            </w:r>
          </w:p>
        </w:tc>
        <w:tc>
          <w:tcPr>
            <w:tcW w:w="417" w:type="dxa"/>
            <w:shd w:val="clear" w:color="auto" w:fill="D9D9D9" w:themeFill="background1" w:themeFillShade="D9"/>
            <w:textDirection w:val="btLr"/>
            <w:vAlign w:val="center"/>
          </w:tcPr>
          <w:p w14:paraId="3AD18B93" w14:textId="77777777" w:rsidR="002D68F3" w:rsidRPr="00181EF3" w:rsidRDefault="002D68F3" w:rsidP="00E830F9">
            <w:pPr>
              <w:pStyle w:val="TableText"/>
              <w:spacing w:before="0" w:after="0"/>
              <w:ind w:left="113"/>
              <w:rPr>
                <w:b/>
                <w:sz w:val="16"/>
                <w:szCs w:val="16"/>
              </w:rPr>
            </w:pPr>
            <w:r w:rsidRPr="00181EF3">
              <w:rPr>
                <w:b/>
                <w:sz w:val="16"/>
                <w:szCs w:val="16"/>
              </w:rPr>
              <w:t>2001–03</w:t>
            </w:r>
          </w:p>
        </w:tc>
        <w:tc>
          <w:tcPr>
            <w:tcW w:w="417" w:type="dxa"/>
            <w:shd w:val="clear" w:color="auto" w:fill="D9D9D9" w:themeFill="background1" w:themeFillShade="D9"/>
            <w:textDirection w:val="btLr"/>
            <w:vAlign w:val="center"/>
          </w:tcPr>
          <w:p w14:paraId="13E45D79" w14:textId="77777777" w:rsidR="002D68F3" w:rsidRPr="00181EF3" w:rsidRDefault="002D68F3" w:rsidP="00E830F9">
            <w:pPr>
              <w:pStyle w:val="TableText"/>
              <w:spacing w:before="0" w:after="0"/>
              <w:ind w:left="113"/>
              <w:rPr>
                <w:b/>
                <w:sz w:val="16"/>
                <w:szCs w:val="16"/>
              </w:rPr>
            </w:pPr>
            <w:r w:rsidRPr="00181EF3">
              <w:rPr>
                <w:b/>
                <w:sz w:val="16"/>
                <w:szCs w:val="16"/>
              </w:rPr>
              <w:t>2002-04</w:t>
            </w:r>
          </w:p>
        </w:tc>
        <w:tc>
          <w:tcPr>
            <w:tcW w:w="417" w:type="dxa"/>
            <w:shd w:val="clear" w:color="auto" w:fill="D9D9D9" w:themeFill="background1" w:themeFillShade="D9"/>
            <w:textDirection w:val="btLr"/>
            <w:vAlign w:val="center"/>
          </w:tcPr>
          <w:p w14:paraId="3AE2A0FB" w14:textId="77777777" w:rsidR="002D68F3" w:rsidRPr="00181EF3" w:rsidRDefault="002D68F3" w:rsidP="00E830F9">
            <w:pPr>
              <w:pStyle w:val="TableText"/>
              <w:spacing w:before="0" w:after="0"/>
              <w:ind w:left="113"/>
              <w:rPr>
                <w:b/>
                <w:sz w:val="16"/>
                <w:szCs w:val="16"/>
              </w:rPr>
            </w:pPr>
            <w:r w:rsidRPr="00181EF3">
              <w:rPr>
                <w:b/>
                <w:sz w:val="16"/>
                <w:szCs w:val="16"/>
              </w:rPr>
              <w:t>2003-05</w:t>
            </w:r>
          </w:p>
        </w:tc>
        <w:tc>
          <w:tcPr>
            <w:tcW w:w="416" w:type="dxa"/>
            <w:shd w:val="clear" w:color="auto" w:fill="D9D9D9" w:themeFill="background1" w:themeFillShade="D9"/>
            <w:textDirection w:val="btLr"/>
            <w:vAlign w:val="center"/>
          </w:tcPr>
          <w:p w14:paraId="2346959A" w14:textId="77777777" w:rsidR="002D68F3" w:rsidRPr="00181EF3" w:rsidRDefault="002D68F3" w:rsidP="00E830F9">
            <w:pPr>
              <w:pStyle w:val="TableText"/>
              <w:spacing w:before="0" w:after="0"/>
              <w:ind w:left="113"/>
              <w:rPr>
                <w:b/>
                <w:sz w:val="16"/>
                <w:szCs w:val="16"/>
              </w:rPr>
            </w:pPr>
            <w:r w:rsidRPr="00181EF3">
              <w:rPr>
                <w:b/>
                <w:sz w:val="16"/>
                <w:szCs w:val="16"/>
              </w:rPr>
              <w:t>2004-06</w:t>
            </w:r>
          </w:p>
        </w:tc>
        <w:tc>
          <w:tcPr>
            <w:tcW w:w="417" w:type="dxa"/>
            <w:shd w:val="clear" w:color="auto" w:fill="D9D9D9" w:themeFill="background1" w:themeFillShade="D9"/>
            <w:textDirection w:val="btLr"/>
            <w:vAlign w:val="center"/>
          </w:tcPr>
          <w:p w14:paraId="65E5F54F" w14:textId="77777777" w:rsidR="002D68F3" w:rsidRPr="00181EF3" w:rsidRDefault="002D68F3" w:rsidP="00E830F9">
            <w:pPr>
              <w:pStyle w:val="TableText"/>
              <w:spacing w:before="0" w:after="0"/>
              <w:ind w:left="113"/>
              <w:rPr>
                <w:b/>
                <w:sz w:val="16"/>
                <w:szCs w:val="16"/>
              </w:rPr>
            </w:pPr>
            <w:r w:rsidRPr="00181EF3">
              <w:rPr>
                <w:b/>
                <w:sz w:val="16"/>
                <w:szCs w:val="16"/>
              </w:rPr>
              <w:t>2005–07</w:t>
            </w:r>
          </w:p>
        </w:tc>
        <w:tc>
          <w:tcPr>
            <w:tcW w:w="417" w:type="dxa"/>
            <w:shd w:val="clear" w:color="auto" w:fill="D9D9D9" w:themeFill="background1" w:themeFillShade="D9"/>
            <w:textDirection w:val="btLr"/>
            <w:vAlign w:val="center"/>
          </w:tcPr>
          <w:p w14:paraId="4200B2AA" w14:textId="77777777" w:rsidR="002D68F3" w:rsidRPr="00181EF3" w:rsidRDefault="002D68F3" w:rsidP="00E830F9">
            <w:pPr>
              <w:pStyle w:val="TableText"/>
              <w:spacing w:before="0" w:after="0"/>
              <w:ind w:left="113"/>
              <w:rPr>
                <w:b/>
                <w:sz w:val="16"/>
                <w:szCs w:val="16"/>
              </w:rPr>
            </w:pPr>
            <w:r w:rsidRPr="00181EF3">
              <w:rPr>
                <w:b/>
                <w:sz w:val="16"/>
                <w:szCs w:val="16"/>
              </w:rPr>
              <w:t>2006–08</w:t>
            </w:r>
          </w:p>
        </w:tc>
        <w:tc>
          <w:tcPr>
            <w:tcW w:w="417" w:type="dxa"/>
            <w:shd w:val="clear" w:color="auto" w:fill="D9D9D9" w:themeFill="background1" w:themeFillShade="D9"/>
            <w:textDirection w:val="btLr"/>
            <w:vAlign w:val="center"/>
          </w:tcPr>
          <w:p w14:paraId="2FD2EADE" w14:textId="77777777" w:rsidR="002D68F3" w:rsidRPr="00181EF3" w:rsidRDefault="002D68F3" w:rsidP="00E830F9">
            <w:pPr>
              <w:pStyle w:val="TableText"/>
              <w:spacing w:before="0" w:after="0"/>
              <w:ind w:left="113"/>
              <w:rPr>
                <w:b/>
                <w:sz w:val="16"/>
                <w:szCs w:val="16"/>
              </w:rPr>
            </w:pPr>
            <w:r w:rsidRPr="00181EF3">
              <w:rPr>
                <w:b/>
                <w:sz w:val="16"/>
                <w:szCs w:val="16"/>
              </w:rPr>
              <w:t>2007–09</w:t>
            </w:r>
          </w:p>
        </w:tc>
        <w:tc>
          <w:tcPr>
            <w:tcW w:w="417" w:type="dxa"/>
            <w:shd w:val="clear" w:color="auto" w:fill="D9D9D9" w:themeFill="background1" w:themeFillShade="D9"/>
            <w:textDirection w:val="btLr"/>
            <w:vAlign w:val="center"/>
          </w:tcPr>
          <w:p w14:paraId="49890896" w14:textId="77777777" w:rsidR="002D68F3" w:rsidRPr="00181EF3" w:rsidRDefault="002D68F3" w:rsidP="00E830F9">
            <w:pPr>
              <w:pStyle w:val="TableText"/>
              <w:spacing w:before="0" w:after="0"/>
              <w:ind w:left="113"/>
              <w:rPr>
                <w:b/>
                <w:sz w:val="16"/>
                <w:szCs w:val="16"/>
              </w:rPr>
            </w:pPr>
            <w:r w:rsidRPr="00181EF3">
              <w:rPr>
                <w:b/>
                <w:sz w:val="16"/>
                <w:szCs w:val="16"/>
              </w:rPr>
              <w:t>2008–10</w:t>
            </w:r>
          </w:p>
        </w:tc>
        <w:tc>
          <w:tcPr>
            <w:tcW w:w="417" w:type="dxa"/>
            <w:shd w:val="clear" w:color="auto" w:fill="D9D9D9" w:themeFill="background1" w:themeFillShade="D9"/>
            <w:textDirection w:val="btLr"/>
            <w:vAlign w:val="center"/>
          </w:tcPr>
          <w:p w14:paraId="291B3657" w14:textId="77777777" w:rsidR="002D68F3" w:rsidRPr="00181EF3" w:rsidRDefault="002D68F3" w:rsidP="00E830F9">
            <w:pPr>
              <w:pStyle w:val="TableText"/>
              <w:spacing w:before="0" w:after="0"/>
              <w:ind w:left="113"/>
              <w:rPr>
                <w:b/>
                <w:sz w:val="16"/>
                <w:szCs w:val="16"/>
              </w:rPr>
            </w:pPr>
            <w:r w:rsidRPr="00181EF3">
              <w:rPr>
                <w:b/>
                <w:sz w:val="16"/>
                <w:szCs w:val="16"/>
              </w:rPr>
              <w:t>2009–11</w:t>
            </w:r>
          </w:p>
        </w:tc>
        <w:tc>
          <w:tcPr>
            <w:tcW w:w="417" w:type="dxa"/>
            <w:shd w:val="clear" w:color="auto" w:fill="D9D9D9" w:themeFill="background1" w:themeFillShade="D9"/>
            <w:textDirection w:val="btLr"/>
            <w:vAlign w:val="center"/>
          </w:tcPr>
          <w:p w14:paraId="140064E6" w14:textId="77777777" w:rsidR="002D68F3" w:rsidRPr="00181EF3" w:rsidRDefault="002D68F3" w:rsidP="00E830F9">
            <w:pPr>
              <w:pStyle w:val="TableText"/>
              <w:spacing w:before="0" w:after="0"/>
              <w:ind w:left="113"/>
              <w:rPr>
                <w:b/>
                <w:sz w:val="16"/>
                <w:szCs w:val="16"/>
              </w:rPr>
            </w:pPr>
            <w:r w:rsidRPr="00181EF3">
              <w:rPr>
                <w:b/>
                <w:sz w:val="16"/>
                <w:szCs w:val="16"/>
              </w:rPr>
              <w:t>2010–12</w:t>
            </w:r>
          </w:p>
        </w:tc>
        <w:tc>
          <w:tcPr>
            <w:tcW w:w="417" w:type="dxa"/>
            <w:shd w:val="clear" w:color="auto" w:fill="D9D9D9" w:themeFill="background1" w:themeFillShade="D9"/>
            <w:textDirection w:val="btLr"/>
            <w:vAlign w:val="center"/>
          </w:tcPr>
          <w:p w14:paraId="6E2B955B" w14:textId="77777777" w:rsidR="002D68F3" w:rsidRPr="00181EF3" w:rsidRDefault="002D68F3" w:rsidP="00E830F9">
            <w:pPr>
              <w:pStyle w:val="TableText"/>
              <w:spacing w:before="0" w:after="0"/>
              <w:ind w:left="113"/>
              <w:rPr>
                <w:b/>
                <w:sz w:val="16"/>
                <w:szCs w:val="16"/>
              </w:rPr>
            </w:pPr>
            <w:r w:rsidRPr="00181EF3">
              <w:rPr>
                <w:b/>
                <w:sz w:val="16"/>
                <w:szCs w:val="16"/>
              </w:rPr>
              <w:t>2011–13</w:t>
            </w:r>
          </w:p>
        </w:tc>
        <w:tc>
          <w:tcPr>
            <w:tcW w:w="417" w:type="dxa"/>
            <w:shd w:val="clear" w:color="auto" w:fill="D9D9D9" w:themeFill="background1" w:themeFillShade="D9"/>
            <w:textDirection w:val="btLr"/>
            <w:vAlign w:val="center"/>
          </w:tcPr>
          <w:p w14:paraId="190DC10B" w14:textId="77777777" w:rsidR="002D68F3" w:rsidRPr="00181EF3" w:rsidRDefault="002D68F3" w:rsidP="00E830F9">
            <w:pPr>
              <w:pStyle w:val="TableText"/>
              <w:spacing w:before="0" w:after="0"/>
              <w:ind w:left="113"/>
              <w:rPr>
                <w:b/>
                <w:sz w:val="16"/>
                <w:szCs w:val="16"/>
              </w:rPr>
            </w:pPr>
            <w:r w:rsidRPr="00181EF3">
              <w:rPr>
                <w:b/>
                <w:sz w:val="16"/>
                <w:szCs w:val="16"/>
              </w:rPr>
              <w:t>2012–14</w:t>
            </w:r>
          </w:p>
        </w:tc>
      </w:tr>
      <w:tr w:rsidR="002D68F3" w:rsidRPr="00181EF3" w14:paraId="1C1E27D0" w14:textId="77777777" w:rsidTr="00E830F9">
        <w:trPr>
          <w:cantSplit/>
        </w:trPr>
        <w:tc>
          <w:tcPr>
            <w:tcW w:w="567" w:type="dxa"/>
            <w:vMerge w:val="restart"/>
            <w:tcBorders>
              <w:bottom w:val="single" w:sz="4" w:space="0" w:color="A6A6A6" w:themeColor="background1" w:themeShade="A6"/>
            </w:tcBorders>
            <w:shd w:val="clear" w:color="auto" w:fill="auto"/>
          </w:tcPr>
          <w:p w14:paraId="62B2532E" w14:textId="77777777" w:rsidR="002D68F3" w:rsidRPr="00181EF3" w:rsidRDefault="002D68F3" w:rsidP="00E830F9">
            <w:pPr>
              <w:pStyle w:val="TableText"/>
              <w:spacing w:before="40" w:after="40"/>
              <w:rPr>
                <w:sz w:val="16"/>
                <w:szCs w:val="16"/>
              </w:rPr>
            </w:pPr>
            <w:r w:rsidRPr="00181EF3">
              <w:rPr>
                <w:sz w:val="16"/>
                <w:szCs w:val="16"/>
              </w:rPr>
              <w:t>Māori</w:t>
            </w:r>
          </w:p>
        </w:tc>
        <w:tc>
          <w:tcPr>
            <w:tcW w:w="426" w:type="dxa"/>
            <w:tcBorders>
              <w:bottom w:val="single" w:sz="4" w:space="0" w:color="A6A6A6" w:themeColor="background1" w:themeShade="A6"/>
            </w:tcBorders>
            <w:shd w:val="clear" w:color="auto" w:fill="auto"/>
          </w:tcPr>
          <w:p w14:paraId="6E2DF030" w14:textId="77777777" w:rsidR="002D68F3" w:rsidRPr="00181EF3" w:rsidRDefault="002D68F3" w:rsidP="00E830F9">
            <w:pPr>
              <w:pStyle w:val="TableText"/>
              <w:spacing w:before="40" w:after="40"/>
              <w:jc w:val="center"/>
              <w:rPr>
                <w:sz w:val="16"/>
                <w:szCs w:val="16"/>
              </w:rPr>
            </w:pPr>
            <w:r w:rsidRPr="00181EF3">
              <w:rPr>
                <w:sz w:val="16"/>
                <w:szCs w:val="16"/>
              </w:rPr>
              <w:t>1</w:t>
            </w:r>
          </w:p>
        </w:tc>
        <w:tc>
          <w:tcPr>
            <w:tcW w:w="416" w:type="dxa"/>
            <w:tcBorders>
              <w:bottom w:val="single" w:sz="4" w:space="0" w:color="A6A6A6" w:themeColor="background1" w:themeShade="A6"/>
            </w:tcBorders>
            <w:shd w:val="clear" w:color="auto" w:fill="auto"/>
          </w:tcPr>
          <w:p w14:paraId="73645187" w14:textId="77777777" w:rsidR="002D68F3" w:rsidRPr="00181EF3" w:rsidRDefault="002D68F3" w:rsidP="00E830F9">
            <w:pPr>
              <w:pStyle w:val="TableText"/>
              <w:spacing w:before="40" w:after="40"/>
              <w:jc w:val="center"/>
              <w:rPr>
                <w:sz w:val="16"/>
                <w:szCs w:val="16"/>
              </w:rPr>
            </w:pPr>
            <w:r w:rsidRPr="00181EF3">
              <w:rPr>
                <w:sz w:val="16"/>
                <w:szCs w:val="16"/>
              </w:rPr>
              <w:t>MV</w:t>
            </w:r>
          </w:p>
        </w:tc>
        <w:tc>
          <w:tcPr>
            <w:tcW w:w="417" w:type="dxa"/>
            <w:tcBorders>
              <w:bottom w:val="single" w:sz="4" w:space="0" w:color="A6A6A6" w:themeColor="background1" w:themeShade="A6"/>
            </w:tcBorders>
            <w:shd w:val="clear" w:color="auto" w:fill="auto"/>
          </w:tcPr>
          <w:p w14:paraId="6A989E0E" w14:textId="77777777" w:rsidR="002D68F3" w:rsidRPr="00181EF3" w:rsidRDefault="002D68F3" w:rsidP="00E830F9">
            <w:pPr>
              <w:pStyle w:val="TableText"/>
              <w:spacing w:before="40" w:after="40"/>
              <w:jc w:val="center"/>
              <w:rPr>
                <w:sz w:val="16"/>
                <w:szCs w:val="16"/>
              </w:rPr>
            </w:pPr>
            <w:r w:rsidRPr="00181EF3">
              <w:rPr>
                <w:sz w:val="16"/>
                <w:szCs w:val="16"/>
              </w:rPr>
              <w:t>MV</w:t>
            </w:r>
          </w:p>
        </w:tc>
        <w:tc>
          <w:tcPr>
            <w:tcW w:w="417" w:type="dxa"/>
            <w:tcBorders>
              <w:bottom w:val="single" w:sz="4" w:space="0" w:color="A6A6A6" w:themeColor="background1" w:themeShade="A6"/>
            </w:tcBorders>
            <w:shd w:val="clear" w:color="auto" w:fill="auto"/>
          </w:tcPr>
          <w:p w14:paraId="7BF45C38" w14:textId="77777777" w:rsidR="002D68F3" w:rsidRPr="00181EF3" w:rsidRDefault="002D68F3" w:rsidP="00E830F9">
            <w:pPr>
              <w:pStyle w:val="TableText"/>
              <w:spacing w:before="40" w:after="40"/>
              <w:jc w:val="center"/>
              <w:rPr>
                <w:sz w:val="16"/>
                <w:szCs w:val="16"/>
              </w:rPr>
            </w:pPr>
            <w:r w:rsidRPr="00181EF3">
              <w:rPr>
                <w:sz w:val="16"/>
                <w:szCs w:val="16"/>
              </w:rPr>
              <w:t>MV</w:t>
            </w:r>
          </w:p>
        </w:tc>
        <w:tc>
          <w:tcPr>
            <w:tcW w:w="417" w:type="dxa"/>
            <w:tcBorders>
              <w:bottom w:val="single" w:sz="4" w:space="0" w:color="A6A6A6" w:themeColor="background1" w:themeShade="A6"/>
            </w:tcBorders>
            <w:shd w:val="clear" w:color="auto" w:fill="auto"/>
          </w:tcPr>
          <w:p w14:paraId="6882C814" w14:textId="77777777" w:rsidR="002D68F3" w:rsidRPr="00181EF3" w:rsidRDefault="002D68F3" w:rsidP="00E830F9">
            <w:pPr>
              <w:pStyle w:val="TableText"/>
              <w:spacing w:before="40" w:after="40"/>
              <w:jc w:val="center"/>
              <w:rPr>
                <w:sz w:val="16"/>
                <w:szCs w:val="16"/>
              </w:rPr>
            </w:pPr>
            <w:r w:rsidRPr="00181EF3">
              <w:rPr>
                <w:sz w:val="16"/>
                <w:szCs w:val="16"/>
              </w:rPr>
              <w:t>MV</w:t>
            </w:r>
          </w:p>
        </w:tc>
        <w:tc>
          <w:tcPr>
            <w:tcW w:w="417" w:type="dxa"/>
            <w:tcBorders>
              <w:bottom w:val="single" w:sz="4" w:space="0" w:color="A6A6A6" w:themeColor="background1" w:themeShade="A6"/>
            </w:tcBorders>
            <w:shd w:val="clear" w:color="auto" w:fill="auto"/>
          </w:tcPr>
          <w:p w14:paraId="7C428B4B" w14:textId="77777777" w:rsidR="002D68F3" w:rsidRPr="00181EF3" w:rsidRDefault="002D68F3" w:rsidP="00E830F9">
            <w:pPr>
              <w:pStyle w:val="TableText"/>
              <w:spacing w:before="40" w:after="40"/>
              <w:jc w:val="center"/>
              <w:rPr>
                <w:sz w:val="16"/>
                <w:szCs w:val="16"/>
              </w:rPr>
            </w:pPr>
            <w:r w:rsidRPr="00181EF3">
              <w:rPr>
                <w:sz w:val="16"/>
                <w:szCs w:val="16"/>
              </w:rPr>
              <w:t>MV</w:t>
            </w:r>
          </w:p>
        </w:tc>
        <w:tc>
          <w:tcPr>
            <w:tcW w:w="417" w:type="dxa"/>
            <w:tcBorders>
              <w:bottom w:val="single" w:sz="4" w:space="0" w:color="A6A6A6" w:themeColor="background1" w:themeShade="A6"/>
            </w:tcBorders>
            <w:shd w:val="clear" w:color="auto" w:fill="auto"/>
          </w:tcPr>
          <w:p w14:paraId="1FE6A8E5" w14:textId="77777777" w:rsidR="002D68F3" w:rsidRPr="00181EF3" w:rsidRDefault="002D68F3" w:rsidP="00E830F9">
            <w:pPr>
              <w:pStyle w:val="TableText"/>
              <w:spacing w:before="40" w:after="40"/>
              <w:jc w:val="center"/>
              <w:rPr>
                <w:sz w:val="16"/>
                <w:szCs w:val="16"/>
              </w:rPr>
            </w:pPr>
            <w:r w:rsidRPr="00181EF3">
              <w:rPr>
                <w:sz w:val="16"/>
                <w:szCs w:val="16"/>
              </w:rPr>
              <w:t>MV</w:t>
            </w:r>
          </w:p>
        </w:tc>
        <w:tc>
          <w:tcPr>
            <w:tcW w:w="417" w:type="dxa"/>
            <w:tcBorders>
              <w:bottom w:val="single" w:sz="4" w:space="0" w:color="A6A6A6" w:themeColor="background1" w:themeShade="A6"/>
            </w:tcBorders>
            <w:shd w:val="clear" w:color="auto" w:fill="auto"/>
          </w:tcPr>
          <w:p w14:paraId="6EEA1B5A" w14:textId="77777777" w:rsidR="002D68F3" w:rsidRPr="00181EF3" w:rsidRDefault="002D68F3" w:rsidP="00E830F9">
            <w:pPr>
              <w:pStyle w:val="TableText"/>
              <w:spacing w:before="40" w:after="40"/>
              <w:jc w:val="center"/>
              <w:rPr>
                <w:sz w:val="16"/>
                <w:szCs w:val="16"/>
              </w:rPr>
            </w:pPr>
            <w:r w:rsidRPr="00181EF3">
              <w:rPr>
                <w:sz w:val="16"/>
                <w:szCs w:val="16"/>
              </w:rPr>
              <w:t>MV</w:t>
            </w:r>
          </w:p>
        </w:tc>
        <w:tc>
          <w:tcPr>
            <w:tcW w:w="417" w:type="dxa"/>
            <w:tcBorders>
              <w:bottom w:val="single" w:sz="4" w:space="0" w:color="A6A6A6" w:themeColor="background1" w:themeShade="A6"/>
            </w:tcBorders>
            <w:shd w:val="clear" w:color="auto" w:fill="auto"/>
          </w:tcPr>
          <w:p w14:paraId="26283472" w14:textId="77777777" w:rsidR="002D68F3" w:rsidRPr="00181EF3" w:rsidRDefault="002D68F3" w:rsidP="00E830F9">
            <w:pPr>
              <w:pStyle w:val="TableText"/>
              <w:spacing w:before="40" w:after="40"/>
              <w:jc w:val="center"/>
              <w:rPr>
                <w:sz w:val="16"/>
                <w:szCs w:val="16"/>
              </w:rPr>
            </w:pPr>
            <w:r w:rsidRPr="00181EF3">
              <w:rPr>
                <w:sz w:val="16"/>
                <w:szCs w:val="16"/>
              </w:rPr>
              <w:t>MV</w:t>
            </w:r>
          </w:p>
        </w:tc>
        <w:tc>
          <w:tcPr>
            <w:tcW w:w="416" w:type="dxa"/>
            <w:tcBorders>
              <w:bottom w:val="single" w:sz="4" w:space="0" w:color="A6A6A6" w:themeColor="background1" w:themeShade="A6"/>
            </w:tcBorders>
            <w:shd w:val="clear" w:color="auto" w:fill="auto"/>
          </w:tcPr>
          <w:p w14:paraId="6F70D0DA" w14:textId="77777777" w:rsidR="002D68F3" w:rsidRPr="00181EF3" w:rsidRDefault="002D68F3" w:rsidP="00E830F9">
            <w:pPr>
              <w:pStyle w:val="TableText"/>
              <w:spacing w:before="40" w:after="40"/>
              <w:jc w:val="center"/>
              <w:rPr>
                <w:sz w:val="16"/>
                <w:szCs w:val="16"/>
              </w:rPr>
            </w:pPr>
            <w:r w:rsidRPr="00181EF3">
              <w:rPr>
                <w:sz w:val="16"/>
                <w:szCs w:val="16"/>
              </w:rPr>
              <w:t>MV</w:t>
            </w:r>
          </w:p>
        </w:tc>
        <w:tc>
          <w:tcPr>
            <w:tcW w:w="417" w:type="dxa"/>
            <w:tcBorders>
              <w:bottom w:val="single" w:sz="4" w:space="0" w:color="A6A6A6" w:themeColor="background1" w:themeShade="A6"/>
            </w:tcBorders>
            <w:shd w:val="clear" w:color="auto" w:fill="auto"/>
          </w:tcPr>
          <w:p w14:paraId="56093A6C" w14:textId="77777777" w:rsidR="002D68F3" w:rsidRPr="00181EF3" w:rsidRDefault="002D68F3" w:rsidP="00E830F9">
            <w:pPr>
              <w:pStyle w:val="TableText"/>
              <w:spacing w:before="40" w:after="40"/>
              <w:jc w:val="center"/>
              <w:rPr>
                <w:sz w:val="16"/>
                <w:szCs w:val="16"/>
              </w:rPr>
            </w:pPr>
            <w:r w:rsidRPr="00181EF3">
              <w:rPr>
                <w:sz w:val="16"/>
                <w:szCs w:val="16"/>
              </w:rPr>
              <w:t>MV</w:t>
            </w:r>
          </w:p>
        </w:tc>
        <w:tc>
          <w:tcPr>
            <w:tcW w:w="417" w:type="dxa"/>
            <w:tcBorders>
              <w:bottom w:val="single" w:sz="4" w:space="0" w:color="A6A6A6" w:themeColor="background1" w:themeShade="A6"/>
            </w:tcBorders>
            <w:shd w:val="clear" w:color="auto" w:fill="auto"/>
          </w:tcPr>
          <w:p w14:paraId="3B132B8F" w14:textId="77777777" w:rsidR="002D68F3" w:rsidRPr="00181EF3" w:rsidRDefault="002D68F3" w:rsidP="00E830F9">
            <w:pPr>
              <w:pStyle w:val="TableText"/>
              <w:spacing w:before="40" w:after="40"/>
              <w:jc w:val="center"/>
              <w:rPr>
                <w:sz w:val="16"/>
                <w:szCs w:val="16"/>
              </w:rPr>
            </w:pPr>
            <w:r w:rsidRPr="00181EF3">
              <w:rPr>
                <w:sz w:val="16"/>
                <w:szCs w:val="16"/>
              </w:rPr>
              <w:t>MV</w:t>
            </w:r>
          </w:p>
        </w:tc>
        <w:tc>
          <w:tcPr>
            <w:tcW w:w="417" w:type="dxa"/>
            <w:tcBorders>
              <w:bottom w:val="single" w:sz="4" w:space="0" w:color="A6A6A6" w:themeColor="background1" w:themeShade="A6"/>
            </w:tcBorders>
            <w:shd w:val="clear" w:color="auto" w:fill="auto"/>
          </w:tcPr>
          <w:p w14:paraId="697ADD1F" w14:textId="77777777" w:rsidR="002D68F3" w:rsidRPr="00181EF3" w:rsidRDefault="002D68F3" w:rsidP="00E830F9">
            <w:pPr>
              <w:pStyle w:val="TableText"/>
              <w:spacing w:before="40" w:after="40"/>
              <w:jc w:val="center"/>
              <w:rPr>
                <w:sz w:val="16"/>
                <w:szCs w:val="16"/>
              </w:rPr>
            </w:pPr>
            <w:r w:rsidRPr="00181EF3">
              <w:rPr>
                <w:sz w:val="16"/>
                <w:szCs w:val="16"/>
              </w:rPr>
              <w:t>MV</w:t>
            </w:r>
          </w:p>
        </w:tc>
        <w:tc>
          <w:tcPr>
            <w:tcW w:w="417" w:type="dxa"/>
            <w:tcBorders>
              <w:bottom w:val="single" w:sz="4" w:space="0" w:color="A6A6A6" w:themeColor="background1" w:themeShade="A6"/>
            </w:tcBorders>
            <w:shd w:val="clear" w:color="auto" w:fill="auto"/>
          </w:tcPr>
          <w:p w14:paraId="2981D5BD" w14:textId="77777777" w:rsidR="002D68F3" w:rsidRPr="00181EF3" w:rsidRDefault="002D68F3" w:rsidP="00E830F9">
            <w:pPr>
              <w:pStyle w:val="TableText"/>
              <w:spacing w:before="40" w:after="40"/>
              <w:jc w:val="center"/>
              <w:rPr>
                <w:sz w:val="16"/>
                <w:szCs w:val="16"/>
              </w:rPr>
            </w:pPr>
            <w:r w:rsidRPr="00181EF3">
              <w:rPr>
                <w:sz w:val="16"/>
                <w:szCs w:val="16"/>
              </w:rPr>
              <w:t>MV</w:t>
            </w:r>
          </w:p>
        </w:tc>
        <w:tc>
          <w:tcPr>
            <w:tcW w:w="417" w:type="dxa"/>
            <w:tcBorders>
              <w:bottom w:val="single" w:sz="4" w:space="0" w:color="A6A6A6" w:themeColor="background1" w:themeShade="A6"/>
            </w:tcBorders>
            <w:shd w:val="clear" w:color="auto" w:fill="auto"/>
          </w:tcPr>
          <w:p w14:paraId="74F18794" w14:textId="77777777" w:rsidR="002D68F3" w:rsidRPr="00181EF3" w:rsidRDefault="002D68F3" w:rsidP="00E830F9">
            <w:pPr>
              <w:pStyle w:val="TableText"/>
              <w:spacing w:before="40" w:after="40"/>
              <w:jc w:val="center"/>
              <w:rPr>
                <w:sz w:val="16"/>
                <w:szCs w:val="16"/>
              </w:rPr>
            </w:pPr>
            <w:r w:rsidRPr="00181EF3">
              <w:rPr>
                <w:sz w:val="16"/>
                <w:szCs w:val="16"/>
              </w:rPr>
              <w:t>MV</w:t>
            </w:r>
          </w:p>
        </w:tc>
        <w:tc>
          <w:tcPr>
            <w:tcW w:w="417" w:type="dxa"/>
            <w:tcBorders>
              <w:bottom w:val="single" w:sz="4" w:space="0" w:color="A6A6A6" w:themeColor="background1" w:themeShade="A6"/>
            </w:tcBorders>
            <w:shd w:val="clear" w:color="auto" w:fill="auto"/>
          </w:tcPr>
          <w:p w14:paraId="70EB2363" w14:textId="77777777" w:rsidR="002D68F3" w:rsidRPr="00181EF3" w:rsidRDefault="002D68F3" w:rsidP="00E830F9">
            <w:pPr>
              <w:pStyle w:val="TableText"/>
              <w:spacing w:before="40" w:after="40"/>
              <w:jc w:val="center"/>
              <w:rPr>
                <w:sz w:val="16"/>
                <w:szCs w:val="16"/>
              </w:rPr>
            </w:pPr>
            <w:r w:rsidRPr="00181EF3">
              <w:rPr>
                <w:sz w:val="16"/>
                <w:szCs w:val="16"/>
              </w:rPr>
              <w:t>MV</w:t>
            </w:r>
          </w:p>
        </w:tc>
        <w:tc>
          <w:tcPr>
            <w:tcW w:w="417" w:type="dxa"/>
            <w:tcBorders>
              <w:bottom w:val="single" w:sz="4" w:space="0" w:color="A6A6A6" w:themeColor="background1" w:themeShade="A6"/>
            </w:tcBorders>
            <w:shd w:val="clear" w:color="auto" w:fill="auto"/>
          </w:tcPr>
          <w:p w14:paraId="07B97917" w14:textId="77777777" w:rsidR="002D68F3" w:rsidRPr="00181EF3" w:rsidRDefault="002D68F3" w:rsidP="00E830F9">
            <w:pPr>
              <w:pStyle w:val="TableText"/>
              <w:spacing w:before="40" w:after="40"/>
              <w:jc w:val="center"/>
              <w:rPr>
                <w:sz w:val="16"/>
                <w:szCs w:val="16"/>
              </w:rPr>
            </w:pPr>
            <w:r w:rsidRPr="00181EF3">
              <w:rPr>
                <w:sz w:val="16"/>
                <w:szCs w:val="16"/>
              </w:rPr>
              <w:t>MV</w:t>
            </w:r>
          </w:p>
        </w:tc>
        <w:tc>
          <w:tcPr>
            <w:tcW w:w="417" w:type="dxa"/>
            <w:tcBorders>
              <w:bottom w:val="single" w:sz="4" w:space="0" w:color="A6A6A6" w:themeColor="background1" w:themeShade="A6"/>
            </w:tcBorders>
            <w:shd w:val="clear" w:color="auto" w:fill="auto"/>
          </w:tcPr>
          <w:p w14:paraId="71671F06" w14:textId="77777777" w:rsidR="002D68F3" w:rsidRPr="00181EF3" w:rsidRDefault="002D68F3" w:rsidP="00E830F9">
            <w:pPr>
              <w:pStyle w:val="TableText"/>
              <w:spacing w:before="40" w:after="40"/>
              <w:jc w:val="center"/>
              <w:rPr>
                <w:sz w:val="16"/>
                <w:szCs w:val="16"/>
              </w:rPr>
            </w:pPr>
            <w:r w:rsidRPr="00181EF3">
              <w:rPr>
                <w:sz w:val="16"/>
                <w:szCs w:val="16"/>
              </w:rPr>
              <w:t>MV</w:t>
            </w:r>
          </w:p>
        </w:tc>
      </w:tr>
      <w:tr w:rsidR="002D68F3" w:rsidRPr="00181EF3" w14:paraId="1EA386D4" w14:textId="77777777" w:rsidTr="00E830F9">
        <w:trPr>
          <w:cantSplit/>
        </w:trPr>
        <w:tc>
          <w:tcPr>
            <w:tcW w:w="567" w:type="dxa"/>
            <w:vMerge/>
            <w:tcBorders>
              <w:top w:val="single" w:sz="4" w:space="0" w:color="A6A6A6" w:themeColor="background1" w:themeShade="A6"/>
              <w:bottom w:val="single" w:sz="4" w:space="0" w:color="A6A6A6" w:themeColor="background1" w:themeShade="A6"/>
            </w:tcBorders>
            <w:shd w:val="clear" w:color="auto" w:fill="auto"/>
          </w:tcPr>
          <w:p w14:paraId="4BEA0924" w14:textId="77777777" w:rsidR="002D68F3" w:rsidRPr="00181EF3" w:rsidRDefault="002D68F3" w:rsidP="00E830F9">
            <w:pPr>
              <w:pStyle w:val="TableText"/>
              <w:spacing w:before="40" w:after="40"/>
              <w:rPr>
                <w:sz w:val="16"/>
                <w:szCs w:val="16"/>
              </w:rPr>
            </w:pPr>
          </w:p>
        </w:tc>
        <w:tc>
          <w:tcPr>
            <w:tcW w:w="426" w:type="dxa"/>
            <w:tcBorders>
              <w:top w:val="single" w:sz="4" w:space="0" w:color="A6A6A6" w:themeColor="background1" w:themeShade="A6"/>
              <w:bottom w:val="single" w:sz="4" w:space="0" w:color="A6A6A6" w:themeColor="background1" w:themeShade="A6"/>
            </w:tcBorders>
            <w:shd w:val="clear" w:color="auto" w:fill="auto"/>
          </w:tcPr>
          <w:p w14:paraId="6C6D74DB" w14:textId="77777777" w:rsidR="002D68F3" w:rsidRPr="00181EF3" w:rsidRDefault="002D68F3" w:rsidP="00E830F9">
            <w:pPr>
              <w:pStyle w:val="TableText"/>
              <w:spacing w:before="40" w:after="40"/>
              <w:jc w:val="center"/>
              <w:rPr>
                <w:sz w:val="16"/>
                <w:szCs w:val="16"/>
              </w:rPr>
            </w:pPr>
            <w:r w:rsidRPr="00181EF3">
              <w:rPr>
                <w:sz w:val="16"/>
                <w:szCs w:val="16"/>
              </w:rPr>
              <w:t>2</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3E28DA0A" w14:textId="77777777" w:rsidR="002D68F3" w:rsidRPr="00181EF3" w:rsidRDefault="002D68F3" w:rsidP="00E830F9">
            <w:pPr>
              <w:pStyle w:val="TableText"/>
              <w:spacing w:before="40" w:after="40"/>
              <w:jc w:val="center"/>
              <w:rPr>
                <w:sz w:val="16"/>
              </w:rPr>
            </w:pPr>
            <w:r w:rsidRPr="00181EF3">
              <w:rPr>
                <w:sz w:val="16"/>
              </w:rPr>
              <w:t>PO</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0417B70" w14:textId="77777777" w:rsidR="002D68F3" w:rsidRPr="00181EF3" w:rsidRDefault="002D68F3" w:rsidP="00E830F9">
            <w:pPr>
              <w:pStyle w:val="TableText"/>
              <w:spacing w:before="40" w:after="40"/>
              <w:jc w:val="center"/>
              <w:rPr>
                <w:sz w:val="16"/>
              </w:rPr>
            </w:pPr>
            <w:r w:rsidRPr="00181EF3">
              <w:rPr>
                <w:sz w:val="16"/>
              </w:rPr>
              <w:t>TI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B294E4E" w14:textId="77777777" w:rsidR="002D68F3" w:rsidRPr="00181EF3" w:rsidRDefault="002D68F3" w:rsidP="00E830F9">
            <w:pPr>
              <w:pStyle w:val="TableText"/>
              <w:spacing w:before="40" w:after="40"/>
              <w:jc w:val="center"/>
              <w:rPr>
                <w:sz w:val="16"/>
              </w:rPr>
            </w:pPr>
            <w:r w:rsidRPr="00181EF3">
              <w:rPr>
                <w:sz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AADDF46"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B5B7193" w14:textId="77777777" w:rsidR="002D68F3" w:rsidRPr="00181EF3" w:rsidRDefault="002D68F3" w:rsidP="00E830F9">
            <w:pPr>
              <w:pStyle w:val="TableText"/>
              <w:spacing w:before="40" w:after="40"/>
              <w:jc w:val="center"/>
              <w:rPr>
                <w:sz w:val="16"/>
              </w:rPr>
            </w:pPr>
            <w:r w:rsidRPr="00181EF3">
              <w:rPr>
                <w:sz w:val="16"/>
              </w:rPr>
              <w:t>PO</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E20D284" w14:textId="77777777" w:rsidR="002D68F3" w:rsidRPr="00181EF3" w:rsidRDefault="002D68F3" w:rsidP="00E830F9">
            <w:pPr>
              <w:pStyle w:val="TableText"/>
              <w:spacing w:before="40" w:after="40"/>
              <w:jc w:val="center"/>
              <w:rPr>
                <w:sz w:val="16"/>
              </w:rPr>
            </w:pPr>
            <w:r w:rsidRPr="00181EF3">
              <w:rPr>
                <w:sz w:val="16"/>
              </w:rPr>
              <w:t>PO</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C39020B" w14:textId="77777777" w:rsidR="002D68F3" w:rsidRPr="00181EF3" w:rsidRDefault="002D68F3" w:rsidP="00E830F9">
            <w:pPr>
              <w:pStyle w:val="TableText"/>
              <w:spacing w:before="40" w:after="40"/>
              <w:jc w:val="center"/>
              <w:rPr>
                <w:sz w:val="16"/>
              </w:rPr>
            </w:pPr>
            <w:r w:rsidRPr="00181EF3">
              <w:rPr>
                <w:sz w:val="16"/>
              </w:rPr>
              <w:t>PO</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2105602" w14:textId="77777777" w:rsidR="002D68F3" w:rsidRPr="00181EF3" w:rsidRDefault="002D68F3" w:rsidP="00E830F9">
            <w:pPr>
              <w:pStyle w:val="TableText"/>
              <w:spacing w:before="40" w:after="40"/>
              <w:jc w:val="center"/>
              <w:rPr>
                <w:sz w:val="16"/>
              </w:rPr>
            </w:pPr>
            <w:r w:rsidRPr="00181EF3">
              <w:rPr>
                <w:sz w:val="16"/>
              </w:rPr>
              <w:t>PO</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37C067DD" w14:textId="77777777" w:rsidR="002D68F3" w:rsidRPr="00181EF3" w:rsidRDefault="002D68F3" w:rsidP="00E830F9">
            <w:pPr>
              <w:pStyle w:val="TableText"/>
              <w:spacing w:before="40" w:after="40"/>
              <w:jc w:val="center"/>
              <w:rPr>
                <w:sz w:val="16"/>
              </w:rPr>
            </w:pPr>
            <w:r w:rsidRPr="00181EF3">
              <w:rPr>
                <w:sz w:val="16"/>
              </w:rPr>
              <w:t>PO</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B5D5AA8" w14:textId="77777777" w:rsidR="002D68F3" w:rsidRPr="00181EF3" w:rsidRDefault="002D68F3" w:rsidP="00E830F9">
            <w:pPr>
              <w:pStyle w:val="TableText"/>
              <w:spacing w:before="40" w:after="40"/>
              <w:jc w:val="center"/>
              <w:rPr>
                <w:sz w:val="16"/>
              </w:rPr>
            </w:pPr>
            <w:r w:rsidRPr="00181EF3">
              <w:rPr>
                <w:sz w:val="16"/>
              </w:rPr>
              <w:t>PO</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76BC2E8" w14:textId="77777777" w:rsidR="002D68F3" w:rsidRPr="00181EF3" w:rsidRDefault="002D68F3" w:rsidP="00E830F9">
            <w:pPr>
              <w:pStyle w:val="TableText"/>
              <w:spacing w:before="40" w:after="40"/>
              <w:jc w:val="center"/>
              <w:rPr>
                <w:sz w:val="16"/>
              </w:rPr>
            </w:pPr>
            <w:r w:rsidRPr="00181EF3">
              <w:rPr>
                <w:sz w:val="16"/>
              </w:rPr>
              <w:t>PO</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C21436D" w14:textId="77777777" w:rsidR="002D68F3" w:rsidRPr="00181EF3" w:rsidRDefault="002D68F3" w:rsidP="00E830F9">
            <w:pPr>
              <w:pStyle w:val="TableText"/>
              <w:spacing w:before="40" w:after="40"/>
              <w:jc w:val="center"/>
              <w:rPr>
                <w:sz w:val="16"/>
              </w:rPr>
            </w:pPr>
            <w:r w:rsidRPr="00181EF3">
              <w:rPr>
                <w:sz w:val="16"/>
              </w:rPr>
              <w:t>PO</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324A443" w14:textId="77777777" w:rsidR="002D68F3" w:rsidRPr="00181EF3" w:rsidRDefault="002D68F3" w:rsidP="00E830F9">
            <w:pPr>
              <w:pStyle w:val="TableText"/>
              <w:spacing w:before="40" w:after="40"/>
              <w:jc w:val="center"/>
              <w:rPr>
                <w:sz w:val="16"/>
              </w:rPr>
            </w:pPr>
            <w:r w:rsidRPr="00181EF3">
              <w:rPr>
                <w:sz w:val="16"/>
              </w:rPr>
              <w:t>PO</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FBE54F6" w14:textId="77777777" w:rsidR="002D68F3" w:rsidRPr="00181EF3" w:rsidRDefault="002D68F3" w:rsidP="00E830F9">
            <w:pPr>
              <w:pStyle w:val="TableText"/>
              <w:spacing w:before="40" w:after="40"/>
              <w:jc w:val="center"/>
              <w:rPr>
                <w:sz w:val="16"/>
              </w:rPr>
            </w:pPr>
            <w:r w:rsidRPr="00181EF3">
              <w:rPr>
                <w:sz w:val="16"/>
              </w:rPr>
              <w:t>PO</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3CE4B2A" w14:textId="77777777" w:rsidR="002D68F3" w:rsidRPr="00181EF3" w:rsidRDefault="002D68F3" w:rsidP="00E830F9">
            <w:pPr>
              <w:pStyle w:val="TableText"/>
              <w:spacing w:before="40" w:after="40"/>
              <w:jc w:val="center"/>
              <w:rPr>
                <w:sz w:val="16"/>
              </w:rPr>
            </w:pPr>
            <w:r w:rsidRPr="00181EF3">
              <w:rPr>
                <w:sz w:val="16"/>
              </w:rPr>
              <w:t>PO</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C267662" w14:textId="77777777" w:rsidR="002D68F3" w:rsidRPr="00181EF3" w:rsidRDefault="002D68F3" w:rsidP="00E830F9">
            <w:pPr>
              <w:pStyle w:val="TableText"/>
              <w:spacing w:before="40" w:after="40"/>
              <w:jc w:val="center"/>
              <w:rPr>
                <w:sz w:val="16"/>
              </w:rPr>
            </w:pPr>
            <w:r w:rsidRPr="00181EF3">
              <w:rPr>
                <w:sz w:val="16"/>
              </w:rPr>
              <w:t>PO</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A984532" w14:textId="77777777" w:rsidR="002D68F3" w:rsidRPr="00181EF3" w:rsidRDefault="002D68F3" w:rsidP="00E830F9">
            <w:pPr>
              <w:pStyle w:val="TableText"/>
              <w:spacing w:before="40" w:after="40"/>
              <w:jc w:val="center"/>
              <w:rPr>
                <w:sz w:val="16"/>
              </w:rPr>
            </w:pPr>
            <w:r w:rsidRPr="00181EF3">
              <w:rPr>
                <w:sz w:val="16"/>
              </w:rPr>
              <w:t>PO</w:t>
            </w:r>
          </w:p>
        </w:tc>
      </w:tr>
      <w:tr w:rsidR="002D68F3" w:rsidRPr="00181EF3" w14:paraId="25F18F6E" w14:textId="77777777" w:rsidTr="00E830F9">
        <w:trPr>
          <w:cantSplit/>
        </w:trPr>
        <w:tc>
          <w:tcPr>
            <w:tcW w:w="567" w:type="dxa"/>
            <w:vMerge/>
            <w:tcBorders>
              <w:top w:val="single" w:sz="4" w:space="0" w:color="A6A6A6" w:themeColor="background1" w:themeShade="A6"/>
              <w:bottom w:val="single" w:sz="4" w:space="0" w:color="A6A6A6" w:themeColor="background1" w:themeShade="A6"/>
            </w:tcBorders>
            <w:shd w:val="clear" w:color="auto" w:fill="auto"/>
          </w:tcPr>
          <w:p w14:paraId="02782991" w14:textId="77777777" w:rsidR="002D68F3" w:rsidRPr="00181EF3" w:rsidRDefault="002D68F3" w:rsidP="00E830F9">
            <w:pPr>
              <w:pStyle w:val="TableText"/>
              <w:spacing w:before="40" w:after="40"/>
              <w:rPr>
                <w:sz w:val="16"/>
                <w:szCs w:val="16"/>
              </w:rPr>
            </w:pPr>
          </w:p>
        </w:tc>
        <w:tc>
          <w:tcPr>
            <w:tcW w:w="426" w:type="dxa"/>
            <w:tcBorders>
              <w:top w:val="single" w:sz="4" w:space="0" w:color="A6A6A6" w:themeColor="background1" w:themeShade="A6"/>
              <w:bottom w:val="single" w:sz="4" w:space="0" w:color="A6A6A6" w:themeColor="background1" w:themeShade="A6"/>
            </w:tcBorders>
            <w:shd w:val="clear" w:color="auto" w:fill="auto"/>
          </w:tcPr>
          <w:p w14:paraId="56DF5C24" w14:textId="77777777" w:rsidR="002D68F3" w:rsidRPr="00181EF3" w:rsidRDefault="002D68F3" w:rsidP="00E830F9">
            <w:pPr>
              <w:pStyle w:val="TableText"/>
              <w:spacing w:before="40" w:after="40"/>
              <w:jc w:val="center"/>
              <w:rPr>
                <w:sz w:val="16"/>
                <w:szCs w:val="16"/>
              </w:rPr>
            </w:pPr>
            <w:r w:rsidRPr="00181EF3">
              <w:rPr>
                <w:sz w:val="16"/>
                <w:szCs w:val="16"/>
              </w:rPr>
              <w:t>3</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51DEC153" w14:textId="77777777" w:rsidR="002D68F3" w:rsidRPr="00181EF3" w:rsidRDefault="002D68F3" w:rsidP="00E830F9">
            <w:pPr>
              <w:pStyle w:val="TableText"/>
              <w:spacing w:before="40" w:after="40"/>
              <w:jc w:val="center"/>
              <w:rPr>
                <w:sz w:val="16"/>
              </w:rPr>
            </w:pPr>
            <w:r w:rsidRPr="00181EF3">
              <w:rPr>
                <w:sz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9AB5B60" w14:textId="77777777" w:rsidR="002D68F3" w:rsidRPr="00181EF3" w:rsidRDefault="002D68F3" w:rsidP="00E830F9">
            <w:pPr>
              <w:pStyle w:val="TableText"/>
              <w:spacing w:before="40" w:after="40"/>
              <w:jc w:val="center"/>
              <w:rPr>
                <w:sz w:val="16"/>
              </w:rPr>
            </w:pPr>
            <w:r w:rsidRPr="00181EF3">
              <w:rPr>
                <w:sz w:val="16"/>
              </w:rPr>
              <w:t>PO</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DDD63FD" w14:textId="77777777" w:rsidR="002D68F3" w:rsidRPr="00181EF3" w:rsidRDefault="002D68F3" w:rsidP="00E830F9">
            <w:pPr>
              <w:pStyle w:val="TableText"/>
              <w:spacing w:before="40" w:after="40"/>
              <w:jc w:val="center"/>
              <w:rPr>
                <w:sz w:val="16"/>
              </w:rPr>
            </w:pPr>
            <w:r w:rsidRPr="00181EF3">
              <w:rPr>
                <w:sz w:val="16"/>
              </w:rPr>
              <w:t>TI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151D340" w14:textId="77777777" w:rsidR="002D68F3" w:rsidRPr="00181EF3" w:rsidRDefault="002D68F3" w:rsidP="00E830F9">
            <w:pPr>
              <w:pStyle w:val="TableText"/>
              <w:spacing w:before="40" w:after="40"/>
              <w:jc w:val="center"/>
              <w:rPr>
                <w:sz w:val="16"/>
              </w:rPr>
            </w:pPr>
            <w:r w:rsidRPr="00181EF3">
              <w:rPr>
                <w:sz w:val="16"/>
              </w:rPr>
              <w:t>PO</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B221F49" w14:textId="77777777" w:rsidR="002D68F3" w:rsidRPr="00181EF3" w:rsidRDefault="002D68F3" w:rsidP="00E830F9">
            <w:pPr>
              <w:pStyle w:val="TableText"/>
              <w:spacing w:before="40" w:after="40"/>
              <w:jc w:val="center"/>
              <w:rPr>
                <w:sz w:val="16"/>
              </w:rPr>
            </w:pPr>
            <w:r w:rsidRPr="00181EF3">
              <w:rPr>
                <w:sz w:val="16"/>
              </w:rPr>
              <w:t>TI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716EF9E"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5F32770"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C3CBF84" w14:textId="77777777" w:rsidR="002D68F3" w:rsidRPr="00181EF3" w:rsidRDefault="002D68F3" w:rsidP="00E830F9">
            <w:pPr>
              <w:pStyle w:val="TableText"/>
              <w:spacing w:before="40" w:after="40"/>
              <w:jc w:val="center"/>
              <w:rPr>
                <w:sz w:val="16"/>
              </w:rPr>
            </w:pPr>
            <w:r w:rsidRPr="00181EF3">
              <w:rPr>
                <w:sz w:val="16"/>
              </w:rPr>
              <w:t>FA</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318BFDE6"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2983D50"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5752153"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98C18E8"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EA47F7C"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7BB6D9F"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C6941BB"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D0B7C05"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CA1CAE5" w14:textId="77777777" w:rsidR="002D68F3" w:rsidRPr="00181EF3" w:rsidRDefault="002D68F3" w:rsidP="00E830F9">
            <w:pPr>
              <w:pStyle w:val="TableText"/>
              <w:spacing w:before="40" w:after="40"/>
              <w:jc w:val="center"/>
              <w:rPr>
                <w:sz w:val="16"/>
              </w:rPr>
            </w:pPr>
            <w:r w:rsidRPr="00181EF3">
              <w:rPr>
                <w:sz w:val="16"/>
              </w:rPr>
              <w:t>TI</w:t>
            </w:r>
          </w:p>
        </w:tc>
      </w:tr>
      <w:tr w:rsidR="002D68F3" w:rsidRPr="00181EF3" w14:paraId="37138B24" w14:textId="77777777" w:rsidTr="00E830F9">
        <w:trPr>
          <w:cantSplit/>
        </w:trPr>
        <w:tc>
          <w:tcPr>
            <w:tcW w:w="567" w:type="dxa"/>
            <w:vMerge w:val="restart"/>
            <w:tcBorders>
              <w:top w:val="single" w:sz="4" w:space="0" w:color="A6A6A6" w:themeColor="background1" w:themeShade="A6"/>
              <w:bottom w:val="single" w:sz="4" w:space="0" w:color="A6A6A6" w:themeColor="background1" w:themeShade="A6"/>
            </w:tcBorders>
            <w:shd w:val="clear" w:color="auto" w:fill="auto"/>
          </w:tcPr>
          <w:p w14:paraId="3F183971" w14:textId="55DC67A7" w:rsidR="002D68F3" w:rsidRPr="00181EF3" w:rsidRDefault="00EC03A3" w:rsidP="00E830F9">
            <w:pPr>
              <w:pStyle w:val="TableText"/>
              <w:spacing w:before="40" w:after="40"/>
              <w:rPr>
                <w:sz w:val="16"/>
                <w:szCs w:val="16"/>
              </w:rPr>
            </w:pPr>
            <w:r>
              <w:rPr>
                <w:sz w:val="16"/>
                <w:szCs w:val="16"/>
              </w:rPr>
              <w:t>Non</w:t>
            </w:r>
            <w:r>
              <w:rPr>
                <w:sz w:val="16"/>
                <w:szCs w:val="16"/>
              </w:rPr>
              <w:noBreakHyphen/>
              <w:t>M</w:t>
            </w:r>
            <w:r w:rsidR="002D68F3" w:rsidRPr="00181EF3">
              <w:rPr>
                <w:sz w:val="16"/>
                <w:szCs w:val="16"/>
              </w:rPr>
              <w:t>āori</w:t>
            </w:r>
          </w:p>
        </w:tc>
        <w:tc>
          <w:tcPr>
            <w:tcW w:w="426" w:type="dxa"/>
            <w:tcBorders>
              <w:top w:val="single" w:sz="4" w:space="0" w:color="A6A6A6" w:themeColor="background1" w:themeShade="A6"/>
              <w:bottom w:val="single" w:sz="4" w:space="0" w:color="A6A6A6" w:themeColor="background1" w:themeShade="A6"/>
            </w:tcBorders>
            <w:shd w:val="clear" w:color="auto" w:fill="auto"/>
          </w:tcPr>
          <w:p w14:paraId="1F606CA9" w14:textId="77777777" w:rsidR="002D68F3" w:rsidRPr="00181EF3" w:rsidRDefault="002D68F3" w:rsidP="00E830F9">
            <w:pPr>
              <w:pStyle w:val="TableText"/>
              <w:spacing w:before="40" w:after="40"/>
              <w:jc w:val="center"/>
              <w:rPr>
                <w:sz w:val="16"/>
                <w:szCs w:val="16"/>
              </w:rPr>
            </w:pPr>
            <w:r w:rsidRPr="00181EF3">
              <w:rPr>
                <w:sz w:val="16"/>
                <w:szCs w:val="16"/>
              </w:rPr>
              <w:t>1</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5135433F"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361960A"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1C5C26B"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AC052F9"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F3BD49A"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557EFFD"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99E80CC"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0BFDB51" w14:textId="77777777" w:rsidR="002D68F3" w:rsidRPr="00181EF3" w:rsidRDefault="002D68F3" w:rsidP="00E830F9">
            <w:pPr>
              <w:pStyle w:val="TableText"/>
              <w:spacing w:before="40" w:after="40"/>
              <w:jc w:val="center"/>
              <w:rPr>
                <w:sz w:val="16"/>
              </w:rPr>
            </w:pPr>
            <w:r w:rsidRPr="00181EF3">
              <w:rPr>
                <w:sz w:val="16"/>
              </w:rPr>
              <w:t>MV</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2B4D77A9"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5F461F0"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B5E2256"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557F12C"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9CBD3BE"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B86E0B0"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0669069"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9BEE922"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C0280C9" w14:textId="77777777" w:rsidR="002D68F3" w:rsidRPr="00181EF3" w:rsidRDefault="002D68F3" w:rsidP="00E830F9">
            <w:pPr>
              <w:pStyle w:val="TableText"/>
              <w:spacing w:before="40" w:after="40"/>
              <w:jc w:val="center"/>
              <w:rPr>
                <w:sz w:val="16"/>
              </w:rPr>
            </w:pPr>
            <w:r w:rsidRPr="00181EF3">
              <w:rPr>
                <w:sz w:val="16"/>
              </w:rPr>
              <w:t>MV</w:t>
            </w:r>
          </w:p>
        </w:tc>
      </w:tr>
      <w:tr w:rsidR="002D68F3" w:rsidRPr="00181EF3" w14:paraId="364DB118" w14:textId="77777777" w:rsidTr="00E830F9">
        <w:trPr>
          <w:cantSplit/>
        </w:trPr>
        <w:tc>
          <w:tcPr>
            <w:tcW w:w="567" w:type="dxa"/>
            <w:vMerge/>
            <w:tcBorders>
              <w:top w:val="single" w:sz="4" w:space="0" w:color="A6A6A6" w:themeColor="background1" w:themeShade="A6"/>
              <w:bottom w:val="single" w:sz="4" w:space="0" w:color="A6A6A6" w:themeColor="background1" w:themeShade="A6"/>
            </w:tcBorders>
            <w:shd w:val="clear" w:color="auto" w:fill="auto"/>
          </w:tcPr>
          <w:p w14:paraId="03CDC21E" w14:textId="77777777" w:rsidR="002D68F3" w:rsidRPr="00181EF3" w:rsidRDefault="002D68F3" w:rsidP="00E830F9">
            <w:pPr>
              <w:pStyle w:val="TableText"/>
              <w:spacing w:before="40" w:after="40"/>
              <w:rPr>
                <w:sz w:val="16"/>
                <w:szCs w:val="16"/>
              </w:rPr>
            </w:pPr>
          </w:p>
        </w:tc>
        <w:tc>
          <w:tcPr>
            <w:tcW w:w="426" w:type="dxa"/>
            <w:tcBorders>
              <w:top w:val="single" w:sz="4" w:space="0" w:color="A6A6A6" w:themeColor="background1" w:themeShade="A6"/>
              <w:bottom w:val="single" w:sz="4" w:space="0" w:color="A6A6A6" w:themeColor="background1" w:themeShade="A6"/>
            </w:tcBorders>
            <w:shd w:val="clear" w:color="auto" w:fill="auto"/>
          </w:tcPr>
          <w:p w14:paraId="079CAACE" w14:textId="77777777" w:rsidR="002D68F3" w:rsidRPr="00181EF3" w:rsidRDefault="002D68F3" w:rsidP="00E830F9">
            <w:pPr>
              <w:pStyle w:val="TableText"/>
              <w:spacing w:before="40" w:after="40"/>
              <w:jc w:val="center"/>
              <w:rPr>
                <w:sz w:val="16"/>
                <w:szCs w:val="16"/>
              </w:rPr>
            </w:pPr>
            <w:r w:rsidRPr="00181EF3">
              <w:rPr>
                <w:sz w:val="16"/>
                <w:szCs w:val="16"/>
              </w:rPr>
              <w:t>2</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20515344" w14:textId="77777777" w:rsidR="002D68F3" w:rsidRPr="00181EF3" w:rsidRDefault="002D68F3" w:rsidP="00E830F9">
            <w:pPr>
              <w:pStyle w:val="TableText"/>
              <w:spacing w:before="40" w:after="40"/>
              <w:jc w:val="center"/>
              <w:rPr>
                <w:sz w:val="16"/>
              </w:rPr>
            </w:pPr>
            <w:r w:rsidRPr="00181EF3">
              <w:rPr>
                <w:sz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AF4148B"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0C50538"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165FE67"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0DD6CB8" w14:textId="77777777" w:rsidR="002D68F3" w:rsidRPr="00181EF3" w:rsidRDefault="002D68F3" w:rsidP="00E830F9">
            <w:pPr>
              <w:pStyle w:val="TableText"/>
              <w:spacing w:before="40" w:after="40"/>
              <w:jc w:val="center"/>
              <w:rPr>
                <w:sz w:val="16"/>
              </w:rPr>
            </w:pPr>
            <w:r w:rsidRPr="00181EF3">
              <w:rPr>
                <w:sz w:val="16"/>
              </w:rPr>
              <w:t>PO</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9A08445" w14:textId="77777777" w:rsidR="002D68F3" w:rsidRPr="00181EF3" w:rsidRDefault="002D68F3" w:rsidP="00E830F9">
            <w:pPr>
              <w:pStyle w:val="TableText"/>
              <w:spacing w:before="40" w:after="40"/>
              <w:jc w:val="center"/>
              <w:rPr>
                <w:sz w:val="16"/>
              </w:rPr>
            </w:pPr>
            <w:r w:rsidRPr="00181EF3">
              <w:rPr>
                <w:sz w:val="16"/>
              </w:rPr>
              <w:t>PO</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DFF1219" w14:textId="77777777" w:rsidR="002D68F3" w:rsidRPr="00181EF3" w:rsidRDefault="002D68F3" w:rsidP="00E830F9">
            <w:pPr>
              <w:pStyle w:val="TableText"/>
              <w:spacing w:before="40" w:after="40"/>
              <w:jc w:val="center"/>
              <w:rPr>
                <w:sz w:val="16"/>
              </w:rPr>
            </w:pPr>
            <w:r w:rsidRPr="00181EF3">
              <w:rPr>
                <w:sz w:val="16"/>
              </w:rPr>
              <w:t>PO</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D662A69" w14:textId="77777777" w:rsidR="002D68F3" w:rsidRPr="00181EF3" w:rsidRDefault="002D68F3" w:rsidP="00E830F9">
            <w:pPr>
              <w:pStyle w:val="TableText"/>
              <w:spacing w:before="40" w:after="40"/>
              <w:jc w:val="center"/>
              <w:rPr>
                <w:sz w:val="16"/>
              </w:rPr>
            </w:pPr>
            <w:r w:rsidRPr="00181EF3">
              <w:rPr>
                <w:sz w:val="16"/>
              </w:rPr>
              <w:t>PO</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5375FC79" w14:textId="77777777" w:rsidR="002D68F3" w:rsidRPr="00181EF3" w:rsidRDefault="002D68F3" w:rsidP="00E830F9">
            <w:pPr>
              <w:pStyle w:val="TableText"/>
              <w:spacing w:before="40" w:after="40"/>
              <w:jc w:val="center"/>
              <w:rPr>
                <w:sz w:val="16"/>
              </w:rPr>
            </w:pPr>
            <w:r w:rsidRPr="00181EF3">
              <w:rPr>
                <w:sz w:val="16"/>
              </w:rPr>
              <w:t>PO</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0639162" w14:textId="77777777" w:rsidR="002D68F3" w:rsidRPr="00181EF3" w:rsidRDefault="002D68F3" w:rsidP="00E830F9">
            <w:pPr>
              <w:pStyle w:val="TableText"/>
              <w:spacing w:before="40" w:after="40"/>
              <w:jc w:val="center"/>
              <w:rPr>
                <w:sz w:val="16"/>
              </w:rPr>
            </w:pPr>
            <w:r w:rsidRPr="00181EF3">
              <w:rPr>
                <w:sz w:val="16"/>
              </w:rPr>
              <w:t>PO</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6CD5E3A" w14:textId="77777777" w:rsidR="002D68F3" w:rsidRPr="00181EF3" w:rsidRDefault="002D68F3" w:rsidP="00E830F9">
            <w:pPr>
              <w:pStyle w:val="TableText"/>
              <w:spacing w:before="40" w:after="40"/>
              <w:jc w:val="center"/>
              <w:rPr>
                <w:sz w:val="16"/>
              </w:rPr>
            </w:pPr>
            <w:r w:rsidRPr="00181EF3">
              <w:rPr>
                <w:sz w:val="16"/>
              </w:rPr>
              <w:t>PO</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FA4BA32" w14:textId="77777777" w:rsidR="002D68F3" w:rsidRPr="00181EF3" w:rsidRDefault="002D68F3" w:rsidP="00E830F9">
            <w:pPr>
              <w:pStyle w:val="TableText"/>
              <w:spacing w:before="40" w:after="40"/>
              <w:jc w:val="center"/>
              <w:rPr>
                <w:sz w:val="16"/>
              </w:rPr>
            </w:pPr>
            <w:r w:rsidRPr="00181EF3">
              <w:rPr>
                <w:sz w:val="16"/>
              </w:rPr>
              <w:t>PO</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D881C47" w14:textId="77777777" w:rsidR="002D68F3" w:rsidRPr="00181EF3" w:rsidRDefault="002D68F3" w:rsidP="00E830F9">
            <w:pPr>
              <w:pStyle w:val="TableText"/>
              <w:spacing w:before="40" w:after="40"/>
              <w:jc w:val="center"/>
              <w:rPr>
                <w:sz w:val="16"/>
              </w:rPr>
            </w:pPr>
            <w:r w:rsidRPr="00181EF3">
              <w:rPr>
                <w:sz w:val="16"/>
              </w:rPr>
              <w:t>PO</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9B1C369" w14:textId="77777777" w:rsidR="002D68F3" w:rsidRPr="00181EF3" w:rsidRDefault="002D68F3" w:rsidP="00E830F9">
            <w:pPr>
              <w:pStyle w:val="TableText"/>
              <w:spacing w:before="40" w:after="40"/>
              <w:jc w:val="center"/>
              <w:rPr>
                <w:sz w:val="16"/>
              </w:rPr>
            </w:pPr>
            <w:r w:rsidRPr="00181EF3">
              <w:rPr>
                <w:sz w:val="16"/>
              </w:rPr>
              <w:t>PO</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3A2511C" w14:textId="77777777" w:rsidR="002D68F3" w:rsidRPr="00181EF3" w:rsidRDefault="002D68F3" w:rsidP="00E830F9">
            <w:pPr>
              <w:pStyle w:val="TableText"/>
              <w:spacing w:before="40" w:after="40"/>
              <w:jc w:val="center"/>
              <w:rPr>
                <w:sz w:val="16"/>
              </w:rPr>
            </w:pPr>
            <w:r w:rsidRPr="00181EF3">
              <w:rPr>
                <w:sz w:val="16"/>
              </w:rPr>
              <w:t>PO</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50E8155" w14:textId="77777777" w:rsidR="002D68F3" w:rsidRPr="00181EF3" w:rsidRDefault="002D68F3" w:rsidP="00E830F9">
            <w:pPr>
              <w:pStyle w:val="TableText"/>
              <w:spacing w:before="40" w:after="40"/>
              <w:jc w:val="center"/>
              <w:rPr>
                <w:sz w:val="16"/>
              </w:rPr>
            </w:pPr>
            <w:r w:rsidRPr="00181EF3">
              <w:rPr>
                <w:sz w:val="16"/>
              </w:rPr>
              <w:t>PO</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8844B68" w14:textId="77777777" w:rsidR="002D68F3" w:rsidRPr="00181EF3" w:rsidRDefault="002D68F3" w:rsidP="00E830F9">
            <w:pPr>
              <w:pStyle w:val="TableText"/>
              <w:spacing w:before="40" w:after="40"/>
              <w:jc w:val="center"/>
              <w:rPr>
                <w:sz w:val="16"/>
              </w:rPr>
            </w:pPr>
            <w:r w:rsidRPr="00181EF3">
              <w:rPr>
                <w:sz w:val="16"/>
              </w:rPr>
              <w:t>PO</w:t>
            </w:r>
          </w:p>
        </w:tc>
      </w:tr>
      <w:tr w:rsidR="002D68F3" w:rsidRPr="00181EF3" w14:paraId="31FDB077" w14:textId="77777777" w:rsidTr="00E830F9">
        <w:trPr>
          <w:cantSplit/>
        </w:trPr>
        <w:tc>
          <w:tcPr>
            <w:tcW w:w="567" w:type="dxa"/>
            <w:vMerge/>
            <w:tcBorders>
              <w:top w:val="single" w:sz="4" w:space="0" w:color="A6A6A6" w:themeColor="background1" w:themeShade="A6"/>
              <w:bottom w:val="single" w:sz="4" w:space="0" w:color="A6A6A6" w:themeColor="background1" w:themeShade="A6"/>
            </w:tcBorders>
            <w:shd w:val="clear" w:color="auto" w:fill="auto"/>
          </w:tcPr>
          <w:p w14:paraId="5D8FB72A" w14:textId="77777777" w:rsidR="002D68F3" w:rsidRPr="00181EF3" w:rsidRDefault="002D68F3" w:rsidP="00E830F9">
            <w:pPr>
              <w:pStyle w:val="TableText"/>
              <w:spacing w:before="40" w:after="40"/>
              <w:rPr>
                <w:sz w:val="16"/>
                <w:szCs w:val="16"/>
              </w:rPr>
            </w:pPr>
          </w:p>
        </w:tc>
        <w:tc>
          <w:tcPr>
            <w:tcW w:w="426" w:type="dxa"/>
            <w:tcBorders>
              <w:top w:val="single" w:sz="4" w:space="0" w:color="A6A6A6" w:themeColor="background1" w:themeShade="A6"/>
              <w:bottom w:val="single" w:sz="4" w:space="0" w:color="A6A6A6" w:themeColor="background1" w:themeShade="A6"/>
            </w:tcBorders>
            <w:shd w:val="clear" w:color="auto" w:fill="auto"/>
          </w:tcPr>
          <w:p w14:paraId="6D72B11A" w14:textId="77777777" w:rsidR="002D68F3" w:rsidRPr="00181EF3" w:rsidRDefault="002D68F3" w:rsidP="00E830F9">
            <w:pPr>
              <w:pStyle w:val="TableText"/>
              <w:spacing w:before="40" w:after="40"/>
              <w:jc w:val="center"/>
              <w:rPr>
                <w:sz w:val="16"/>
                <w:szCs w:val="16"/>
              </w:rPr>
            </w:pPr>
            <w:r w:rsidRPr="00181EF3">
              <w:rPr>
                <w:sz w:val="16"/>
                <w:szCs w:val="16"/>
              </w:rPr>
              <w:t>3</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64013365"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D1D9AC3" w14:textId="77777777" w:rsidR="002D68F3" w:rsidRPr="00181EF3" w:rsidRDefault="002D68F3" w:rsidP="00E830F9">
            <w:pPr>
              <w:pStyle w:val="TableText"/>
              <w:spacing w:before="40" w:after="40"/>
              <w:jc w:val="center"/>
              <w:rPr>
                <w:sz w:val="16"/>
              </w:rPr>
            </w:pPr>
            <w:r w:rsidRPr="00181EF3">
              <w:rPr>
                <w:sz w:val="16"/>
              </w:rPr>
              <w:t>PO</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3C6E1FD" w14:textId="77777777" w:rsidR="002D68F3" w:rsidRPr="00181EF3" w:rsidRDefault="002D68F3" w:rsidP="00E830F9">
            <w:pPr>
              <w:pStyle w:val="TableText"/>
              <w:spacing w:before="40" w:after="40"/>
              <w:jc w:val="center"/>
              <w:rPr>
                <w:sz w:val="16"/>
              </w:rPr>
            </w:pPr>
            <w:r w:rsidRPr="00181EF3">
              <w:rPr>
                <w:sz w:val="16"/>
              </w:rPr>
              <w:t>PO</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FD874C3" w14:textId="77777777" w:rsidR="002D68F3" w:rsidRPr="00181EF3" w:rsidRDefault="002D68F3" w:rsidP="00E830F9">
            <w:pPr>
              <w:pStyle w:val="TableText"/>
              <w:spacing w:before="40" w:after="40"/>
              <w:jc w:val="center"/>
              <w:rPr>
                <w:sz w:val="16"/>
              </w:rPr>
            </w:pPr>
            <w:r w:rsidRPr="00181EF3">
              <w:rPr>
                <w:sz w:val="16"/>
              </w:rPr>
              <w:t>PO</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E042C1D"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11D351E"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88B9EE9" w14:textId="77777777" w:rsidR="002D68F3" w:rsidRPr="00181EF3" w:rsidRDefault="002D68F3" w:rsidP="00E830F9">
            <w:pPr>
              <w:pStyle w:val="TableText"/>
              <w:spacing w:before="40" w:after="40"/>
              <w:jc w:val="center"/>
              <w:rPr>
                <w:sz w:val="16"/>
              </w:rPr>
            </w:pPr>
            <w:r w:rsidRPr="00181EF3">
              <w:rPr>
                <w:sz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F5C1069" w14:textId="77777777" w:rsidR="002D68F3" w:rsidRPr="00181EF3" w:rsidRDefault="002D68F3" w:rsidP="00E830F9">
            <w:pPr>
              <w:pStyle w:val="TableText"/>
              <w:spacing w:before="40" w:after="40"/>
              <w:jc w:val="center"/>
              <w:rPr>
                <w:sz w:val="16"/>
              </w:rPr>
            </w:pPr>
            <w:r w:rsidRPr="00181EF3">
              <w:rPr>
                <w:sz w:val="16"/>
              </w:rPr>
              <w:t>FA</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49EE55B9"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75B8248"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CA1E975"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A861D86"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6276670"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0919879"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C93463A"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8FA0AF8"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B839526" w14:textId="77777777" w:rsidR="002D68F3" w:rsidRPr="00181EF3" w:rsidRDefault="002D68F3" w:rsidP="00E830F9">
            <w:pPr>
              <w:pStyle w:val="TableText"/>
              <w:spacing w:before="40" w:after="40"/>
              <w:jc w:val="center"/>
              <w:rPr>
                <w:sz w:val="16"/>
              </w:rPr>
            </w:pPr>
            <w:r w:rsidRPr="00181EF3">
              <w:rPr>
                <w:sz w:val="16"/>
              </w:rPr>
              <w:t>FA</w:t>
            </w:r>
          </w:p>
        </w:tc>
      </w:tr>
    </w:tbl>
    <w:p w14:paraId="6C67A12A" w14:textId="77777777" w:rsidR="00062616" w:rsidRDefault="00062616" w:rsidP="00062616">
      <w:pPr>
        <w:pStyle w:val="Note"/>
      </w:pPr>
      <w:r w:rsidRPr="00181EF3">
        <w:t>Note</w:t>
      </w:r>
      <w:r>
        <w:t>s</w:t>
      </w:r>
      <w:r w:rsidRPr="00181EF3">
        <w:t>:</w:t>
      </w:r>
    </w:p>
    <w:p w14:paraId="1F1A69DB" w14:textId="4BACFD4C" w:rsidR="008A5642" w:rsidRDefault="00446D86" w:rsidP="00062616">
      <w:pPr>
        <w:pStyle w:val="Note"/>
      </w:pPr>
      <w:r>
        <w:t>Figures are age-standardised to the 2001 Census total Māori population</w:t>
      </w:r>
      <w:r w:rsidR="00062616" w:rsidRPr="00181EF3">
        <w:t>.</w:t>
      </w:r>
    </w:p>
    <w:p w14:paraId="0BC25119" w14:textId="7FC40C57" w:rsidR="00062616" w:rsidRPr="00181EF3" w:rsidRDefault="00062616" w:rsidP="00062616">
      <w:pPr>
        <w:pStyle w:val="Note"/>
      </w:pPr>
      <w:r>
        <w:t>Prioritised ethnicity has been used.</w:t>
      </w:r>
    </w:p>
    <w:p w14:paraId="38ADEC5F" w14:textId="77777777" w:rsidR="00062616" w:rsidRPr="00181EF3" w:rsidRDefault="00062616" w:rsidP="00062616">
      <w:pPr>
        <w:pStyle w:val="Source"/>
        <w:rPr>
          <w:rFonts w:eastAsia="Calibri"/>
        </w:rPr>
      </w:pPr>
      <w:r w:rsidRPr="00181EF3">
        <w:rPr>
          <w:rFonts w:eastAsia="Calibri"/>
        </w:rPr>
        <w:t>Source: Mortality Collection Data Set (MORT), Ministry of Health</w:t>
      </w:r>
      <w:r>
        <w:rPr>
          <w:rFonts w:eastAsia="Calibri"/>
        </w:rPr>
        <w:t xml:space="preserve">, </w:t>
      </w:r>
      <w:r w:rsidRPr="00181EF3">
        <w:t>1996–98 to 2012–14</w:t>
      </w:r>
      <w:r w:rsidRPr="00181EF3">
        <w:rPr>
          <w:rFonts w:eastAsia="Calibri"/>
        </w:rPr>
        <w:t>.</w:t>
      </w:r>
    </w:p>
    <w:p w14:paraId="0351CC83" w14:textId="77777777" w:rsidR="002D68F3" w:rsidRPr="00181EF3" w:rsidRDefault="002D68F3" w:rsidP="002D68F3"/>
    <w:p w14:paraId="741F6274" w14:textId="5CB41BDB" w:rsidR="002D68F3" w:rsidRPr="00181EF3" w:rsidRDefault="002D68F3" w:rsidP="002D68F3">
      <w:r w:rsidRPr="00181EF3">
        <w:t xml:space="preserve">Table </w:t>
      </w:r>
      <w:r w:rsidR="00062616">
        <w:t>30</w:t>
      </w:r>
      <w:r w:rsidRPr="00181EF3">
        <w:t xml:space="preserve"> shows the three leading unintentional injury mortality categories for Māori and </w:t>
      </w:r>
      <w:r w:rsidR="00EC03A3">
        <w:t>non</w:t>
      </w:r>
      <w:r w:rsidR="00EC03A3">
        <w:noBreakHyphen/>
        <w:t>M</w:t>
      </w:r>
      <w:r w:rsidRPr="00181EF3">
        <w:t>āori females aged 15–64 years and above ranked by age-standardised rates.</w:t>
      </w:r>
    </w:p>
    <w:p w14:paraId="7310E411" w14:textId="77777777" w:rsidR="002D68F3" w:rsidRPr="00181EF3" w:rsidRDefault="002D68F3" w:rsidP="002D68F3"/>
    <w:p w14:paraId="6A0A4E8B" w14:textId="288A2B6F" w:rsidR="002D68F3" w:rsidRPr="00181EF3" w:rsidRDefault="002D68F3" w:rsidP="002D68F3">
      <w:r w:rsidRPr="00181EF3">
        <w:t xml:space="preserve">Motor vehicle accidents was the leading category for both Māori and </w:t>
      </w:r>
      <w:r w:rsidR="00EC03A3">
        <w:t>non</w:t>
      </w:r>
      <w:r w:rsidR="00EC03A3">
        <w:noBreakHyphen/>
        <w:t>M</w:t>
      </w:r>
      <w:r w:rsidRPr="00181EF3">
        <w:t>āori females aged 15–64 years.</w:t>
      </w:r>
    </w:p>
    <w:p w14:paraId="287419C4" w14:textId="77777777" w:rsidR="002D68F3" w:rsidRPr="00181EF3" w:rsidRDefault="002D68F3" w:rsidP="002D68F3"/>
    <w:p w14:paraId="090D43EE" w14:textId="3FED719F" w:rsidR="002D68F3" w:rsidRPr="00181EF3" w:rsidRDefault="002D68F3" w:rsidP="002D68F3">
      <w:r w:rsidRPr="00181EF3">
        <w:t xml:space="preserve">Poisonings was the second leading category for both Māori and </w:t>
      </w:r>
      <w:r w:rsidR="00EC03A3">
        <w:t>non</w:t>
      </w:r>
      <w:r w:rsidR="00EC03A3">
        <w:noBreakHyphen/>
        <w:t>M</w:t>
      </w:r>
      <w:r w:rsidRPr="00181EF3">
        <w:t>āori females aged 15–64 years between 2000</w:t>
      </w:r>
      <w:r w:rsidR="009F7B61">
        <w:t>–</w:t>
      </w:r>
      <w:r w:rsidRPr="00181EF3">
        <w:t>02 and 2012–14.</w:t>
      </w:r>
    </w:p>
    <w:p w14:paraId="5CF3BF20" w14:textId="77777777" w:rsidR="002D68F3" w:rsidRPr="00181EF3" w:rsidRDefault="002D68F3" w:rsidP="002D68F3"/>
    <w:p w14:paraId="0DF81B46" w14:textId="345BCA80" w:rsidR="002D68F3" w:rsidRPr="00181EF3" w:rsidRDefault="002D68F3" w:rsidP="002D68F3">
      <w:r w:rsidRPr="00181EF3">
        <w:t xml:space="preserve">Falls occurred frequently in the third leading categories for both Māori and </w:t>
      </w:r>
      <w:r w:rsidR="00EC03A3">
        <w:t>non</w:t>
      </w:r>
      <w:r w:rsidR="00EC03A3">
        <w:noBreakHyphen/>
        <w:t>M</w:t>
      </w:r>
      <w:r w:rsidRPr="00181EF3">
        <w:t>āori females aged 15–64 years.</w:t>
      </w:r>
    </w:p>
    <w:p w14:paraId="023B0E72" w14:textId="77777777" w:rsidR="002D68F3" w:rsidRPr="00181EF3" w:rsidRDefault="002D68F3" w:rsidP="002D68F3"/>
    <w:p w14:paraId="2C8A00D3" w14:textId="77777777" w:rsidR="002D68F3" w:rsidRPr="00181EF3" w:rsidRDefault="002D68F3" w:rsidP="009F7B61">
      <w:pPr>
        <w:pStyle w:val="Heading3"/>
        <w:pageBreakBefore/>
        <w:spacing w:before="0"/>
      </w:pPr>
      <w:bookmarkStart w:id="367" w:name="_Toc19102432"/>
      <w:r w:rsidRPr="00181EF3">
        <w:lastRenderedPageBreak/>
        <w:t>Unintentional injury mortality rankings for females aged 65+</w:t>
      </w:r>
      <w:r>
        <w:t> </w:t>
      </w:r>
      <w:r w:rsidRPr="00181EF3">
        <w:t>years</w:t>
      </w:r>
      <w:bookmarkEnd w:id="367"/>
    </w:p>
    <w:p w14:paraId="454E5979" w14:textId="082B1EE7" w:rsidR="002D68F3" w:rsidRPr="00181EF3" w:rsidRDefault="002D68F3" w:rsidP="002D68F3">
      <w:pPr>
        <w:pStyle w:val="Table"/>
      </w:pPr>
      <w:bookmarkStart w:id="368" w:name="_Toc18594771"/>
      <w:r w:rsidRPr="00181EF3">
        <w:t xml:space="preserve">Table </w:t>
      </w:r>
      <w:r w:rsidR="00062616">
        <w:t>31</w:t>
      </w:r>
      <w:r w:rsidRPr="00181EF3">
        <w:t xml:space="preserve">: </w:t>
      </w:r>
      <w:r w:rsidR="00062616" w:rsidRPr="00181EF3">
        <w:t xml:space="preserve">Three leading injury mortalities, </w:t>
      </w:r>
      <w:r w:rsidR="00062616">
        <w:t xml:space="preserve">ranked </w:t>
      </w:r>
      <w:r w:rsidR="00062616" w:rsidRPr="00181EF3">
        <w:t xml:space="preserve">by age-standardised rates, </w:t>
      </w:r>
      <w:r w:rsidR="00062616">
        <w:t>65+</w:t>
      </w:r>
      <w:r w:rsidR="009F7B61">
        <w:t> </w:t>
      </w:r>
      <w:r w:rsidR="00062616" w:rsidRPr="00181EF3">
        <w:t>years</w:t>
      </w:r>
      <w:r w:rsidR="00062616">
        <w:t xml:space="preserve">, </w:t>
      </w:r>
      <w:r w:rsidR="00062616" w:rsidRPr="00181EF3">
        <w:t xml:space="preserve">Māori and </w:t>
      </w:r>
      <w:r w:rsidR="00EC03A3">
        <w:t>non</w:t>
      </w:r>
      <w:r w:rsidR="00EC03A3">
        <w:noBreakHyphen/>
        <w:t>M</w:t>
      </w:r>
      <w:r w:rsidR="00062616" w:rsidRPr="00181EF3">
        <w:t>āori</w:t>
      </w:r>
      <w:r w:rsidR="0078298C">
        <w:t xml:space="preserve"> females</w:t>
      </w:r>
      <w:bookmarkEnd w:id="368"/>
    </w:p>
    <w:tbl>
      <w:tblPr>
        <w:tblW w:w="8080" w:type="dxa"/>
        <w:tblInd w:w="57" w:type="dxa"/>
        <w:tblLayout w:type="fixed"/>
        <w:tblCellMar>
          <w:left w:w="57" w:type="dxa"/>
          <w:right w:w="57" w:type="dxa"/>
        </w:tblCellMar>
        <w:tblLook w:val="04A0" w:firstRow="1" w:lastRow="0" w:firstColumn="1" w:lastColumn="0" w:noHBand="0" w:noVBand="1"/>
      </w:tblPr>
      <w:tblGrid>
        <w:gridCol w:w="567"/>
        <w:gridCol w:w="426"/>
        <w:gridCol w:w="416"/>
        <w:gridCol w:w="417"/>
        <w:gridCol w:w="417"/>
        <w:gridCol w:w="417"/>
        <w:gridCol w:w="417"/>
        <w:gridCol w:w="417"/>
        <w:gridCol w:w="417"/>
        <w:gridCol w:w="417"/>
        <w:gridCol w:w="416"/>
        <w:gridCol w:w="417"/>
        <w:gridCol w:w="417"/>
        <w:gridCol w:w="417"/>
        <w:gridCol w:w="417"/>
        <w:gridCol w:w="417"/>
        <w:gridCol w:w="417"/>
        <w:gridCol w:w="417"/>
        <w:gridCol w:w="417"/>
      </w:tblGrid>
      <w:tr w:rsidR="002D68F3" w:rsidRPr="00181EF3" w14:paraId="2E8314CD" w14:textId="77777777" w:rsidTr="00E830F9">
        <w:trPr>
          <w:cantSplit/>
          <w:trHeight w:val="365"/>
        </w:trPr>
        <w:tc>
          <w:tcPr>
            <w:tcW w:w="567" w:type="dxa"/>
            <w:vMerge w:val="restart"/>
            <w:tcBorders>
              <w:left w:val="nil"/>
            </w:tcBorders>
            <w:shd w:val="clear" w:color="auto" w:fill="D9D9D9" w:themeFill="background1" w:themeFillShade="D9"/>
          </w:tcPr>
          <w:p w14:paraId="69CB40FC" w14:textId="77777777" w:rsidR="002D68F3" w:rsidRPr="00181EF3" w:rsidRDefault="002D68F3" w:rsidP="00E830F9">
            <w:pPr>
              <w:pStyle w:val="TableText"/>
              <w:keepNext/>
              <w:spacing w:before="40" w:after="40"/>
              <w:rPr>
                <w:b/>
                <w:sz w:val="16"/>
                <w:szCs w:val="16"/>
              </w:rPr>
            </w:pPr>
          </w:p>
        </w:tc>
        <w:tc>
          <w:tcPr>
            <w:tcW w:w="426" w:type="dxa"/>
            <w:vMerge w:val="restart"/>
            <w:shd w:val="clear" w:color="auto" w:fill="D9D9D9" w:themeFill="background1" w:themeFillShade="D9"/>
            <w:textDirection w:val="btLr"/>
            <w:vAlign w:val="center"/>
          </w:tcPr>
          <w:p w14:paraId="3588EF12" w14:textId="77777777" w:rsidR="002D68F3" w:rsidRPr="00181EF3" w:rsidRDefault="002D68F3" w:rsidP="00E830F9">
            <w:pPr>
              <w:pStyle w:val="TableText"/>
              <w:keepNext/>
              <w:spacing w:before="40" w:after="40"/>
              <w:ind w:left="113"/>
              <w:rPr>
                <w:b/>
                <w:sz w:val="16"/>
                <w:szCs w:val="16"/>
              </w:rPr>
            </w:pPr>
            <w:r w:rsidRPr="00181EF3">
              <w:rPr>
                <w:b/>
                <w:sz w:val="16"/>
                <w:szCs w:val="16"/>
              </w:rPr>
              <w:t>Ranking</w:t>
            </w:r>
          </w:p>
        </w:tc>
        <w:tc>
          <w:tcPr>
            <w:tcW w:w="7087" w:type="dxa"/>
            <w:gridSpan w:val="17"/>
            <w:shd w:val="clear" w:color="auto" w:fill="D9D9D9" w:themeFill="background1" w:themeFillShade="D9"/>
          </w:tcPr>
          <w:p w14:paraId="6148521D" w14:textId="77777777" w:rsidR="002D68F3" w:rsidRPr="00181EF3" w:rsidRDefault="002D68F3" w:rsidP="00E830F9">
            <w:pPr>
              <w:pStyle w:val="TableText"/>
              <w:keepNext/>
              <w:spacing w:before="40" w:after="40"/>
              <w:jc w:val="center"/>
              <w:rPr>
                <w:b/>
                <w:sz w:val="16"/>
                <w:szCs w:val="16"/>
              </w:rPr>
            </w:pPr>
            <w:r w:rsidRPr="00181EF3">
              <w:rPr>
                <w:b/>
                <w:sz w:val="16"/>
                <w:szCs w:val="16"/>
              </w:rPr>
              <w:t>Year</w:t>
            </w:r>
          </w:p>
        </w:tc>
      </w:tr>
      <w:tr w:rsidR="002D68F3" w:rsidRPr="00181EF3" w14:paraId="37867E49" w14:textId="77777777" w:rsidTr="00E830F9">
        <w:trPr>
          <w:cantSplit/>
          <w:trHeight w:val="851"/>
        </w:trPr>
        <w:tc>
          <w:tcPr>
            <w:tcW w:w="567" w:type="dxa"/>
            <w:vMerge/>
            <w:tcBorders>
              <w:left w:val="nil"/>
            </w:tcBorders>
            <w:shd w:val="clear" w:color="auto" w:fill="D9D9D9" w:themeFill="background1" w:themeFillShade="D9"/>
          </w:tcPr>
          <w:p w14:paraId="75C1D662" w14:textId="77777777" w:rsidR="002D68F3" w:rsidRPr="00181EF3" w:rsidRDefault="002D68F3" w:rsidP="00E830F9">
            <w:pPr>
              <w:pStyle w:val="TableText"/>
              <w:spacing w:before="40" w:after="40"/>
              <w:rPr>
                <w:b/>
                <w:sz w:val="16"/>
                <w:szCs w:val="16"/>
              </w:rPr>
            </w:pPr>
          </w:p>
        </w:tc>
        <w:tc>
          <w:tcPr>
            <w:tcW w:w="426" w:type="dxa"/>
            <w:vMerge/>
            <w:shd w:val="clear" w:color="auto" w:fill="D9D9D9" w:themeFill="background1" w:themeFillShade="D9"/>
          </w:tcPr>
          <w:p w14:paraId="284A6C9B" w14:textId="77777777" w:rsidR="002D68F3" w:rsidRPr="00181EF3" w:rsidRDefault="002D68F3" w:rsidP="00E830F9">
            <w:pPr>
              <w:pStyle w:val="TableText"/>
              <w:spacing w:before="40" w:after="40"/>
              <w:jc w:val="center"/>
              <w:rPr>
                <w:b/>
                <w:sz w:val="16"/>
                <w:szCs w:val="16"/>
              </w:rPr>
            </w:pPr>
          </w:p>
        </w:tc>
        <w:tc>
          <w:tcPr>
            <w:tcW w:w="416" w:type="dxa"/>
            <w:shd w:val="clear" w:color="auto" w:fill="D9D9D9" w:themeFill="background1" w:themeFillShade="D9"/>
            <w:textDirection w:val="btLr"/>
            <w:vAlign w:val="center"/>
          </w:tcPr>
          <w:p w14:paraId="4A354BA7" w14:textId="77777777" w:rsidR="002D68F3" w:rsidRPr="00181EF3" w:rsidRDefault="002D68F3" w:rsidP="00E830F9">
            <w:pPr>
              <w:pStyle w:val="TableText"/>
              <w:spacing w:before="0" w:after="0"/>
              <w:ind w:left="113"/>
              <w:rPr>
                <w:b/>
                <w:sz w:val="16"/>
                <w:szCs w:val="16"/>
              </w:rPr>
            </w:pPr>
            <w:r w:rsidRPr="00181EF3">
              <w:rPr>
                <w:b/>
                <w:sz w:val="16"/>
                <w:szCs w:val="16"/>
              </w:rPr>
              <w:t>1996–98</w:t>
            </w:r>
          </w:p>
        </w:tc>
        <w:tc>
          <w:tcPr>
            <w:tcW w:w="417" w:type="dxa"/>
            <w:shd w:val="clear" w:color="auto" w:fill="D9D9D9" w:themeFill="background1" w:themeFillShade="D9"/>
            <w:textDirection w:val="btLr"/>
            <w:vAlign w:val="center"/>
          </w:tcPr>
          <w:p w14:paraId="79A41B3C" w14:textId="77777777" w:rsidR="002D68F3" w:rsidRPr="00181EF3" w:rsidRDefault="002D68F3" w:rsidP="00E830F9">
            <w:pPr>
              <w:pStyle w:val="TableText"/>
              <w:spacing w:before="0" w:after="0"/>
              <w:ind w:left="113"/>
              <w:rPr>
                <w:b/>
                <w:sz w:val="16"/>
                <w:szCs w:val="16"/>
              </w:rPr>
            </w:pPr>
            <w:r w:rsidRPr="00181EF3">
              <w:rPr>
                <w:b/>
                <w:sz w:val="16"/>
                <w:szCs w:val="16"/>
              </w:rPr>
              <w:t>1997–99</w:t>
            </w:r>
          </w:p>
        </w:tc>
        <w:tc>
          <w:tcPr>
            <w:tcW w:w="417" w:type="dxa"/>
            <w:shd w:val="clear" w:color="auto" w:fill="D9D9D9" w:themeFill="background1" w:themeFillShade="D9"/>
            <w:textDirection w:val="btLr"/>
            <w:vAlign w:val="center"/>
          </w:tcPr>
          <w:p w14:paraId="27B5B746" w14:textId="77777777" w:rsidR="002D68F3" w:rsidRPr="00181EF3" w:rsidRDefault="002D68F3" w:rsidP="00E830F9">
            <w:pPr>
              <w:pStyle w:val="TableText"/>
              <w:spacing w:before="0" w:after="0"/>
              <w:ind w:left="113"/>
              <w:rPr>
                <w:b/>
                <w:sz w:val="16"/>
                <w:szCs w:val="16"/>
              </w:rPr>
            </w:pPr>
            <w:r w:rsidRPr="00181EF3">
              <w:rPr>
                <w:b/>
                <w:sz w:val="16"/>
                <w:szCs w:val="16"/>
              </w:rPr>
              <w:t>1998-00</w:t>
            </w:r>
          </w:p>
        </w:tc>
        <w:tc>
          <w:tcPr>
            <w:tcW w:w="417" w:type="dxa"/>
            <w:shd w:val="clear" w:color="auto" w:fill="D9D9D9" w:themeFill="background1" w:themeFillShade="D9"/>
            <w:textDirection w:val="btLr"/>
            <w:vAlign w:val="center"/>
          </w:tcPr>
          <w:p w14:paraId="0144B041" w14:textId="77777777" w:rsidR="002D68F3" w:rsidRPr="00181EF3" w:rsidRDefault="002D68F3" w:rsidP="00E830F9">
            <w:pPr>
              <w:pStyle w:val="TableText"/>
              <w:spacing w:before="0" w:after="0"/>
              <w:ind w:left="113"/>
              <w:rPr>
                <w:b/>
                <w:sz w:val="16"/>
                <w:szCs w:val="16"/>
              </w:rPr>
            </w:pPr>
            <w:r w:rsidRPr="00181EF3">
              <w:rPr>
                <w:b/>
                <w:sz w:val="16"/>
                <w:szCs w:val="16"/>
              </w:rPr>
              <w:t>1999–01</w:t>
            </w:r>
          </w:p>
        </w:tc>
        <w:tc>
          <w:tcPr>
            <w:tcW w:w="417" w:type="dxa"/>
            <w:shd w:val="clear" w:color="auto" w:fill="D9D9D9" w:themeFill="background1" w:themeFillShade="D9"/>
            <w:textDirection w:val="btLr"/>
            <w:vAlign w:val="center"/>
          </w:tcPr>
          <w:p w14:paraId="432A6D74" w14:textId="77777777" w:rsidR="002D68F3" w:rsidRPr="00181EF3" w:rsidRDefault="002D68F3" w:rsidP="00E830F9">
            <w:pPr>
              <w:pStyle w:val="TableText"/>
              <w:spacing w:before="0" w:after="0"/>
              <w:ind w:left="113"/>
              <w:rPr>
                <w:b/>
                <w:sz w:val="16"/>
                <w:szCs w:val="16"/>
              </w:rPr>
            </w:pPr>
            <w:r w:rsidRPr="00181EF3">
              <w:rPr>
                <w:b/>
                <w:sz w:val="16"/>
                <w:szCs w:val="16"/>
              </w:rPr>
              <w:t>2000-02</w:t>
            </w:r>
          </w:p>
        </w:tc>
        <w:tc>
          <w:tcPr>
            <w:tcW w:w="417" w:type="dxa"/>
            <w:shd w:val="clear" w:color="auto" w:fill="D9D9D9" w:themeFill="background1" w:themeFillShade="D9"/>
            <w:textDirection w:val="btLr"/>
            <w:vAlign w:val="center"/>
          </w:tcPr>
          <w:p w14:paraId="4DB5CBB0" w14:textId="77777777" w:rsidR="002D68F3" w:rsidRPr="00181EF3" w:rsidRDefault="002D68F3" w:rsidP="00E830F9">
            <w:pPr>
              <w:pStyle w:val="TableText"/>
              <w:spacing w:before="0" w:after="0"/>
              <w:ind w:left="113"/>
              <w:rPr>
                <w:b/>
                <w:sz w:val="16"/>
                <w:szCs w:val="16"/>
              </w:rPr>
            </w:pPr>
            <w:r w:rsidRPr="00181EF3">
              <w:rPr>
                <w:b/>
                <w:sz w:val="16"/>
                <w:szCs w:val="16"/>
              </w:rPr>
              <w:t>2001–03</w:t>
            </w:r>
          </w:p>
        </w:tc>
        <w:tc>
          <w:tcPr>
            <w:tcW w:w="417" w:type="dxa"/>
            <w:shd w:val="clear" w:color="auto" w:fill="D9D9D9" w:themeFill="background1" w:themeFillShade="D9"/>
            <w:textDirection w:val="btLr"/>
            <w:vAlign w:val="center"/>
          </w:tcPr>
          <w:p w14:paraId="52540E5B" w14:textId="77777777" w:rsidR="002D68F3" w:rsidRPr="00181EF3" w:rsidRDefault="002D68F3" w:rsidP="00E830F9">
            <w:pPr>
              <w:pStyle w:val="TableText"/>
              <w:spacing w:before="0" w:after="0"/>
              <w:ind w:left="113"/>
              <w:rPr>
                <w:b/>
                <w:sz w:val="16"/>
                <w:szCs w:val="16"/>
              </w:rPr>
            </w:pPr>
            <w:r w:rsidRPr="00181EF3">
              <w:rPr>
                <w:b/>
                <w:sz w:val="16"/>
                <w:szCs w:val="16"/>
              </w:rPr>
              <w:t>2002-04</w:t>
            </w:r>
          </w:p>
        </w:tc>
        <w:tc>
          <w:tcPr>
            <w:tcW w:w="417" w:type="dxa"/>
            <w:shd w:val="clear" w:color="auto" w:fill="D9D9D9" w:themeFill="background1" w:themeFillShade="D9"/>
            <w:textDirection w:val="btLr"/>
            <w:vAlign w:val="center"/>
          </w:tcPr>
          <w:p w14:paraId="7DB796B7" w14:textId="77777777" w:rsidR="002D68F3" w:rsidRPr="00181EF3" w:rsidRDefault="002D68F3" w:rsidP="00E830F9">
            <w:pPr>
              <w:pStyle w:val="TableText"/>
              <w:spacing w:before="0" w:after="0"/>
              <w:ind w:left="113"/>
              <w:rPr>
                <w:b/>
                <w:sz w:val="16"/>
                <w:szCs w:val="16"/>
              </w:rPr>
            </w:pPr>
            <w:r w:rsidRPr="00181EF3">
              <w:rPr>
                <w:b/>
                <w:sz w:val="16"/>
                <w:szCs w:val="16"/>
              </w:rPr>
              <w:t>2003-05</w:t>
            </w:r>
          </w:p>
        </w:tc>
        <w:tc>
          <w:tcPr>
            <w:tcW w:w="416" w:type="dxa"/>
            <w:shd w:val="clear" w:color="auto" w:fill="D9D9D9" w:themeFill="background1" w:themeFillShade="D9"/>
            <w:textDirection w:val="btLr"/>
            <w:vAlign w:val="center"/>
          </w:tcPr>
          <w:p w14:paraId="071DECA2" w14:textId="77777777" w:rsidR="002D68F3" w:rsidRPr="00181EF3" w:rsidRDefault="002D68F3" w:rsidP="00E830F9">
            <w:pPr>
              <w:pStyle w:val="TableText"/>
              <w:spacing w:before="0" w:after="0"/>
              <w:ind w:left="113"/>
              <w:rPr>
                <w:b/>
                <w:sz w:val="16"/>
                <w:szCs w:val="16"/>
              </w:rPr>
            </w:pPr>
            <w:r w:rsidRPr="00181EF3">
              <w:rPr>
                <w:b/>
                <w:sz w:val="16"/>
                <w:szCs w:val="16"/>
              </w:rPr>
              <w:t>2004-06</w:t>
            </w:r>
          </w:p>
        </w:tc>
        <w:tc>
          <w:tcPr>
            <w:tcW w:w="417" w:type="dxa"/>
            <w:shd w:val="clear" w:color="auto" w:fill="D9D9D9" w:themeFill="background1" w:themeFillShade="D9"/>
            <w:textDirection w:val="btLr"/>
            <w:vAlign w:val="center"/>
          </w:tcPr>
          <w:p w14:paraId="220BC9F6" w14:textId="77777777" w:rsidR="002D68F3" w:rsidRPr="00181EF3" w:rsidRDefault="002D68F3" w:rsidP="00E830F9">
            <w:pPr>
              <w:pStyle w:val="TableText"/>
              <w:spacing w:before="0" w:after="0"/>
              <w:ind w:left="113"/>
              <w:rPr>
                <w:b/>
                <w:sz w:val="16"/>
                <w:szCs w:val="16"/>
              </w:rPr>
            </w:pPr>
            <w:r w:rsidRPr="00181EF3">
              <w:rPr>
                <w:b/>
                <w:sz w:val="16"/>
                <w:szCs w:val="16"/>
              </w:rPr>
              <w:t>2005–07</w:t>
            </w:r>
          </w:p>
        </w:tc>
        <w:tc>
          <w:tcPr>
            <w:tcW w:w="417" w:type="dxa"/>
            <w:shd w:val="clear" w:color="auto" w:fill="D9D9D9" w:themeFill="background1" w:themeFillShade="D9"/>
            <w:textDirection w:val="btLr"/>
            <w:vAlign w:val="center"/>
          </w:tcPr>
          <w:p w14:paraId="394FA44E" w14:textId="77777777" w:rsidR="002D68F3" w:rsidRPr="00181EF3" w:rsidRDefault="002D68F3" w:rsidP="00E830F9">
            <w:pPr>
              <w:pStyle w:val="TableText"/>
              <w:spacing w:before="0" w:after="0"/>
              <w:ind w:left="113"/>
              <w:rPr>
                <w:b/>
                <w:sz w:val="16"/>
                <w:szCs w:val="16"/>
              </w:rPr>
            </w:pPr>
            <w:r w:rsidRPr="00181EF3">
              <w:rPr>
                <w:b/>
                <w:sz w:val="16"/>
                <w:szCs w:val="16"/>
              </w:rPr>
              <w:t>2006–08</w:t>
            </w:r>
          </w:p>
        </w:tc>
        <w:tc>
          <w:tcPr>
            <w:tcW w:w="417" w:type="dxa"/>
            <w:shd w:val="clear" w:color="auto" w:fill="D9D9D9" w:themeFill="background1" w:themeFillShade="D9"/>
            <w:textDirection w:val="btLr"/>
            <w:vAlign w:val="center"/>
          </w:tcPr>
          <w:p w14:paraId="3F5F182E" w14:textId="77777777" w:rsidR="002D68F3" w:rsidRPr="00181EF3" w:rsidRDefault="002D68F3" w:rsidP="00E830F9">
            <w:pPr>
              <w:pStyle w:val="TableText"/>
              <w:spacing w:before="0" w:after="0"/>
              <w:ind w:left="113"/>
              <w:rPr>
                <w:b/>
                <w:sz w:val="16"/>
                <w:szCs w:val="16"/>
              </w:rPr>
            </w:pPr>
            <w:r w:rsidRPr="00181EF3">
              <w:rPr>
                <w:b/>
                <w:sz w:val="16"/>
                <w:szCs w:val="16"/>
              </w:rPr>
              <w:t>2007–09</w:t>
            </w:r>
          </w:p>
        </w:tc>
        <w:tc>
          <w:tcPr>
            <w:tcW w:w="417" w:type="dxa"/>
            <w:shd w:val="clear" w:color="auto" w:fill="D9D9D9" w:themeFill="background1" w:themeFillShade="D9"/>
            <w:textDirection w:val="btLr"/>
            <w:vAlign w:val="center"/>
          </w:tcPr>
          <w:p w14:paraId="3E2F805E" w14:textId="77777777" w:rsidR="002D68F3" w:rsidRPr="00181EF3" w:rsidRDefault="002D68F3" w:rsidP="00E830F9">
            <w:pPr>
              <w:pStyle w:val="TableText"/>
              <w:spacing w:before="0" w:after="0"/>
              <w:ind w:left="113"/>
              <w:rPr>
                <w:b/>
                <w:sz w:val="16"/>
                <w:szCs w:val="16"/>
              </w:rPr>
            </w:pPr>
            <w:r w:rsidRPr="00181EF3">
              <w:rPr>
                <w:b/>
                <w:sz w:val="16"/>
                <w:szCs w:val="16"/>
              </w:rPr>
              <w:t>2008–10</w:t>
            </w:r>
          </w:p>
        </w:tc>
        <w:tc>
          <w:tcPr>
            <w:tcW w:w="417" w:type="dxa"/>
            <w:shd w:val="clear" w:color="auto" w:fill="D9D9D9" w:themeFill="background1" w:themeFillShade="D9"/>
            <w:textDirection w:val="btLr"/>
            <w:vAlign w:val="center"/>
          </w:tcPr>
          <w:p w14:paraId="3F5C5FF4" w14:textId="77777777" w:rsidR="002D68F3" w:rsidRPr="00181EF3" w:rsidRDefault="002D68F3" w:rsidP="00E830F9">
            <w:pPr>
              <w:pStyle w:val="TableText"/>
              <w:spacing w:before="0" w:after="0"/>
              <w:ind w:left="113"/>
              <w:rPr>
                <w:b/>
                <w:sz w:val="16"/>
                <w:szCs w:val="16"/>
              </w:rPr>
            </w:pPr>
            <w:r w:rsidRPr="00181EF3">
              <w:rPr>
                <w:b/>
                <w:sz w:val="16"/>
                <w:szCs w:val="16"/>
              </w:rPr>
              <w:t>2009–11</w:t>
            </w:r>
          </w:p>
        </w:tc>
        <w:tc>
          <w:tcPr>
            <w:tcW w:w="417" w:type="dxa"/>
            <w:shd w:val="clear" w:color="auto" w:fill="D9D9D9" w:themeFill="background1" w:themeFillShade="D9"/>
            <w:textDirection w:val="btLr"/>
            <w:vAlign w:val="center"/>
          </w:tcPr>
          <w:p w14:paraId="55D9EA42" w14:textId="77777777" w:rsidR="002D68F3" w:rsidRPr="00181EF3" w:rsidRDefault="002D68F3" w:rsidP="00E830F9">
            <w:pPr>
              <w:pStyle w:val="TableText"/>
              <w:spacing w:before="0" w:after="0"/>
              <w:ind w:left="113"/>
              <w:rPr>
                <w:b/>
                <w:sz w:val="16"/>
                <w:szCs w:val="16"/>
              </w:rPr>
            </w:pPr>
            <w:r w:rsidRPr="00181EF3">
              <w:rPr>
                <w:b/>
                <w:sz w:val="16"/>
                <w:szCs w:val="16"/>
              </w:rPr>
              <w:t>2010–12</w:t>
            </w:r>
          </w:p>
        </w:tc>
        <w:tc>
          <w:tcPr>
            <w:tcW w:w="417" w:type="dxa"/>
            <w:shd w:val="clear" w:color="auto" w:fill="D9D9D9" w:themeFill="background1" w:themeFillShade="D9"/>
            <w:textDirection w:val="btLr"/>
            <w:vAlign w:val="center"/>
          </w:tcPr>
          <w:p w14:paraId="23FCBEEB" w14:textId="77777777" w:rsidR="002D68F3" w:rsidRPr="00181EF3" w:rsidRDefault="002D68F3" w:rsidP="00E830F9">
            <w:pPr>
              <w:pStyle w:val="TableText"/>
              <w:spacing w:before="0" w:after="0"/>
              <w:ind w:left="113"/>
              <w:rPr>
                <w:b/>
                <w:sz w:val="16"/>
                <w:szCs w:val="16"/>
              </w:rPr>
            </w:pPr>
            <w:r w:rsidRPr="00181EF3">
              <w:rPr>
                <w:b/>
                <w:sz w:val="16"/>
                <w:szCs w:val="16"/>
              </w:rPr>
              <w:t>2011–13</w:t>
            </w:r>
          </w:p>
        </w:tc>
        <w:tc>
          <w:tcPr>
            <w:tcW w:w="417" w:type="dxa"/>
            <w:shd w:val="clear" w:color="auto" w:fill="D9D9D9" w:themeFill="background1" w:themeFillShade="D9"/>
            <w:textDirection w:val="btLr"/>
            <w:vAlign w:val="center"/>
          </w:tcPr>
          <w:p w14:paraId="32350827" w14:textId="77777777" w:rsidR="002D68F3" w:rsidRPr="00181EF3" w:rsidRDefault="002D68F3" w:rsidP="00E830F9">
            <w:pPr>
              <w:pStyle w:val="TableText"/>
              <w:spacing w:before="0" w:after="0"/>
              <w:ind w:left="113"/>
              <w:rPr>
                <w:b/>
                <w:sz w:val="16"/>
                <w:szCs w:val="16"/>
              </w:rPr>
            </w:pPr>
            <w:r w:rsidRPr="00181EF3">
              <w:rPr>
                <w:b/>
                <w:sz w:val="16"/>
                <w:szCs w:val="16"/>
              </w:rPr>
              <w:t>2012–14</w:t>
            </w:r>
          </w:p>
        </w:tc>
      </w:tr>
      <w:tr w:rsidR="002D68F3" w:rsidRPr="00181EF3" w14:paraId="3334ECB7" w14:textId="77777777" w:rsidTr="00E830F9">
        <w:trPr>
          <w:cantSplit/>
        </w:trPr>
        <w:tc>
          <w:tcPr>
            <w:tcW w:w="567" w:type="dxa"/>
            <w:vMerge w:val="restart"/>
            <w:tcBorders>
              <w:bottom w:val="single" w:sz="4" w:space="0" w:color="A6A6A6" w:themeColor="background1" w:themeShade="A6"/>
            </w:tcBorders>
            <w:shd w:val="clear" w:color="auto" w:fill="auto"/>
          </w:tcPr>
          <w:p w14:paraId="3DA78040" w14:textId="77777777" w:rsidR="002D68F3" w:rsidRPr="00181EF3" w:rsidRDefault="002D68F3" w:rsidP="00E830F9">
            <w:pPr>
              <w:pStyle w:val="TableText"/>
              <w:spacing w:before="40" w:after="40"/>
              <w:rPr>
                <w:sz w:val="16"/>
                <w:szCs w:val="16"/>
              </w:rPr>
            </w:pPr>
            <w:r w:rsidRPr="00181EF3">
              <w:rPr>
                <w:sz w:val="16"/>
                <w:szCs w:val="16"/>
              </w:rPr>
              <w:t>Māori</w:t>
            </w:r>
          </w:p>
        </w:tc>
        <w:tc>
          <w:tcPr>
            <w:tcW w:w="426" w:type="dxa"/>
            <w:tcBorders>
              <w:bottom w:val="single" w:sz="4" w:space="0" w:color="A6A6A6" w:themeColor="background1" w:themeShade="A6"/>
            </w:tcBorders>
            <w:shd w:val="clear" w:color="auto" w:fill="auto"/>
          </w:tcPr>
          <w:p w14:paraId="5DEFE6E6" w14:textId="77777777" w:rsidR="002D68F3" w:rsidRPr="00181EF3" w:rsidRDefault="002D68F3" w:rsidP="00E830F9">
            <w:pPr>
              <w:pStyle w:val="TableText"/>
              <w:spacing w:before="40" w:after="40"/>
              <w:jc w:val="center"/>
              <w:rPr>
                <w:sz w:val="16"/>
                <w:szCs w:val="16"/>
              </w:rPr>
            </w:pPr>
            <w:r w:rsidRPr="00181EF3">
              <w:rPr>
                <w:sz w:val="16"/>
                <w:szCs w:val="16"/>
              </w:rPr>
              <w:t>1</w:t>
            </w:r>
          </w:p>
        </w:tc>
        <w:tc>
          <w:tcPr>
            <w:tcW w:w="416" w:type="dxa"/>
            <w:tcBorders>
              <w:bottom w:val="single" w:sz="4" w:space="0" w:color="A6A6A6" w:themeColor="background1" w:themeShade="A6"/>
            </w:tcBorders>
            <w:shd w:val="clear" w:color="auto" w:fill="auto"/>
          </w:tcPr>
          <w:p w14:paraId="5779E29D"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bottom w:val="single" w:sz="4" w:space="0" w:color="A6A6A6" w:themeColor="background1" w:themeShade="A6"/>
            </w:tcBorders>
            <w:shd w:val="clear" w:color="auto" w:fill="auto"/>
          </w:tcPr>
          <w:p w14:paraId="79F791CD"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bottom w:val="single" w:sz="4" w:space="0" w:color="A6A6A6" w:themeColor="background1" w:themeShade="A6"/>
            </w:tcBorders>
            <w:shd w:val="clear" w:color="auto" w:fill="auto"/>
          </w:tcPr>
          <w:p w14:paraId="29A14D7A"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bottom w:val="single" w:sz="4" w:space="0" w:color="A6A6A6" w:themeColor="background1" w:themeShade="A6"/>
            </w:tcBorders>
            <w:shd w:val="clear" w:color="auto" w:fill="auto"/>
          </w:tcPr>
          <w:p w14:paraId="2C25F94B"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bottom w:val="single" w:sz="4" w:space="0" w:color="A6A6A6" w:themeColor="background1" w:themeShade="A6"/>
            </w:tcBorders>
            <w:shd w:val="clear" w:color="auto" w:fill="auto"/>
          </w:tcPr>
          <w:p w14:paraId="47D98006"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bottom w:val="single" w:sz="4" w:space="0" w:color="A6A6A6" w:themeColor="background1" w:themeShade="A6"/>
            </w:tcBorders>
            <w:shd w:val="clear" w:color="auto" w:fill="auto"/>
          </w:tcPr>
          <w:p w14:paraId="7E112E7B"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bottom w:val="single" w:sz="4" w:space="0" w:color="A6A6A6" w:themeColor="background1" w:themeShade="A6"/>
            </w:tcBorders>
            <w:shd w:val="clear" w:color="auto" w:fill="auto"/>
          </w:tcPr>
          <w:p w14:paraId="74312FBF"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bottom w:val="single" w:sz="4" w:space="0" w:color="A6A6A6" w:themeColor="background1" w:themeShade="A6"/>
            </w:tcBorders>
            <w:shd w:val="clear" w:color="auto" w:fill="auto"/>
          </w:tcPr>
          <w:p w14:paraId="1E01B763" w14:textId="77777777" w:rsidR="002D68F3" w:rsidRPr="00181EF3" w:rsidRDefault="002D68F3" w:rsidP="00E830F9">
            <w:pPr>
              <w:pStyle w:val="TableText"/>
              <w:spacing w:before="40" w:after="40"/>
              <w:jc w:val="center"/>
              <w:rPr>
                <w:sz w:val="16"/>
              </w:rPr>
            </w:pPr>
            <w:r w:rsidRPr="00181EF3">
              <w:rPr>
                <w:sz w:val="16"/>
              </w:rPr>
              <w:t>FA</w:t>
            </w:r>
          </w:p>
        </w:tc>
        <w:tc>
          <w:tcPr>
            <w:tcW w:w="416" w:type="dxa"/>
            <w:tcBorders>
              <w:bottom w:val="single" w:sz="4" w:space="0" w:color="A6A6A6" w:themeColor="background1" w:themeShade="A6"/>
            </w:tcBorders>
            <w:shd w:val="clear" w:color="auto" w:fill="auto"/>
          </w:tcPr>
          <w:p w14:paraId="42E51453"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bottom w:val="single" w:sz="4" w:space="0" w:color="A6A6A6" w:themeColor="background1" w:themeShade="A6"/>
            </w:tcBorders>
            <w:shd w:val="clear" w:color="auto" w:fill="auto"/>
          </w:tcPr>
          <w:p w14:paraId="6949994E"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bottom w:val="single" w:sz="4" w:space="0" w:color="A6A6A6" w:themeColor="background1" w:themeShade="A6"/>
            </w:tcBorders>
            <w:shd w:val="clear" w:color="auto" w:fill="auto"/>
          </w:tcPr>
          <w:p w14:paraId="478B276B"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bottom w:val="single" w:sz="4" w:space="0" w:color="A6A6A6" w:themeColor="background1" w:themeShade="A6"/>
            </w:tcBorders>
            <w:shd w:val="clear" w:color="auto" w:fill="auto"/>
          </w:tcPr>
          <w:p w14:paraId="407404CB"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bottom w:val="single" w:sz="4" w:space="0" w:color="A6A6A6" w:themeColor="background1" w:themeShade="A6"/>
            </w:tcBorders>
            <w:shd w:val="clear" w:color="auto" w:fill="auto"/>
          </w:tcPr>
          <w:p w14:paraId="3DE8C02E"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bottom w:val="single" w:sz="4" w:space="0" w:color="A6A6A6" w:themeColor="background1" w:themeShade="A6"/>
            </w:tcBorders>
            <w:shd w:val="clear" w:color="auto" w:fill="auto"/>
          </w:tcPr>
          <w:p w14:paraId="252175C9"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bottom w:val="single" w:sz="4" w:space="0" w:color="A6A6A6" w:themeColor="background1" w:themeShade="A6"/>
            </w:tcBorders>
            <w:shd w:val="clear" w:color="auto" w:fill="auto"/>
          </w:tcPr>
          <w:p w14:paraId="0FB06807"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bottom w:val="single" w:sz="4" w:space="0" w:color="A6A6A6" w:themeColor="background1" w:themeShade="A6"/>
            </w:tcBorders>
            <w:shd w:val="clear" w:color="auto" w:fill="auto"/>
          </w:tcPr>
          <w:p w14:paraId="7D939D5F"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bottom w:val="single" w:sz="4" w:space="0" w:color="A6A6A6" w:themeColor="background1" w:themeShade="A6"/>
            </w:tcBorders>
            <w:shd w:val="clear" w:color="auto" w:fill="auto"/>
          </w:tcPr>
          <w:p w14:paraId="230934A2" w14:textId="77777777" w:rsidR="002D68F3" w:rsidRPr="00181EF3" w:rsidRDefault="002D68F3" w:rsidP="00E830F9">
            <w:pPr>
              <w:pStyle w:val="TableText"/>
              <w:spacing w:before="40" w:after="40"/>
              <w:jc w:val="center"/>
              <w:rPr>
                <w:sz w:val="16"/>
              </w:rPr>
            </w:pPr>
            <w:r w:rsidRPr="00181EF3">
              <w:rPr>
                <w:sz w:val="16"/>
              </w:rPr>
              <w:t>FA</w:t>
            </w:r>
          </w:p>
        </w:tc>
      </w:tr>
      <w:tr w:rsidR="002D68F3" w:rsidRPr="00181EF3" w14:paraId="27660F2F" w14:textId="77777777" w:rsidTr="00E830F9">
        <w:trPr>
          <w:cantSplit/>
        </w:trPr>
        <w:tc>
          <w:tcPr>
            <w:tcW w:w="567" w:type="dxa"/>
            <w:vMerge/>
            <w:tcBorders>
              <w:top w:val="single" w:sz="4" w:space="0" w:color="A6A6A6" w:themeColor="background1" w:themeShade="A6"/>
              <w:bottom w:val="single" w:sz="4" w:space="0" w:color="A6A6A6" w:themeColor="background1" w:themeShade="A6"/>
            </w:tcBorders>
            <w:shd w:val="clear" w:color="auto" w:fill="auto"/>
          </w:tcPr>
          <w:p w14:paraId="1069F55C" w14:textId="77777777" w:rsidR="002D68F3" w:rsidRPr="00181EF3" w:rsidRDefault="002D68F3" w:rsidP="00E830F9">
            <w:pPr>
              <w:pStyle w:val="TableText"/>
              <w:spacing w:before="40" w:after="40"/>
              <w:rPr>
                <w:sz w:val="16"/>
                <w:szCs w:val="16"/>
              </w:rPr>
            </w:pPr>
          </w:p>
        </w:tc>
        <w:tc>
          <w:tcPr>
            <w:tcW w:w="426" w:type="dxa"/>
            <w:tcBorders>
              <w:top w:val="single" w:sz="4" w:space="0" w:color="A6A6A6" w:themeColor="background1" w:themeShade="A6"/>
              <w:bottom w:val="single" w:sz="4" w:space="0" w:color="A6A6A6" w:themeColor="background1" w:themeShade="A6"/>
            </w:tcBorders>
            <w:shd w:val="clear" w:color="auto" w:fill="auto"/>
          </w:tcPr>
          <w:p w14:paraId="4BF68BD5" w14:textId="77777777" w:rsidR="002D68F3" w:rsidRPr="00181EF3" w:rsidRDefault="002D68F3" w:rsidP="00E830F9">
            <w:pPr>
              <w:pStyle w:val="TableText"/>
              <w:spacing w:before="40" w:after="40"/>
              <w:jc w:val="center"/>
              <w:rPr>
                <w:sz w:val="16"/>
                <w:szCs w:val="16"/>
              </w:rPr>
            </w:pPr>
            <w:r w:rsidRPr="00181EF3">
              <w:rPr>
                <w:sz w:val="16"/>
                <w:szCs w:val="16"/>
              </w:rPr>
              <w:t>2</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4C5F5A2C"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1132421"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65DA6CE"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1D51C1B"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7A412FF"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C799CA5"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07B683D"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95AE790" w14:textId="77777777" w:rsidR="002D68F3" w:rsidRPr="00181EF3" w:rsidRDefault="002D68F3" w:rsidP="00E830F9">
            <w:pPr>
              <w:pStyle w:val="TableText"/>
              <w:spacing w:before="40" w:after="40"/>
              <w:jc w:val="center"/>
              <w:rPr>
                <w:sz w:val="16"/>
              </w:rPr>
            </w:pPr>
            <w:r w:rsidRPr="00181EF3">
              <w:rPr>
                <w:sz w:val="16"/>
              </w:rPr>
              <w:t>MV</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2F7285BC"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781520A"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735342F"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F1FADC9"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D5AF97F"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622522F"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DB78EC5"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5ECF029"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DC63182" w14:textId="77777777" w:rsidR="002D68F3" w:rsidRPr="00181EF3" w:rsidRDefault="002D68F3" w:rsidP="00E830F9">
            <w:pPr>
              <w:pStyle w:val="TableText"/>
              <w:spacing w:before="40" w:after="40"/>
              <w:jc w:val="center"/>
              <w:rPr>
                <w:sz w:val="16"/>
              </w:rPr>
            </w:pPr>
            <w:r w:rsidRPr="00181EF3">
              <w:rPr>
                <w:sz w:val="16"/>
              </w:rPr>
              <w:t>MV</w:t>
            </w:r>
          </w:p>
        </w:tc>
      </w:tr>
      <w:tr w:rsidR="002D68F3" w:rsidRPr="00181EF3" w14:paraId="437BD487" w14:textId="77777777" w:rsidTr="00E830F9">
        <w:trPr>
          <w:cantSplit/>
        </w:trPr>
        <w:tc>
          <w:tcPr>
            <w:tcW w:w="567" w:type="dxa"/>
            <w:vMerge/>
            <w:tcBorders>
              <w:top w:val="single" w:sz="4" w:space="0" w:color="A6A6A6" w:themeColor="background1" w:themeShade="A6"/>
              <w:bottom w:val="single" w:sz="4" w:space="0" w:color="A6A6A6" w:themeColor="background1" w:themeShade="A6"/>
            </w:tcBorders>
            <w:shd w:val="clear" w:color="auto" w:fill="auto"/>
          </w:tcPr>
          <w:p w14:paraId="11615871" w14:textId="77777777" w:rsidR="002D68F3" w:rsidRPr="00181EF3" w:rsidRDefault="002D68F3" w:rsidP="00E830F9">
            <w:pPr>
              <w:pStyle w:val="TableText"/>
              <w:spacing w:before="40" w:after="40"/>
              <w:rPr>
                <w:sz w:val="16"/>
                <w:szCs w:val="16"/>
              </w:rPr>
            </w:pPr>
          </w:p>
        </w:tc>
        <w:tc>
          <w:tcPr>
            <w:tcW w:w="426" w:type="dxa"/>
            <w:tcBorders>
              <w:top w:val="single" w:sz="4" w:space="0" w:color="A6A6A6" w:themeColor="background1" w:themeShade="A6"/>
              <w:bottom w:val="single" w:sz="4" w:space="0" w:color="A6A6A6" w:themeColor="background1" w:themeShade="A6"/>
            </w:tcBorders>
            <w:shd w:val="clear" w:color="auto" w:fill="auto"/>
          </w:tcPr>
          <w:p w14:paraId="5E8A9CC6" w14:textId="77777777" w:rsidR="002D68F3" w:rsidRPr="00181EF3" w:rsidRDefault="002D68F3" w:rsidP="00E830F9">
            <w:pPr>
              <w:pStyle w:val="TableText"/>
              <w:spacing w:before="40" w:after="40"/>
              <w:jc w:val="center"/>
              <w:rPr>
                <w:sz w:val="16"/>
                <w:szCs w:val="16"/>
              </w:rPr>
            </w:pPr>
            <w:r w:rsidRPr="00181EF3">
              <w:rPr>
                <w:sz w:val="16"/>
                <w:szCs w:val="16"/>
              </w:rPr>
              <w:t>3</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06AD3AD7" w14:textId="77777777" w:rsidR="002D68F3" w:rsidRPr="00181EF3" w:rsidRDefault="002D68F3" w:rsidP="00E830F9">
            <w:pPr>
              <w:pStyle w:val="TableText"/>
              <w:spacing w:before="40" w:after="40"/>
              <w:jc w:val="center"/>
              <w:rPr>
                <w:sz w:val="16"/>
              </w:rPr>
            </w:pPr>
            <w:r w:rsidRPr="00181EF3">
              <w:rPr>
                <w:sz w:val="16"/>
              </w:rPr>
              <w:t>TI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EB6F497" w14:textId="77777777" w:rsidR="002D68F3" w:rsidRPr="00181EF3" w:rsidRDefault="002D68F3" w:rsidP="00E830F9">
            <w:pPr>
              <w:pStyle w:val="TableText"/>
              <w:spacing w:before="40" w:after="40"/>
              <w:jc w:val="center"/>
              <w:rPr>
                <w:sz w:val="16"/>
              </w:rPr>
            </w:pPr>
            <w:r w:rsidRPr="00181EF3">
              <w:rPr>
                <w:sz w:val="16"/>
              </w:rPr>
              <w:t>TI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BD21E53" w14:textId="77777777" w:rsidR="002D68F3" w:rsidRPr="00181EF3" w:rsidRDefault="002D68F3" w:rsidP="00E830F9">
            <w:pPr>
              <w:pStyle w:val="TableText"/>
              <w:spacing w:before="40" w:after="40"/>
              <w:jc w:val="center"/>
              <w:rPr>
                <w:sz w:val="16"/>
              </w:rPr>
            </w:pPr>
            <w:r w:rsidRPr="00181EF3">
              <w:rPr>
                <w:sz w:val="16"/>
              </w:rPr>
              <w:t>TI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6E204FC" w14:textId="77777777" w:rsidR="002D68F3" w:rsidRPr="00181EF3" w:rsidRDefault="002D68F3" w:rsidP="00E830F9">
            <w:pPr>
              <w:pStyle w:val="TableText"/>
              <w:spacing w:before="40" w:after="40"/>
              <w:jc w:val="center"/>
              <w:rPr>
                <w:sz w:val="16"/>
              </w:rPr>
            </w:pPr>
            <w:r w:rsidRPr="00181EF3">
              <w:rPr>
                <w:sz w:val="16"/>
              </w:rPr>
              <w:t>-</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7E5FF2D" w14:textId="77777777" w:rsidR="002D68F3" w:rsidRPr="00181EF3" w:rsidRDefault="002D68F3" w:rsidP="00E830F9">
            <w:pPr>
              <w:pStyle w:val="TableText"/>
              <w:spacing w:before="40" w:after="40"/>
              <w:jc w:val="center"/>
              <w:rPr>
                <w:sz w:val="16"/>
              </w:rPr>
            </w:pPr>
            <w:r w:rsidRPr="00181EF3">
              <w:rPr>
                <w:sz w:val="16"/>
              </w:rPr>
              <w:t>DS</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D7B5410" w14:textId="77777777" w:rsidR="002D68F3" w:rsidRPr="00181EF3" w:rsidRDefault="002D68F3" w:rsidP="00E830F9">
            <w:pPr>
              <w:pStyle w:val="TableText"/>
              <w:spacing w:before="40" w:after="40"/>
              <w:jc w:val="center"/>
              <w:rPr>
                <w:sz w:val="16"/>
              </w:rPr>
            </w:pPr>
            <w:r w:rsidRPr="00181EF3">
              <w:rPr>
                <w:sz w:val="16"/>
              </w:rPr>
              <w:t>TI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F54C740" w14:textId="77777777" w:rsidR="002D68F3" w:rsidRPr="00181EF3" w:rsidRDefault="002D68F3" w:rsidP="00E830F9">
            <w:pPr>
              <w:pStyle w:val="TableText"/>
              <w:spacing w:before="40" w:after="40"/>
              <w:jc w:val="center"/>
              <w:rPr>
                <w:sz w:val="16"/>
              </w:rPr>
            </w:pPr>
            <w:r w:rsidRPr="00181EF3">
              <w:rPr>
                <w:sz w:val="16"/>
              </w:rPr>
              <w:t>TI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26CA922" w14:textId="77777777" w:rsidR="002D68F3" w:rsidRPr="00181EF3" w:rsidRDefault="002D68F3" w:rsidP="00E830F9">
            <w:pPr>
              <w:pStyle w:val="TableText"/>
              <w:spacing w:before="40" w:after="40"/>
              <w:jc w:val="center"/>
              <w:rPr>
                <w:sz w:val="16"/>
              </w:rPr>
            </w:pPr>
            <w:r w:rsidRPr="00181EF3">
              <w:rPr>
                <w:sz w:val="16"/>
              </w:rPr>
              <w:t>TI</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5DA150BF" w14:textId="77777777" w:rsidR="002D68F3" w:rsidRPr="00181EF3" w:rsidRDefault="002D68F3" w:rsidP="00E830F9">
            <w:pPr>
              <w:pStyle w:val="TableText"/>
              <w:spacing w:before="40" w:after="40"/>
              <w:jc w:val="center"/>
              <w:rPr>
                <w:sz w:val="16"/>
              </w:rPr>
            </w:pPr>
            <w:r w:rsidRPr="00181EF3">
              <w:rPr>
                <w:sz w:val="16"/>
              </w:rPr>
              <w:t>TI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0A38F99" w14:textId="77777777" w:rsidR="002D68F3" w:rsidRPr="00181EF3" w:rsidRDefault="002D68F3" w:rsidP="00E830F9">
            <w:pPr>
              <w:pStyle w:val="TableText"/>
              <w:spacing w:before="40" w:after="40"/>
              <w:jc w:val="center"/>
              <w:rPr>
                <w:sz w:val="16"/>
              </w:rPr>
            </w:pPr>
            <w:r w:rsidRPr="00181EF3">
              <w:rPr>
                <w:sz w:val="16"/>
              </w:rPr>
              <w:t>TI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DC89CBF" w14:textId="77777777" w:rsidR="002D68F3" w:rsidRPr="00181EF3" w:rsidRDefault="002D68F3" w:rsidP="00E830F9">
            <w:pPr>
              <w:pStyle w:val="TableText"/>
              <w:spacing w:before="40" w:after="40"/>
              <w:jc w:val="center"/>
              <w:rPr>
                <w:sz w:val="16"/>
              </w:rPr>
            </w:pPr>
            <w:r w:rsidRPr="00181EF3">
              <w:rPr>
                <w:sz w:val="16"/>
              </w:rPr>
              <w:t>–</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432461F" w14:textId="77777777" w:rsidR="002D68F3" w:rsidRPr="00181EF3" w:rsidRDefault="002D68F3" w:rsidP="00E830F9">
            <w:pPr>
              <w:pStyle w:val="TableText"/>
              <w:spacing w:before="40" w:after="40"/>
              <w:jc w:val="center"/>
              <w:rPr>
                <w:sz w:val="16"/>
              </w:rPr>
            </w:pPr>
            <w:r w:rsidRPr="00181EF3">
              <w:rPr>
                <w:sz w:val="16"/>
              </w:rPr>
              <w:t>–</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7B8DB1E" w14:textId="77777777" w:rsidR="002D68F3" w:rsidRPr="00181EF3" w:rsidRDefault="002D68F3" w:rsidP="00E830F9">
            <w:pPr>
              <w:pStyle w:val="TableText"/>
              <w:spacing w:before="40" w:after="40"/>
              <w:jc w:val="center"/>
              <w:rPr>
                <w:sz w:val="16"/>
              </w:rPr>
            </w:pPr>
            <w:r w:rsidRPr="00181EF3">
              <w:rPr>
                <w:sz w:val="16"/>
              </w:rPr>
              <w:t>–</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9BAEF27" w14:textId="77777777" w:rsidR="002D68F3" w:rsidRPr="00181EF3" w:rsidRDefault="002D68F3" w:rsidP="00E830F9">
            <w:pPr>
              <w:pStyle w:val="TableText"/>
              <w:spacing w:before="40" w:after="40"/>
              <w:jc w:val="center"/>
              <w:rPr>
                <w:sz w:val="16"/>
              </w:rPr>
            </w:pPr>
            <w:r w:rsidRPr="00181EF3">
              <w:rPr>
                <w:sz w:val="16"/>
              </w:rPr>
              <w:t>PO</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375A287" w14:textId="77777777" w:rsidR="002D68F3" w:rsidRPr="00181EF3" w:rsidRDefault="002D68F3" w:rsidP="00E830F9">
            <w:pPr>
              <w:pStyle w:val="TableText"/>
              <w:spacing w:before="40" w:after="40"/>
              <w:jc w:val="center"/>
              <w:rPr>
                <w:sz w:val="16"/>
              </w:rPr>
            </w:pPr>
            <w:r w:rsidRPr="00181EF3">
              <w:rPr>
                <w:sz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2E8FC72" w14:textId="77777777" w:rsidR="002D68F3" w:rsidRPr="00181EF3" w:rsidRDefault="002D68F3" w:rsidP="00E830F9">
            <w:pPr>
              <w:pStyle w:val="TableText"/>
              <w:spacing w:before="40" w:after="40"/>
              <w:jc w:val="center"/>
              <w:rPr>
                <w:sz w:val="16"/>
              </w:rPr>
            </w:pPr>
            <w:r w:rsidRPr="00181EF3">
              <w:rPr>
                <w:sz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F296E5E" w14:textId="77777777" w:rsidR="002D68F3" w:rsidRPr="00181EF3" w:rsidRDefault="002D68F3" w:rsidP="00E830F9">
            <w:pPr>
              <w:pStyle w:val="TableText"/>
              <w:spacing w:before="40" w:after="40"/>
              <w:jc w:val="center"/>
              <w:rPr>
                <w:sz w:val="16"/>
              </w:rPr>
            </w:pPr>
            <w:r w:rsidRPr="00181EF3">
              <w:rPr>
                <w:sz w:val="16"/>
              </w:rPr>
              <w:t>SF</w:t>
            </w:r>
          </w:p>
        </w:tc>
      </w:tr>
      <w:tr w:rsidR="002D68F3" w:rsidRPr="00181EF3" w14:paraId="3D35817E" w14:textId="77777777" w:rsidTr="00E830F9">
        <w:trPr>
          <w:cantSplit/>
        </w:trPr>
        <w:tc>
          <w:tcPr>
            <w:tcW w:w="567" w:type="dxa"/>
            <w:vMerge w:val="restart"/>
            <w:tcBorders>
              <w:top w:val="single" w:sz="4" w:space="0" w:color="A6A6A6" w:themeColor="background1" w:themeShade="A6"/>
              <w:bottom w:val="single" w:sz="4" w:space="0" w:color="A6A6A6" w:themeColor="background1" w:themeShade="A6"/>
            </w:tcBorders>
            <w:shd w:val="clear" w:color="auto" w:fill="auto"/>
          </w:tcPr>
          <w:p w14:paraId="00952AB8" w14:textId="1636FDFE" w:rsidR="002D68F3" w:rsidRPr="00181EF3" w:rsidRDefault="00EC03A3" w:rsidP="00E830F9">
            <w:pPr>
              <w:pStyle w:val="TableText"/>
              <w:spacing w:before="40" w:after="40"/>
              <w:rPr>
                <w:sz w:val="16"/>
                <w:szCs w:val="16"/>
              </w:rPr>
            </w:pPr>
            <w:r>
              <w:rPr>
                <w:sz w:val="16"/>
                <w:szCs w:val="16"/>
              </w:rPr>
              <w:t>Non</w:t>
            </w:r>
            <w:r>
              <w:rPr>
                <w:sz w:val="16"/>
                <w:szCs w:val="16"/>
              </w:rPr>
              <w:noBreakHyphen/>
              <w:t>M</w:t>
            </w:r>
            <w:r w:rsidR="002D68F3" w:rsidRPr="00181EF3">
              <w:rPr>
                <w:sz w:val="16"/>
                <w:szCs w:val="16"/>
              </w:rPr>
              <w:t>āori</w:t>
            </w:r>
          </w:p>
        </w:tc>
        <w:tc>
          <w:tcPr>
            <w:tcW w:w="426" w:type="dxa"/>
            <w:tcBorders>
              <w:top w:val="single" w:sz="4" w:space="0" w:color="A6A6A6" w:themeColor="background1" w:themeShade="A6"/>
              <w:bottom w:val="single" w:sz="4" w:space="0" w:color="A6A6A6" w:themeColor="background1" w:themeShade="A6"/>
            </w:tcBorders>
            <w:shd w:val="clear" w:color="auto" w:fill="auto"/>
          </w:tcPr>
          <w:p w14:paraId="759488FE" w14:textId="77777777" w:rsidR="002D68F3" w:rsidRPr="00181EF3" w:rsidRDefault="002D68F3" w:rsidP="00E830F9">
            <w:pPr>
              <w:pStyle w:val="TableText"/>
              <w:spacing w:before="40" w:after="40"/>
              <w:jc w:val="center"/>
              <w:rPr>
                <w:sz w:val="16"/>
                <w:szCs w:val="16"/>
              </w:rPr>
            </w:pPr>
            <w:r w:rsidRPr="00181EF3">
              <w:rPr>
                <w:sz w:val="16"/>
                <w:szCs w:val="16"/>
              </w:rPr>
              <w:t>1</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5E58624C"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FBFE3E2"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F9652FA"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4FA4704"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0834A94"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7D0FFB5"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7EEAAD5"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A1C6C51" w14:textId="77777777" w:rsidR="002D68F3" w:rsidRPr="00181EF3" w:rsidRDefault="002D68F3" w:rsidP="00E830F9">
            <w:pPr>
              <w:pStyle w:val="TableText"/>
              <w:spacing w:before="40" w:after="40"/>
              <w:jc w:val="center"/>
              <w:rPr>
                <w:sz w:val="16"/>
              </w:rPr>
            </w:pPr>
            <w:r w:rsidRPr="00181EF3">
              <w:rPr>
                <w:sz w:val="16"/>
              </w:rPr>
              <w:t>FA</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5F744F71"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C189119"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58326E7"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37835F3"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5BA7070"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C784543"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D060D9B"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C44CD4C" w14:textId="77777777" w:rsidR="002D68F3" w:rsidRPr="00181EF3" w:rsidRDefault="002D68F3" w:rsidP="00E830F9">
            <w:pPr>
              <w:pStyle w:val="TableText"/>
              <w:spacing w:before="40" w:after="40"/>
              <w:jc w:val="center"/>
              <w:rPr>
                <w:sz w:val="16"/>
              </w:rPr>
            </w:pPr>
            <w:r w:rsidRPr="00181EF3">
              <w:rPr>
                <w:sz w:val="16"/>
              </w:rPr>
              <w:t>FA</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5684BC38" w14:textId="77777777" w:rsidR="002D68F3" w:rsidRPr="00181EF3" w:rsidRDefault="002D68F3" w:rsidP="00E830F9">
            <w:pPr>
              <w:pStyle w:val="TableText"/>
              <w:spacing w:before="40" w:after="40"/>
              <w:jc w:val="center"/>
              <w:rPr>
                <w:sz w:val="16"/>
              </w:rPr>
            </w:pPr>
            <w:r w:rsidRPr="00181EF3">
              <w:rPr>
                <w:sz w:val="16"/>
              </w:rPr>
              <w:t>FA</w:t>
            </w:r>
          </w:p>
        </w:tc>
      </w:tr>
      <w:tr w:rsidR="002D68F3" w:rsidRPr="00181EF3" w14:paraId="1EF9B2E8" w14:textId="77777777" w:rsidTr="00E830F9">
        <w:trPr>
          <w:cantSplit/>
        </w:trPr>
        <w:tc>
          <w:tcPr>
            <w:tcW w:w="567" w:type="dxa"/>
            <w:vMerge/>
            <w:tcBorders>
              <w:top w:val="single" w:sz="4" w:space="0" w:color="A6A6A6" w:themeColor="background1" w:themeShade="A6"/>
              <w:bottom w:val="single" w:sz="4" w:space="0" w:color="A6A6A6" w:themeColor="background1" w:themeShade="A6"/>
            </w:tcBorders>
            <w:shd w:val="clear" w:color="auto" w:fill="auto"/>
          </w:tcPr>
          <w:p w14:paraId="48B58DBF" w14:textId="77777777" w:rsidR="002D68F3" w:rsidRPr="00181EF3" w:rsidRDefault="002D68F3" w:rsidP="00E830F9">
            <w:pPr>
              <w:pStyle w:val="TableText"/>
              <w:spacing w:before="40" w:after="40"/>
              <w:rPr>
                <w:sz w:val="16"/>
                <w:szCs w:val="16"/>
              </w:rPr>
            </w:pPr>
          </w:p>
        </w:tc>
        <w:tc>
          <w:tcPr>
            <w:tcW w:w="426" w:type="dxa"/>
            <w:tcBorders>
              <w:top w:val="single" w:sz="4" w:space="0" w:color="A6A6A6" w:themeColor="background1" w:themeShade="A6"/>
              <w:bottom w:val="single" w:sz="4" w:space="0" w:color="A6A6A6" w:themeColor="background1" w:themeShade="A6"/>
            </w:tcBorders>
            <w:shd w:val="clear" w:color="auto" w:fill="auto"/>
          </w:tcPr>
          <w:p w14:paraId="780BC375" w14:textId="77777777" w:rsidR="002D68F3" w:rsidRPr="00181EF3" w:rsidRDefault="002D68F3" w:rsidP="00E830F9">
            <w:pPr>
              <w:pStyle w:val="TableText"/>
              <w:spacing w:before="40" w:after="40"/>
              <w:jc w:val="center"/>
              <w:rPr>
                <w:sz w:val="16"/>
                <w:szCs w:val="16"/>
              </w:rPr>
            </w:pPr>
            <w:r w:rsidRPr="00181EF3">
              <w:rPr>
                <w:sz w:val="16"/>
                <w:szCs w:val="16"/>
              </w:rPr>
              <w:t>2</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76564EFF"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8217143"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6031571"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F5A84CB"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EA51312"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DD983A3"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C9BE5D9"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3CD834E" w14:textId="77777777" w:rsidR="002D68F3" w:rsidRPr="00181EF3" w:rsidRDefault="002D68F3" w:rsidP="00E830F9">
            <w:pPr>
              <w:pStyle w:val="TableText"/>
              <w:spacing w:before="40" w:after="40"/>
              <w:jc w:val="center"/>
              <w:rPr>
                <w:sz w:val="16"/>
              </w:rPr>
            </w:pPr>
            <w:r w:rsidRPr="00181EF3">
              <w:rPr>
                <w:sz w:val="16"/>
              </w:rPr>
              <w:t>MV</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2E33407F"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F3E1708"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C069861"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74106820"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47777E1"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63ECE13"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27498DB"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E18B6E5" w14:textId="77777777" w:rsidR="002D68F3" w:rsidRPr="00181EF3" w:rsidRDefault="002D68F3" w:rsidP="00E830F9">
            <w:pPr>
              <w:pStyle w:val="TableText"/>
              <w:spacing w:before="40" w:after="40"/>
              <w:jc w:val="center"/>
              <w:rPr>
                <w:sz w:val="16"/>
              </w:rPr>
            </w:pPr>
            <w:r w:rsidRPr="00181EF3">
              <w:rPr>
                <w:sz w:val="16"/>
              </w:rPr>
              <w:t>MV</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52D1E8C" w14:textId="77777777" w:rsidR="002D68F3" w:rsidRPr="00181EF3" w:rsidRDefault="002D68F3" w:rsidP="00E830F9">
            <w:pPr>
              <w:pStyle w:val="TableText"/>
              <w:spacing w:before="40" w:after="40"/>
              <w:jc w:val="center"/>
              <w:rPr>
                <w:sz w:val="16"/>
              </w:rPr>
            </w:pPr>
            <w:r w:rsidRPr="00181EF3">
              <w:rPr>
                <w:sz w:val="16"/>
              </w:rPr>
              <w:t>MV</w:t>
            </w:r>
          </w:p>
        </w:tc>
      </w:tr>
      <w:tr w:rsidR="002D68F3" w:rsidRPr="00181EF3" w14:paraId="48B0F9B5" w14:textId="77777777" w:rsidTr="00E830F9">
        <w:trPr>
          <w:cantSplit/>
        </w:trPr>
        <w:tc>
          <w:tcPr>
            <w:tcW w:w="567" w:type="dxa"/>
            <w:vMerge/>
            <w:tcBorders>
              <w:top w:val="single" w:sz="4" w:space="0" w:color="A6A6A6" w:themeColor="background1" w:themeShade="A6"/>
              <w:bottom w:val="single" w:sz="4" w:space="0" w:color="A6A6A6" w:themeColor="background1" w:themeShade="A6"/>
            </w:tcBorders>
            <w:shd w:val="clear" w:color="auto" w:fill="auto"/>
          </w:tcPr>
          <w:p w14:paraId="6C514426" w14:textId="77777777" w:rsidR="002D68F3" w:rsidRPr="00181EF3" w:rsidRDefault="002D68F3" w:rsidP="00E830F9">
            <w:pPr>
              <w:pStyle w:val="TableText"/>
              <w:spacing w:before="40" w:after="40"/>
              <w:rPr>
                <w:sz w:val="16"/>
                <w:szCs w:val="16"/>
              </w:rPr>
            </w:pPr>
          </w:p>
        </w:tc>
        <w:tc>
          <w:tcPr>
            <w:tcW w:w="426" w:type="dxa"/>
            <w:tcBorders>
              <w:top w:val="single" w:sz="4" w:space="0" w:color="A6A6A6" w:themeColor="background1" w:themeShade="A6"/>
              <w:bottom w:val="single" w:sz="4" w:space="0" w:color="A6A6A6" w:themeColor="background1" w:themeShade="A6"/>
            </w:tcBorders>
            <w:shd w:val="clear" w:color="auto" w:fill="auto"/>
          </w:tcPr>
          <w:p w14:paraId="04B045CB" w14:textId="77777777" w:rsidR="002D68F3" w:rsidRPr="00181EF3" w:rsidRDefault="002D68F3" w:rsidP="00E830F9">
            <w:pPr>
              <w:pStyle w:val="TableText"/>
              <w:spacing w:before="40" w:after="40"/>
              <w:jc w:val="center"/>
              <w:rPr>
                <w:sz w:val="16"/>
                <w:szCs w:val="16"/>
              </w:rPr>
            </w:pPr>
            <w:r w:rsidRPr="00181EF3">
              <w:rPr>
                <w:sz w:val="16"/>
                <w:szCs w:val="16"/>
              </w:rPr>
              <w:t>3</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79722415" w14:textId="77777777" w:rsidR="002D68F3" w:rsidRPr="00181EF3" w:rsidRDefault="002D68F3" w:rsidP="00E830F9">
            <w:pPr>
              <w:pStyle w:val="TableText"/>
              <w:spacing w:before="40" w:after="40"/>
              <w:jc w:val="center"/>
              <w:rPr>
                <w:sz w:val="16"/>
              </w:rPr>
            </w:pPr>
            <w:r w:rsidRPr="00181EF3">
              <w:rPr>
                <w:sz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2ADF2155" w14:textId="77777777" w:rsidR="002D68F3" w:rsidRPr="00181EF3" w:rsidRDefault="002D68F3" w:rsidP="00E830F9">
            <w:pPr>
              <w:pStyle w:val="TableText"/>
              <w:spacing w:before="40" w:after="40"/>
              <w:jc w:val="center"/>
              <w:rPr>
                <w:sz w:val="16"/>
              </w:rPr>
            </w:pPr>
            <w:r w:rsidRPr="00181EF3">
              <w:rPr>
                <w:sz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D0E7C57" w14:textId="77777777" w:rsidR="002D68F3" w:rsidRPr="00181EF3" w:rsidRDefault="002D68F3" w:rsidP="00E830F9">
            <w:pPr>
              <w:pStyle w:val="TableText"/>
              <w:spacing w:before="40" w:after="40"/>
              <w:jc w:val="center"/>
              <w:rPr>
                <w:sz w:val="16"/>
              </w:rPr>
            </w:pPr>
            <w:r w:rsidRPr="00181EF3">
              <w:rPr>
                <w:sz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FC4F3DE" w14:textId="77777777" w:rsidR="002D68F3" w:rsidRPr="00181EF3" w:rsidRDefault="002D68F3" w:rsidP="00E830F9">
            <w:pPr>
              <w:pStyle w:val="TableText"/>
              <w:spacing w:before="40" w:after="40"/>
              <w:jc w:val="center"/>
              <w:rPr>
                <w:sz w:val="16"/>
              </w:rPr>
            </w:pPr>
            <w:r w:rsidRPr="00181EF3">
              <w:rPr>
                <w:sz w:val="16"/>
              </w:rPr>
              <w:t>TI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1CC5276" w14:textId="77777777" w:rsidR="002D68F3" w:rsidRPr="00181EF3" w:rsidRDefault="002D68F3" w:rsidP="00E830F9">
            <w:pPr>
              <w:pStyle w:val="TableText"/>
              <w:spacing w:before="40" w:after="40"/>
              <w:jc w:val="center"/>
              <w:rPr>
                <w:sz w:val="16"/>
              </w:rPr>
            </w:pPr>
            <w:r w:rsidRPr="00181EF3">
              <w:rPr>
                <w:sz w:val="16"/>
              </w:rPr>
              <w:t>TI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6841EEF" w14:textId="77777777" w:rsidR="002D68F3" w:rsidRPr="00181EF3" w:rsidRDefault="002D68F3" w:rsidP="00E830F9">
            <w:pPr>
              <w:pStyle w:val="TableText"/>
              <w:spacing w:before="40" w:after="40"/>
              <w:jc w:val="center"/>
              <w:rPr>
                <w:sz w:val="16"/>
              </w:rPr>
            </w:pPr>
            <w:r w:rsidRPr="00181EF3">
              <w:rPr>
                <w:sz w:val="16"/>
              </w:rPr>
              <w:t>TI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5A374CA" w14:textId="77777777" w:rsidR="002D68F3" w:rsidRPr="00181EF3" w:rsidRDefault="002D68F3" w:rsidP="00E830F9">
            <w:pPr>
              <w:pStyle w:val="TableText"/>
              <w:spacing w:before="40" w:after="40"/>
              <w:jc w:val="center"/>
              <w:rPr>
                <w:sz w:val="16"/>
              </w:rPr>
            </w:pPr>
            <w:r w:rsidRPr="00181EF3">
              <w:rPr>
                <w:sz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AC4628B" w14:textId="77777777" w:rsidR="002D68F3" w:rsidRPr="00181EF3" w:rsidRDefault="002D68F3" w:rsidP="00E830F9">
            <w:pPr>
              <w:pStyle w:val="TableText"/>
              <w:spacing w:before="40" w:after="40"/>
              <w:jc w:val="center"/>
              <w:rPr>
                <w:sz w:val="16"/>
              </w:rPr>
            </w:pPr>
            <w:r w:rsidRPr="00181EF3">
              <w:rPr>
                <w:sz w:val="16"/>
              </w:rPr>
              <w:t>SF</w:t>
            </w:r>
          </w:p>
        </w:tc>
        <w:tc>
          <w:tcPr>
            <w:tcW w:w="416" w:type="dxa"/>
            <w:tcBorders>
              <w:top w:val="single" w:sz="4" w:space="0" w:color="A6A6A6" w:themeColor="background1" w:themeShade="A6"/>
              <w:bottom w:val="single" w:sz="4" w:space="0" w:color="A6A6A6" w:themeColor="background1" w:themeShade="A6"/>
            </w:tcBorders>
            <w:shd w:val="clear" w:color="auto" w:fill="auto"/>
          </w:tcPr>
          <w:p w14:paraId="6B053D51" w14:textId="77777777" w:rsidR="002D68F3" w:rsidRPr="00181EF3" w:rsidRDefault="002D68F3" w:rsidP="00E830F9">
            <w:pPr>
              <w:pStyle w:val="TableText"/>
              <w:spacing w:before="40" w:after="40"/>
              <w:jc w:val="center"/>
              <w:rPr>
                <w:sz w:val="16"/>
              </w:rPr>
            </w:pPr>
            <w:r w:rsidRPr="00181EF3">
              <w:rPr>
                <w:sz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30E4FED" w14:textId="77777777" w:rsidR="002D68F3" w:rsidRPr="00181EF3" w:rsidRDefault="002D68F3" w:rsidP="00E830F9">
            <w:pPr>
              <w:pStyle w:val="TableText"/>
              <w:spacing w:before="40" w:after="40"/>
              <w:jc w:val="center"/>
              <w:rPr>
                <w:sz w:val="16"/>
              </w:rPr>
            </w:pPr>
            <w:r w:rsidRPr="00181EF3">
              <w:rPr>
                <w:sz w:val="16"/>
              </w:rPr>
              <w:t>TI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171D088C" w14:textId="77777777" w:rsidR="002D68F3" w:rsidRPr="00181EF3" w:rsidRDefault="002D68F3" w:rsidP="00E830F9">
            <w:pPr>
              <w:pStyle w:val="TableText"/>
              <w:spacing w:before="40" w:after="40"/>
              <w:jc w:val="center"/>
              <w:rPr>
                <w:sz w:val="16"/>
              </w:rPr>
            </w:pPr>
            <w:r w:rsidRPr="00181EF3">
              <w:rPr>
                <w:sz w:val="16"/>
              </w:rPr>
              <w:t>TI</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FDDA758" w14:textId="77777777" w:rsidR="002D68F3" w:rsidRPr="00181EF3" w:rsidRDefault="002D68F3" w:rsidP="00E830F9">
            <w:pPr>
              <w:pStyle w:val="TableText"/>
              <w:spacing w:before="40" w:after="40"/>
              <w:jc w:val="center"/>
              <w:rPr>
                <w:sz w:val="16"/>
              </w:rPr>
            </w:pPr>
            <w:r w:rsidRPr="00181EF3">
              <w:rPr>
                <w:sz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0569B590" w14:textId="77777777" w:rsidR="002D68F3" w:rsidRPr="00181EF3" w:rsidRDefault="002D68F3" w:rsidP="00E830F9">
            <w:pPr>
              <w:pStyle w:val="TableText"/>
              <w:spacing w:before="40" w:after="40"/>
              <w:jc w:val="center"/>
              <w:rPr>
                <w:sz w:val="16"/>
              </w:rPr>
            </w:pPr>
            <w:r w:rsidRPr="00181EF3">
              <w:rPr>
                <w:sz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4366F994" w14:textId="77777777" w:rsidR="002D68F3" w:rsidRPr="00181EF3" w:rsidRDefault="002D68F3" w:rsidP="00E830F9">
            <w:pPr>
              <w:pStyle w:val="TableText"/>
              <w:spacing w:before="40" w:after="40"/>
              <w:jc w:val="center"/>
              <w:rPr>
                <w:sz w:val="16"/>
              </w:rPr>
            </w:pPr>
            <w:r w:rsidRPr="00181EF3">
              <w:rPr>
                <w:sz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081794E" w14:textId="77777777" w:rsidR="002D68F3" w:rsidRPr="00181EF3" w:rsidRDefault="002D68F3" w:rsidP="00E830F9">
            <w:pPr>
              <w:pStyle w:val="TableText"/>
              <w:spacing w:before="40" w:after="40"/>
              <w:jc w:val="center"/>
              <w:rPr>
                <w:sz w:val="16"/>
              </w:rPr>
            </w:pPr>
            <w:r w:rsidRPr="00181EF3">
              <w:rPr>
                <w:sz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62179DAB" w14:textId="77777777" w:rsidR="002D68F3" w:rsidRPr="00181EF3" w:rsidRDefault="002D68F3" w:rsidP="00E830F9">
            <w:pPr>
              <w:pStyle w:val="TableText"/>
              <w:spacing w:before="40" w:after="40"/>
              <w:jc w:val="center"/>
              <w:rPr>
                <w:sz w:val="16"/>
              </w:rPr>
            </w:pPr>
            <w:r w:rsidRPr="00181EF3">
              <w:rPr>
                <w:sz w:val="16"/>
              </w:rPr>
              <w:t>SF</w:t>
            </w:r>
          </w:p>
        </w:tc>
        <w:tc>
          <w:tcPr>
            <w:tcW w:w="417" w:type="dxa"/>
            <w:tcBorders>
              <w:top w:val="single" w:sz="4" w:space="0" w:color="A6A6A6" w:themeColor="background1" w:themeShade="A6"/>
              <w:bottom w:val="single" w:sz="4" w:space="0" w:color="A6A6A6" w:themeColor="background1" w:themeShade="A6"/>
            </w:tcBorders>
            <w:shd w:val="clear" w:color="auto" w:fill="auto"/>
          </w:tcPr>
          <w:p w14:paraId="3F089E62" w14:textId="77777777" w:rsidR="002D68F3" w:rsidRPr="00181EF3" w:rsidRDefault="002D68F3" w:rsidP="00E830F9">
            <w:pPr>
              <w:pStyle w:val="TableText"/>
              <w:spacing w:before="40" w:after="40"/>
              <w:jc w:val="center"/>
              <w:rPr>
                <w:sz w:val="16"/>
              </w:rPr>
            </w:pPr>
            <w:r w:rsidRPr="00181EF3">
              <w:rPr>
                <w:sz w:val="16"/>
              </w:rPr>
              <w:t>SF</w:t>
            </w:r>
          </w:p>
        </w:tc>
      </w:tr>
    </w:tbl>
    <w:p w14:paraId="48686201" w14:textId="77777777" w:rsidR="00062616" w:rsidRDefault="00062616" w:rsidP="00062616">
      <w:pPr>
        <w:pStyle w:val="Note"/>
      </w:pPr>
      <w:r w:rsidRPr="00181EF3">
        <w:t>Note</w:t>
      </w:r>
      <w:r>
        <w:t>s</w:t>
      </w:r>
      <w:r w:rsidRPr="00181EF3">
        <w:t>:</w:t>
      </w:r>
    </w:p>
    <w:p w14:paraId="0206855F" w14:textId="7292A48E" w:rsidR="008A5642" w:rsidRDefault="00446D86" w:rsidP="00062616">
      <w:pPr>
        <w:pStyle w:val="Note"/>
      </w:pPr>
      <w:r>
        <w:t>Figures are age-standardised to the 2001 Census total Māori population</w:t>
      </w:r>
      <w:r w:rsidR="00062616" w:rsidRPr="00181EF3">
        <w:t>.</w:t>
      </w:r>
    </w:p>
    <w:p w14:paraId="66AC1C96" w14:textId="535BC0F6" w:rsidR="00062616" w:rsidRPr="00181EF3" w:rsidRDefault="00062616" w:rsidP="00062616">
      <w:pPr>
        <w:pStyle w:val="Note"/>
      </w:pPr>
      <w:r>
        <w:t>Prioritised ethnicity has been used.</w:t>
      </w:r>
    </w:p>
    <w:p w14:paraId="73D18280" w14:textId="77777777" w:rsidR="00062616" w:rsidRPr="00181EF3" w:rsidRDefault="00062616" w:rsidP="00062616">
      <w:pPr>
        <w:pStyle w:val="Source"/>
        <w:rPr>
          <w:rFonts w:eastAsia="Calibri"/>
        </w:rPr>
      </w:pPr>
      <w:r w:rsidRPr="00181EF3">
        <w:rPr>
          <w:rFonts w:eastAsia="Calibri"/>
        </w:rPr>
        <w:t>Source: Mortality Collection Data Set (MORT), Ministry of Health</w:t>
      </w:r>
      <w:r>
        <w:rPr>
          <w:rFonts w:eastAsia="Calibri"/>
        </w:rPr>
        <w:t xml:space="preserve">, </w:t>
      </w:r>
      <w:r w:rsidRPr="00181EF3">
        <w:t>1996–98 to 2012–14</w:t>
      </w:r>
      <w:r w:rsidRPr="00181EF3">
        <w:rPr>
          <w:rFonts w:eastAsia="Calibri"/>
        </w:rPr>
        <w:t>.</w:t>
      </w:r>
    </w:p>
    <w:p w14:paraId="47886ACD" w14:textId="77777777" w:rsidR="002D68F3" w:rsidRPr="00181EF3" w:rsidRDefault="002D68F3" w:rsidP="002D68F3"/>
    <w:p w14:paraId="57760F84" w14:textId="1B27A53D" w:rsidR="002D68F3" w:rsidRPr="00181EF3" w:rsidRDefault="002D68F3" w:rsidP="002D68F3">
      <w:r w:rsidRPr="00181EF3">
        <w:t xml:space="preserve">Table </w:t>
      </w:r>
      <w:r w:rsidR="00062616">
        <w:t>31</w:t>
      </w:r>
      <w:r w:rsidRPr="00181EF3">
        <w:t xml:space="preserve"> shows the three leading unintentional injury mortality categories for Māori and </w:t>
      </w:r>
      <w:r w:rsidR="00EC03A3">
        <w:t>non</w:t>
      </w:r>
      <w:r w:rsidR="00EC03A3">
        <w:noBreakHyphen/>
        <w:t>M</w:t>
      </w:r>
      <w:r w:rsidRPr="00181EF3">
        <w:t>āori females aged 65+ years and above ranked by age-standardised rates.</w:t>
      </w:r>
    </w:p>
    <w:p w14:paraId="673E1B02" w14:textId="77777777" w:rsidR="002D68F3" w:rsidRPr="00181EF3" w:rsidRDefault="002D68F3" w:rsidP="002D68F3"/>
    <w:p w14:paraId="549F16AF" w14:textId="77777777" w:rsidR="002D68F3" w:rsidRPr="00181EF3" w:rsidRDefault="002D68F3" w:rsidP="002D68F3">
      <w:r w:rsidRPr="00181EF3">
        <w:t>The missing values in 1999–01 and from 2006–08 to 2008–10 are due to low age-standardised rates (deaths per 100,000) for Māori females aged 65 years and above.</w:t>
      </w:r>
    </w:p>
    <w:p w14:paraId="7636142F" w14:textId="77777777" w:rsidR="002D68F3" w:rsidRPr="00181EF3" w:rsidRDefault="002D68F3" w:rsidP="002D68F3"/>
    <w:p w14:paraId="13B13C66" w14:textId="68844476" w:rsidR="002D68F3" w:rsidRPr="00181EF3" w:rsidRDefault="002D68F3" w:rsidP="002D68F3">
      <w:r w:rsidRPr="00181EF3">
        <w:t xml:space="preserve">Falls was the leading category for Māori and </w:t>
      </w:r>
      <w:r w:rsidR="00EC03A3">
        <w:t>non</w:t>
      </w:r>
      <w:r w:rsidR="00EC03A3">
        <w:noBreakHyphen/>
        <w:t>M</w:t>
      </w:r>
      <w:r w:rsidRPr="00181EF3">
        <w:t xml:space="preserve">āori females aged 65 and above between 1996–98 and 2012–14. Motor </w:t>
      </w:r>
      <w:r>
        <w:t>v</w:t>
      </w:r>
      <w:r w:rsidRPr="00181EF3">
        <w:t xml:space="preserve">ehicle </w:t>
      </w:r>
      <w:r>
        <w:t>a</w:t>
      </w:r>
      <w:r w:rsidRPr="00181EF3">
        <w:t xml:space="preserve">ccidents was the second leading category for Māori and </w:t>
      </w:r>
      <w:r w:rsidR="00EC03A3">
        <w:t>non</w:t>
      </w:r>
      <w:r w:rsidR="00EC03A3">
        <w:noBreakHyphen/>
        <w:t>M</w:t>
      </w:r>
      <w:r w:rsidRPr="00181EF3">
        <w:t>āori females aged 65 years and above over this period.</w:t>
      </w:r>
    </w:p>
    <w:p w14:paraId="1166C922" w14:textId="77777777" w:rsidR="004A7F24" w:rsidRPr="00D2650B" w:rsidRDefault="004A7F24" w:rsidP="00530269">
      <w:pPr>
        <w:rPr>
          <w:highlight w:val="yellow"/>
        </w:rPr>
      </w:pPr>
    </w:p>
    <w:p w14:paraId="193FB6C8" w14:textId="77777777" w:rsidR="00EC479F" w:rsidRDefault="001166D2" w:rsidP="00530269">
      <w:pPr>
        <w:pStyle w:val="Heading1"/>
      </w:pPr>
      <w:bookmarkStart w:id="369" w:name="_Toc19102433"/>
      <w:r>
        <w:lastRenderedPageBreak/>
        <w:t>Health service use</w:t>
      </w:r>
      <w:bookmarkEnd w:id="369"/>
    </w:p>
    <w:p w14:paraId="3C53E7E1" w14:textId="77777777" w:rsidR="001166D2" w:rsidRDefault="00EC479F" w:rsidP="00EC479F">
      <w:pPr>
        <w:pStyle w:val="Heading2"/>
      </w:pPr>
      <w:bookmarkStart w:id="370" w:name="_Toc14718615"/>
      <w:bookmarkStart w:id="371" w:name="_Toc19102434"/>
      <w:r w:rsidRPr="00D61697">
        <w:rPr>
          <w:noProof/>
          <w:lang w:eastAsia="en-NZ"/>
        </w:rPr>
        <w:t>Primary health care access</w:t>
      </w:r>
      <w:bookmarkEnd w:id="370"/>
      <w:bookmarkEnd w:id="371"/>
    </w:p>
    <w:p w14:paraId="167173D4" w14:textId="6FD8B949" w:rsidR="008A5642" w:rsidRDefault="001166D2" w:rsidP="001166D2">
      <w:r w:rsidRPr="00D61697">
        <w:t xml:space="preserve">Primary health care providers are most people’s first point of contact with the health system: they include general practice teams, after-hours clinics and some community health services. This </w:t>
      </w:r>
      <w:r w:rsidR="00EC479F">
        <w:t>section presents</w:t>
      </w:r>
      <w:r w:rsidRPr="00D61697">
        <w:t xml:space="preserve"> a few findings on access to primary health care for Māori and </w:t>
      </w:r>
      <w:r w:rsidR="00EC03A3">
        <w:t>non</w:t>
      </w:r>
      <w:r w:rsidR="00EC03A3">
        <w:noBreakHyphen/>
        <w:t>M</w:t>
      </w:r>
      <w:r w:rsidRPr="00D61697">
        <w:t xml:space="preserve">āori adults aged 15+ </w:t>
      </w:r>
      <w:r>
        <w:t xml:space="preserve">years </w:t>
      </w:r>
      <w:r w:rsidRPr="00D61697">
        <w:t>and for children aged 0–14</w:t>
      </w:r>
      <w:r>
        <w:t xml:space="preserve"> years</w:t>
      </w:r>
      <w:r w:rsidRPr="00D61697">
        <w:t>.</w:t>
      </w:r>
    </w:p>
    <w:p w14:paraId="59F5BF09" w14:textId="77777777" w:rsidR="009F7B61" w:rsidRDefault="009F7B61" w:rsidP="001166D2"/>
    <w:p w14:paraId="0C69922A" w14:textId="4F37457C" w:rsidR="001166D2" w:rsidRPr="00D61697" w:rsidRDefault="001166D2" w:rsidP="00EC479F">
      <w:pPr>
        <w:pStyle w:val="Heading3"/>
      </w:pPr>
      <w:bookmarkStart w:id="372" w:name="_Toc19102435"/>
      <w:r w:rsidRPr="00D61697">
        <w:t>What is the data telling us?</w:t>
      </w:r>
      <w:bookmarkEnd w:id="372"/>
    </w:p>
    <w:p w14:paraId="49191EE9" w14:textId="77777777" w:rsidR="001166D2" w:rsidRPr="00D61697" w:rsidRDefault="001166D2" w:rsidP="001166D2">
      <w:pPr>
        <w:pStyle w:val="Shadedboxtext"/>
      </w:pPr>
      <w:r w:rsidRPr="00D61697">
        <w:t>Overall the data shows that Māori adults were:</w:t>
      </w:r>
    </w:p>
    <w:p w14:paraId="63C3BFB0" w14:textId="56A3D9B3" w:rsidR="001166D2" w:rsidRPr="00D61697" w:rsidRDefault="001166D2" w:rsidP="001166D2">
      <w:pPr>
        <w:pStyle w:val="Shadedboxbullet"/>
        <w:ind w:left="568" w:hanging="284"/>
      </w:pPr>
      <w:r w:rsidRPr="00D61697">
        <w:t xml:space="preserve">more likely than </w:t>
      </w:r>
      <w:r w:rsidR="00EC03A3">
        <w:t>non</w:t>
      </w:r>
      <w:r w:rsidR="00EC03A3">
        <w:noBreakHyphen/>
        <w:t>M</w:t>
      </w:r>
      <w:r w:rsidRPr="00D61697">
        <w:t>āori to have a usual medical centre</w:t>
      </w:r>
    </w:p>
    <w:p w14:paraId="679DA41E" w14:textId="4044DB78" w:rsidR="001166D2" w:rsidRPr="00D61697" w:rsidRDefault="001166D2" w:rsidP="001166D2">
      <w:pPr>
        <w:pStyle w:val="Shadedboxbullet"/>
        <w:ind w:left="568" w:hanging="284"/>
      </w:pPr>
      <w:r w:rsidRPr="00D61697">
        <w:t xml:space="preserve">less likely than </w:t>
      </w:r>
      <w:r w:rsidR="00EC03A3">
        <w:t>non</w:t>
      </w:r>
      <w:r w:rsidR="00EC03A3">
        <w:noBreakHyphen/>
        <w:t>M</w:t>
      </w:r>
      <w:r w:rsidRPr="00D61697">
        <w:t>āori to see a GP or to visit after-hours</w:t>
      </w:r>
    </w:p>
    <w:p w14:paraId="25AE034B" w14:textId="3846782A" w:rsidR="001166D2" w:rsidRPr="00D61697" w:rsidRDefault="001166D2" w:rsidP="001166D2">
      <w:pPr>
        <w:pStyle w:val="Shadedboxbullet"/>
        <w:ind w:left="568" w:hanging="284"/>
      </w:pPr>
      <w:r w:rsidRPr="00D61697">
        <w:t xml:space="preserve">more likely than </w:t>
      </w:r>
      <w:r w:rsidR="00EC03A3">
        <w:t>non</w:t>
      </w:r>
      <w:r w:rsidR="00EC03A3">
        <w:noBreakHyphen/>
        <w:t>M</w:t>
      </w:r>
      <w:r w:rsidRPr="00D61697">
        <w:t>āori to see a practice nurse without seeing a GP</w:t>
      </w:r>
    </w:p>
    <w:p w14:paraId="1FC11968" w14:textId="0313C06D" w:rsidR="001166D2" w:rsidRPr="00D61697" w:rsidRDefault="001166D2" w:rsidP="001166D2">
      <w:pPr>
        <w:pStyle w:val="Shadedboxbullet"/>
        <w:ind w:left="568" w:hanging="284"/>
      </w:pPr>
      <w:r w:rsidRPr="00D61697">
        <w:t xml:space="preserve">more likely than </w:t>
      </w:r>
      <w:r w:rsidR="00EC03A3">
        <w:t>non</w:t>
      </w:r>
      <w:r w:rsidR="00EC03A3">
        <w:noBreakHyphen/>
        <w:t>M</w:t>
      </w:r>
      <w:r w:rsidRPr="00D61697">
        <w:t>āori to have unmet need</w:t>
      </w:r>
      <w:r>
        <w:t>s</w:t>
      </w:r>
      <w:r w:rsidRPr="00D61697">
        <w:t xml:space="preserve"> and unfilled prescriptions</w:t>
      </w:r>
    </w:p>
    <w:p w14:paraId="4DF8775C" w14:textId="77777777" w:rsidR="001166D2" w:rsidRPr="00D61697" w:rsidRDefault="001166D2" w:rsidP="001166D2">
      <w:pPr>
        <w:pStyle w:val="Shadedboxbullet"/>
        <w:ind w:left="568" w:hanging="284"/>
      </w:pPr>
      <w:r w:rsidRPr="00D61697">
        <w:t xml:space="preserve">Māori males were less likely than Māori females to visit primary </w:t>
      </w:r>
      <w:r>
        <w:t xml:space="preserve">health </w:t>
      </w:r>
      <w:r w:rsidRPr="00D61697">
        <w:t>care services and less likely to report unmet need or unfilled prescriptions.</w:t>
      </w:r>
    </w:p>
    <w:p w14:paraId="5007D053" w14:textId="77777777" w:rsidR="001166D2" w:rsidRPr="00D61697" w:rsidRDefault="001166D2" w:rsidP="001166D2">
      <w:pPr>
        <w:pStyle w:val="Shadedboxtext"/>
        <w:spacing w:before="120"/>
      </w:pPr>
      <w:r w:rsidRPr="00D61697">
        <w:t>These patterns have not changed much over the last 10 years.</w:t>
      </w:r>
    </w:p>
    <w:p w14:paraId="56CFDA11" w14:textId="77777777" w:rsidR="001166D2" w:rsidRPr="00D61697" w:rsidRDefault="001166D2" w:rsidP="009F7B61">
      <w:pPr>
        <w:pStyle w:val="Shadedboxtext"/>
        <w:spacing w:before="240"/>
      </w:pPr>
      <w:r w:rsidRPr="00D61697">
        <w:t>Māori children were:</w:t>
      </w:r>
    </w:p>
    <w:p w14:paraId="7EED96D0" w14:textId="03D1DF77" w:rsidR="001166D2" w:rsidRPr="00D61697" w:rsidRDefault="001166D2" w:rsidP="001166D2">
      <w:pPr>
        <w:pStyle w:val="Shadedboxbullet"/>
        <w:ind w:left="568" w:hanging="284"/>
      </w:pPr>
      <w:r w:rsidRPr="00D61697">
        <w:t xml:space="preserve">as likely as </w:t>
      </w:r>
      <w:r w:rsidR="00EC03A3">
        <w:t>non</w:t>
      </w:r>
      <w:r w:rsidR="00EC03A3">
        <w:noBreakHyphen/>
        <w:t>M</w:t>
      </w:r>
      <w:r w:rsidRPr="00D61697">
        <w:t xml:space="preserve">āori </w:t>
      </w:r>
      <w:r>
        <w:t xml:space="preserve">children </w:t>
      </w:r>
      <w:r w:rsidRPr="00D61697">
        <w:t>to have a usual medical centre</w:t>
      </w:r>
    </w:p>
    <w:p w14:paraId="7BBFA531" w14:textId="4DCF47F6" w:rsidR="001166D2" w:rsidRPr="00D61697" w:rsidRDefault="001166D2" w:rsidP="001166D2">
      <w:pPr>
        <w:pStyle w:val="Shadedboxbullet"/>
        <w:ind w:left="568" w:hanging="284"/>
      </w:pPr>
      <w:r w:rsidRPr="00D61697">
        <w:t xml:space="preserve">as likely as </w:t>
      </w:r>
      <w:r w:rsidR="00EC03A3">
        <w:t>non</w:t>
      </w:r>
      <w:r w:rsidR="00EC03A3">
        <w:noBreakHyphen/>
        <w:t>M</w:t>
      </w:r>
      <w:r w:rsidRPr="00D61697">
        <w:t xml:space="preserve">āori </w:t>
      </w:r>
      <w:r>
        <w:t xml:space="preserve">children </w:t>
      </w:r>
      <w:r w:rsidRPr="00D61697">
        <w:t>to see a GP</w:t>
      </w:r>
    </w:p>
    <w:p w14:paraId="02313DEB" w14:textId="7891593B" w:rsidR="001166D2" w:rsidRPr="00D61697" w:rsidRDefault="001166D2" w:rsidP="001166D2">
      <w:pPr>
        <w:pStyle w:val="Shadedboxbullet"/>
        <w:ind w:left="568" w:hanging="284"/>
      </w:pPr>
      <w:r w:rsidRPr="00D61697">
        <w:t xml:space="preserve">less likely than </w:t>
      </w:r>
      <w:r w:rsidR="00EC03A3">
        <w:t>non</w:t>
      </w:r>
      <w:r w:rsidR="00EC03A3">
        <w:noBreakHyphen/>
        <w:t>M</w:t>
      </w:r>
      <w:r w:rsidRPr="00D61697">
        <w:t xml:space="preserve">āori </w:t>
      </w:r>
      <w:r>
        <w:t xml:space="preserve">children </w:t>
      </w:r>
      <w:r w:rsidRPr="00D61697">
        <w:t>to have visited after hours</w:t>
      </w:r>
    </w:p>
    <w:p w14:paraId="36211040" w14:textId="0C06A6AD" w:rsidR="001166D2" w:rsidRPr="00D61697" w:rsidRDefault="001166D2" w:rsidP="001166D2">
      <w:pPr>
        <w:pStyle w:val="Shadedboxbullet"/>
        <w:ind w:left="568" w:hanging="284"/>
      </w:pPr>
      <w:r w:rsidRPr="00D61697">
        <w:t xml:space="preserve">more likely than </w:t>
      </w:r>
      <w:r w:rsidR="00EC03A3">
        <w:t>non</w:t>
      </w:r>
      <w:r w:rsidR="00EC03A3">
        <w:noBreakHyphen/>
        <w:t>M</w:t>
      </w:r>
      <w:r w:rsidRPr="00D61697">
        <w:t xml:space="preserve">āori </w:t>
      </w:r>
      <w:r>
        <w:t xml:space="preserve">children </w:t>
      </w:r>
      <w:r w:rsidRPr="00D61697">
        <w:t>to have unmet need</w:t>
      </w:r>
      <w:r>
        <w:t>s</w:t>
      </w:r>
      <w:r w:rsidRPr="00D61697">
        <w:t xml:space="preserve"> and unfilled prescriptions.</w:t>
      </w:r>
    </w:p>
    <w:p w14:paraId="2D7943B7" w14:textId="77777777" w:rsidR="001166D2" w:rsidRPr="00D61697" w:rsidRDefault="001166D2" w:rsidP="001166D2">
      <w:pPr>
        <w:pStyle w:val="Shadedboxtext"/>
        <w:spacing w:before="120"/>
      </w:pPr>
      <w:r w:rsidRPr="00D61697">
        <w:t>Patterns have fluctuated over time.</w:t>
      </w:r>
    </w:p>
    <w:p w14:paraId="20279382" w14:textId="77777777" w:rsidR="001166D2" w:rsidRPr="00D61697" w:rsidRDefault="001166D2" w:rsidP="001166D2"/>
    <w:p w14:paraId="29529568" w14:textId="77777777" w:rsidR="001166D2" w:rsidRPr="00D61697" w:rsidRDefault="001166D2" w:rsidP="009F7B61">
      <w:pPr>
        <w:pStyle w:val="Heading3"/>
        <w:pageBreakBefore/>
        <w:spacing w:before="0"/>
      </w:pPr>
      <w:bookmarkStart w:id="373" w:name="_Toc19102436"/>
      <w:r w:rsidRPr="00D61697">
        <w:lastRenderedPageBreak/>
        <w:t>Accessing primary health care</w:t>
      </w:r>
      <w:bookmarkEnd w:id="373"/>
    </w:p>
    <w:p w14:paraId="603A6C94" w14:textId="0EB03ABD" w:rsidR="00EC479F" w:rsidRPr="00181EF3" w:rsidRDefault="00EC479F" w:rsidP="00EC479F">
      <w:pPr>
        <w:pStyle w:val="Figure"/>
      </w:pPr>
      <w:bookmarkStart w:id="374" w:name="_Toc19101974"/>
      <w:r w:rsidRPr="00D61697">
        <w:rPr>
          <w:rFonts w:eastAsia="Calibri"/>
        </w:rPr>
        <w:t xml:space="preserve">Figure </w:t>
      </w:r>
      <w:r>
        <w:rPr>
          <w:rFonts w:eastAsia="Calibri"/>
        </w:rPr>
        <w:t>12</w:t>
      </w:r>
      <w:r w:rsidR="00572A9A">
        <w:rPr>
          <w:rFonts w:eastAsia="Calibri"/>
        </w:rPr>
        <w:t>3</w:t>
      </w:r>
      <w:r w:rsidRPr="00D61697">
        <w:rPr>
          <w:rFonts w:eastAsia="Calibri"/>
        </w:rPr>
        <w:t>: Has GP clinic or medical centre that usually goes to when unwell or injured</w:t>
      </w:r>
      <w:r>
        <w:rPr>
          <w:rFonts w:eastAsia="Calibri"/>
        </w:rPr>
        <w:t xml:space="preserve">, </w:t>
      </w:r>
      <w:r>
        <w:t>15+ years</w:t>
      </w:r>
      <w:r w:rsidRPr="00181EF3">
        <w:t xml:space="preserve">, </w:t>
      </w:r>
      <w:r>
        <w:t xml:space="preserve">Māori and </w:t>
      </w:r>
      <w:r w:rsidR="00EC03A3">
        <w:t>non</w:t>
      </w:r>
      <w:r w:rsidR="00EC03A3">
        <w:noBreakHyphen/>
        <w:t>M</w:t>
      </w:r>
      <w:r>
        <w:t>āori</w:t>
      </w:r>
      <w:r w:rsidRPr="00181EF3">
        <w:t>,</w:t>
      </w:r>
      <w:r>
        <w:t xml:space="preserve"> </w:t>
      </w:r>
      <w:r w:rsidRPr="00181EF3">
        <w:t>2006/07–2016/17</w:t>
      </w:r>
      <w:bookmarkEnd w:id="374"/>
    </w:p>
    <w:p w14:paraId="3C6453A4" w14:textId="77777777" w:rsidR="00EC479F" w:rsidRPr="00D61697" w:rsidRDefault="00EC479F" w:rsidP="00EC479F">
      <w:pPr>
        <w:rPr>
          <w:rFonts w:eastAsia="Calibri"/>
        </w:rPr>
      </w:pPr>
      <w:r w:rsidRPr="00D61697">
        <w:rPr>
          <w:noProof/>
          <w:lang w:eastAsia="en-NZ"/>
        </w:rPr>
        <w:drawing>
          <wp:inline distT="0" distB="0" distL="0" distR="0" wp14:anchorId="6D7DF0B6" wp14:editId="1263F251">
            <wp:extent cx="5130165" cy="3058916"/>
            <wp:effectExtent l="0" t="0" r="0" b="8255"/>
            <wp:docPr id="327" name="Picture 327" descr="A higher percentage of Māori had a dedicated GP or medical centre than non-Māori. The rates for both groups has fluctuated over time." title="Figure 123: Has GP clinic or medical centre that usually goes to when unwell or injured (age-standardised percentages (%), 2006/07–2016/17) –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5130165" cy="3058916"/>
                    </a:xfrm>
                    <a:prstGeom prst="rect">
                      <a:avLst/>
                    </a:prstGeom>
                  </pic:spPr>
                </pic:pic>
              </a:graphicData>
            </a:graphic>
          </wp:inline>
        </w:drawing>
      </w:r>
    </w:p>
    <w:p w14:paraId="42E36D01" w14:textId="77777777" w:rsidR="008A5642" w:rsidRDefault="00EC479F" w:rsidP="00B6364B">
      <w:pPr>
        <w:pStyle w:val="Note"/>
        <w:ind w:left="0" w:firstLine="0"/>
        <w:rPr>
          <w:rFonts w:eastAsia="Calibri"/>
        </w:rPr>
      </w:pPr>
      <w:r w:rsidRPr="00892068">
        <w:rPr>
          <w:rFonts w:eastAsia="Calibri"/>
        </w:rPr>
        <w:t>Notes:</w:t>
      </w:r>
    </w:p>
    <w:p w14:paraId="1CAEC7DE" w14:textId="213A47E3" w:rsidR="008A5642" w:rsidRDefault="00446D86" w:rsidP="00B6364B">
      <w:pPr>
        <w:pStyle w:val="Note"/>
        <w:ind w:left="0" w:firstLine="0"/>
        <w:rPr>
          <w:rFonts w:eastAsia="Calibri"/>
        </w:rPr>
      </w:pPr>
      <w:r>
        <w:rPr>
          <w:rFonts w:eastAsia="Calibri"/>
        </w:rPr>
        <w:t>Figures are age-standardised to the 2001 Census total Māori population</w:t>
      </w:r>
      <w:r w:rsidR="00EC479F" w:rsidRPr="00892068">
        <w:rPr>
          <w:rFonts w:eastAsia="Calibri"/>
        </w:rPr>
        <w:t>.</w:t>
      </w:r>
    </w:p>
    <w:p w14:paraId="177FB119" w14:textId="29D99ED3" w:rsidR="00EC479F" w:rsidRPr="00892068" w:rsidRDefault="00EC479F" w:rsidP="00B6364B">
      <w:pPr>
        <w:pStyle w:val="Note"/>
        <w:ind w:left="0" w:firstLine="0"/>
        <w:rPr>
          <w:rFonts w:eastAsia="Calibri"/>
        </w:rPr>
      </w:pPr>
      <w:r w:rsidRPr="00892068">
        <w:rPr>
          <w:rFonts w:eastAsia="Calibri"/>
        </w:rPr>
        <w:t>Prioritised ethnicity has been used.</w:t>
      </w:r>
    </w:p>
    <w:p w14:paraId="545558D3" w14:textId="77777777" w:rsidR="008A5642" w:rsidRDefault="00EC479F" w:rsidP="00B6364B">
      <w:pPr>
        <w:pStyle w:val="Note"/>
        <w:ind w:left="0" w:firstLine="0"/>
        <w:rPr>
          <w:rFonts w:eastAsia="Calibri"/>
        </w:rPr>
      </w:pPr>
      <w:r w:rsidRPr="00892068">
        <w:rPr>
          <w:rFonts w:eastAsia="Calibri"/>
        </w:rPr>
        <w:t>If the confidence intervals of two rates do not overlap, the difference in rates is said to be statistically significant.</w:t>
      </w:r>
    </w:p>
    <w:p w14:paraId="29F3973E" w14:textId="78364080" w:rsidR="00EC479F" w:rsidRDefault="00EC479F" w:rsidP="00B6364B">
      <w:pPr>
        <w:pStyle w:val="Note"/>
        <w:ind w:left="0" w:firstLine="0"/>
      </w:pPr>
      <w:r w:rsidRPr="00892068">
        <w:rPr>
          <w:rFonts w:eastAsia="Calibri"/>
        </w:rPr>
        <w:t xml:space="preserve">Source: </w:t>
      </w:r>
      <w:r w:rsidR="009116B8">
        <w:rPr>
          <w:rFonts w:eastAsia="Calibri"/>
        </w:rPr>
        <w:t>New Zealand Health Survey (NZHS), Ministry of Health, 2006/07–2016/17.</w:t>
      </w:r>
    </w:p>
    <w:p w14:paraId="00FDED89" w14:textId="77777777" w:rsidR="00EC479F" w:rsidRDefault="00EC479F" w:rsidP="009F7B61">
      <w:pPr>
        <w:rPr>
          <w:rFonts w:eastAsia="Calibri"/>
        </w:rPr>
      </w:pPr>
    </w:p>
    <w:p w14:paraId="288E433D" w14:textId="133D4BDC" w:rsidR="001166D2" w:rsidRPr="00D61697" w:rsidRDefault="00EC479F" w:rsidP="009F7B61">
      <w:pPr>
        <w:rPr>
          <w:rFonts w:eastAsia="Calibri"/>
        </w:rPr>
      </w:pPr>
      <w:r>
        <w:rPr>
          <w:rFonts w:eastAsia="Calibri"/>
        </w:rPr>
        <w:t>Figure 12</w:t>
      </w:r>
      <w:r w:rsidR="003B4A96">
        <w:rPr>
          <w:rFonts w:eastAsia="Calibri"/>
        </w:rPr>
        <w:t>3</w:t>
      </w:r>
      <w:r>
        <w:rPr>
          <w:rFonts w:eastAsia="Calibri"/>
        </w:rPr>
        <w:t xml:space="preserve"> shows that m</w:t>
      </w:r>
      <w:r w:rsidR="001166D2" w:rsidRPr="00D61697">
        <w:rPr>
          <w:rFonts w:eastAsia="Calibri"/>
        </w:rPr>
        <w:t>ost Māori adults (just over 90</w:t>
      </w:r>
      <w:r w:rsidR="009F7B61">
        <w:rPr>
          <w:rFonts w:eastAsia="Calibri"/>
        </w:rPr>
        <w:t> percent</w:t>
      </w:r>
      <w:r w:rsidR="001166D2" w:rsidRPr="00D61697">
        <w:rPr>
          <w:rFonts w:eastAsia="Calibri"/>
        </w:rPr>
        <w:t>) have a usual GP clinic</w:t>
      </w:r>
      <w:r w:rsidR="009F7B61">
        <w:rPr>
          <w:rFonts w:eastAsia="Calibri"/>
        </w:rPr>
        <w:t xml:space="preserve"> </w:t>
      </w:r>
      <w:r w:rsidR="001166D2" w:rsidRPr="00D61697">
        <w:rPr>
          <w:rFonts w:eastAsia="Calibri"/>
        </w:rPr>
        <w:t>/</w:t>
      </w:r>
      <w:r w:rsidR="009F7B61">
        <w:rPr>
          <w:rFonts w:eastAsia="Calibri"/>
        </w:rPr>
        <w:t xml:space="preserve"> </w:t>
      </w:r>
      <w:r w:rsidR="001166D2" w:rsidRPr="00D61697">
        <w:rPr>
          <w:rFonts w:eastAsia="Calibri"/>
        </w:rPr>
        <w:t>medical centre. Around three</w:t>
      </w:r>
      <w:r w:rsidR="009F7B61">
        <w:rPr>
          <w:rFonts w:eastAsia="Calibri"/>
        </w:rPr>
        <w:t>-</w:t>
      </w:r>
      <w:r w:rsidR="001166D2" w:rsidRPr="00D61697">
        <w:rPr>
          <w:rFonts w:eastAsia="Calibri"/>
        </w:rPr>
        <w:t>quarters had visited a GP in the past 12 months, and one in four had seen a practice nurse without seeing a GP. One in 10 had visited an after-hours medical centre.</w:t>
      </w:r>
    </w:p>
    <w:p w14:paraId="74B643EA" w14:textId="77777777" w:rsidR="001166D2" w:rsidRPr="00D61697" w:rsidRDefault="001166D2" w:rsidP="001166D2">
      <w:pPr>
        <w:rPr>
          <w:rFonts w:eastAsia="Calibri"/>
        </w:rPr>
      </w:pPr>
    </w:p>
    <w:p w14:paraId="0F585BAA" w14:textId="77777777" w:rsidR="001166D2" w:rsidRPr="00D61697" w:rsidRDefault="001166D2" w:rsidP="001166D2">
      <w:pPr>
        <w:rPr>
          <w:rFonts w:eastAsia="Calibri"/>
        </w:rPr>
      </w:pPr>
      <w:r w:rsidRPr="00D61697">
        <w:rPr>
          <w:rFonts w:eastAsia="Calibri"/>
        </w:rPr>
        <w:t xml:space="preserve">Compared </w:t>
      </w:r>
      <w:r>
        <w:rPr>
          <w:rFonts w:eastAsia="Calibri"/>
        </w:rPr>
        <w:t>with</w:t>
      </w:r>
      <w:r w:rsidRPr="00D61697">
        <w:rPr>
          <w:rFonts w:eastAsia="Calibri"/>
        </w:rPr>
        <w:t xml:space="preserve"> Māori females, Māori males were less likely to have a usual GP clinic</w:t>
      </w:r>
      <w:r>
        <w:rPr>
          <w:rFonts w:eastAsia="Calibri"/>
        </w:rPr>
        <w:t xml:space="preserve"> </w:t>
      </w:r>
      <w:r w:rsidRPr="00D61697">
        <w:rPr>
          <w:rFonts w:eastAsia="Calibri"/>
        </w:rPr>
        <w:t>/ medical centre</w:t>
      </w:r>
      <w:r>
        <w:rPr>
          <w:rFonts w:eastAsia="Calibri"/>
        </w:rPr>
        <w:t xml:space="preserve"> and</w:t>
      </w:r>
      <w:r w:rsidRPr="00D61697">
        <w:rPr>
          <w:rFonts w:eastAsia="Calibri"/>
        </w:rPr>
        <w:t xml:space="preserve"> less likely to ha</w:t>
      </w:r>
      <w:r>
        <w:rPr>
          <w:rFonts w:eastAsia="Calibri"/>
        </w:rPr>
        <w:t>ve visited a GP, practice nurse</w:t>
      </w:r>
      <w:r w:rsidRPr="00D61697">
        <w:rPr>
          <w:rFonts w:eastAsia="Calibri"/>
        </w:rPr>
        <w:t xml:space="preserve"> or an after-hours medical centre in the past 12 months.</w:t>
      </w:r>
    </w:p>
    <w:p w14:paraId="4BC136FD" w14:textId="77777777" w:rsidR="001166D2" w:rsidRPr="00D61697" w:rsidRDefault="001166D2" w:rsidP="001166D2">
      <w:pPr>
        <w:rPr>
          <w:rFonts w:eastAsia="Calibri"/>
        </w:rPr>
      </w:pPr>
    </w:p>
    <w:p w14:paraId="4E676485" w14:textId="798582F4" w:rsidR="00EC479F" w:rsidRPr="00D61697" w:rsidRDefault="00EC479F" w:rsidP="00EC479F">
      <w:pPr>
        <w:pStyle w:val="Figure"/>
        <w:rPr>
          <w:rFonts w:eastAsia="Calibri"/>
        </w:rPr>
      </w:pPr>
      <w:bookmarkStart w:id="375" w:name="_Toc19101975"/>
      <w:r w:rsidRPr="00D61697">
        <w:rPr>
          <w:rFonts w:eastAsia="Calibri"/>
        </w:rPr>
        <w:lastRenderedPageBreak/>
        <w:t xml:space="preserve">Figure </w:t>
      </w:r>
      <w:r>
        <w:rPr>
          <w:rFonts w:eastAsia="Calibri"/>
        </w:rPr>
        <w:t>1</w:t>
      </w:r>
      <w:r w:rsidRPr="00D61697">
        <w:rPr>
          <w:rFonts w:eastAsia="Calibri"/>
        </w:rPr>
        <w:t>2</w:t>
      </w:r>
      <w:r w:rsidR="00572A9A">
        <w:rPr>
          <w:rFonts w:eastAsia="Calibri"/>
        </w:rPr>
        <w:t>4</w:t>
      </w:r>
      <w:r w:rsidRPr="00D61697">
        <w:rPr>
          <w:rFonts w:eastAsia="Calibri"/>
        </w:rPr>
        <w:t>: Visited after-hours medical centre in past 12 months</w:t>
      </w:r>
      <w:r>
        <w:rPr>
          <w:rFonts w:eastAsia="Calibri"/>
        </w:rPr>
        <w:t>, 0–14 years</w:t>
      </w:r>
      <w:r w:rsidRPr="00D61697">
        <w:rPr>
          <w:rFonts w:eastAsia="Calibri"/>
        </w:rPr>
        <w:t>,</w:t>
      </w:r>
      <w:r>
        <w:rPr>
          <w:rFonts w:eastAsia="Calibri"/>
        </w:rPr>
        <w:t xml:space="preserve"> Māori and </w:t>
      </w:r>
      <w:r w:rsidR="00EC03A3">
        <w:rPr>
          <w:rFonts w:eastAsia="Calibri"/>
        </w:rPr>
        <w:t>non</w:t>
      </w:r>
      <w:r w:rsidR="00EC03A3">
        <w:rPr>
          <w:rFonts w:eastAsia="Calibri"/>
        </w:rPr>
        <w:noBreakHyphen/>
        <w:t>M</w:t>
      </w:r>
      <w:r>
        <w:rPr>
          <w:rFonts w:eastAsia="Calibri"/>
        </w:rPr>
        <w:t>āori,</w:t>
      </w:r>
      <w:r w:rsidRPr="00D61697">
        <w:rPr>
          <w:rFonts w:eastAsia="Calibri"/>
        </w:rPr>
        <w:t xml:space="preserve"> 20</w:t>
      </w:r>
      <w:r>
        <w:rPr>
          <w:rFonts w:eastAsia="Calibri"/>
        </w:rPr>
        <w:t>11</w:t>
      </w:r>
      <w:r w:rsidRPr="00D61697">
        <w:rPr>
          <w:rFonts w:eastAsia="Calibri"/>
        </w:rPr>
        <w:t>/</w:t>
      </w:r>
      <w:r>
        <w:rPr>
          <w:rFonts w:eastAsia="Calibri"/>
        </w:rPr>
        <w:t>12</w:t>
      </w:r>
      <w:r w:rsidRPr="00D61697">
        <w:rPr>
          <w:rFonts w:eastAsia="Calibri"/>
        </w:rPr>
        <w:t>–2016/17</w:t>
      </w:r>
      <w:bookmarkEnd w:id="375"/>
    </w:p>
    <w:p w14:paraId="6F882FA2" w14:textId="77777777" w:rsidR="00EC479F" w:rsidRPr="00D61697" w:rsidRDefault="00EC479F" w:rsidP="00EC479F">
      <w:pPr>
        <w:rPr>
          <w:rFonts w:eastAsia="Calibri"/>
        </w:rPr>
      </w:pPr>
      <w:r w:rsidRPr="00D61697">
        <w:rPr>
          <w:noProof/>
          <w:lang w:eastAsia="en-NZ"/>
        </w:rPr>
        <w:drawing>
          <wp:inline distT="0" distB="0" distL="0" distR="0" wp14:anchorId="74A5FFBE" wp14:editId="2D8E2BF4">
            <wp:extent cx="5130165" cy="3058916"/>
            <wp:effectExtent l="0" t="0" r="0" b="8255"/>
            <wp:docPr id="328" name="Picture 328" descr="Non-Māori were more likely than Māori to have visited an after-hours medical center in the previous year. The rates for both groups have generally gone up and down together." title="Figure 124: Visited after-hours medical centre in past 12 months (age standardised percentages (%), 2006/07–2016/17) –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5130165" cy="3058916"/>
                    </a:xfrm>
                    <a:prstGeom prst="rect">
                      <a:avLst/>
                    </a:prstGeom>
                  </pic:spPr>
                </pic:pic>
              </a:graphicData>
            </a:graphic>
          </wp:inline>
        </w:drawing>
      </w:r>
    </w:p>
    <w:p w14:paraId="73A173FF" w14:textId="77777777" w:rsidR="008A5642" w:rsidRDefault="00EC479F" w:rsidP="00B6364B">
      <w:pPr>
        <w:pStyle w:val="Note"/>
        <w:ind w:left="0" w:firstLine="0"/>
        <w:rPr>
          <w:rFonts w:eastAsia="Calibri"/>
        </w:rPr>
      </w:pPr>
      <w:r w:rsidRPr="00892068">
        <w:rPr>
          <w:rFonts w:eastAsia="Calibri"/>
        </w:rPr>
        <w:t>Notes:</w:t>
      </w:r>
    </w:p>
    <w:p w14:paraId="5DF4C42E" w14:textId="04CFF791" w:rsidR="008A5642" w:rsidRDefault="00446D86" w:rsidP="00B6364B">
      <w:pPr>
        <w:pStyle w:val="Note"/>
        <w:ind w:left="0" w:firstLine="0"/>
        <w:rPr>
          <w:rFonts w:eastAsia="Calibri"/>
        </w:rPr>
      </w:pPr>
      <w:r>
        <w:rPr>
          <w:rFonts w:eastAsia="Calibri"/>
        </w:rPr>
        <w:t>Figures are age-standardised to the 2001 Census total Māori population</w:t>
      </w:r>
      <w:r w:rsidR="00EC479F" w:rsidRPr="00892068">
        <w:rPr>
          <w:rFonts w:eastAsia="Calibri"/>
        </w:rPr>
        <w:t>.</w:t>
      </w:r>
    </w:p>
    <w:p w14:paraId="48543CD8" w14:textId="13EBF3CD" w:rsidR="00EC479F" w:rsidRPr="00892068" w:rsidRDefault="00EC479F" w:rsidP="00B6364B">
      <w:pPr>
        <w:pStyle w:val="Note"/>
        <w:ind w:left="0" w:firstLine="0"/>
        <w:rPr>
          <w:rFonts w:eastAsia="Calibri"/>
        </w:rPr>
      </w:pPr>
      <w:r w:rsidRPr="00892068">
        <w:rPr>
          <w:rFonts w:eastAsia="Calibri"/>
        </w:rPr>
        <w:t>Prioritised ethnicity has been used.</w:t>
      </w:r>
    </w:p>
    <w:p w14:paraId="18A29786" w14:textId="77777777" w:rsidR="008A5642" w:rsidRDefault="00EC479F" w:rsidP="00B6364B">
      <w:pPr>
        <w:pStyle w:val="Note"/>
        <w:ind w:left="0" w:firstLine="0"/>
        <w:rPr>
          <w:rFonts w:eastAsia="Calibri"/>
        </w:rPr>
      </w:pPr>
      <w:r w:rsidRPr="00892068">
        <w:rPr>
          <w:rFonts w:eastAsia="Calibri"/>
        </w:rPr>
        <w:t>If the confidence intervals of two rates do not overlap, the difference in rates is said to be statistically significant.</w:t>
      </w:r>
    </w:p>
    <w:p w14:paraId="6CAFFA1D" w14:textId="12170835" w:rsidR="00EC479F" w:rsidRPr="00D61697" w:rsidRDefault="00EC479F" w:rsidP="00B6364B">
      <w:pPr>
        <w:pStyle w:val="Note"/>
        <w:ind w:left="0" w:firstLine="0"/>
        <w:rPr>
          <w:rFonts w:eastAsia="Calibri"/>
        </w:rPr>
      </w:pPr>
      <w:r w:rsidRPr="00892068">
        <w:rPr>
          <w:rFonts w:eastAsia="Calibri"/>
        </w:rPr>
        <w:t>Source: New Zealand Health Survey (NZHS), 20</w:t>
      </w:r>
      <w:r>
        <w:rPr>
          <w:rFonts w:eastAsia="Calibri"/>
        </w:rPr>
        <w:t>11</w:t>
      </w:r>
      <w:r w:rsidRPr="00892068">
        <w:rPr>
          <w:rFonts w:eastAsia="Calibri"/>
        </w:rPr>
        <w:t>/</w:t>
      </w:r>
      <w:r>
        <w:rPr>
          <w:rFonts w:eastAsia="Calibri"/>
        </w:rPr>
        <w:t>12</w:t>
      </w:r>
      <w:r w:rsidRPr="00892068">
        <w:rPr>
          <w:rFonts w:eastAsia="Calibri"/>
        </w:rPr>
        <w:t>–2016/17, Ministry of Health</w:t>
      </w:r>
      <w:r>
        <w:rPr>
          <w:rFonts w:eastAsia="Calibri"/>
        </w:rPr>
        <w:t>.</w:t>
      </w:r>
    </w:p>
    <w:p w14:paraId="361B1F0D" w14:textId="77777777" w:rsidR="001166D2" w:rsidRPr="00D61697" w:rsidRDefault="001166D2" w:rsidP="001166D2">
      <w:pPr>
        <w:rPr>
          <w:rFonts w:eastAsia="Calibri"/>
        </w:rPr>
      </w:pPr>
    </w:p>
    <w:p w14:paraId="4982FA95" w14:textId="11550B16" w:rsidR="001166D2" w:rsidRPr="00D61697" w:rsidRDefault="001166D2" w:rsidP="001166D2">
      <w:pPr>
        <w:rPr>
          <w:rFonts w:cs="Arial"/>
        </w:rPr>
      </w:pPr>
      <w:r w:rsidRPr="00D61697">
        <w:rPr>
          <w:rFonts w:eastAsia="Calibri"/>
        </w:rPr>
        <w:t>Nearly all Māori children had a usual GP or medical centre (97.6 percent in 2016/17)</w:t>
      </w:r>
      <w:r>
        <w:rPr>
          <w:rFonts w:eastAsia="Calibri"/>
        </w:rPr>
        <w:t>,</w:t>
      </w:r>
      <w:r w:rsidRPr="00D61697">
        <w:rPr>
          <w:rFonts w:eastAsia="Calibri"/>
        </w:rPr>
        <w:t xml:space="preserve"> and similar proportions of Māori and </w:t>
      </w:r>
      <w:r w:rsidR="00EC03A3">
        <w:rPr>
          <w:rFonts w:eastAsia="Calibri"/>
        </w:rPr>
        <w:t>non</w:t>
      </w:r>
      <w:r w:rsidR="00EC03A3">
        <w:rPr>
          <w:rFonts w:eastAsia="Calibri"/>
        </w:rPr>
        <w:noBreakHyphen/>
        <w:t>M</w:t>
      </w:r>
      <w:r w:rsidRPr="00D61697">
        <w:rPr>
          <w:rFonts w:eastAsia="Calibri"/>
        </w:rPr>
        <w:t>āori children had visited their GP in the last 12 months (71.5 percent for Māori children and 73.1</w:t>
      </w:r>
      <w:r>
        <w:rPr>
          <w:rFonts w:eastAsia="Calibri"/>
        </w:rPr>
        <w:t xml:space="preserve"> percent</w:t>
      </w:r>
      <w:r w:rsidRPr="00D61697">
        <w:rPr>
          <w:rFonts w:eastAsia="Calibri"/>
        </w:rPr>
        <w:t xml:space="preserve"> for </w:t>
      </w:r>
      <w:r w:rsidR="00EC03A3">
        <w:rPr>
          <w:rFonts w:eastAsia="Calibri"/>
        </w:rPr>
        <w:t>non</w:t>
      </w:r>
      <w:r w:rsidR="00EC03A3">
        <w:rPr>
          <w:rFonts w:eastAsia="Calibri"/>
        </w:rPr>
        <w:noBreakHyphen/>
        <w:t>M</w:t>
      </w:r>
      <w:r w:rsidRPr="00D61697">
        <w:rPr>
          <w:rFonts w:eastAsia="Calibri"/>
        </w:rPr>
        <w:t xml:space="preserve">āori children in 2016/17). </w:t>
      </w:r>
      <w:r w:rsidRPr="00D61697">
        <w:rPr>
          <w:rFonts w:cs="Arial"/>
        </w:rPr>
        <w:t xml:space="preserve">Māori children were less likely to have visited an after-hours medical centre in the past 12 months than </w:t>
      </w:r>
      <w:r w:rsidR="00EC03A3">
        <w:rPr>
          <w:rFonts w:cs="Arial"/>
        </w:rPr>
        <w:t>non</w:t>
      </w:r>
      <w:r w:rsidR="00EC03A3">
        <w:rPr>
          <w:rFonts w:cs="Arial"/>
        </w:rPr>
        <w:noBreakHyphen/>
        <w:t>M</w:t>
      </w:r>
      <w:r w:rsidRPr="00D61697">
        <w:rPr>
          <w:rFonts w:cs="Arial"/>
        </w:rPr>
        <w:t>āori children</w:t>
      </w:r>
      <w:r w:rsidR="00EC479F">
        <w:rPr>
          <w:rFonts w:cs="Arial"/>
        </w:rPr>
        <w:t xml:space="preserve"> (Figure 12</w:t>
      </w:r>
      <w:r w:rsidR="003B4A96">
        <w:rPr>
          <w:rFonts w:cs="Arial"/>
        </w:rPr>
        <w:t>4</w:t>
      </w:r>
      <w:r w:rsidR="00EC479F">
        <w:rPr>
          <w:rFonts w:cs="Arial"/>
        </w:rPr>
        <w:t>)</w:t>
      </w:r>
      <w:r w:rsidRPr="00D61697">
        <w:rPr>
          <w:rFonts w:cs="Arial"/>
        </w:rPr>
        <w:t>.</w:t>
      </w:r>
    </w:p>
    <w:p w14:paraId="40D3FD32" w14:textId="77777777" w:rsidR="001166D2" w:rsidRPr="00D61697" w:rsidRDefault="001166D2" w:rsidP="001166D2">
      <w:pPr>
        <w:rPr>
          <w:rFonts w:eastAsia="Calibri"/>
        </w:rPr>
      </w:pPr>
    </w:p>
    <w:p w14:paraId="221D50A4" w14:textId="36ECF2C1" w:rsidR="001166D2" w:rsidRPr="00D61697" w:rsidRDefault="001166D2" w:rsidP="009F7B61">
      <w:pPr>
        <w:pStyle w:val="Heading3"/>
        <w:pageBreakBefore/>
        <w:spacing w:before="0"/>
      </w:pPr>
      <w:bookmarkStart w:id="376" w:name="_Toc19102437"/>
      <w:r w:rsidRPr="00D61697">
        <w:lastRenderedPageBreak/>
        <w:t xml:space="preserve">Māori reported a greater experience of unmet need when accessing services compared </w:t>
      </w:r>
      <w:r>
        <w:t>with</w:t>
      </w:r>
      <w:r w:rsidRPr="00D61697">
        <w:t xml:space="preserve"> </w:t>
      </w:r>
      <w:r w:rsidR="00EC03A3">
        <w:t>non</w:t>
      </w:r>
      <w:r w:rsidR="00EC03A3">
        <w:noBreakHyphen/>
        <w:t>M</w:t>
      </w:r>
      <w:r w:rsidRPr="00D61697">
        <w:t>āori</w:t>
      </w:r>
      <w:bookmarkEnd w:id="376"/>
    </w:p>
    <w:p w14:paraId="59AB63F1" w14:textId="46871563" w:rsidR="00EC479F" w:rsidRPr="00D61697" w:rsidRDefault="00EC479F" w:rsidP="00EC479F">
      <w:pPr>
        <w:pStyle w:val="Table"/>
      </w:pPr>
      <w:bookmarkStart w:id="377" w:name="_Toc18594772"/>
      <w:r w:rsidRPr="00D61697">
        <w:t xml:space="preserve">Table </w:t>
      </w:r>
      <w:r>
        <w:t>32</w:t>
      </w:r>
      <w:r w:rsidRPr="00D61697">
        <w:t>: Any unmet need in the past 12 months</w:t>
      </w:r>
      <w:r>
        <w:t xml:space="preserve">, 15+ years, by gender, Māori and </w:t>
      </w:r>
      <w:r w:rsidR="00EC03A3">
        <w:t>non</w:t>
      </w:r>
      <w:r w:rsidR="00EC03A3">
        <w:noBreakHyphen/>
        <w:t>M</w:t>
      </w:r>
      <w:r>
        <w:t xml:space="preserve">āori, </w:t>
      </w:r>
      <w:r w:rsidRPr="00D61697">
        <w:t>20</w:t>
      </w:r>
      <w:r>
        <w:t>11</w:t>
      </w:r>
      <w:r w:rsidRPr="00D61697">
        <w:t>/</w:t>
      </w:r>
      <w:r>
        <w:t>12</w:t>
      </w:r>
      <w:r w:rsidRPr="00D61697">
        <w:t>–2016/17</w:t>
      </w:r>
      <w:bookmarkEnd w:id="377"/>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560"/>
        <w:gridCol w:w="1275"/>
        <w:gridCol w:w="1843"/>
        <w:gridCol w:w="1559"/>
        <w:gridCol w:w="1843"/>
      </w:tblGrid>
      <w:tr w:rsidR="00EC479F" w:rsidRPr="00D61697" w14:paraId="38810354" w14:textId="77777777" w:rsidTr="00FC6DDF">
        <w:trPr>
          <w:cantSplit/>
        </w:trPr>
        <w:tc>
          <w:tcPr>
            <w:tcW w:w="1560" w:type="dxa"/>
            <w:tcBorders>
              <w:top w:val="nil"/>
              <w:bottom w:val="nil"/>
            </w:tcBorders>
            <w:shd w:val="clear" w:color="auto" w:fill="D9D9D9" w:themeFill="background1" w:themeFillShade="D9"/>
          </w:tcPr>
          <w:p w14:paraId="1F25EF84" w14:textId="77777777" w:rsidR="00EC479F" w:rsidRPr="00D61697" w:rsidRDefault="00EC479F" w:rsidP="009F7B61">
            <w:pPr>
              <w:pStyle w:val="TableText"/>
              <w:rPr>
                <w:b/>
              </w:rPr>
            </w:pPr>
            <w:r w:rsidRPr="00D61697">
              <w:rPr>
                <w:b/>
              </w:rPr>
              <w:t>Survey year</w:t>
            </w:r>
          </w:p>
        </w:tc>
        <w:tc>
          <w:tcPr>
            <w:tcW w:w="1275" w:type="dxa"/>
            <w:tcBorders>
              <w:top w:val="nil"/>
              <w:bottom w:val="nil"/>
            </w:tcBorders>
            <w:shd w:val="clear" w:color="auto" w:fill="D9D9D9" w:themeFill="background1" w:themeFillShade="D9"/>
          </w:tcPr>
          <w:p w14:paraId="0D626210" w14:textId="77777777" w:rsidR="00EC479F" w:rsidRPr="00D61697" w:rsidRDefault="00EC479F" w:rsidP="009F7B61">
            <w:pPr>
              <w:pStyle w:val="TableText"/>
              <w:jc w:val="center"/>
              <w:rPr>
                <w:b/>
              </w:rPr>
            </w:pPr>
            <w:r w:rsidRPr="00D61697">
              <w:rPr>
                <w:b/>
              </w:rPr>
              <w:t>Māori male</w:t>
            </w:r>
            <w:r w:rsidRPr="00D61697">
              <w:rPr>
                <w:b/>
              </w:rPr>
              <w:br/>
              <w:t>%</w:t>
            </w:r>
          </w:p>
        </w:tc>
        <w:tc>
          <w:tcPr>
            <w:tcW w:w="1843" w:type="dxa"/>
            <w:tcBorders>
              <w:top w:val="nil"/>
              <w:bottom w:val="nil"/>
            </w:tcBorders>
            <w:shd w:val="clear" w:color="auto" w:fill="D9D9D9" w:themeFill="background1" w:themeFillShade="D9"/>
          </w:tcPr>
          <w:p w14:paraId="1258C1C1" w14:textId="51AA7D1F" w:rsidR="00EC479F" w:rsidRPr="00D61697" w:rsidRDefault="00EC03A3" w:rsidP="009F7B61">
            <w:pPr>
              <w:pStyle w:val="TableText"/>
              <w:jc w:val="center"/>
              <w:rPr>
                <w:b/>
              </w:rPr>
            </w:pPr>
            <w:r>
              <w:rPr>
                <w:b/>
              </w:rPr>
              <w:t>Non</w:t>
            </w:r>
            <w:r>
              <w:rPr>
                <w:b/>
              </w:rPr>
              <w:noBreakHyphen/>
              <w:t>M</w:t>
            </w:r>
            <w:r w:rsidR="00EC479F" w:rsidRPr="00D61697">
              <w:rPr>
                <w:b/>
              </w:rPr>
              <w:t>āori male</w:t>
            </w:r>
            <w:r w:rsidR="00EC479F" w:rsidRPr="00D61697">
              <w:rPr>
                <w:b/>
              </w:rPr>
              <w:br/>
              <w:t>%</w:t>
            </w:r>
          </w:p>
        </w:tc>
        <w:tc>
          <w:tcPr>
            <w:tcW w:w="1559" w:type="dxa"/>
            <w:tcBorders>
              <w:top w:val="nil"/>
              <w:bottom w:val="nil"/>
            </w:tcBorders>
            <w:shd w:val="clear" w:color="auto" w:fill="D9D9D9" w:themeFill="background1" w:themeFillShade="D9"/>
          </w:tcPr>
          <w:p w14:paraId="720DB698" w14:textId="77777777" w:rsidR="00EC479F" w:rsidRPr="00D61697" w:rsidRDefault="00EC479F" w:rsidP="009F7B61">
            <w:pPr>
              <w:pStyle w:val="TableText"/>
              <w:jc w:val="center"/>
              <w:rPr>
                <w:b/>
              </w:rPr>
            </w:pPr>
            <w:r w:rsidRPr="00D61697">
              <w:rPr>
                <w:b/>
              </w:rPr>
              <w:t>Māori female</w:t>
            </w:r>
            <w:r w:rsidRPr="00D61697">
              <w:rPr>
                <w:b/>
              </w:rPr>
              <w:br/>
              <w:t>%</w:t>
            </w:r>
          </w:p>
        </w:tc>
        <w:tc>
          <w:tcPr>
            <w:tcW w:w="1843" w:type="dxa"/>
            <w:tcBorders>
              <w:top w:val="nil"/>
              <w:bottom w:val="nil"/>
            </w:tcBorders>
            <w:shd w:val="clear" w:color="auto" w:fill="D9D9D9" w:themeFill="background1" w:themeFillShade="D9"/>
          </w:tcPr>
          <w:p w14:paraId="1322C8E0" w14:textId="49AD1C24" w:rsidR="00EC479F" w:rsidRPr="00D61697" w:rsidRDefault="00EC03A3" w:rsidP="009F7B61">
            <w:pPr>
              <w:pStyle w:val="TableText"/>
              <w:jc w:val="center"/>
              <w:rPr>
                <w:b/>
              </w:rPr>
            </w:pPr>
            <w:r>
              <w:rPr>
                <w:b/>
              </w:rPr>
              <w:t>Non</w:t>
            </w:r>
            <w:r>
              <w:rPr>
                <w:b/>
              </w:rPr>
              <w:noBreakHyphen/>
              <w:t>M</w:t>
            </w:r>
            <w:r w:rsidR="00EC479F" w:rsidRPr="00D61697">
              <w:rPr>
                <w:b/>
              </w:rPr>
              <w:t>āori female</w:t>
            </w:r>
            <w:r w:rsidR="00EC479F" w:rsidRPr="00D61697">
              <w:rPr>
                <w:b/>
              </w:rPr>
              <w:br/>
              <w:t>%</w:t>
            </w:r>
          </w:p>
        </w:tc>
      </w:tr>
      <w:tr w:rsidR="00EC479F" w:rsidRPr="00D61697" w14:paraId="727157BD" w14:textId="77777777" w:rsidTr="00FC6DDF">
        <w:trPr>
          <w:cantSplit/>
        </w:trPr>
        <w:tc>
          <w:tcPr>
            <w:tcW w:w="1560" w:type="dxa"/>
            <w:tcBorders>
              <w:top w:val="nil"/>
            </w:tcBorders>
            <w:shd w:val="clear" w:color="auto" w:fill="auto"/>
          </w:tcPr>
          <w:p w14:paraId="48699212" w14:textId="77777777" w:rsidR="00EC479F" w:rsidRPr="00D61697" w:rsidRDefault="00EC479F" w:rsidP="009F7B61">
            <w:pPr>
              <w:pStyle w:val="TableText"/>
            </w:pPr>
            <w:r w:rsidRPr="00D61697">
              <w:t>2011/12</w:t>
            </w:r>
          </w:p>
        </w:tc>
        <w:tc>
          <w:tcPr>
            <w:tcW w:w="1275" w:type="dxa"/>
            <w:tcBorders>
              <w:top w:val="nil"/>
            </w:tcBorders>
            <w:shd w:val="clear" w:color="auto" w:fill="auto"/>
          </w:tcPr>
          <w:p w14:paraId="15158D3D" w14:textId="77777777" w:rsidR="00EC479F" w:rsidRPr="00D61697" w:rsidRDefault="00EC479F" w:rsidP="009F7B61">
            <w:pPr>
              <w:pStyle w:val="TableText"/>
              <w:jc w:val="center"/>
            </w:pPr>
            <w:r w:rsidRPr="00D61697">
              <w:t>31.6</w:t>
            </w:r>
          </w:p>
        </w:tc>
        <w:tc>
          <w:tcPr>
            <w:tcW w:w="1843" w:type="dxa"/>
            <w:tcBorders>
              <w:top w:val="nil"/>
            </w:tcBorders>
            <w:shd w:val="clear" w:color="auto" w:fill="auto"/>
          </w:tcPr>
          <w:p w14:paraId="76D828AF" w14:textId="77777777" w:rsidR="00EC479F" w:rsidRPr="00D61697" w:rsidRDefault="00EC479F" w:rsidP="009F7B61">
            <w:pPr>
              <w:pStyle w:val="TableText"/>
              <w:jc w:val="center"/>
            </w:pPr>
            <w:r w:rsidRPr="00D61697">
              <w:t>19.8</w:t>
            </w:r>
          </w:p>
        </w:tc>
        <w:tc>
          <w:tcPr>
            <w:tcW w:w="1559" w:type="dxa"/>
            <w:tcBorders>
              <w:top w:val="nil"/>
            </w:tcBorders>
            <w:shd w:val="clear" w:color="auto" w:fill="auto"/>
          </w:tcPr>
          <w:p w14:paraId="5D9DC55F" w14:textId="77777777" w:rsidR="00EC479F" w:rsidRPr="00D61697" w:rsidRDefault="00EC479F" w:rsidP="009F7B61">
            <w:pPr>
              <w:pStyle w:val="TableText"/>
              <w:jc w:val="center"/>
            </w:pPr>
            <w:r w:rsidRPr="00D61697">
              <w:t>48.0</w:t>
            </w:r>
          </w:p>
        </w:tc>
        <w:tc>
          <w:tcPr>
            <w:tcW w:w="1843" w:type="dxa"/>
            <w:tcBorders>
              <w:top w:val="nil"/>
            </w:tcBorders>
            <w:shd w:val="clear" w:color="auto" w:fill="auto"/>
          </w:tcPr>
          <w:p w14:paraId="08A9BAD6" w14:textId="77777777" w:rsidR="00EC479F" w:rsidRPr="00D61697" w:rsidRDefault="00EC479F" w:rsidP="009F7B61">
            <w:pPr>
              <w:pStyle w:val="TableText"/>
              <w:jc w:val="center"/>
            </w:pPr>
            <w:r w:rsidRPr="00D61697">
              <w:t>32.9</w:t>
            </w:r>
          </w:p>
        </w:tc>
      </w:tr>
      <w:tr w:rsidR="00EC479F" w:rsidRPr="00D61697" w14:paraId="63461351" w14:textId="77777777" w:rsidTr="00FC6DDF">
        <w:trPr>
          <w:cantSplit/>
        </w:trPr>
        <w:tc>
          <w:tcPr>
            <w:tcW w:w="1560" w:type="dxa"/>
            <w:shd w:val="clear" w:color="auto" w:fill="auto"/>
          </w:tcPr>
          <w:p w14:paraId="013FF01D" w14:textId="77777777" w:rsidR="00EC479F" w:rsidRPr="00D61697" w:rsidRDefault="00EC479F" w:rsidP="009F7B61">
            <w:pPr>
              <w:pStyle w:val="TableText"/>
            </w:pPr>
            <w:r w:rsidRPr="00D61697">
              <w:t>2012/13</w:t>
            </w:r>
          </w:p>
        </w:tc>
        <w:tc>
          <w:tcPr>
            <w:tcW w:w="1275" w:type="dxa"/>
            <w:shd w:val="clear" w:color="auto" w:fill="auto"/>
          </w:tcPr>
          <w:p w14:paraId="0CEB4528" w14:textId="77777777" w:rsidR="00EC479F" w:rsidRPr="00D61697" w:rsidRDefault="00EC479F" w:rsidP="009F7B61">
            <w:pPr>
              <w:pStyle w:val="TableText"/>
              <w:jc w:val="center"/>
            </w:pPr>
            <w:r w:rsidRPr="00D61697">
              <w:t>30.1</w:t>
            </w:r>
          </w:p>
        </w:tc>
        <w:tc>
          <w:tcPr>
            <w:tcW w:w="1843" w:type="dxa"/>
            <w:shd w:val="clear" w:color="auto" w:fill="auto"/>
          </w:tcPr>
          <w:p w14:paraId="38C8C0FC" w14:textId="77777777" w:rsidR="00EC479F" w:rsidRPr="00D61697" w:rsidRDefault="00EC479F" w:rsidP="009F7B61">
            <w:pPr>
              <w:pStyle w:val="TableText"/>
              <w:jc w:val="center"/>
            </w:pPr>
            <w:r w:rsidRPr="00D61697">
              <w:t>21.0</w:t>
            </w:r>
          </w:p>
        </w:tc>
        <w:tc>
          <w:tcPr>
            <w:tcW w:w="1559" w:type="dxa"/>
            <w:shd w:val="clear" w:color="auto" w:fill="auto"/>
          </w:tcPr>
          <w:p w14:paraId="08A06465" w14:textId="77777777" w:rsidR="00EC479F" w:rsidRPr="00D61697" w:rsidRDefault="00EC479F" w:rsidP="009F7B61">
            <w:pPr>
              <w:pStyle w:val="TableText"/>
              <w:jc w:val="center"/>
            </w:pPr>
            <w:r w:rsidRPr="00D61697">
              <w:t>48.6</w:t>
            </w:r>
          </w:p>
        </w:tc>
        <w:tc>
          <w:tcPr>
            <w:tcW w:w="1843" w:type="dxa"/>
            <w:shd w:val="clear" w:color="auto" w:fill="auto"/>
          </w:tcPr>
          <w:p w14:paraId="0C383496" w14:textId="77777777" w:rsidR="00EC479F" w:rsidRPr="00D61697" w:rsidRDefault="00EC479F" w:rsidP="009F7B61">
            <w:pPr>
              <w:pStyle w:val="TableText"/>
              <w:jc w:val="center"/>
            </w:pPr>
            <w:r w:rsidRPr="00D61697">
              <w:t>33.0</w:t>
            </w:r>
          </w:p>
        </w:tc>
      </w:tr>
      <w:tr w:rsidR="00EC479F" w:rsidRPr="00D61697" w14:paraId="6991CC3E" w14:textId="77777777" w:rsidTr="00FC6DDF">
        <w:trPr>
          <w:cantSplit/>
        </w:trPr>
        <w:tc>
          <w:tcPr>
            <w:tcW w:w="1560" w:type="dxa"/>
            <w:shd w:val="clear" w:color="auto" w:fill="auto"/>
          </w:tcPr>
          <w:p w14:paraId="125FE671" w14:textId="77777777" w:rsidR="00EC479F" w:rsidRPr="00D61697" w:rsidRDefault="00EC479F" w:rsidP="009F7B61">
            <w:pPr>
              <w:pStyle w:val="TableText"/>
            </w:pPr>
            <w:r w:rsidRPr="00D61697">
              <w:t>2013/14</w:t>
            </w:r>
          </w:p>
        </w:tc>
        <w:tc>
          <w:tcPr>
            <w:tcW w:w="1275" w:type="dxa"/>
            <w:shd w:val="clear" w:color="auto" w:fill="auto"/>
          </w:tcPr>
          <w:p w14:paraId="041832A1" w14:textId="77777777" w:rsidR="00EC479F" w:rsidRPr="00D61697" w:rsidRDefault="00EC479F" w:rsidP="009F7B61">
            <w:pPr>
              <w:pStyle w:val="TableText"/>
              <w:jc w:val="center"/>
            </w:pPr>
            <w:r w:rsidRPr="00D61697">
              <w:t>30.0</w:t>
            </w:r>
          </w:p>
        </w:tc>
        <w:tc>
          <w:tcPr>
            <w:tcW w:w="1843" w:type="dxa"/>
            <w:shd w:val="clear" w:color="auto" w:fill="auto"/>
          </w:tcPr>
          <w:p w14:paraId="2F5AF918" w14:textId="77777777" w:rsidR="00EC479F" w:rsidRPr="00D61697" w:rsidRDefault="00EC479F" w:rsidP="009F7B61">
            <w:pPr>
              <w:pStyle w:val="TableText"/>
              <w:jc w:val="center"/>
            </w:pPr>
            <w:r w:rsidRPr="00D61697">
              <w:t>21.8</w:t>
            </w:r>
          </w:p>
        </w:tc>
        <w:tc>
          <w:tcPr>
            <w:tcW w:w="1559" w:type="dxa"/>
            <w:shd w:val="clear" w:color="auto" w:fill="auto"/>
          </w:tcPr>
          <w:p w14:paraId="5012E6CF" w14:textId="77777777" w:rsidR="00EC479F" w:rsidRPr="00D61697" w:rsidRDefault="00EC479F" w:rsidP="009F7B61">
            <w:pPr>
              <w:pStyle w:val="TableText"/>
              <w:jc w:val="center"/>
            </w:pPr>
            <w:r w:rsidRPr="00D61697">
              <w:t>45.2</w:t>
            </w:r>
          </w:p>
        </w:tc>
        <w:tc>
          <w:tcPr>
            <w:tcW w:w="1843" w:type="dxa"/>
            <w:shd w:val="clear" w:color="auto" w:fill="auto"/>
          </w:tcPr>
          <w:p w14:paraId="002D6BEB" w14:textId="77777777" w:rsidR="00EC479F" w:rsidRPr="00D61697" w:rsidRDefault="00EC479F" w:rsidP="009F7B61">
            <w:pPr>
              <w:pStyle w:val="TableText"/>
              <w:jc w:val="center"/>
            </w:pPr>
            <w:r w:rsidRPr="00D61697">
              <w:t>32.9</w:t>
            </w:r>
          </w:p>
        </w:tc>
      </w:tr>
      <w:tr w:rsidR="00EC479F" w:rsidRPr="00D61697" w14:paraId="14069A3B" w14:textId="77777777" w:rsidTr="00FC6DDF">
        <w:trPr>
          <w:cantSplit/>
        </w:trPr>
        <w:tc>
          <w:tcPr>
            <w:tcW w:w="1560" w:type="dxa"/>
            <w:shd w:val="clear" w:color="auto" w:fill="auto"/>
          </w:tcPr>
          <w:p w14:paraId="1955575F" w14:textId="77777777" w:rsidR="00EC479F" w:rsidRPr="00D61697" w:rsidRDefault="00EC479F" w:rsidP="009F7B61">
            <w:pPr>
              <w:pStyle w:val="TableText"/>
            </w:pPr>
            <w:r w:rsidRPr="00D61697">
              <w:t>2014/15</w:t>
            </w:r>
          </w:p>
        </w:tc>
        <w:tc>
          <w:tcPr>
            <w:tcW w:w="1275" w:type="dxa"/>
            <w:shd w:val="clear" w:color="auto" w:fill="auto"/>
          </w:tcPr>
          <w:p w14:paraId="7A058823" w14:textId="77777777" w:rsidR="00EC479F" w:rsidRPr="00D61697" w:rsidRDefault="00EC479F" w:rsidP="009F7B61">
            <w:pPr>
              <w:pStyle w:val="TableText"/>
              <w:jc w:val="center"/>
            </w:pPr>
            <w:r w:rsidRPr="00D61697">
              <w:t>28.0</w:t>
            </w:r>
          </w:p>
        </w:tc>
        <w:tc>
          <w:tcPr>
            <w:tcW w:w="1843" w:type="dxa"/>
            <w:shd w:val="clear" w:color="auto" w:fill="auto"/>
          </w:tcPr>
          <w:p w14:paraId="4144A27F" w14:textId="77777777" w:rsidR="00EC479F" w:rsidRPr="00D61697" w:rsidRDefault="00EC479F" w:rsidP="009F7B61">
            <w:pPr>
              <w:pStyle w:val="TableText"/>
              <w:jc w:val="center"/>
            </w:pPr>
            <w:r w:rsidRPr="00D61697">
              <w:t>20.9</w:t>
            </w:r>
          </w:p>
        </w:tc>
        <w:tc>
          <w:tcPr>
            <w:tcW w:w="1559" w:type="dxa"/>
            <w:shd w:val="clear" w:color="auto" w:fill="auto"/>
          </w:tcPr>
          <w:p w14:paraId="011ABEAD" w14:textId="77777777" w:rsidR="00EC479F" w:rsidRPr="00D61697" w:rsidRDefault="00EC479F" w:rsidP="009F7B61">
            <w:pPr>
              <w:pStyle w:val="TableText"/>
              <w:jc w:val="center"/>
            </w:pPr>
            <w:r w:rsidRPr="00D61697">
              <w:t>39.5</w:t>
            </w:r>
          </w:p>
        </w:tc>
        <w:tc>
          <w:tcPr>
            <w:tcW w:w="1843" w:type="dxa"/>
            <w:shd w:val="clear" w:color="auto" w:fill="auto"/>
          </w:tcPr>
          <w:p w14:paraId="7A11B2D5" w14:textId="77777777" w:rsidR="00EC479F" w:rsidRPr="00D61697" w:rsidRDefault="00EC479F" w:rsidP="009F7B61">
            <w:pPr>
              <w:pStyle w:val="TableText"/>
              <w:jc w:val="center"/>
            </w:pPr>
            <w:r w:rsidRPr="00D61697">
              <w:t>33.1</w:t>
            </w:r>
          </w:p>
        </w:tc>
      </w:tr>
      <w:tr w:rsidR="00EC479F" w:rsidRPr="00D61697" w14:paraId="115ABFE0" w14:textId="77777777" w:rsidTr="00FC6DDF">
        <w:trPr>
          <w:cantSplit/>
        </w:trPr>
        <w:tc>
          <w:tcPr>
            <w:tcW w:w="1560" w:type="dxa"/>
            <w:shd w:val="clear" w:color="auto" w:fill="auto"/>
          </w:tcPr>
          <w:p w14:paraId="5C578A65" w14:textId="77777777" w:rsidR="00EC479F" w:rsidRPr="00D61697" w:rsidRDefault="00EC479F" w:rsidP="009F7B61">
            <w:pPr>
              <w:pStyle w:val="TableText"/>
            </w:pPr>
            <w:r w:rsidRPr="00D61697">
              <w:t>2015/16</w:t>
            </w:r>
          </w:p>
        </w:tc>
        <w:tc>
          <w:tcPr>
            <w:tcW w:w="1275" w:type="dxa"/>
            <w:shd w:val="clear" w:color="auto" w:fill="auto"/>
          </w:tcPr>
          <w:p w14:paraId="2565310A" w14:textId="77777777" w:rsidR="00EC479F" w:rsidRPr="00D61697" w:rsidRDefault="00EC479F" w:rsidP="009F7B61">
            <w:pPr>
              <w:pStyle w:val="TableText"/>
              <w:jc w:val="center"/>
            </w:pPr>
            <w:r w:rsidRPr="00D61697">
              <w:t>28.6</w:t>
            </w:r>
          </w:p>
        </w:tc>
        <w:tc>
          <w:tcPr>
            <w:tcW w:w="1843" w:type="dxa"/>
            <w:shd w:val="clear" w:color="auto" w:fill="auto"/>
          </w:tcPr>
          <w:p w14:paraId="36171923" w14:textId="77777777" w:rsidR="00EC479F" w:rsidRPr="00D61697" w:rsidRDefault="00EC479F" w:rsidP="009F7B61">
            <w:pPr>
              <w:pStyle w:val="TableText"/>
              <w:jc w:val="center"/>
            </w:pPr>
            <w:r w:rsidRPr="00D61697">
              <w:t>21.8</w:t>
            </w:r>
          </w:p>
        </w:tc>
        <w:tc>
          <w:tcPr>
            <w:tcW w:w="1559" w:type="dxa"/>
            <w:shd w:val="clear" w:color="auto" w:fill="auto"/>
          </w:tcPr>
          <w:p w14:paraId="2F2C18A6" w14:textId="77777777" w:rsidR="00EC479F" w:rsidRPr="00D61697" w:rsidRDefault="00EC479F" w:rsidP="009F7B61">
            <w:pPr>
              <w:pStyle w:val="TableText"/>
              <w:jc w:val="center"/>
            </w:pPr>
            <w:r w:rsidRPr="00D61697">
              <w:t>49.7</w:t>
            </w:r>
          </w:p>
        </w:tc>
        <w:tc>
          <w:tcPr>
            <w:tcW w:w="1843" w:type="dxa"/>
            <w:shd w:val="clear" w:color="auto" w:fill="auto"/>
          </w:tcPr>
          <w:p w14:paraId="49BA7657" w14:textId="77777777" w:rsidR="00EC479F" w:rsidRPr="00D61697" w:rsidRDefault="00EC479F" w:rsidP="009F7B61">
            <w:pPr>
              <w:pStyle w:val="TableText"/>
              <w:jc w:val="center"/>
            </w:pPr>
            <w:r w:rsidRPr="00D61697">
              <w:t>36.1</w:t>
            </w:r>
          </w:p>
        </w:tc>
      </w:tr>
      <w:tr w:rsidR="00EC479F" w:rsidRPr="00D61697" w14:paraId="48A93306" w14:textId="77777777" w:rsidTr="00FC6DDF">
        <w:trPr>
          <w:cantSplit/>
        </w:trPr>
        <w:tc>
          <w:tcPr>
            <w:tcW w:w="1560" w:type="dxa"/>
            <w:shd w:val="clear" w:color="auto" w:fill="auto"/>
          </w:tcPr>
          <w:p w14:paraId="617FA6CD" w14:textId="77777777" w:rsidR="00EC479F" w:rsidRPr="00D61697" w:rsidRDefault="00EC479F" w:rsidP="009F7B61">
            <w:pPr>
              <w:pStyle w:val="TableText"/>
            </w:pPr>
            <w:r w:rsidRPr="00D61697">
              <w:t>2016/17</w:t>
            </w:r>
          </w:p>
        </w:tc>
        <w:tc>
          <w:tcPr>
            <w:tcW w:w="1275" w:type="dxa"/>
            <w:shd w:val="clear" w:color="auto" w:fill="auto"/>
          </w:tcPr>
          <w:p w14:paraId="792EE9AD" w14:textId="77777777" w:rsidR="00EC479F" w:rsidRPr="00D61697" w:rsidRDefault="00EC479F" w:rsidP="009F7B61">
            <w:pPr>
              <w:pStyle w:val="TableText"/>
              <w:jc w:val="center"/>
            </w:pPr>
            <w:r w:rsidRPr="00D61697">
              <w:t>31.2</w:t>
            </w:r>
          </w:p>
        </w:tc>
        <w:tc>
          <w:tcPr>
            <w:tcW w:w="1843" w:type="dxa"/>
            <w:shd w:val="clear" w:color="auto" w:fill="auto"/>
          </w:tcPr>
          <w:p w14:paraId="17C77E92" w14:textId="77777777" w:rsidR="00EC479F" w:rsidRPr="00D61697" w:rsidRDefault="00EC479F" w:rsidP="009F7B61">
            <w:pPr>
              <w:pStyle w:val="TableText"/>
              <w:jc w:val="center"/>
            </w:pPr>
            <w:r w:rsidRPr="00D61697">
              <w:t>21.5</w:t>
            </w:r>
          </w:p>
        </w:tc>
        <w:tc>
          <w:tcPr>
            <w:tcW w:w="1559" w:type="dxa"/>
            <w:shd w:val="clear" w:color="auto" w:fill="auto"/>
          </w:tcPr>
          <w:p w14:paraId="5B4F7018" w14:textId="77777777" w:rsidR="00EC479F" w:rsidRPr="00D61697" w:rsidRDefault="00EC479F" w:rsidP="009F7B61">
            <w:pPr>
              <w:pStyle w:val="TableText"/>
              <w:jc w:val="center"/>
            </w:pPr>
            <w:r w:rsidRPr="00D61697">
              <w:t>44.3</w:t>
            </w:r>
          </w:p>
        </w:tc>
        <w:tc>
          <w:tcPr>
            <w:tcW w:w="1843" w:type="dxa"/>
            <w:shd w:val="clear" w:color="auto" w:fill="auto"/>
          </w:tcPr>
          <w:p w14:paraId="118C2662" w14:textId="77777777" w:rsidR="00EC479F" w:rsidRPr="00D61697" w:rsidRDefault="00EC479F" w:rsidP="009F7B61">
            <w:pPr>
              <w:pStyle w:val="TableText"/>
              <w:jc w:val="center"/>
            </w:pPr>
            <w:r w:rsidRPr="00D61697">
              <w:t>33.6</w:t>
            </w:r>
          </w:p>
        </w:tc>
      </w:tr>
    </w:tbl>
    <w:p w14:paraId="5D7BAAF4" w14:textId="77777777" w:rsidR="008A5642" w:rsidRDefault="00EC479F" w:rsidP="00B6364B">
      <w:pPr>
        <w:pStyle w:val="Note"/>
        <w:rPr>
          <w:rFonts w:eastAsia="Calibri"/>
        </w:rPr>
      </w:pPr>
      <w:r w:rsidRPr="00892068">
        <w:rPr>
          <w:rFonts w:eastAsia="Calibri"/>
        </w:rPr>
        <w:t>Notes:</w:t>
      </w:r>
    </w:p>
    <w:p w14:paraId="5B019580" w14:textId="2B0B602C" w:rsidR="008A5642" w:rsidRDefault="00446D86" w:rsidP="00B6364B">
      <w:pPr>
        <w:pStyle w:val="Note"/>
        <w:rPr>
          <w:rFonts w:eastAsia="Calibri"/>
        </w:rPr>
      </w:pPr>
      <w:r>
        <w:rPr>
          <w:rFonts w:eastAsia="Calibri"/>
        </w:rPr>
        <w:t>Figures are age-standardised to the 2001 Census total Māori population</w:t>
      </w:r>
      <w:r w:rsidR="00EC479F" w:rsidRPr="00892068">
        <w:rPr>
          <w:rFonts w:eastAsia="Calibri"/>
        </w:rPr>
        <w:t>.</w:t>
      </w:r>
    </w:p>
    <w:p w14:paraId="290EF644" w14:textId="6C5A3073" w:rsidR="00EC479F" w:rsidRPr="00892068" w:rsidRDefault="00EC479F" w:rsidP="00B6364B">
      <w:pPr>
        <w:pStyle w:val="Note"/>
        <w:rPr>
          <w:rFonts w:eastAsia="Calibri"/>
        </w:rPr>
      </w:pPr>
      <w:r w:rsidRPr="00892068">
        <w:rPr>
          <w:rFonts w:eastAsia="Calibri"/>
        </w:rPr>
        <w:t>Prioritised ethnicity has been used.</w:t>
      </w:r>
    </w:p>
    <w:p w14:paraId="3E0A4B9F" w14:textId="2370B251" w:rsidR="00EC479F" w:rsidRPr="00D61697" w:rsidRDefault="00EC479F" w:rsidP="00B6364B">
      <w:pPr>
        <w:pStyle w:val="Note"/>
        <w:rPr>
          <w:rFonts w:eastAsia="Calibri"/>
        </w:rPr>
      </w:pPr>
      <w:r w:rsidRPr="00892068">
        <w:rPr>
          <w:rFonts w:eastAsia="Calibri"/>
        </w:rPr>
        <w:t>Source: New Zealand Health Survey (NZHS)</w:t>
      </w:r>
      <w:r w:rsidR="00B6364B" w:rsidRPr="00892068">
        <w:rPr>
          <w:rFonts w:eastAsia="Calibri"/>
        </w:rPr>
        <w:t>, Ministry of Health</w:t>
      </w:r>
      <w:r w:rsidRPr="00892068">
        <w:rPr>
          <w:rFonts w:eastAsia="Calibri"/>
        </w:rPr>
        <w:t>, 20</w:t>
      </w:r>
      <w:r>
        <w:rPr>
          <w:rFonts w:eastAsia="Calibri"/>
        </w:rPr>
        <w:t>11</w:t>
      </w:r>
      <w:r w:rsidRPr="00892068">
        <w:rPr>
          <w:rFonts w:eastAsia="Calibri"/>
        </w:rPr>
        <w:t>/</w:t>
      </w:r>
      <w:r>
        <w:rPr>
          <w:rFonts w:eastAsia="Calibri"/>
        </w:rPr>
        <w:t>12</w:t>
      </w:r>
      <w:r w:rsidRPr="00892068">
        <w:rPr>
          <w:rFonts w:eastAsia="Calibri"/>
        </w:rPr>
        <w:t>–2016/17</w:t>
      </w:r>
      <w:r>
        <w:rPr>
          <w:rFonts w:eastAsia="Calibri"/>
        </w:rPr>
        <w:t>.</w:t>
      </w:r>
    </w:p>
    <w:p w14:paraId="2C03EB97" w14:textId="77777777" w:rsidR="00EC479F" w:rsidRDefault="00EC479F" w:rsidP="001166D2"/>
    <w:p w14:paraId="2D71D354" w14:textId="53A29914" w:rsidR="001166D2" w:rsidRPr="00D61697" w:rsidRDefault="00EC479F" w:rsidP="001166D2">
      <w:pPr>
        <w:rPr>
          <w:sz w:val="20"/>
        </w:rPr>
      </w:pPr>
      <w:r>
        <w:t xml:space="preserve">Table 32 shows that </w:t>
      </w:r>
      <w:r w:rsidR="001166D2" w:rsidRPr="00D61697">
        <w:t xml:space="preserve">Māori report a higher unmet need than </w:t>
      </w:r>
      <w:r w:rsidR="00EC03A3">
        <w:t>non</w:t>
      </w:r>
      <w:r w:rsidR="00EC03A3">
        <w:noBreakHyphen/>
        <w:t>M</w:t>
      </w:r>
      <w:r w:rsidR="001166D2" w:rsidRPr="00D61697">
        <w:t>āori over time (2011/12–2016/17).</w:t>
      </w:r>
      <w:r w:rsidR="001166D2" w:rsidRPr="009F7B61">
        <w:rPr>
          <w:rStyle w:val="FootnoteReference"/>
        </w:rPr>
        <w:footnoteReference w:id="7"/>
      </w:r>
      <w:r>
        <w:t xml:space="preserve"> </w:t>
      </w:r>
      <w:r w:rsidR="001166D2" w:rsidRPr="00D61697">
        <w:rPr>
          <w:sz w:val="20"/>
        </w:rPr>
        <w:t>The prevalence of unmet need experience h</w:t>
      </w:r>
      <w:r w:rsidR="001166D2">
        <w:rPr>
          <w:sz w:val="20"/>
        </w:rPr>
        <w:t>as decreased slightly over time:</w:t>
      </w:r>
      <w:r w:rsidR="001166D2" w:rsidRPr="00D61697">
        <w:rPr>
          <w:sz w:val="20"/>
        </w:rPr>
        <w:t xml:space="preserve"> in 2011/12, 40.1 percent of Māori adults reported one or more types of unmet need compared </w:t>
      </w:r>
      <w:r w:rsidR="001166D2">
        <w:rPr>
          <w:sz w:val="20"/>
        </w:rPr>
        <w:t>with</w:t>
      </w:r>
      <w:r w:rsidR="001166D2" w:rsidRPr="00D61697">
        <w:rPr>
          <w:sz w:val="20"/>
        </w:rPr>
        <w:t xml:space="preserve"> 38.0 percent in 2016/17.</w:t>
      </w:r>
    </w:p>
    <w:p w14:paraId="02C4FE55" w14:textId="77777777" w:rsidR="001166D2" w:rsidRPr="00D61697" w:rsidRDefault="001166D2" w:rsidP="001166D2"/>
    <w:p w14:paraId="5A5DBAED" w14:textId="77777777" w:rsidR="001166D2" w:rsidRDefault="001166D2" w:rsidP="001166D2">
      <w:pPr>
        <w:rPr>
          <w:sz w:val="20"/>
        </w:rPr>
      </w:pPr>
      <w:r w:rsidRPr="00D9547D">
        <w:rPr>
          <w:sz w:val="20"/>
        </w:rPr>
        <w:t>Māori females report the highest percent of experiencing unmet need accessing primary health care and this was consistent over time.</w:t>
      </w:r>
    </w:p>
    <w:p w14:paraId="3F763EF5" w14:textId="77777777" w:rsidR="00674CB1" w:rsidRPr="00D9547D" w:rsidRDefault="00674CB1" w:rsidP="001166D2">
      <w:pPr>
        <w:rPr>
          <w:sz w:val="20"/>
        </w:rPr>
      </w:pPr>
    </w:p>
    <w:p w14:paraId="365A0F20" w14:textId="28F2391A" w:rsidR="001166D2" w:rsidRPr="00D61697" w:rsidRDefault="001166D2" w:rsidP="001166D2">
      <w:pPr>
        <w:pStyle w:val="Table"/>
      </w:pPr>
      <w:bookmarkStart w:id="378" w:name="_Toc18594773"/>
      <w:r w:rsidRPr="00D61697">
        <w:lastRenderedPageBreak/>
        <w:t xml:space="preserve">Table </w:t>
      </w:r>
      <w:r w:rsidR="00EC479F">
        <w:t>33</w:t>
      </w:r>
      <w:r w:rsidRPr="00D61697">
        <w:t xml:space="preserve">: </w:t>
      </w:r>
      <w:r w:rsidR="00EC479F" w:rsidRPr="00D61697">
        <w:t>Any unmet need in the past 12 months</w:t>
      </w:r>
      <w:r w:rsidR="00EC479F">
        <w:t xml:space="preserve">, 0–14 years, Māori and </w:t>
      </w:r>
      <w:r w:rsidR="00EC03A3">
        <w:t>non</w:t>
      </w:r>
      <w:r w:rsidR="00EC03A3">
        <w:noBreakHyphen/>
        <w:t>M</w:t>
      </w:r>
      <w:r w:rsidR="00EC479F">
        <w:t xml:space="preserve">āori, </w:t>
      </w:r>
      <w:r w:rsidR="00EC479F" w:rsidRPr="00D61697">
        <w:t>20</w:t>
      </w:r>
      <w:r w:rsidR="00EC479F">
        <w:t>11</w:t>
      </w:r>
      <w:r w:rsidR="00EC479F" w:rsidRPr="00D61697">
        <w:t>/</w:t>
      </w:r>
      <w:r w:rsidR="00EC479F">
        <w:t>12</w:t>
      </w:r>
      <w:r w:rsidR="00EC479F" w:rsidRPr="00D61697">
        <w:t>–2016/17</w:t>
      </w:r>
      <w:bookmarkEnd w:id="378"/>
    </w:p>
    <w:tbl>
      <w:tblPr>
        <w:tblW w:w="0" w:type="auto"/>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560"/>
        <w:gridCol w:w="1984"/>
        <w:gridCol w:w="2126"/>
      </w:tblGrid>
      <w:tr w:rsidR="001166D2" w:rsidRPr="00D61697" w14:paraId="1B5B360A" w14:textId="77777777" w:rsidTr="001166D2">
        <w:trPr>
          <w:cantSplit/>
        </w:trPr>
        <w:tc>
          <w:tcPr>
            <w:tcW w:w="1560" w:type="dxa"/>
            <w:tcBorders>
              <w:top w:val="nil"/>
              <w:bottom w:val="nil"/>
            </w:tcBorders>
            <w:shd w:val="clear" w:color="auto" w:fill="D9D9D9" w:themeFill="background1" w:themeFillShade="D9"/>
          </w:tcPr>
          <w:p w14:paraId="38031B76" w14:textId="77777777" w:rsidR="001166D2" w:rsidRPr="00D61697" w:rsidRDefault="001166D2" w:rsidP="009F7B61">
            <w:pPr>
              <w:pStyle w:val="TableText"/>
              <w:keepNext/>
              <w:rPr>
                <w:b/>
              </w:rPr>
            </w:pPr>
            <w:r w:rsidRPr="00D61697">
              <w:rPr>
                <w:b/>
              </w:rPr>
              <w:t>Survey year</w:t>
            </w:r>
          </w:p>
        </w:tc>
        <w:tc>
          <w:tcPr>
            <w:tcW w:w="1984" w:type="dxa"/>
            <w:tcBorders>
              <w:top w:val="nil"/>
              <w:bottom w:val="nil"/>
            </w:tcBorders>
            <w:shd w:val="clear" w:color="auto" w:fill="D9D9D9" w:themeFill="background1" w:themeFillShade="D9"/>
          </w:tcPr>
          <w:p w14:paraId="6A4159BA" w14:textId="77777777" w:rsidR="001166D2" w:rsidRPr="00D61697" w:rsidRDefault="001166D2" w:rsidP="009F7B61">
            <w:pPr>
              <w:pStyle w:val="TableText"/>
              <w:keepNext/>
              <w:jc w:val="center"/>
              <w:rPr>
                <w:b/>
              </w:rPr>
            </w:pPr>
            <w:r w:rsidRPr="00D61697">
              <w:rPr>
                <w:b/>
              </w:rPr>
              <w:t>Māori children</w:t>
            </w:r>
            <w:r w:rsidRPr="00D61697">
              <w:rPr>
                <w:b/>
              </w:rPr>
              <w:br/>
              <w:t>%</w:t>
            </w:r>
          </w:p>
        </w:tc>
        <w:tc>
          <w:tcPr>
            <w:tcW w:w="2126" w:type="dxa"/>
            <w:tcBorders>
              <w:top w:val="nil"/>
              <w:bottom w:val="nil"/>
            </w:tcBorders>
            <w:shd w:val="clear" w:color="auto" w:fill="D9D9D9" w:themeFill="background1" w:themeFillShade="D9"/>
          </w:tcPr>
          <w:p w14:paraId="681C28EF" w14:textId="339548C6" w:rsidR="001166D2" w:rsidRPr="00D61697" w:rsidRDefault="00EC03A3" w:rsidP="009F7B61">
            <w:pPr>
              <w:pStyle w:val="TableText"/>
              <w:keepNext/>
              <w:jc w:val="center"/>
              <w:rPr>
                <w:b/>
              </w:rPr>
            </w:pPr>
            <w:r>
              <w:rPr>
                <w:b/>
              </w:rPr>
              <w:t>Non</w:t>
            </w:r>
            <w:r>
              <w:rPr>
                <w:b/>
              </w:rPr>
              <w:noBreakHyphen/>
              <w:t>M</w:t>
            </w:r>
            <w:r w:rsidR="001166D2" w:rsidRPr="00D61697">
              <w:rPr>
                <w:b/>
              </w:rPr>
              <w:t>āori children</w:t>
            </w:r>
            <w:r w:rsidR="001166D2" w:rsidRPr="00D61697">
              <w:rPr>
                <w:b/>
              </w:rPr>
              <w:br/>
              <w:t>%</w:t>
            </w:r>
          </w:p>
        </w:tc>
      </w:tr>
      <w:tr w:rsidR="001166D2" w:rsidRPr="00D61697" w14:paraId="6BB0ED17" w14:textId="77777777" w:rsidTr="001166D2">
        <w:trPr>
          <w:cantSplit/>
        </w:trPr>
        <w:tc>
          <w:tcPr>
            <w:tcW w:w="1560" w:type="dxa"/>
            <w:tcBorders>
              <w:top w:val="nil"/>
            </w:tcBorders>
            <w:shd w:val="clear" w:color="auto" w:fill="auto"/>
          </w:tcPr>
          <w:p w14:paraId="1534CF9D" w14:textId="77777777" w:rsidR="001166D2" w:rsidRPr="00D61697" w:rsidRDefault="001166D2" w:rsidP="009F7B61">
            <w:pPr>
              <w:pStyle w:val="TableText"/>
              <w:keepNext/>
            </w:pPr>
            <w:r w:rsidRPr="00D61697">
              <w:t>2011/12</w:t>
            </w:r>
          </w:p>
        </w:tc>
        <w:tc>
          <w:tcPr>
            <w:tcW w:w="1984" w:type="dxa"/>
            <w:tcBorders>
              <w:top w:val="nil"/>
            </w:tcBorders>
            <w:shd w:val="clear" w:color="auto" w:fill="auto"/>
            <w:vAlign w:val="bottom"/>
          </w:tcPr>
          <w:p w14:paraId="260D736F" w14:textId="77777777" w:rsidR="001166D2" w:rsidRPr="00D61697" w:rsidRDefault="001166D2" w:rsidP="009F7B61">
            <w:pPr>
              <w:pStyle w:val="TableText"/>
              <w:keepNext/>
              <w:jc w:val="center"/>
            </w:pPr>
            <w:r w:rsidRPr="00D61697">
              <w:t>27.0</w:t>
            </w:r>
          </w:p>
        </w:tc>
        <w:tc>
          <w:tcPr>
            <w:tcW w:w="2126" w:type="dxa"/>
            <w:tcBorders>
              <w:top w:val="nil"/>
            </w:tcBorders>
            <w:shd w:val="clear" w:color="auto" w:fill="auto"/>
            <w:vAlign w:val="bottom"/>
          </w:tcPr>
          <w:p w14:paraId="6D12220B" w14:textId="77777777" w:rsidR="001166D2" w:rsidRPr="00D61697" w:rsidRDefault="001166D2" w:rsidP="009F7B61">
            <w:pPr>
              <w:pStyle w:val="TableText"/>
              <w:keepNext/>
              <w:jc w:val="center"/>
            </w:pPr>
            <w:r w:rsidRPr="00D61697">
              <w:t>17.2</w:t>
            </w:r>
          </w:p>
        </w:tc>
      </w:tr>
      <w:tr w:rsidR="001166D2" w:rsidRPr="00D61697" w14:paraId="7EDCC000" w14:textId="77777777" w:rsidTr="001166D2">
        <w:trPr>
          <w:cantSplit/>
        </w:trPr>
        <w:tc>
          <w:tcPr>
            <w:tcW w:w="1560" w:type="dxa"/>
            <w:shd w:val="clear" w:color="auto" w:fill="auto"/>
          </w:tcPr>
          <w:p w14:paraId="7D84772D" w14:textId="77777777" w:rsidR="001166D2" w:rsidRPr="00D61697" w:rsidRDefault="001166D2" w:rsidP="009F7B61">
            <w:pPr>
              <w:pStyle w:val="TableText"/>
              <w:keepNext/>
            </w:pPr>
            <w:r w:rsidRPr="00D61697">
              <w:t>2012/13</w:t>
            </w:r>
          </w:p>
        </w:tc>
        <w:tc>
          <w:tcPr>
            <w:tcW w:w="1984" w:type="dxa"/>
            <w:shd w:val="clear" w:color="auto" w:fill="auto"/>
            <w:vAlign w:val="bottom"/>
          </w:tcPr>
          <w:p w14:paraId="5DDCE1DF" w14:textId="77777777" w:rsidR="001166D2" w:rsidRPr="00D61697" w:rsidRDefault="001166D2" w:rsidP="009F7B61">
            <w:pPr>
              <w:pStyle w:val="TableText"/>
              <w:keepNext/>
              <w:jc w:val="center"/>
            </w:pPr>
            <w:r w:rsidRPr="00D61697">
              <w:t>27.8</w:t>
            </w:r>
          </w:p>
        </w:tc>
        <w:tc>
          <w:tcPr>
            <w:tcW w:w="2126" w:type="dxa"/>
            <w:shd w:val="clear" w:color="auto" w:fill="auto"/>
            <w:vAlign w:val="bottom"/>
          </w:tcPr>
          <w:p w14:paraId="7DD210D5" w14:textId="77777777" w:rsidR="001166D2" w:rsidRPr="00D61697" w:rsidRDefault="001166D2" w:rsidP="009F7B61">
            <w:pPr>
              <w:pStyle w:val="TableText"/>
              <w:keepNext/>
              <w:jc w:val="center"/>
            </w:pPr>
            <w:r w:rsidRPr="00D61697">
              <w:t>18.2</w:t>
            </w:r>
          </w:p>
        </w:tc>
      </w:tr>
      <w:tr w:rsidR="001166D2" w:rsidRPr="00D61697" w14:paraId="3315F348" w14:textId="77777777" w:rsidTr="001166D2">
        <w:trPr>
          <w:cantSplit/>
        </w:trPr>
        <w:tc>
          <w:tcPr>
            <w:tcW w:w="1560" w:type="dxa"/>
            <w:shd w:val="clear" w:color="auto" w:fill="auto"/>
          </w:tcPr>
          <w:p w14:paraId="75BEAD51" w14:textId="77777777" w:rsidR="001166D2" w:rsidRPr="00D61697" w:rsidRDefault="001166D2" w:rsidP="009F7B61">
            <w:pPr>
              <w:pStyle w:val="TableText"/>
              <w:keepNext/>
            </w:pPr>
            <w:r w:rsidRPr="00D61697">
              <w:t>2013/14</w:t>
            </w:r>
          </w:p>
        </w:tc>
        <w:tc>
          <w:tcPr>
            <w:tcW w:w="1984" w:type="dxa"/>
            <w:shd w:val="clear" w:color="auto" w:fill="auto"/>
            <w:vAlign w:val="bottom"/>
          </w:tcPr>
          <w:p w14:paraId="2F0BFD3B" w14:textId="77777777" w:rsidR="001166D2" w:rsidRPr="00D61697" w:rsidRDefault="001166D2" w:rsidP="009F7B61">
            <w:pPr>
              <w:pStyle w:val="TableText"/>
              <w:keepNext/>
              <w:jc w:val="center"/>
            </w:pPr>
            <w:r w:rsidRPr="00D61697">
              <w:t>27.4</w:t>
            </w:r>
          </w:p>
        </w:tc>
        <w:tc>
          <w:tcPr>
            <w:tcW w:w="2126" w:type="dxa"/>
            <w:shd w:val="clear" w:color="auto" w:fill="auto"/>
            <w:vAlign w:val="bottom"/>
          </w:tcPr>
          <w:p w14:paraId="79FE7D32" w14:textId="77777777" w:rsidR="001166D2" w:rsidRPr="00D61697" w:rsidRDefault="001166D2" w:rsidP="009F7B61">
            <w:pPr>
              <w:pStyle w:val="TableText"/>
              <w:keepNext/>
              <w:jc w:val="center"/>
            </w:pPr>
            <w:r w:rsidRPr="00D61697">
              <w:t>19.4</w:t>
            </w:r>
          </w:p>
        </w:tc>
      </w:tr>
      <w:tr w:rsidR="001166D2" w:rsidRPr="00D61697" w14:paraId="34912842" w14:textId="77777777" w:rsidTr="001166D2">
        <w:trPr>
          <w:cantSplit/>
        </w:trPr>
        <w:tc>
          <w:tcPr>
            <w:tcW w:w="1560" w:type="dxa"/>
            <w:shd w:val="clear" w:color="auto" w:fill="auto"/>
          </w:tcPr>
          <w:p w14:paraId="6C22DE68" w14:textId="77777777" w:rsidR="001166D2" w:rsidRPr="00D61697" w:rsidRDefault="001166D2" w:rsidP="009F7B61">
            <w:pPr>
              <w:pStyle w:val="TableText"/>
              <w:keepNext/>
            </w:pPr>
            <w:r w:rsidRPr="00D61697">
              <w:t>2014/15</w:t>
            </w:r>
          </w:p>
        </w:tc>
        <w:tc>
          <w:tcPr>
            <w:tcW w:w="1984" w:type="dxa"/>
            <w:shd w:val="clear" w:color="auto" w:fill="auto"/>
            <w:vAlign w:val="bottom"/>
          </w:tcPr>
          <w:p w14:paraId="10BB200A" w14:textId="77777777" w:rsidR="001166D2" w:rsidRPr="00D61697" w:rsidRDefault="001166D2" w:rsidP="009F7B61">
            <w:pPr>
              <w:pStyle w:val="TableText"/>
              <w:keepNext/>
              <w:jc w:val="center"/>
            </w:pPr>
            <w:r w:rsidRPr="00D61697">
              <w:t>27.3</w:t>
            </w:r>
          </w:p>
        </w:tc>
        <w:tc>
          <w:tcPr>
            <w:tcW w:w="2126" w:type="dxa"/>
            <w:shd w:val="clear" w:color="auto" w:fill="auto"/>
            <w:vAlign w:val="bottom"/>
          </w:tcPr>
          <w:p w14:paraId="75C8D49B" w14:textId="77777777" w:rsidR="001166D2" w:rsidRPr="00D61697" w:rsidRDefault="001166D2" w:rsidP="009F7B61">
            <w:pPr>
              <w:pStyle w:val="TableText"/>
              <w:keepNext/>
              <w:jc w:val="center"/>
            </w:pPr>
            <w:r w:rsidRPr="00D61697">
              <w:t>19.6</w:t>
            </w:r>
          </w:p>
        </w:tc>
      </w:tr>
      <w:tr w:rsidR="001166D2" w:rsidRPr="00D61697" w14:paraId="2AEDD076" w14:textId="77777777" w:rsidTr="001166D2">
        <w:trPr>
          <w:cantSplit/>
        </w:trPr>
        <w:tc>
          <w:tcPr>
            <w:tcW w:w="1560" w:type="dxa"/>
            <w:shd w:val="clear" w:color="auto" w:fill="auto"/>
          </w:tcPr>
          <w:p w14:paraId="3FC23FD2" w14:textId="77777777" w:rsidR="001166D2" w:rsidRPr="00D61697" w:rsidRDefault="001166D2" w:rsidP="009F7B61">
            <w:pPr>
              <w:pStyle w:val="TableText"/>
              <w:keepNext/>
            </w:pPr>
            <w:r w:rsidRPr="00D61697">
              <w:t>2015/16</w:t>
            </w:r>
          </w:p>
        </w:tc>
        <w:tc>
          <w:tcPr>
            <w:tcW w:w="1984" w:type="dxa"/>
            <w:shd w:val="clear" w:color="auto" w:fill="auto"/>
            <w:vAlign w:val="bottom"/>
          </w:tcPr>
          <w:p w14:paraId="1A173EF2" w14:textId="77777777" w:rsidR="001166D2" w:rsidRPr="00D61697" w:rsidRDefault="001166D2" w:rsidP="009F7B61">
            <w:pPr>
              <w:pStyle w:val="TableText"/>
              <w:keepNext/>
              <w:jc w:val="center"/>
            </w:pPr>
            <w:r w:rsidRPr="00D61697">
              <w:t>28.1</w:t>
            </w:r>
          </w:p>
        </w:tc>
        <w:tc>
          <w:tcPr>
            <w:tcW w:w="2126" w:type="dxa"/>
            <w:shd w:val="clear" w:color="auto" w:fill="auto"/>
            <w:vAlign w:val="bottom"/>
          </w:tcPr>
          <w:p w14:paraId="08D693B9" w14:textId="77777777" w:rsidR="001166D2" w:rsidRPr="00D61697" w:rsidRDefault="001166D2" w:rsidP="009F7B61">
            <w:pPr>
              <w:pStyle w:val="TableText"/>
              <w:keepNext/>
              <w:jc w:val="center"/>
            </w:pPr>
            <w:r w:rsidRPr="00D61697">
              <w:t>22.4</w:t>
            </w:r>
          </w:p>
        </w:tc>
      </w:tr>
      <w:tr w:rsidR="001166D2" w:rsidRPr="00D61697" w14:paraId="75056B29" w14:textId="77777777" w:rsidTr="001166D2">
        <w:trPr>
          <w:cantSplit/>
        </w:trPr>
        <w:tc>
          <w:tcPr>
            <w:tcW w:w="1560" w:type="dxa"/>
            <w:shd w:val="clear" w:color="auto" w:fill="auto"/>
          </w:tcPr>
          <w:p w14:paraId="006317D0" w14:textId="77777777" w:rsidR="001166D2" w:rsidRPr="00D61697" w:rsidRDefault="001166D2" w:rsidP="009F7B61">
            <w:pPr>
              <w:pStyle w:val="TableText"/>
              <w:keepNext/>
            </w:pPr>
            <w:r w:rsidRPr="00D61697">
              <w:t>2016/17</w:t>
            </w:r>
          </w:p>
        </w:tc>
        <w:tc>
          <w:tcPr>
            <w:tcW w:w="1984" w:type="dxa"/>
            <w:shd w:val="clear" w:color="auto" w:fill="auto"/>
            <w:vAlign w:val="bottom"/>
          </w:tcPr>
          <w:p w14:paraId="74952AFA" w14:textId="77777777" w:rsidR="001166D2" w:rsidRPr="00D61697" w:rsidRDefault="001166D2" w:rsidP="009F7B61">
            <w:pPr>
              <w:pStyle w:val="TableText"/>
              <w:keepNext/>
              <w:jc w:val="center"/>
            </w:pPr>
            <w:r w:rsidRPr="00D61697">
              <w:t>24.8</w:t>
            </w:r>
          </w:p>
        </w:tc>
        <w:tc>
          <w:tcPr>
            <w:tcW w:w="2126" w:type="dxa"/>
            <w:shd w:val="clear" w:color="auto" w:fill="auto"/>
            <w:vAlign w:val="bottom"/>
          </w:tcPr>
          <w:p w14:paraId="199E9D4E" w14:textId="77777777" w:rsidR="001166D2" w:rsidRPr="00D61697" w:rsidRDefault="001166D2" w:rsidP="009F7B61">
            <w:pPr>
              <w:pStyle w:val="TableText"/>
              <w:keepNext/>
              <w:jc w:val="center"/>
            </w:pPr>
            <w:r w:rsidRPr="00D61697">
              <w:t>18.7</w:t>
            </w:r>
          </w:p>
        </w:tc>
      </w:tr>
    </w:tbl>
    <w:p w14:paraId="02E0ACA0" w14:textId="77777777" w:rsidR="008A5642" w:rsidRDefault="00EC479F" w:rsidP="009F7B61">
      <w:pPr>
        <w:pStyle w:val="Note"/>
        <w:keepNext/>
        <w:rPr>
          <w:rFonts w:eastAsia="Calibri"/>
        </w:rPr>
      </w:pPr>
      <w:r w:rsidRPr="00892068">
        <w:rPr>
          <w:rFonts w:eastAsia="Calibri"/>
        </w:rPr>
        <w:t>Notes:</w:t>
      </w:r>
    </w:p>
    <w:p w14:paraId="5C93A11F" w14:textId="22448631" w:rsidR="008A5642" w:rsidRDefault="00446D86" w:rsidP="009F7B61">
      <w:pPr>
        <w:pStyle w:val="Note"/>
        <w:keepNext/>
        <w:rPr>
          <w:rFonts w:eastAsia="Calibri"/>
        </w:rPr>
      </w:pPr>
      <w:r>
        <w:rPr>
          <w:rFonts w:eastAsia="Calibri"/>
        </w:rPr>
        <w:t>Figures are age-standardised to the 2001 Census total Māori population</w:t>
      </w:r>
      <w:r w:rsidR="00EC479F" w:rsidRPr="00892068">
        <w:rPr>
          <w:rFonts w:eastAsia="Calibri"/>
        </w:rPr>
        <w:t>.</w:t>
      </w:r>
    </w:p>
    <w:p w14:paraId="032BF748" w14:textId="004B1C91" w:rsidR="00EC479F" w:rsidRPr="00892068" w:rsidRDefault="00EC479F" w:rsidP="009F7B61">
      <w:pPr>
        <w:pStyle w:val="Note"/>
        <w:keepNext/>
        <w:rPr>
          <w:rFonts w:eastAsia="Calibri"/>
        </w:rPr>
      </w:pPr>
      <w:r w:rsidRPr="00892068">
        <w:rPr>
          <w:rFonts w:eastAsia="Calibri"/>
        </w:rPr>
        <w:t>Prioritised ethnicity has been used.</w:t>
      </w:r>
    </w:p>
    <w:p w14:paraId="48BA3256" w14:textId="7C885A1B" w:rsidR="00EC479F" w:rsidRPr="00D61697" w:rsidRDefault="00EC479F" w:rsidP="00B6364B">
      <w:pPr>
        <w:pStyle w:val="Note"/>
        <w:rPr>
          <w:rFonts w:eastAsia="Calibri"/>
        </w:rPr>
      </w:pPr>
      <w:r w:rsidRPr="00892068">
        <w:rPr>
          <w:rFonts w:eastAsia="Calibri"/>
        </w:rPr>
        <w:t>Source: New Zealand Health Survey (NZHS)</w:t>
      </w:r>
      <w:r w:rsidR="00B6364B" w:rsidRPr="00892068">
        <w:rPr>
          <w:rFonts w:eastAsia="Calibri"/>
        </w:rPr>
        <w:t>, Ministry of Health</w:t>
      </w:r>
      <w:r w:rsidRPr="00892068">
        <w:rPr>
          <w:rFonts w:eastAsia="Calibri"/>
        </w:rPr>
        <w:t>, 20</w:t>
      </w:r>
      <w:r>
        <w:rPr>
          <w:rFonts w:eastAsia="Calibri"/>
        </w:rPr>
        <w:t>11</w:t>
      </w:r>
      <w:r w:rsidRPr="00892068">
        <w:rPr>
          <w:rFonts w:eastAsia="Calibri"/>
        </w:rPr>
        <w:t>/</w:t>
      </w:r>
      <w:r>
        <w:rPr>
          <w:rFonts w:eastAsia="Calibri"/>
        </w:rPr>
        <w:t>12</w:t>
      </w:r>
      <w:r w:rsidRPr="00892068">
        <w:rPr>
          <w:rFonts w:eastAsia="Calibri"/>
        </w:rPr>
        <w:t>–2016/17</w:t>
      </w:r>
      <w:r>
        <w:rPr>
          <w:rFonts w:eastAsia="Calibri"/>
        </w:rPr>
        <w:t>.</w:t>
      </w:r>
    </w:p>
    <w:p w14:paraId="2A29FB64" w14:textId="77777777" w:rsidR="00674CB1" w:rsidRDefault="00674CB1" w:rsidP="00EC479F"/>
    <w:p w14:paraId="71FD0E07" w14:textId="6878637D" w:rsidR="00EC479F" w:rsidRPr="00D61697" w:rsidRDefault="00EC479F" w:rsidP="00EC479F">
      <w:r w:rsidRPr="00D61697">
        <w:t xml:space="preserve">Māori children experienced higher unmet need than </w:t>
      </w:r>
      <w:r w:rsidR="00EC03A3">
        <w:t>non</w:t>
      </w:r>
      <w:r w:rsidR="00EC03A3">
        <w:noBreakHyphen/>
        <w:t>M</w:t>
      </w:r>
      <w:r w:rsidRPr="00D61697">
        <w:t>āori children over time (2011/12–2016/17).</w:t>
      </w:r>
    </w:p>
    <w:p w14:paraId="14100A66" w14:textId="77777777" w:rsidR="00EC479F" w:rsidRPr="00D61697" w:rsidRDefault="00EC479F" w:rsidP="001166D2"/>
    <w:p w14:paraId="2849291E" w14:textId="77777777" w:rsidR="001166D2" w:rsidRPr="00D61697" w:rsidRDefault="001166D2" w:rsidP="009F7B61">
      <w:pPr>
        <w:pStyle w:val="Heading3"/>
        <w:pageBreakBefore/>
        <w:spacing w:before="0"/>
      </w:pPr>
      <w:bookmarkStart w:id="379" w:name="_Toc19102438"/>
      <w:r w:rsidRPr="00D61697">
        <w:lastRenderedPageBreak/>
        <w:t>Māori females reported the highest percentage of unfilled prescriptions due to cost</w:t>
      </w:r>
      <w:r w:rsidRPr="00D61697">
        <w:rPr>
          <w:rStyle w:val="FootnoteReference"/>
        </w:rPr>
        <w:footnoteReference w:id="8"/>
      </w:r>
      <w:bookmarkEnd w:id="379"/>
    </w:p>
    <w:p w14:paraId="19BB2337" w14:textId="4D5934E0" w:rsidR="001166D2" w:rsidRPr="00D61697" w:rsidRDefault="001166D2" w:rsidP="001166D2">
      <w:pPr>
        <w:pStyle w:val="Figure"/>
        <w:rPr>
          <w:rFonts w:eastAsia="Calibri"/>
        </w:rPr>
      </w:pPr>
      <w:bookmarkStart w:id="380" w:name="_Toc19101976"/>
      <w:r w:rsidRPr="00D61697">
        <w:rPr>
          <w:rFonts w:eastAsia="Calibri"/>
        </w:rPr>
        <w:t xml:space="preserve">Figure </w:t>
      </w:r>
      <w:r w:rsidR="00674CB1">
        <w:rPr>
          <w:rFonts w:eastAsia="Calibri"/>
        </w:rPr>
        <w:t>12</w:t>
      </w:r>
      <w:r w:rsidR="00572A9A">
        <w:rPr>
          <w:rFonts w:eastAsia="Calibri"/>
        </w:rPr>
        <w:t>5</w:t>
      </w:r>
      <w:r w:rsidRPr="00D61697">
        <w:rPr>
          <w:rFonts w:eastAsia="Calibri"/>
        </w:rPr>
        <w:t>: Unfilled prescription due to cost in past 12 months</w:t>
      </w:r>
      <w:r w:rsidR="00674CB1">
        <w:rPr>
          <w:rFonts w:eastAsia="Calibri"/>
        </w:rPr>
        <w:t xml:space="preserve">, 15+ years, Māori and </w:t>
      </w:r>
      <w:r w:rsidR="00EC03A3">
        <w:rPr>
          <w:rFonts w:eastAsia="Calibri"/>
        </w:rPr>
        <w:t>non</w:t>
      </w:r>
      <w:r w:rsidR="00EC03A3">
        <w:rPr>
          <w:rFonts w:eastAsia="Calibri"/>
        </w:rPr>
        <w:noBreakHyphen/>
        <w:t>M</w:t>
      </w:r>
      <w:r w:rsidR="00674CB1">
        <w:rPr>
          <w:rFonts w:eastAsia="Calibri"/>
        </w:rPr>
        <w:t xml:space="preserve">āori, </w:t>
      </w:r>
      <w:r w:rsidRPr="00D61697">
        <w:rPr>
          <w:rFonts w:eastAsia="Calibri"/>
        </w:rPr>
        <w:t>20</w:t>
      </w:r>
      <w:r w:rsidR="00674CB1">
        <w:rPr>
          <w:rFonts w:eastAsia="Calibri"/>
        </w:rPr>
        <w:t>11</w:t>
      </w:r>
      <w:r w:rsidRPr="00D61697">
        <w:rPr>
          <w:rFonts w:eastAsia="Calibri"/>
        </w:rPr>
        <w:t>/</w:t>
      </w:r>
      <w:r w:rsidR="00674CB1">
        <w:rPr>
          <w:rFonts w:eastAsia="Calibri"/>
        </w:rPr>
        <w:t>12</w:t>
      </w:r>
      <w:r w:rsidRPr="00D61697">
        <w:rPr>
          <w:rFonts w:eastAsia="Calibri"/>
        </w:rPr>
        <w:t>–2016/17</w:t>
      </w:r>
      <w:bookmarkEnd w:id="380"/>
    </w:p>
    <w:p w14:paraId="3B42BB1D" w14:textId="77777777" w:rsidR="001166D2" w:rsidRPr="00D61697" w:rsidRDefault="001166D2" w:rsidP="001166D2">
      <w:r w:rsidRPr="00D61697">
        <w:rPr>
          <w:noProof/>
          <w:lang w:eastAsia="en-NZ"/>
        </w:rPr>
        <w:drawing>
          <wp:inline distT="0" distB="0" distL="0" distR="0" wp14:anchorId="01D4FB83" wp14:editId="6AE23EE8">
            <wp:extent cx="5130165" cy="3058916"/>
            <wp:effectExtent l="0" t="0" r="0" b="8255"/>
            <wp:docPr id="332" name="Picture 332" descr="More Māori than non-Māori had a cost-prohibitive prescription in the previous 12 months. The rate for non-Māori has remained relatively steady at about 6 percent, while the rate for Māori has dropped over time." title="Figure 125: Unfilled prescription due to cost in past 12 months (age standardised percentages (%), 2006/07–2016/17) –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5130165" cy="3058916"/>
                    </a:xfrm>
                    <a:prstGeom prst="rect">
                      <a:avLst/>
                    </a:prstGeom>
                  </pic:spPr>
                </pic:pic>
              </a:graphicData>
            </a:graphic>
          </wp:inline>
        </w:drawing>
      </w:r>
    </w:p>
    <w:p w14:paraId="57A71A00" w14:textId="77777777" w:rsidR="008A5642" w:rsidRDefault="00674CB1" w:rsidP="001C62E1">
      <w:pPr>
        <w:pStyle w:val="Note"/>
        <w:ind w:left="0" w:firstLine="0"/>
        <w:rPr>
          <w:rFonts w:eastAsia="Calibri"/>
        </w:rPr>
      </w:pPr>
      <w:r w:rsidRPr="00892068">
        <w:rPr>
          <w:rFonts w:eastAsia="Calibri"/>
        </w:rPr>
        <w:t>Notes:</w:t>
      </w:r>
    </w:p>
    <w:p w14:paraId="6EA9BACF" w14:textId="69206C63" w:rsidR="008A5642" w:rsidRDefault="00446D86" w:rsidP="001C62E1">
      <w:pPr>
        <w:pStyle w:val="Note"/>
        <w:ind w:left="0" w:firstLine="0"/>
        <w:rPr>
          <w:rFonts w:eastAsia="Calibri"/>
        </w:rPr>
      </w:pPr>
      <w:r>
        <w:rPr>
          <w:rFonts w:eastAsia="Calibri"/>
        </w:rPr>
        <w:t>Figures are age-standardised to the 2001 Census total Māori population</w:t>
      </w:r>
      <w:r w:rsidR="00674CB1" w:rsidRPr="00892068">
        <w:rPr>
          <w:rFonts w:eastAsia="Calibri"/>
        </w:rPr>
        <w:t>.</w:t>
      </w:r>
    </w:p>
    <w:p w14:paraId="1BBEF060" w14:textId="409D53EE" w:rsidR="00674CB1" w:rsidRPr="00892068" w:rsidRDefault="00674CB1" w:rsidP="001C62E1">
      <w:pPr>
        <w:pStyle w:val="Note"/>
        <w:ind w:left="0" w:firstLine="0"/>
        <w:rPr>
          <w:rFonts w:eastAsia="Calibri"/>
        </w:rPr>
      </w:pPr>
      <w:r w:rsidRPr="00892068">
        <w:rPr>
          <w:rFonts w:eastAsia="Calibri"/>
        </w:rPr>
        <w:t>Prioritised ethnicity has been used.</w:t>
      </w:r>
    </w:p>
    <w:p w14:paraId="76E684C5" w14:textId="77777777" w:rsidR="008A5642" w:rsidRDefault="00674CB1" w:rsidP="001C62E1">
      <w:pPr>
        <w:pStyle w:val="Note"/>
        <w:ind w:left="0" w:firstLine="0"/>
        <w:rPr>
          <w:rFonts w:eastAsia="Calibri"/>
        </w:rPr>
      </w:pPr>
      <w:r w:rsidRPr="00892068">
        <w:rPr>
          <w:rFonts w:eastAsia="Calibri"/>
        </w:rPr>
        <w:t>If the confidence intervals of two rates do not overlap, the difference in rates is said to be statistically significant.</w:t>
      </w:r>
    </w:p>
    <w:p w14:paraId="4DC4E906" w14:textId="00707FE1" w:rsidR="00674CB1" w:rsidRPr="00D61697" w:rsidRDefault="00674CB1" w:rsidP="001C62E1">
      <w:pPr>
        <w:pStyle w:val="Note"/>
        <w:ind w:left="0" w:firstLine="0"/>
        <w:rPr>
          <w:rFonts w:eastAsia="Calibri"/>
        </w:rPr>
      </w:pPr>
      <w:r w:rsidRPr="00892068">
        <w:rPr>
          <w:rFonts w:eastAsia="Calibri"/>
        </w:rPr>
        <w:t>Source: New Zealand Health Survey (NZHS)</w:t>
      </w:r>
      <w:r w:rsidR="001C62E1" w:rsidRPr="00892068">
        <w:rPr>
          <w:rFonts w:eastAsia="Calibri"/>
        </w:rPr>
        <w:t>, Ministry of Health</w:t>
      </w:r>
      <w:r w:rsidRPr="00892068">
        <w:rPr>
          <w:rFonts w:eastAsia="Calibri"/>
        </w:rPr>
        <w:t>, 20</w:t>
      </w:r>
      <w:r>
        <w:rPr>
          <w:rFonts w:eastAsia="Calibri"/>
        </w:rPr>
        <w:t>11</w:t>
      </w:r>
      <w:r w:rsidRPr="00892068">
        <w:rPr>
          <w:rFonts w:eastAsia="Calibri"/>
        </w:rPr>
        <w:t>/</w:t>
      </w:r>
      <w:r>
        <w:rPr>
          <w:rFonts w:eastAsia="Calibri"/>
        </w:rPr>
        <w:t>12</w:t>
      </w:r>
      <w:r w:rsidRPr="00892068">
        <w:rPr>
          <w:rFonts w:eastAsia="Calibri"/>
        </w:rPr>
        <w:t>–2016/17</w:t>
      </w:r>
      <w:r>
        <w:rPr>
          <w:rFonts w:eastAsia="Calibri"/>
        </w:rPr>
        <w:t>.</w:t>
      </w:r>
    </w:p>
    <w:p w14:paraId="162C7222" w14:textId="77777777" w:rsidR="001166D2" w:rsidRPr="00D61697" w:rsidRDefault="001166D2" w:rsidP="001166D2"/>
    <w:p w14:paraId="5F21F1AA" w14:textId="692BB915" w:rsidR="00674CB1" w:rsidRPr="00D61697" w:rsidRDefault="00674CB1" w:rsidP="00674CB1">
      <w:r>
        <w:t>Figure 12</w:t>
      </w:r>
      <w:r w:rsidR="003B4A96">
        <w:t>5</w:t>
      </w:r>
      <w:r>
        <w:t xml:space="preserve"> shows that </w:t>
      </w:r>
      <w:r w:rsidRPr="00D61697">
        <w:t xml:space="preserve">Māori adults were more likely than </w:t>
      </w:r>
      <w:r w:rsidR="00EC03A3">
        <w:t>non</w:t>
      </w:r>
      <w:r w:rsidR="00EC03A3">
        <w:noBreakHyphen/>
        <w:t>M</w:t>
      </w:r>
      <w:r w:rsidRPr="00D61697">
        <w:t xml:space="preserve">āori adults to have reported not collecting prescriptions due to cost at any time in the last 12 months. Whilst the percentage of unfilled prescriptions due to cost has decreased slightly over time for Māori, in 2016/17, Māori adults were still more than twice as likely to have unfilled prescriptions due to cost </w:t>
      </w:r>
      <w:r>
        <w:t>as</w:t>
      </w:r>
      <w:r w:rsidRPr="00D61697">
        <w:t xml:space="preserve"> </w:t>
      </w:r>
      <w:r w:rsidR="00EC03A3">
        <w:t>non</w:t>
      </w:r>
      <w:r w:rsidR="00EC03A3">
        <w:noBreakHyphen/>
        <w:t>M</w:t>
      </w:r>
      <w:r w:rsidRPr="00D61697">
        <w:t>āori adults.</w:t>
      </w:r>
    </w:p>
    <w:p w14:paraId="3440F02F" w14:textId="77777777" w:rsidR="00674CB1" w:rsidRPr="00D61697" w:rsidRDefault="00674CB1" w:rsidP="00674CB1"/>
    <w:p w14:paraId="3A4B045B" w14:textId="77DEB257" w:rsidR="00674CB1" w:rsidRPr="00D61697" w:rsidRDefault="00674CB1" w:rsidP="00674CB1">
      <w:r w:rsidRPr="00D61697">
        <w:t xml:space="preserve">Māori females aged 15+ reported the highest percentage of unfilled prescriptions due to cost from 2011/12 (21.3 percent) to 2016/17 (17.7 percent) compared </w:t>
      </w:r>
      <w:r>
        <w:t>with</w:t>
      </w:r>
      <w:r w:rsidRPr="00D61697">
        <w:t xml:space="preserve"> </w:t>
      </w:r>
      <w:r w:rsidR="00EC03A3">
        <w:t>non</w:t>
      </w:r>
      <w:r w:rsidR="00EC03A3">
        <w:noBreakHyphen/>
        <w:t>M</w:t>
      </w:r>
      <w:r w:rsidRPr="00D61697">
        <w:t>āori females (8.0 percent in 2011/12 and 8.7 percent in 2016/17).</w:t>
      </w:r>
    </w:p>
    <w:p w14:paraId="6AF2E342" w14:textId="77777777" w:rsidR="001166D2" w:rsidRPr="00D61697" w:rsidRDefault="001166D2" w:rsidP="001166D2"/>
    <w:p w14:paraId="030550C5" w14:textId="4105655E" w:rsidR="001166D2" w:rsidRPr="00D61697" w:rsidRDefault="001166D2" w:rsidP="001166D2">
      <w:pPr>
        <w:pStyle w:val="Figure"/>
        <w:rPr>
          <w:rFonts w:eastAsia="Calibri"/>
        </w:rPr>
      </w:pPr>
      <w:bookmarkStart w:id="381" w:name="_Toc19101977"/>
      <w:r w:rsidRPr="00D61697">
        <w:rPr>
          <w:rFonts w:eastAsia="Calibri"/>
        </w:rPr>
        <w:lastRenderedPageBreak/>
        <w:t xml:space="preserve">Figure </w:t>
      </w:r>
      <w:r w:rsidR="00674CB1">
        <w:rPr>
          <w:rFonts w:eastAsia="Calibri"/>
        </w:rPr>
        <w:t>12</w:t>
      </w:r>
      <w:r w:rsidR="00572A9A">
        <w:rPr>
          <w:rFonts w:eastAsia="Calibri"/>
        </w:rPr>
        <w:t>6</w:t>
      </w:r>
      <w:r w:rsidRPr="00D61697">
        <w:rPr>
          <w:rFonts w:eastAsia="Calibri"/>
        </w:rPr>
        <w:t xml:space="preserve">: </w:t>
      </w:r>
      <w:r w:rsidR="00674CB1" w:rsidRPr="00D61697">
        <w:rPr>
          <w:rFonts w:eastAsia="Calibri"/>
        </w:rPr>
        <w:t>Unfilled prescription due to cost in past 12 months</w:t>
      </w:r>
      <w:r w:rsidR="00674CB1">
        <w:rPr>
          <w:rFonts w:eastAsia="Calibri"/>
        </w:rPr>
        <w:t xml:space="preserve">, 0–14 years, by gender, Māori and </w:t>
      </w:r>
      <w:r w:rsidR="00EC03A3">
        <w:rPr>
          <w:rFonts w:eastAsia="Calibri"/>
        </w:rPr>
        <w:t>non</w:t>
      </w:r>
      <w:r w:rsidR="00EC03A3">
        <w:rPr>
          <w:rFonts w:eastAsia="Calibri"/>
        </w:rPr>
        <w:noBreakHyphen/>
        <w:t>M</w:t>
      </w:r>
      <w:r w:rsidR="00674CB1">
        <w:rPr>
          <w:rFonts w:eastAsia="Calibri"/>
        </w:rPr>
        <w:t xml:space="preserve">āori, </w:t>
      </w:r>
      <w:r w:rsidR="00674CB1" w:rsidRPr="00D61697">
        <w:rPr>
          <w:rFonts w:eastAsia="Calibri"/>
        </w:rPr>
        <w:t>20</w:t>
      </w:r>
      <w:r w:rsidR="00674CB1">
        <w:rPr>
          <w:rFonts w:eastAsia="Calibri"/>
        </w:rPr>
        <w:t>11</w:t>
      </w:r>
      <w:r w:rsidR="00674CB1" w:rsidRPr="00D61697">
        <w:rPr>
          <w:rFonts w:eastAsia="Calibri"/>
        </w:rPr>
        <w:t>/</w:t>
      </w:r>
      <w:r w:rsidR="00674CB1">
        <w:rPr>
          <w:rFonts w:eastAsia="Calibri"/>
        </w:rPr>
        <w:t>12</w:t>
      </w:r>
      <w:r w:rsidR="00674CB1" w:rsidRPr="00D61697">
        <w:rPr>
          <w:rFonts w:eastAsia="Calibri"/>
        </w:rPr>
        <w:t>–2016/17</w:t>
      </w:r>
      <w:bookmarkEnd w:id="381"/>
    </w:p>
    <w:p w14:paraId="7DF8375B" w14:textId="77777777" w:rsidR="001166D2" w:rsidRPr="00D61697" w:rsidRDefault="001166D2" w:rsidP="001166D2">
      <w:pPr>
        <w:rPr>
          <w:rFonts w:eastAsia="Calibri"/>
        </w:rPr>
      </w:pPr>
      <w:r w:rsidRPr="00D61697">
        <w:rPr>
          <w:noProof/>
          <w:lang w:eastAsia="en-NZ"/>
        </w:rPr>
        <w:drawing>
          <wp:inline distT="0" distB="0" distL="0" distR="0" wp14:anchorId="3752D690" wp14:editId="52DE9E5A">
            <wp:extent cx="5130165" cy="2613315"/>
            <wp:effectExtent l="0" t="0" r="0" b="0"/>
            <wp:docPr id="333" name="Picture 333" descr="Māori girls were most likely to have a cost-prohibitive prescription. Māori boys were the next most likely, followed by non-Māori boys and non-Māori girls. The rates for all groups have fluctuated over time, but seem to be declining." title="Figure 126: Unfilled prescription due to cost in past 12 months (age standardised percentages (%), by sex, 2006/07–2016/17) –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5130165" cy="2613315"/>
                    </a:xfrm>
                    <a:prstGeom prst="rect">
                      <a:avLst/>
                    </a:prstGeom>
                  </pic:spPr>
                </pic:pic>
              </a:graphicData>
            </a:graphic>
          </wp:inline>
        </w:drawing>
      </w:r>
    </w:p>
    <w:p w14:paraId="4F39BE5F" w14:textId="77777777" w:rsidR="008A5642" w:rsidRDefault="00674CB1" w:rsidP="001C62E1">
      <w:pPr>
        <w:pStyle w:val="Note"/>
        <w:ind w:left="0" w:firstLine="0"/>
        <w:rPr>
          <w:rFonts w:eastAsia="Calibri"/>
        </w:rPr>
      </w:pPr>
      <w:r w:rsidRPr="00892068">
        <w:rPr>
          <w:rFonts w:eastAsia="Calibri"/>
        </w:rPr>
        <w:t>Notes:</w:t>
      </w:r>
    </w:p>
    <w:p w14:paraId="13583D46" w14:textId="20D7B351" w:rsidR="008A5642" w:rsidRDefault="00446D86" w:rsidP="001C62E1">
      <w:pPr>
        <w:pStyle w:val="Note"/>
        <w:ind w:left="0" w:firstLine="0"/>
        <w:rPr>
          <w:rFonts w:eastAsia="Calibri"/>
        </w:rPr>
      </w:pPr>
      <w:r>
        <w:rPr>
          <w:rFonts w:eastAsia="Calibri"/>
        </w:rPr>
        <w:t>Figures are age-standardised to the 2001 Census total Māori population</w:t>
      </w:r>
      <w:r w:rsidR="00674CB1" w:rsidRPr="00892068">
        <w:rPr>
          <w:rFonts w:eastAsia="Calibri"/>
        </w:rPr>
        <w:t>.</w:t>
      </w:r>
    </w:p>
    <w:p w14:paraId="7643A920" w14:textId="75492D35" w:rsidR="00674CB1" w:rsidRPr="00892068" w:rsidRDefault="00674CB1" w:rsidP="001C62E1">
      <w:pPr>
        <w:pStyle w:val="Note"/>
        <w:ind w:left="0" w:firstLine="0"/>
        <w:rPr>
          <w:rFonts w:eastAsia="Calibri"/>
        </w:rPr>
      </w:pPr>
      <w:r w:rsidRPr="00892068">
        <w:rPr>
          <w:rFonts w:eastAsia="Calibri"/>
        </w:rPr>
        <w:t>Prioritised ethnicity has been used.</w:t>
      </w:r>
    </w:p>
    <w:p w14:paraId="3B0476DA" w14:textId="77777777" w:rsidR="008A5642" w:rsidRDefault="00674CB1" w:rsidP="001C62E1">
      <w:pPr>
        <w:pStyle w:val="Note"/>
        <w:ind w:left="0" w:firstLine="0"/>
        <w:rPr>
          <w:rFonts w:eastAsia="Calibri"/>
        </w:rPr>
      </w:pPr>
      <w:r w:rsidRPr="00892068">
        <w:rPr>
          <w:rFonts w:eastAsia="Calibri"/>
        </w:rPr>
        <w:t>If the confidence intervals of two rates do not overlap, the difference in rates is said to be statistically significant.</w:t>
      </w:r>
    </w:p>
    <w:p w14:paraId="7BE078CB" w14:textId="3B335303" w:rsidR="00674CB1" w:rsidRPr="00D61697" w:rsidRDefault="00674CB1" w:rsidP="001C62E1">
      <w:pPr>
        <w:pStyle w:val="Note"/>
        <w:ind w:left="0" w:firstLine="0"/>
        <w:rPr>
          <w:rFonts w:eastAsia="Calibri"/>
        </w:rPr>
      </w:pPr>
      <w:r w:rsidRPr="00892068">
        <w:rPr>
          <w:rFonts w:eastAsia="Calibri"/>
        </w:rPr>
        <w:t>Source: New Zealand Health Survey (NZHS)</w:t>
      </w:r>
      <w:r w:rsidR="001C62E1" w:rsidRPr="00892068">
        <w:rPr>
          <w:rFonts w:eastAsia="Calibri"/>
        </w:rPr>
        <w:t>, Ministry of Health</w:t>
      </w:r>
      <w:r w:rsidRPr="00892068">
        <w:rPr>
          <w:rFonts w:eastAsia="Calibri"/>
        </w:rPr>
        <w:t>, 20</w:t>
      </w:r>
      <w:r>
        <w:rPr>
          <w:rFonts w:eastAsia="Calibri"/>
        </w:rPr>
        <w:t>11</w:t>
      </w:r>
      <w:r w:rsidRPr="00892068">
        <w:rPr>
          <w:rFonts w:eastAsia="Calibri"/>
        </w:rPr>
        <w:t>/</w:t>
      </w:r>
      <w:r>
        <w:rPr>
          <w:rFonts w:eastAsia="Calibri"/>
        </w:rPr>
        <w:t>12</w:t>
      </w:r>
      <w:r w:rsidRPr="00892068">
        <w:rPr>
          <w:rFonts w:eastAsia="Calibri"/>
        </w:rPr>
        <w:t>–2016/17</w:t>
      </w:r>
      <w:r>
        <w:rPr>
          <w:rFonts w:eastAsia="Calibri"/>
        </w:rPr>
        <w:t>.</w:t>
      </w:r>
    </w:p>
    <w:p w14:paraId="6D86F363" w14:textId="77777777" w:rsidR="00674CB1" w:rsidRDefault="00674CB1" w:rsidP="00674CB1">
      <w:pPr>
        <w:rPr>
          <w:rFonts w:eastAsia="Calibri"/>
        </w:rPr>
      </w:pPr>
    </w:p>
    <w:p w14:paraId="6D340FAD" w14:textId="366BDAD2" w:rsidR="00674CB1" w:rsidRDefault="00674CB1" w:rsidP="00674CB1">
      <w:r>
        <w:t>Figure 12</w:t>
      </w:r>
      <w:r w:rsidR="003B4A96">
        <w:t>6</w:t>
      </w:r>
      <w:r>
        <w:t xml:space="preserve"> shows that </w:t>
      </w:r>
      <w:r w:rsidRPr="00D61697">
        <w:t xml:space="preserve">Māori children were more likely than </w:t>
      </w:r>
      <w:r w:rsidR="00EC03A3">
        <w:t>non</w:t>
      </w:r>
      <w:r w:rsidR="00EC03A3">
        <w:noBreakHyphen/>
        <w:t>M</w:t>
      </w:r>
      <w:r w:rsidRPr="00D61697">
        <w:t xml:space="preserve">āori children to have unfilled prescriptions due to cost at any time in the last 12 months. Whilst the percentage of unfilled prescriptions due to cost has decreased over time for Māori children, Māori children were still over 2½ times as likely as </w:t>
      </w:r>
      <w:r w:rsidR="00EC03A3">
        <w:t>non</w:t>
      </w:r>
      <w:r w:rsidR="00EC03A3">
        <w:noBreakHyphen/>
        <w:t>M</w:t>
      </w:r>
      <w:r w:rsidRPr="00D61697">
        <w:t>āori children to have unfilled prescriptions due to cost in 2016/17 and this has changed little over time.</w:t>
      </w:r>
    </w:p>
    <w:p w14:paraId="09D240EA" w14:textId="77777777" w:rsidR="009F7B61" w:rsidRPr="00D61697" w:rsidRDefault="009F7B61" w:rsidP="00674CB1"/>
    <w:p w14:paraId="014A63A7" w14:textId="77777777" w:rsidR="004A7F24" w:rsidRPr="00AC1D66" w:rsidRDefault="00932BA7" w:rsidP="00530269">
      <w:pPr>
        <w:pStyle w:val="Heading1"/>
      </w:pPr>
      <w:bookmarkStart w:id="382" w:name="_Toc19102439"/>
      <w:r>
        <w:lastRenderedPageBreak/>
        <w:t>Health system indicators</w:t>
      </w:r>
      <w:bookmarkEnd w:id="382"/>
    </w:p>
    <w:p w14:paraId="1DDD9E44" w14:textId="77777777" w:rsidR="00FC6DDF" w:rsidRPr="0062007D" w:rsidRDefault="00FC6DDF" w:rsidP="00FC6DDF">
      <w:pPr>
        <w:pStyle w:val="Heading2"/>
        <w:rPr>
          <w:noProof/>
          <w:lang w:eastAsia="en-NZ"/>
        </w:rPr>
      </w:pPr>
      <w:bookmarkStart w:id="383" w:name="_Toc14718616"/>
      <w:bookmarkStart w:id="384" w:name="_Toc19102440"/>
      <w:bookmarkStart w:id="385" w:name="_Toc397424530"/>
      <w:bookmarkStart w:id="386" w:name="_Toc354993978"/>
      <w:r>
        <w:rPr>
          <w:noProof/>
          <w:lang w:eastAsia="en-NZ"/>
        </w:rPr>
        <w:t>Amenable mortality and ambulatory sensitive hospitalisation (ASH)</w:t>
      </w:r>
      <w:bookmarkEnd w:id="383"/>
      <w:bookmarkEnd w:id="384"/>
    </w:p>
    <w:p w14:paraId="5A0D4AB4" w14:textId="77777777" w:rsidR="00FC6DDF" w:rsidRPr="009F7B61" w:rsidRDefault="00FC6DDF" w:rsidP="009F7B61">
      <w:pPr>
        <w:ind w:right="-142"/>
        <w:rPr>
          <w:spacing w:val="-2"/>
        </w:rPr>
      </w:pPr>
      <w:r w:rsidRPr="009F7B61">
        <w:rPr>
          <w:spacing w:val="-2"/>
        </w:rPr>
        <w:t>The indicators included in this section are used to measure the performance of the health system and include amenable mortality and ambulatory-sensitive hospitalisation (ASH).</w:t>
      </w:r>
    </w:p>
    <w:p w14:paraId="62110887" w14:textId="77777777" w:rsidR="009F7B61" w:rsidRDefault="009F7B61" w:rsidP="00FC6DDF"/>
    <w:p w14:paraId="4AF7C2FB" w14:textId="77777777" w:rsidR="00093F4B" w:rsidRDefault="00093F4B" w:rsidP="00093F4B">
      <w:pPr>
        <w:pStyle w:val="Heading3"/>
      </w:pPr>
      <w:bookmarkStart w:id="387" w:name="_Toc19102441"/>
      <w:r>
        <w:t>Amenable mortality</w:t>
      </w:r>
      <w:bookmarkEnd w:id="387"/>
    </w:p>
    <w:p w14:paraId="1DFFE26A" w14:textId="6CDEF454" w:rsidR="00FC6DDF" w:rsidRDefault="00FC6DDF" w:rsidP="00FC6DDF">
      <w:r w:rsidRPr="00093F4B">
        <w:rPr>
          <w:b/>
        </w:rPr>
        <w:t>Amenable mortality</w:t>
      </w:r>
      <w:r w:rsidRPr="00880B6A">
        <w:t xml:space="preserve"> is defined as premature deaths </w:t>
      </w:r>
      <w:r>
        <w:t>(deaths under the age of 75</w:t>
      </w:r>
      <w:r w:rsidR="009F7B61">
        <w:t> </w:t>
      </w:r>
      <w:r>
        <w:t xml:space="preserve">years) </w:t>
      </w:r>
      <w:r w:rsidRPr="00880B6A">
        <w:t>that could potentially be avoided</w:t>
      </w:r>
      <w:r>
        <w:t>,</w:t>
      </w:r>
      <w:r w:rsidRPr="00880B6A">
        <w:t xml:space="preserve"> given effective and timely </w:t>
      </w:r>
      <w:r>
        <w:t xml:space="preserve">health </w:t>
      </w:r>
      <w:r w:rsidRPr="00880B6A">
        <w:t xml:space="preserve">care. That is, </w:t>
      </w:r>
      <w:r>
        <w:t xml:space="preserve">early </w:t>
      </w:r>
      <w:r w:rsidRPr="00880B6A">
        <w:t xml:space="preserve">deaths from diseases </w:t>
      </w:r>
      <w:r>
        <w:t xml:space="preserve">or injuries </w:t>
      </w:r>
      <w:r w:rsidRPr="00880B6A">
        <w:t xml:space="preserve">for which effective health interventions exist </w:t>
      </w:r>
      <w:r>
        <w:t>and are accessible to New Zealanders in need (Ministry of Health 2016</w:t>
      </w:r>
      <w:r w:rsidR="000B7F7E">
        <w:t>b</w:t>
      </w:r>
      <w:r>
        <w:t>).</w:t>
      </w:r>
    </w:p>
    <w:p w14:paraId="7C9DBE11" w14:textId="77777777" w:rsidR="00FC6DDF" w:rsidRDefault="00FC6DDF" w:rsidP="00FC6DDF"/>
    <w:p w14:paraId="4A918FE8" w14:textId="58AD0B49" w:rsidR="00093F4B" w:rsidRDefault="00093F4B" w:rsidP="00093F4B">
      <w:pPr>
        <w:pStyle w:val="Figure"/>
      </w:pPr>
      <w:bookmarkStart w:id="388" w:name="_Toc19101978"/>
      <w:r>
        <w:t>Figure 12</w:t>
      </w:r>
      <w:r w:rsidR="00572A9A">
        <w:t>7</w:t>
      </w:r>
      <w:r>
        <w:t xml:space="preserve">: Amenable mortality rates, 0–74 years, by gender, Māori and </w:t>
      </w:r>
      <w:r w:rsidR="00EC03A3">
        <w:t>non</w:t>
      </w:r>
      <w:r w:rsidR="00EC03A3">
        <w:noBreakHyphen/>
        <w:t>M</w:t>
      </w:r>
      <w:r>
        <w:t>āori, 2000–2015</w:t>
      </w:r>
      <w:bookmarkEnd w:id="388"/>
    </w:p>
    <w:p w14:paraId="4D4A8954" w14:textId="77777777" w:rsidR="00093F4B" w:rsidRPr="005E732F" w:rsidRDefault="00093F4B" w:rsidP="00093F4B">
      <w:r w:rsidRPr="007031EE">
        <w:rPr>
          <w:noProof/>
          <w:lang w:eastAsia="en-NZ"/>
        </w:rPr>
        <w:drawing>
          <wp:inline distT="0" distB="0" distL="0" distR="0" wp14:anchorId="547DAB03" wp14:editId="24D03394">
            <wp:extent cx="5045825" cy="2886834"/>
            <wp:effectExtent l="0" t="0" r="2540" b="8890"/>
            <wp:docPr id="334" name="Picture 334" descr="Amenable death rates have decreased for all groups over time. The rate is highest among Māori men, followed by Māori women, non-Māori men and non-Māori women." title="Figure 127: Age-standardised amenable mortality rates, 0–74 years, Māori and non Māori, by sex, 2000–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7"/>
                    <a:srcRect t="1635" b="2172"/>
                    <a:stretch/>
                  </pic:blipFill>
                  <pic:spPr bwMode="auto">
                    <a:xfrm>
                      <a:off x="0" y="0"/>
                      <a:ext cx="5047017" cy="2887516"/>
                    </a:xfrm>
                    <a:prstGeom prst="rect">
                      <a:avLst/>
                    </a:prstGeom>
                    <a:ln>
                      <a:noFill/>
                    </a:ln>
                    <a:extLst>
                      <a:ext uri="{53640926-AAD7-44D8-BBD7-CCE9431645EC}">
                        <a14:shadowObscured xmlns:a14="http://schemas.microsoft.com/office/drawing/2010/main"/>
                      </a:ext>
                    </a:extLst>
                  </pic:spPr>
                </pic:pic>
              </a:graphicData>
            </a:graphic>
          </wp:inline>
        </w:drawing>
      </w:r>
    </w:p>
    <w:p w14:paraId="3F833162" w14:textId="77777777" w:rsidR="00093F4B" w:rsidRDefault="00093F4B" w:rsidP="00093F4B">
      <w:pPr>
        <w:pStyle w:val="Note"/>
      </w:pPr>
      <w:r w:rsidRPr="00181EF3">
        <w:t>Note</w:t>
      </w:r>
      <w:r>
        <w:t>s</w:t>
      </w:r>
      <w:r w:rsidRPr="00181EF3">
        <w:t>:</w:t>
      </w:r>
    </w:p>
    <w:p w14:paraId="67366A7A" w14:textId="3BC312D4" w:rsidR="008A5642" w:rsidRDefault="00446D86" w:rsidP="00093F4B">
      <w:pPr>
        <w:pStyle w:val="Note"/>
      </w:pPr>
      <w:r>
        <w:t>Figures are age-standardised to the 2001 Census total Māori population</w:t>
      </w:r>
      <w:r w:rsidR="00093F4B" w:rsidRPr="00181EF3">
        <w:t>.</w:t>
      </w:r>
    </w:p>
    <w:p w14:paraId="538EB41E" w14:textId="35505E17" w:rsidR="00093F4B" w:rsidRPr="00181EF3" w:rsidRDefault="00093F4B" w:rsidP="00093F4B">
      <w:pPr>
        <w:pStyle w:val="Note"/>
      </w:pPr>
      <w:r>
        <w:t>Prioritised ethnicity has been used.</w:t>
      </w:r>
    </w:p>
    <w:p w14:paraId="60DC8564" w14:textId="77777777" w:rsidR="008A5642" w:rsidRPr="009F7B61" w:rsidRDefault="00093F4B" w:rsidP="00463EA1">
      <w:pPr>
        <w:pStyle w:val="Note"/>
        <w:ind w:left="0" w:firstLine="0"/>
        <w:rPr>
          <w:spacing w:val="-2"/>
        </w:rPr>
      </w:pPr>
      <w:r w:rsidRPr="009F7B61">
        <w:rPr>
          <w:spacing w:val="-2"/>
        </w:rPr>
        <w:t>If the confidence intervals of two rates do not overlap, the difference in rates is said to be statistically significant.</w:t>
      </w:r>
    </w:p>
    <w:p w14:paraId="467DE46F" w14:textId="2D9FA728" w:rsidR="00093F4B" w:rsidRDefault="00093F4B" w:rsidP="00093F4B">
      <w:pPr>
        <w:pStyle w:val="Source"/>
        <w:rPr>
          <w:rFonts w:eastAsia="Calibri"/>
        </w:rPr>
      </w:pPr>
      <w:r w:rsidRPr="00181EF3">
        <w:rPr>
          <w:rFonts w:eastAsia="Calibri"/>
        </w:rPr>
        <w:t>Source: Mortality Collection Data Set (MORT), Ministry of Health</w:t>
      </w:r>
      <w:r>
        <w:rPr>
          <w:rFonts w:eastAsia="Calibri"/>
        </w:rPr>
        <w:t xml:space="preserve">, </w:t>
      </w:r>
      <w:r>
        <w:t>2000</w:t>
      </w:r>
      <w:r w:rsidRPr="00181EF3">
        <w:t xml:space="preserve"> to 201</w:t>
      </w:r>
      <w:r>
        <w:t>5</w:t>
      </w:r>
      <w:r w:rsidRPr="00181EF3">
        <w:rPr>
          <w:rFonts w:eastAsia="Calibri"/>
        </w:rPr>
        <w:t>.</w:t>
      </w:r>
    </w:p>
    <w:p w14:paraId="3BF865F2" w14:textId="0D9BE750" w:rsidR="00FC6DDF" w:rsidRDefault="00093F4B" w:rsidP="009F7B61">
      <w:pPr>
        <w:spacing w:before="240"/>
      </w:pPr>
      <w:r>
        <w:lastRenderedPageBreak/>
        <w:t>Figure 12</w:t>
      </w:r>
      <w:r w:rsidR="003B4A96">
        <w:t>7</w:t>
      </w:r>
      <w:r>
        <w:t xml:space="preserve"> shows that </w:t>
      </w:r>
      <w:r w:rsidR="00FC6DDF" w:rsidRPr="00093F4B">
        <w:rPr>
          <w:b/>
        </w:rPr>
        <w:t xml:space="preserve">Māori have a higher amenable mortality rate than </w:t>
      </w:r>
      <w:r w:rsidR="00EC03A3">
        <w:rPr>
          <w:b/>
        </w:rPr>
        <w:t>non</w:t>
      </w:r>
      <w:r w:rsidR="00EC03A3">
        <w:rPr>
          <w:b/>
        </w:rPr>
        <w:noBreakHyphen/>
        <w:t>M</w:t>
      </w:r>
      <w:r w:rsidR="00FC6DDF" w:rsidRPr="00093F4B">
        <w:rPr>
          <w:b/>
        </w:rPr>
        <w:t>āori after adjusting for age</w:t>
      </w:r>
      <w:r w:rsidR="00FC6DDF" w:rsidRPr="009F7B61">
        <w:t>.</w:t>
      </w:r>
      <w:r w:rsidR="00FC6DDF" w:rsidRPr="009A0FCF">
        <w:rPr>
          <w:rStyle w:val="FootnoteReference"/>
          <w:rFonts w:eastAsia="MS Gothic"/>
        </w:rPr>
        <w:footnoteReference w:id="9"/>
      </w:r>
      <w:r w:rsidR="00FC6DDF">
        <w:t xml:space="preserve"> This disparity is higher for females: the age-standardised amenable mortality rate among Māori females is 2.39 times as high as that among </w:t>
      </w:r>
      <w:r w:rsidR="00EC03A3">
        <w:t>non</w:t>
      </w:r>
      <w:r w:rsidR="00EC03A3">
        <w:noBreakHyphen/>
        <w:t>M</w:t>
      </w:r>
      <w:r w:rsidR="00FC6DDF">
        <w:t>āori females in 2015. The Māori male amenable mortality rate remains higher than that of Māori females, despite the rate ratios being mostly higher for females.</w:t>
      </w:r>
    </w:p>
    <w:p w14:paraId="436BD5F2" w14:textId="77777777" w:rsidR="00FC6DDF" w:rsidRDefault="00FC6DDF" w:rsidP="00FC6DDF"/>
    <w:p w14:paraId="1AFB875F" w14:textId="13528218" w:rsidR="00FC6DDF" w:rsidRDefault="00FC6DDF" w:rsidP="00FC6DDF">
      <w:pPr>
        <w:pStyle w:val="Figure"/>
      </w:pPr>
      <w:bookmarkStart w:id="389" w:name="_Toc19101979"/>
      <w:r>
        <w:t xml:space="preserve">Figure </w:t>
      </w:r>
      <w:r w:rsidR="00093F4B">
        <w:t>1</w:t>
      </w:r>
      <w:r>
        <w:t>2</w:t>
      </w:r>
      <w:r w:rsidR="00572A9A">
        <w:t>8</w:t>
      </w:r>
      <w:r>
        <w:t xml:space="preserve">: Age-standardised rate ratios for amenable mortality, 0–74 years, </w:t>
      </w:r>
      <w:r w:rsidR="00093F4B">
        <w:t xml:space="preserve">by gender, </w:t>
      </w:r>
      <w:r>
        <w:t xml:space="preserve">Māori vs </w:t>
      </w:r>
      <w:r w:rsidR="00EC03A3">
        <w:t>non</w:t>
      </w:r>
      <w:r w:rsidR="00EC03A3">
        <w:noBreakHyphen/>
        <w:t>M</w:t>
      </w:r>
      <w:r>
        <w:t>āori, 2000–2015</w:t>
      </w:r>
      <w:bookmarkEnd w:id="389"/>
    </w:p>
    <w:p w14:paraId="3E8514EA" w14:textId="77777777" w:rsidR="00FC6DDF" w:rsidRPr="007031EE" w:rsidRDefault="00FC6DDF" w:rsidP="00FC6DDF">
      <w:r w:rsidRPr="007031EE">
        <w:rPr>
          <w:noProof/>
          <w:lang w:eastAsia="en-NZ"/>
        </w:rPr>
        <w:drawing>
          <wp:inline distT="0" distB="0" distL="0" distR="0" wp14:anchorId="1CE0C7FF" wp14:editId="79093FF9">
            <wp:extent cx="5045825" cy="2585847"/>
            <wp:effectExtent l="0" t="0" r="2540" b="5080"/>
            <wp:docPr id="335" name="Picture 335" descr="The graph shows that there is a greater amenable death disparity between Māori and non-Māori women than between Māori and non-Māori men. The rates for both have remained relatively steady over time." title="Figure 128: Age-standardised rate ratios for amenable mortality, 0–74 years, Māori vs non Māori, by sex, 2000–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8"/>
                    <a:srcRect t="2167"/>
                    <a:stretch/>
                  </pic:blipFill>
                  <pic:spPr bwMode="auto">
                    <a:xfrm>
                      <a:off x="0" y="0"/>
                      <a:ext cx="5050143" cy="2588060"/>
                    </a:xfrm>
                    <a:prstGeom prst="rect">
                      <a:avLst/>
                    </a:prstGeom>
                    <a:ln>
                      <a:noFill/>
                    </a:ln>
                    <a:extLst>
                      <a:ext uri="{53640926-AAD7-44D8-BBD7-CCE9431645EC}">
                        <a14:shadowObscured xmlns:a14="http://schemas.microsoft.com/office/drawing/2010/main"/>
                      </a:ext>
                    </a:extLst>
                  </pic:spPr>
                </pic:pic>
              </a:graphicData>
            </a:graphic>
          </wp:inline>
        </w:drawing>
      </w:r>
    </w:p>
    <w:p w14:paraId="128020D7" w14:textId="77777777" w:rsidR="00093F4B" w:rsidRDefault="00093F4B" w:rsidP="00093F4B">
      <w:pPr>
        <w:pStyle w:val="Note"/>
      </w:pPr>
      <w:r w:rsidRPr="00181EF3">
        <w:t>Note</w:t>
      </w:r>
      <w:r>
        <w:t>s</w:t>
      </w:r>
      <w:r w:rsidRPr="00181EF3">
        <w:t>:</w:t>
      </w:r>
    </w:p>
    <w:p w14:paraId="30430083" w14:textId="761C8451" w:rsidR="008A5642" w:rsidRDefault="00446D86" w:rsidP="00093F4B">
      <w:pPr>
        <w:pStyle w:val="Note"/>
      </w:pPr>
      <w:r>
        <w:t>Figures are age-standardised to the 2001 Census total Māori population</w:t>
      </w:r>
      <w:r w:rsidR="00093F4B" w:rsidRPr="00181EF3">
        <w:t>.</w:t>
      </w:r>
    </w:p>
    <w:p w14:paraId="228730B3" w14:textId="06F641B2" w:rsidR="00093F4B" w:rsidRPr="00181EF3" w:rsidRDefault="00093F4B" w:rsidP="00093F4B">
      <w:pPr>
        <w:pStyle w:val="Note"/>
      </w:pPr>
      <w:r>
        <w:t>Prioritised ethnicity has been used.</w:t>
      </w:r>
    </w:p>
    <w:p w14:paraId="238D7F39" w14:textId="60D548AA" w:rsidR="008A5642" w:rsidRDefault="0078298C" w:rsidP="0078298C">
      <w:pPr>
        <w:pStyle w:val="Note"/>
        <w:ind w:left="0" w:firstLine="0"/>
      </w:pPr>
      <w:r>
        <w:rPr>
          <w:rFonts w:eastAsia="Calibri"/>
        </w:rPr>
        <w:t xml:space="preserve">If the </w:t>
      </w:r>
      <w:r w:rsidRPr="001C62E1">
        <w:rPr>
          <w:rFonts w:eastAsia="Calibri"/>
        </w:rPr>
        <w:t>confidence</w:t>
      </w:r>
      <w:r>
        <w:rPr>
          <w:rFonts w:eastAsia="Calibri"/>
        </w:rPr>
        <w:t xml:space="preserve"> interval of the rate ratio does not include the number 1, the ratio is said to be statistically significant.</w:t>
      </w:r>
    </w:p>
    <w:p w14:paraId="15F68ADC" w14:textId="157779EF" w:rsidR="00093F4B" w:rsidRPr="00181EF3" w:rsidRDefault="00093F4B" w:rsidP="00093F4B">
      <w:pPr>
        <w:pStyle w:val="Source"/>
        <w:rPr>
          <w:rFonts w:eastAsia="Calibri"/>
        </w:rPr>
      </w:pPr>
      <w:r w:rsidRPr="00181EF3">
        <w:rPr>
          <w:rFonts w:eastAsia="Calibri"/>
        </w:rPr>
        <w:t>Source: Mortality Collection Data Set (MORT), Ministry of Health</w:t>
      </w:r>
      <w:r>
        <w:rPr>
          <w:rFonts w:eastAsia="Calibri"/>
        </w:rPr>
        <w:t xml:space="preserve">, </w:t>
      </w:r>
      <w:r>
        <w:t>2000</w:t>
      </w:r>
      <w:r w:rsidRPr="00181EF3">
        <w:t xml:space="preserve"> to 201</w:t>
      </w:r>
      <w:r>
        <w:t>5</w:t>
      </w:r>
      <w:r w:rsidRPr="00181EF3">
        <w:rPr>
          <w:rFonts w:eastAsia="Calibri"/>
        </w:rPr>
        <w:t>.</w:t>
      </w:r>
    </w:p>
    <w:p w14:paraId="2E39D065" w14:textId="77777777" w:rsidR="00093F4B" w:rsidRDefault="00093F4B" w:rsidP="009F7B61">
      <w:pPr>
        <w:rPr>
          <w:rFonts w:eastAsia="Calibri"/>
        </w:rPr>
      </w:pPr>
    </w:p>
    <w:p w14:paraId="7AFC8E8D" w14:textId="4074E3E0" w:rsidR="00093F4B" w:rsidRDefault="00093F4B" w:rsidP="00093F4B">
      <w:r w:rsidRPr="009E1B0E">
        <w:rPr>
          <w:b/>
        </w:rPr>
        <w:t>The equity gap is narrowing over time, especially for females</w:t>
      </w:r>
      <w:r>
        <w:rPr>
          <w:b/>
        </w:rPr>
        <w:t>:</w:t>
      </w:r>
      <w:r>
        <w:t xml:space="preserve"> the age-standardised amenable mortality rate was nearly three times as likely in Māori females as it was in </w:t>
      </w:r>
      <w:r w:rsidR="00EC03A3">
        <w:t>non</w:t>
      </w:r>
      <w:r w:rsidR="00EC03A3">
        <w:noBreakHyphen/>
        <w:t>M</w:t>
      </w:r>
      <w:r>
        <w:t>āori females in 2000 and dropped to 2.39 times in 2015 (Figure 12</w:t>
      </w:r>
      <w:r w:rsidR="003B4A96">
        <w:t>8</w:t>
      </w:r>
      <w:r>
        <w:t>).</w:t>
      </w:r>
    </w:p>
    <w:p w14:paraId="45F5AB96" w14:textId="77777777" w:rsidR="00093F4B" w:rsidRDefault="00093F4B" w:rsidP="00093F4B"/>
    <w:p w14:paraId="3BA450B2" w14:textId="4F16B067" w:rsidR="008A5642" w:rsidRDefault="00093F4B" w:rsidP="00093F4B">
      <w:r w:rsidRPr="00093F4B">
        <w:rPr>
          <w:i/>
        </w:rPr>
        <w:t>Saving Lives: Amenable mortality in New Zealand, 1996–2006</w:t>
      </w:r>
      <w:r w:rsidRPr="00093F4B">
        <w:t xml:space="preserve"> (Ministry of Health 2010</w:t>
      </w:r>
      <w:r>
        <w:t>b</w:t>
      </w:r>
      <w:r w:rsidRPr="00093F4B">
        <w:t xml:space="preserve">) contains further analyses comparing Māori with </w:t>
      </w:r>
      <w:r w:rsidR="00EC03A3">
        <w:t>non</w:t>
      </w:r>
      <w:r w:rsidR="00EC03A3">
        <w:noBreakHyphen/>
        <w:t>M</w:t>
      </w:r>
      <w:r w:rsidRPr="00093F4B">
        <w:t xml:space="preserve">āori: </w:t>
      </w:r>
      <w:hyperlink r:id="rId169" w:history="1">
        <w:r w:rsidRPr="00B6309B">
          <w:rPr>
            <w:rStyle w:val="Hyperlink"/>
          </w:rPr>
          <w:t>www.health.govt.nz/publication/saving-lives-amenable-mortality-new-zealand-1996–2006</w:t>
        </w:r>
      </w:hyperlink>
    </w:p>
    <w:p w14:paraId="180D8F9B" w14:textId="0656666E" w:rsidR="00093F4B" w:rsidRDefault="00093F4B" w:rsidP="00093F4B"/>
    <w:p w14:paraId="62E34D96" w14:textId="77777777" w:rsidR="00093F4B" w:rsidRDefault="00093F4B" w:rsidP="009F7B61">
      <w:pPr>
        <w:pStyle w:val="Heading3"/>
        <w:pageBreakBefore/>
        <w:spacing w:before="0"/>
        <w:rPr>
          <w:b/>
        </w:rPr>
      </w:pPr>
      <w:bookmarkStart w:id="390" w:name="_Toc19102442"/>
      <w:r>
        <w:rPr>
          <w:noProof/>
          <w:lang w:eastAsia="en-NZ"/>
        </w:rPr>
        <w:lastRenderedPageBreak/>
        <w:t>Ambulatory sensitive hospitalisation (ASH)</w:t>
      </w:r>
      <w:bookmarkEnd w:id="390"/>
    </w:p>
    <w:p w14:paraId="45245D11" w14:textId="2CC01D80" w:rsidR="00FC6DDF" w:rsidRDefault="00FC6DDF" w:rsidP="00FC6DDF">
      <w:r w:rsidRPr="00DB22C1">
        <w:rPr>
          <w:b/>
        </w:rPr>
        <w:t>ASH</w:t>
      </w:r>
      <w:r>
        <w:t xml:space="preserve"> refers to mostly acute hospital admissions of people less than 75 years old for conditions that are preventable, or that could have been treated earlier in the primary health care setting (Ministry of Health 2017</w:t>
      </w:r>
      <w:r w:rsidR="00D56E91">
        <w:t>a</w:t>
      </w:r>
      <w:r>
        <w:t>).</w:t>
      </w:r>
    </w:p>
    <w:p w14:paraId="1F132C65" w14:textId="77777777" w:rsidR="00FC6DDF" w:rsidRDefault="00FC6DDF" w:rsidP="00FC6DDF"/>
    <w:p w14:paraId="3D9AE2A7" w14:textId="6F6BC4F0" w:rsidR="00FC6DDF" w:rsidRDefault="00FC6DDF" w:rsidP="00FC6DDF">
      <w:pPr>
        <w:pStyle w:val="Figure"/>
      </w:pPr>
      <w:bookmarkStart w:id="391" w:name="_Toc19101980"/>
      <w:r>
        <w:t xml:space="preserve">Figure </w:t>
      </w:r>
      <w:r w:rsidR="00093F4B">
        <w:t>12</w:t>
      </w:r>
      <w:r w:rsidR="00572A9A">
        <w:t>9</w:t>
      </w:r>
      <w:r>
        <w:t xml:space="preserve">: </w:t>
      </w:r>
      <w:r w:rsidR="0078298C">
        <w:t>Ambulatory sensitive hospitalisation (</w:t>
      </w:r>
      <w:r>
        <w:t>ASH</w:t>
      </w:r>
      <w:r w:rsidR="0078298C">
        <w:t>)</w:t>
      </w:r>
      <w:r>
        <w:t xml:space="preserve"> rates, 0–4 years, </w:t>
      </w:r>
      <w:r w:rsidR="00093F4B">
        <w:t xml:space="preserve">by gender, </w:t>
      </w:r>
      <w:r>
        <w:t xml:space="preserve">Māori and </w:t>
      </w:r>
      <w:r w:rsidR="00EC03A3">
        <w:t>non</w:t>
      </w:r>
      <w:r w:rsidR="00EC03A3">
        <w:noBreakHyphen/>
        <w:t>M</w:t>
      </w:r>
      <w:r>
        <w:t>āori, 2002–2017</w:t>
      </w:r>
      <w:bookmarkEnd w:id="391"/>
    </w:p>
    <w:p w14:paraId="79F5F0D7" w14:textId="77777777" w:rsidR="00FC6DDF" w:rsidRPr="007031EE" w:rsidRDefault="00FC6DDF" w:rsidP="00FC6DDF">
      <w:r w:rsidRPr="007031EE">
        <w:rPr>
          <w:noProof/>
          <w:lang w:eastAsia="en-NZ"/>
        </w:rPr>
        <w:drawing>
          <wp:inline distT="0" distB="0" distL="0" distR="0" wp14:anchorId="243D6500" wp14:editId="073BE99E">
            <wp:extent cx="5130165" cy="3046310"/>
            <wp:effectExtent l="0" t="0" r="0" b="1905"/>
            <wp:docPr id="337" name="Picture 337" descr="ASH rates have fluctuated without trending up or down for all groups. Māori men have the highest ASH rates, followed by Māori women, non-Māori men and non-Māori women." title="Figure 129: Age-specific ASH rates, 0–4 years, Māori and non Māori, by sex, 2002–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5130165" cy="3046310"/>
                    </a:xfrm>
                    <a:prstGeom prst="rect">
                      <a:avLst/>
                    </a:prstGeom>
                  </pic:spPr>
                </pic:pic>
              </a:graphicData>
            </a:graphic>
          </wp:inline>
        </w:drawing>
      </w:r>
    </w:p>
    <w:p w14:paraId="6B254F94" w14:textId="77777777" w:rsidR="00093F4B" w:rsidRDefault="00093F4B" w:rsidP="00093F4B">
      <w:pPr>
        <w:pStyle w:val="Note"/>
      </w:pPr>
      <w:r w:rsidRPr="00181EF3">
        <w:t>Note</w:t>
      </w:r>
      <w:r>
        <w:t>s</w:t>
      </w:r>
      <w:r w:rsidRPr="00181EF3">
        <w:t>:</w:t>
      </w:r>
    </w:p>
    <w:p w14:paraId="116ADB20" w14:textId="77777777" w:rsidR="00093F4B" w:rsidRPr="00181EF3" w:rsidRDefault="00093F4B" w:rsidP="00093F4B">
      <w:pPr>
        <w:pStyle w:val="Note"/>
      </w:pPr>
      <w:r>
        <w:t>Prioritised ethnicity has been used.</w:t>
      </w:r>
    </w:p>
    <w:p w14:paraId="2664C7B7" w14:textId="77777777" w:rsidR="008A5642" w:rsidRDefault="00093F4B" w:rsidP="001C62E1">
      <w:pPr>
        <w:pStyle w:val="Note"/>
        <w:ind w:left="0" w:firstLine="0"/>
      </w:pPr>
      <w:r w:rsidRPr="00181EF3">
        <w:t xml:space="preserve">If the </w:t>
      </w:r>
      <w:r w:rsidRPr="001C62E1">
        <w:t>confidence</w:t>
      </w:r>
      <w:r w:rsidRPr="00181EF3">
        <w:t xml:space="preserv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026CE3FF" w14:textId="29B88220" w:rsidR="00093F4B" w:rsidRPr="00181EF3" w:rsidRDefault="00093F4B" w:rsidP="00093F4B">
      <w:pPr>
        <w:pStyle w:val="Source"/>
        <w:rPr>
          <w:rFonts w:eastAsia="Calibri"/>
        </w:rPr>
      </w:pPr>
      <w:r w:rsidRPr="00181EF3">
        <w:rPr>
          <w:rFonts w:eastAsia="Calibri"/>
        </w:rPr>
        <w:t>Source: National Minimum Data Set (NMDS), Ministry of Health</w:t>
      </w:r>
      <w:r>
        <w:rPr>
          <w:rFonts w:eastAsia="Calibri"/>
        </w:rPr>
        <w:t>,</w:t>
      </w:r>
      <w:r w:rsidRPr="00507AA7">
        <w:t xml:space="preserve"> </w:t>
      </w:r>
      <w:r>
        <w:t>2002</w:t>
      </w:r>
      <w:r w:rsidRPr="00181EF3">
        <w:t xml:space="preserve"> to 201</w:t>
      </w:r>
      <w:r>
        <w:t>7</w:t>
      </w:r>
      <w:r w:rsidRPr="00181EF3">
        <w:rPr>
          <w:rFonts w:eastAsia="Calibri"/>
        </w:rPr>
        <w:t>.</w:t>
      </w:r>
    </w:p>
    <w:p w14:paraId="26735A85" w14:textId="77777777" w:rsidR="00FC6DDF" w:rsidRDefault="00FC6DDF" w:rsidP="00FC6DDF"/>
    <w:p w14:paraId="32647297" w14:textId="24C6776B" w:rsidR="00FC6DDF" w:rsidRDefault="00093F4B" w:rsidP="00FC6DDF">
      <w:r>
        <w:t>Figure 12</w:t>
      </w:r>
      <w:r w:rsidR="003B4A96">
        <w:t>9</w:t>
      </w:r>
      <w:r>
        <w:t xml:space="preserve"> shows that b</w:t>
      </w:r>
      <w:r w:rsidR="00FC6DDF">
        <w:t xml:space="preserve">oys had a higher rate of ASH than girls among both Māori and </w:t>
      </w:r>
      <w:r w:rsidR="00EC03A3">
        <w:t>non</w:t>
      </w:r>
      <w:r w:rsidR="00EC03A3">
        <w:noBreakHyphen/>
        <w:t>M</w:t>
      </w:r>
      <w:r w:rsidR="00FC6DDF">
        <w:t xml:space="preserve">āori children. </w:t>
      </w:r>
      <w:r w:rsidR="00FC6DDF" w:rsidRPr="009E1B0E">
        <w:rPr>
          <w:b/>
        </w:rPr>
        <w:t>Māori children aged 0–4 y</w:t>
      </w:r>
      <w:r w:rsidR="00FC6DDF">
        <w:rPr>
          <w:b/>
        </w:rPr>
        <w:t>ea</w:t>
      </w:r>
      <w:r w:rsidR="00FC6DDF" w:rsidRPr="009E1B0E">
        <w:rPr>
          <w:b/>
        </w:rPr>
        <w:t>rs have an approximate 20</w:t>
      </w:r>
      <w:r w:rsidR="00FC6DDF">
        <w:rPr>
          <w:b/>
        </w:rPr>
        <w:t> percent</w:t>
      </w:r>
      <w:r w:rsidR="00FC6DDF" w:rsidRPr="009E1B0E">
        <w:rPr>
          <w:b/>
        </w:rPr>
        <w:t xml:space="preserve"> higher ASH rate than </w:t>
      </w:r>
      <w:r w:rsidR="00EC03A3">
        <w:rPr>
          <w:b/>
        </w:rPr>
        <w:t>non</w:t>
      </w:r>
      <w:r w:rsidR="00EC03A3">
        <w:rPr>
          <w:b/>
        </w:rPr>
        <w:noBreakHyphen/>
        <w:t>M</w:t>
      </w:r>
      <w:r w:rsidR="00FC6DDF" w:rsidRPr="009E1B0E">
        <w:rPr>
          <w:b/>
        </w:rPr>
        <w:t>āori children at the same age group.</w:t>
      </w:r>
      <w:r w:rsidR="00FC6DDF">
        <w:t xml:space="preserve"> There was a widening gap between Māori children and </w:t>
      </w:r>
      <w:r w:rsidR="00EC03A3">
        <w:t>non</w:t>
      </w:r>
      <w:r w:rsidR="00EC03A3">
        <w:noBreakHyphen/>
        <w:t>M</w:t>
      </w:r>
      <w:r w:rsidR="00FC6DDF">
        <w:t xml:space="preserve">āori children in the early 2000s, followed by some narrowing of the gap. Some of the narrowing, however, is due to an increase in </w:t>
      </w:r>
      <w:r w:rsidR="00EC03A3">
        <w:t>non</w:t>
      </w:r>
      <w:r w:rsidR="00EC03A3">
        <w:noBreakHyphen/>
        <w:t>M</w:t>
      </w:r>
      <w:r w:rsidR="00FC6DDF">
        <w:t>āori children’s ASH rates from around 2009, rather than a decrease in Māori children’s ASH rates.</w:t>
      </w:r>
    </w:p>
    <w:p w14:paraId="528CE644" w14:textId="77777777" w:rsidR="00FC6DDF" w:rsidRDefault="00FC6DDF" w:rsidP="00FC6DDF"/>
    <w:p w14:paraId="026AAFA0" w14:textId="51E637FC" w:rsidR="00093F4B" w:rsidRDefault="00093F4B" w:rsidP="00093F4B">
      <w:pPr>
        <w:pStyle w:val="Figure"/>
      </w:pPr>
      <w:bookmarkStart w:id="392" w:name="_Toc19101981"/>
      <w:r>
        <w:lastRenderedPageBreak/>
        <w:t>Figure 1</w:t>
      </w:r>
      <w:r w:rsidR="00572A9A">
        <w:t>30</w:t>
      </w:r>
      <w:r>
        <w:t xml:space="preserve">: Age-standardised rate ratios for </w:t>
      </w:r>
      <w:r w:rsidR="0078298C">
        <w:t>ambulatory sensitive hospitalisation (</w:t>
      </w:r>
      <w:r>
        <w:t>ASH</w:t>
      </w:r>
      <w:r w:rsidR="0078298C">
        <w:t>)</w:t>
      </w:r>
      <w:r>
        <w:t xml:space="preserve">, 45–64 years, by gender, Māori vs </w:t>
      </w:r>
      <w:r w:rsidR="00EC03A3">
        <w:t>non</w:t>
      </w:r>
      <w:r w:rsidR="00EC03A3">
        <w:noBreakHyphen/>
        <w:t>M</w:t>
      </w:r>
      <w:r>
        <w:t>āori, 2002–2017</w:t>
      </w:r>
      <w:bookmarkEnd w:id="392"/>
    </w:p>
    <w:p w14:paraId="51E03656" w14:textId="77777777" w:rsidR="00093F4B" w:rsidRPr="007031EE" w:rsidRDefault="00093F4B" w:rsidP="00093F4B">
      <w:r w:rsidRPr="007031EE">
        <w:rPr>
          <w:noProof/>
          <w:lang w:eastAsia="en-NZ"/>
        </w:rPr>
        <w:drawing>
          <wp:inline distT="0" distB="0" distL="0" distR="0" wp14:anchorId="78E1B6A3" wp14:editId="01A157ED">
            <wp:extent cx="5130165" cy="2687308"/>
            <wp:effectExtent l="0" t="0" r="0" b="0"/>
            <wp:docPr id="338" name="Picture 338" descr="There is a greater disparity of ASH rate between Māori women and non-Māori women than between Māori men and non-Māori men. The rates for both have remained relatively steady over time." title="Figure 130: Age-standardised rate ratios for ASH, 45–64 years, Māori vs non Māori, by sex, 2002–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5130165" cy="2687308"/>
                    </a:xfrm>
                    <a:prstGeom prst="rect">
                      <a:avLst/>
                    </a:prstGeom>
                  </pic:spPr>
                </pic:pic>
              </a:graphicData>
            </a:graphic>
          </wp:inline>
        </w:drawing>
      </w:r>
    </w:p>
    <w:p w14:paraId="21915757" w14:textId="77777777" w:rsidR="00093F4B" w:rsidRDefault="00093F4B" w:rsidP="00093F4B">
      <w:pPr>
        <w:pStyle w:val="Note"/>
      </w:pPr>
      <w:r w:rsidRPr="00181EF3">
        <w:t>Note</w:t>
      </w:r>
      <w:r>
        <w:t>s</w:t>
      </w:r>
      <w:r w:rsidRPr="00181EF3">
        <w:t>:</w:t>
      </w:r>
    </w:p>
    <w:p w14:paraId="739ABCF7" w14:textId="7353589D" w:rsidR="008A5642" w:rsidRDefault="00446D86" w:rsidP="00093F4B">
      <w:pPr>
        <w:pStyle w:val="Note"/>
      </w:pPr>
      <w:r>
        <w:t>Figures are age-standardised to the 2001 Census total Māori population</w:t>
      </w:r>
      <w:r w:rsidR="00093F4B" w:rsidRPr="00181EF3">
        <w:t>.</w:t>
      </w:r>
    </w:p>
    <w:p w14:paraId="58905B20" w14:textId="034E72E7" w:rsidR="00093F4B" w:rsidRPr="00181EF3" w:rsidRDefault="00093F4B" w:rsidP="00093F4B">
      <w:pPr>
        <w:pStyle w:val="Note"/>
      </w:pPr>
      <w:r>
        <w:t>Prioritised ethnicity has been used.</w:t>
      </w:r>
    </w:p>
    <w:p w14:paraId="3504BD4E" w14:textId="77777777" w:rsidR="00093F4B" w:rsidRDefault="00093F4B" w:rsidP="001C62E1">
      <w:pPr>
        <w:pStyle w:val="Note"/>
        <w:ind w:left="0" w:firstLine="0"/>
        <w:rPr>
          <w:rFonts w:eastAsia="Calibri"/>
        </w:rPr>
      </w:pPr>
      <w:r>
        <w:rPr>
          <w:rFonts w:eastAsia="Calibri"/>
        </w:rPr>
        <w:t xml:space="preserve">If the </w:t>
      </w:r>
      <w:r w:rsidRPr="001C62E1">
        <w:rPr>
          <w:rFonts w:eastAsia="Calibri"/>
        </w:rPr>
        <w:t>confidence</w:t>
      </w:r>
      <w:r>
        <w:rPr>
          <w:rFonts w:eastAsia="Calibri"/>
        </w:rPr>
        <w:t xml:space="preserve"> interval of the rate ratio does not include the number 1, the ratio is said to be statistically significant.</w:t>
      </w:r>
    </w:p>
    <w:p w14:paraId="11DF3BA5" w14:textId="77777777" w:rsidR="00093F4B" w:rsidRPr="00181EF3" w:rsidRDefault="00093F4B" w:rsidP="00093F4B">
      <w:pPr>
        <w:pStyle w:val="Source"/>
        <w:rPr>
          <w:rFonts w:eastAsia="Calibri"/>
        </w:rPr>
      </w:pPr>
      <w:r w:rsidRPr="00181EF3">
        <w:rPr>
          <w:rFonts w:eastAsia="Calibri"/>
        </w:rPr>
        <w:t>Source: National Minimum Data Set (NMDS), Ministry of Health</w:t>
      </w:r>
      <w:r>
        <w:rPr>
          <w:rFonts w:eastAsia="Calibri"/>
        </w:rPr>
        <w:t>,</w:t>
      </w:r>
      <w:r w:rsidRPr="00507AA7">
        <w:t xml:space="preserve"> </w:t>
      </w:r>
      <w:r>
        <w:t>2002</w:t>
      </w:r>
      <w:r w:rsidRPr="00181EF3">
        <w:t xml:space="preserve"> to 201</w:t>
      </w:r>
      <w:r>
        <w:t>7</w:t>
      </w:r>
      <w:r w:rsidRPr="00181EF3">
        <w:rPr>
          <w:rFonts w:eastAsia="Calibri"/>
        </w:rPr>
        <w:t>.</w:t>
      </w:r>
    </w:p>
    <w:p w14:paraId="3BFFE868" w14:textId="77777777" w:rsidR="00093F4B" w:rsidRDefault="00093F4B" w:rsidP="00FC6DDF">
      <w:pPr>
        <w:rPr>
          <w:b/>
        </w:rPr>
      </w:pPr>
    </w:p>
    <w:p w14:paraId="6383B1D9" w14:textId="4E4A59B5" w:rsidR="00FC6DDF" w:rsidRPr="009E1B0E" w:rsidRDefault="00FC6DDF" w:rsidP="00FC6DDF">
      <w:pPr>
        <w:rPr>
          <w:b/>
        </w:rPr>
      </w:pPr>
      <w:r w:rsidRPr="009E1B0E">
        <w:rPr>
          <w:b/>
        </w:rPr>
        <w:t>Māori adults aged 45–64 y</w:t>
      </w:r>
      <w:r>
        <w:rPr>
          <w:b/>
        </w:rPr>
        <w:t>ea</w:t>
      </w:r>
      <w:r w:rsidRPr="009E1B0E">
        <w:rPr>
          <w:b/>
        </w:rPr>
        <w:t xml:space="preserve">rs had higher age-standardised ASH rates than </w:t>
      </w:r>
      <w:r w:rsidR="00EC03A3">
        <w:rPr>
          <w:b/>
        </w:rPr>
        <w:t>non</w:t>
      </w:r>
      <w:r w:rsidR="00EC03A3">
        <w:rPr>
          <w:b/>
        </w:rPr>
        <w:noBreakHyphen/>
        <w:t>M</w:t>
      </w:r>
      <w:r w:rsidRPr="009E1B0E">
        <w:rPr>
          <w:b/>
        </w:rPr>
        <w:t xml:space="preserve">āori adults </w:t>
      </w:r>
      <w:r>
        <w:rPr>
          <w:b/>
        </w:rPr>
        <w:t>in</w:t>
      </w:r>
      <w:r w:rsidRPr="009E1B0E">
        <w:rPr>
          <w:b/>
        </w:rPr>
        <w:t xml:space="preserve"> the same age group</w:t>
      </w:r>
      <w:r>
        <w:rPr>
          <w:b/>
        </w:rPr>
        <w:t>,</w:t>
      </w:r>
      <w:r w:rsidRPr="009E1B0E">
        <w:rPr>
          <w:b/>
        </w:rPr>
        <w:t xml:space="preserve"> and the equity gap has not changed much over time.</w:t>
      </w:r>
    </w:p>
    <w:p w14:paraId="4E4ACA64" w14:textId="77777777" w:rsidR="00FC6DDF" w:rsidRDefault="00FC6DDF" w:rsidP="00FC6DDF"/>
    <w:p w14:paraId="26434222" w14:textId="1C3DBDB5" w:rsidR="00FC6DDF" w:rsidRDefault="00FC6DDF" w:rsidP="00FC6DDF">
      <w:r>
        <w:t xml:space="preserve">Among Māori, males and females have similar ASH rates, while among </w:t>
      </w:r>
      <w:r w:rsidR="00EC03A3">
        <w:t>non</w:t>
      </w:r>
      <w:r w:rsidR="00EC03A3">
        <w:noBreakHyphen/>
        <w:t>M</w:t>
      </w:r>
      <w:r>
        <w:t xml:space="preserve">āori, females have lower ASH rates than males. This is shown in the greater disparity between Māori and </w:t>
      </w:r>
      <w:r w:rsidR="00EC03A3">
        <w:t>non</w:t>
      </w:r>
      <w:r w:rsidR="00EC03A3">
        <w:noBreakHyphen/>
        <w:t>M</w:t>
      </w:r>
      <w:r>
        <w:t xml:space="preserve">āori females: age-standardised ASH rates among Māori females aged 45–64 years were more than 2.5 times as high as those of </w:t>
      </w:r>
      <w:r w:rsidR="00EC03A3">
        <w:t>non</w:t>
      </w:r>
      <w:r w:rsidR="00EC03A3">
        <w:noBreakHyphen/>
        <w:t>M</w:t>
      </w:r>
      <w:r>
        <w:t>āori females in the same age group in 2017</w:t>
      </w:r>
      <w:r w:rsidR="00093F4B">
        <w:t xml:space="preserve"> (Figure 1</w:t>
      </w:r>
      <w:r w:rsidR="003B4A96">
        <w:t>30</w:t>
      </w:r>
      <w:r w:rsidR="00093F4B">
        <w:t>)</w:t>
      </w:r>
      <w:r>
        <w:t>.</w:t>
      </w:r>
    </w:p>
    <w:p w14:paraId="7D4CEA17" w14:textId="77777777" w:rsidR="00FC6DDF" w:rsidRDefault="00FC6DDF" w:rsidP="00FC6DDF"/>
    <w:p w14:paraId="38BE1F27" w14:textId="77777777" w:rsidR="00140176" w:rsidRPr="00181EF3" w:rsidRDefault="00140176" w:rsidP="009F7B61">
      <w:pPr>
        <w:pStyle w:val="Heading2"/>
        <w:pageBreakBefore/>
        <w:spacing w:before="0"/>
        <w:rPr>
          <w:noProof/>
          <w:lang w:eastAsia="en-NZ"/>
        </w:rPr>
      </w:pPr>
      <w:bookmarkStart w:id="393" w:name="_Toc14718627"/>
      <w:bookmarkStart w:id="394" w:name="_Toc14775050"/>
      <w:bookmarkStart w:id="395" w:name="_Toc19102443"/>
      <w:r w:rsidRPr="00181EF3">
        <w:rPr>
          <w:noProof/>
          <w:lang w:eastAsia="en-NZ"/>
        </w:rPr>
        <w:lastRenderedPageBreak/>
        <w:t>Publicly-funded hospital discharges</w:t>
      </w:r>
      <w:bookmarkEnd w:id="393"/>
      <w:bookmarkEnd w:id="394"/>
      <w:bookmarkEnd w:id="395"/>
    </w:p>
    <w:p w14:paraId="70BDE977" w14:textId="299F8430" w:rsidR="00140176" w:rsidRPr="00181EF3" w:rsidRDefault="00140176" w:rsidP="00140176">
      <w:r w:rsidRPr="00181EF3">
        <w:t xml:space="preserve">This </w:t>
      </w:r>
      <w:r>
        <w:t>section</w:t>
      </w:r>
      <w:r w:rsidRPr="00181EF3">
        <w:t xml:space="preserve"> </w:t>
      </w:r>
      <w:r>
        <w:t>presents</w:t>
      </w:r>
      <w:r w:rsidRPr="00181EF3">
        <w:t xml:space="preserve"> information on publicly-funded hospital discharges for Māori and </w:t>
      </w:r>
      <w:r w:rsidR="00EC03A3">
        <w:t>non</w:t>
      </w:r>
      <w:r w:rsidR="00EC03A3">
        <w:noBreakHyphen/>
        <w:t>M</w:t>
      </w:r>
      <w:r w:rsidRPr="00181EF3">
        <w:t>āori males and females.</w:t>
      </w:r>
    </w:p>
    <w:p w14:paraId="40B27351" w14:textId="77777777" w:rsidR="00140176" w:rsidRPr="00181EF3" w:rsidRDefault="00140176" w:rsidP="00140176"/>
    <w:p w14:paraId="18FEB249" w14:textId="77777777" w:rsidR="00140176" w:rsidRPr="00181EF3" w:rsidRDefault="00140176" w:rsidP="00140176">
      <w:r w:rsidRPr="00181EF3">
        <w:t>Discharge is when a patient leaves hospital to return home, transfers to another hospital or residential institution, or dies in hospital after being formally admitted.</w:t>
      </w:r>
    </w:p>
    <w:p w14:paraId="7E0A5569" w14:textId="77777777" w:rsidR="00140176" w:rsidRPr="00181EF3" w:rsidRDefault="00140176" w:rsidP="00140176"/>
    <w:p w14:paraId="6D7B9481" w14:textId="77777777" w:rsidR="00140176" w:rsidRPr="00181EF3" w:rsidRDefault="00140176" w:rsidP="00140176">
      <w:r w:rsidRPr="00181EF3">
        <w:t xml:space="preserve">This </w:t>
      </w:r>
      <w:r>
        <w:t>section</w:t>
      </w:r>
      <w:r w:rsidRPr="00181EF3">
        <w:t xml:space="preserve"> covers the period 1996 to 2017 and reports age-standardised discharge rates per 100 population. Reporting per 100 population is the standard way the Ministry of Health reports on discharges.</w:t>
      </w:r>
    </w:p>
    <w:p w14:paraId="38FD0057" w14:textId="77777777" w:rsidR="00140176" w:rsidRPr="00181EF3" w:rsidRDefault="00140176" w:rsidP="00140176"/>
    <w:p w14:paraId="5D02DD99" w14:textId="77777777" w:rsidR="00140176" w:rsidRPr="00181EF3" w:rsidRDefault="00140176" w:rsidP="00140176">
      <w:pPr>
        <w:pStyle w:val="Heading3"/>
      </w:pPr>
      <w:bookmarkStart w:id="396" w:name="_Toc19102444"/>
      <w:r w:rsidRPr="00181EF3">
        <w:t>What is the data telling us?</w:t>
      </w:r>
      <w:bookmarkEnd w:id="396"/>
    </w:p>
    <w:p w14:paraId="51FC282C" w14:textId="77777777" w:rsidR="00140176" w:rsidRPr="00181EF3" w:rsidRDefault="00140176" w:rsidP="00140176">
      <w:pPr>
        <w:pStyle w:val="Shadedboxtext"/>
      </w:pPr>
      <w:r w:rsidRPr="00181EF3">
        <w:t>Overall the data shows that between 1996–97 and 2016–17:</w:t>
      </w:r>
    </w:p>
    <w:p w14:paraId="519E07E9" w14:textId="54E01013" w:rsidR="00140176" w:rsidRPr="00181EF3" w:rsidRDefault="00140176" w:rsidP="00140176">
      <w:pPr>
        <w:pStyle w:val="Shadedboxbullet"/>
        <w:ind w:left="568" w:hanging="284"/>
      </w:pPr>
      <w:r w:rsidRPr="00181EF3">
        <w:t xml:space="preserve">Both Māori males and females had higher age-standardised rates of publicly-funded hospital discharges compared </w:t>
      </w:r>
      <w:r w:rsidR="00FF1892">
        <w:t>with</w:t>
      </w:r>
      <w:r w:rsidR="00FF1892" w:rsidRPr="00181EF3">
        <w:t xml:space="preserve"> </w:t>
      </w:r>
      <w:r w:rsidR="00EC03A3">
        <w:t>non</w:t>
      </w:r>
      <w:r w:rsidR="00EC03A3">
        <w:noBreakHyphen/>
        <w:t>M</w:t>
      </w:r>
      <w:r w:rsidRPr="00181EF3">
        <w:t>āori males and females.</w:t>
      </w:r>
    </w:p>
    <w:p w14:paraId="36A24D03" w14:textId="7C840BF6" w:rsidR="00140176" w:rsidRPr="00181EF3" w:rsidRDefault="00140176" w:rsidP="00140176">
      <w:pPr>
        <w:pStyle w:val="Shadedboxbullet"/>
        <w:ind w:left="568" w:hanging="284"/>
      </w:pPr>
      <w:r w:rsidRPr="00181EF3">
        <w:t xml:space="preserve">Age-standardised rates of publicly-funded hospital discharges increased for Māori and </w:t>
      </w:r>
      <w:r w:rsidR="00EC03A3">
        <w:t>non</w:t>
      </w:r>
      <w:r w:rsidR="00EC03A3">
        <w:noBreakHyphen/>
        <w:t>M</w:t>
      </w:r>
      <w:r w:rsidRPr="00181EF3">
        <w:t xml:space="preserve">āori males and females during this time, however, the increases were greater for Māori males and females compared </w:t>
      </w:r>
      <w:r w:rsidR="00FF1892">
        <w:t>with</w:t>
      </w:r>
      <w:r w:rsidR="00FF1892" w:rsidRPr="00181EF3">
        <w:t xml:space="preserve"> </w:t>
      </w:r>
      <w:r w:rsidR="00EC03A3">
        <w:t>non</w:t>
      </w:r>
      <w:r w:rsidR="00EC03A3">
        <w:noBreakHyphen/>
        <w:t>M</w:t>
      </w:r>
      <w:r w:rsidRPr="00181EF3">
        <w:t>āori males and females.</w:t>
      </w:r>
    </w:p>
    <w:p w14:paraId="0B713DFD" w14:textId="1DB7F7AE" w:rsidR="00140176" w:rsidRPr="00181EF3" w:rsidRDefault="00140176" w:rsidP="00140176">
      <w:pPr>
        <w:pStyle w:val="Shadedboxbullet"/>
        <w:ind w:left="568" w:hanging="284"/>
      </w:pPr>
      <w:r w:rsidRPr="00181EF3">
        <w:t xml:space="preserve">In 2016/17, the age-standardised rates of publicly-funded hospital discharges per 100 population was higher for Māori males (21 discharges per 100 population) compared </w:t>
      </w:r>
      <w:r w:rsidR="003F3EA8">
        <w:t>with</w:t>
      </w:r>
      <w:r w:rsidR="003F3EA8" w:rsidRPr="00181EF3">
        <w:t xml:space="preserve"> </w:t>
      </w:r>
      <w:r w:rsidR="00EC03A3">
        <w:t>non</w:t>
      </w:r>
      <w:r w:rsidR="00EC03A3">
        <w:noBreakHyphen/>
        <w:t>M</w:t>
      </w:r>
      <w:r w:rsidRPr="00181EF3">
        <w:t xml:space="preserve">āori males (18), and higher for Māori females (28) compared </w:t>
      </w:r>
      <w:r w:rsidR="003F3EA8">
        <w:t>with</w:t>
      </w:r>
      <w:r w:rsidR="003F3EA8" w:rsidRPr="00181EF3">
        <w:t xml:space="preserve"> </w:t>
      </w:r>
      <w:r w:rsidR="00EC03A3">
        <w:t>non</w:t>
      </w:r>
      <w:r w:rsidR="00EC03A3">
        <w:noBreakHyphen/>
        <w:t>M</w:t>
      </w:r>
      <w:r w:rsidRPr="00181EF3">
        <w:t>āori females (23).</w:t>
      </w:r>
    </w:p>
    <w:p w14:paraId="1263DAD8" w14:textId="77777777" w:rsidR="00140176" w:rsidRPr="00181EF3" w:rsidRDefault="00140176" w:rsidP="00140176"/>
    <w:p w14:paraId="5117FAE3" w14:textId="77777777" w:rsidR="00140176" w:rsidRPr="00140176" w:rsidRDefault="00140176" w:rsidP="009F7B61">
      <w:pPr>
        <w:pStyle w:val="Heading3"/>
        <w:pageBreakBefore/>
        <w:spacing w:before="0"/>
      </w:pPr>
      <w:bookmarkStart w:id="397" w:name="_Toc19102445"/>
      <w:r w:rsidRPr="00140176">
        <w:lastRenderedPageBreak/>
        <w:t>Age-standardised rates of publicly-funded hospital discharges have increased</w:t>
      </w:r>
      <w:bookmarkEnd w:id="397"/>
    </w:p>
    <w:p w14:paraId="2000C656" w14:textId="4D8A9B3D" w:rsidR="00140176" w:rsidRDefault="00140176" w:rsidP="00140176">
      <w:pPr>
        <w:pStyle w:val="Figure"/>
      </w:pPr>
      <w:bookmarkStart w:id="398" w:name="_Toc19101982"/>
      <w:r w:rsidRPr="00181EF3">
        <w:t>Figure 1</w:t>
      </w:r>
      <w:r>
        <w:t>3</w:t>
      </w:r>
      <w:r w:rsidR="00572A9A">
        <w:t>1</w:t>
      </w:r>
      <w:r w:rsidRPr="00181EF3">
        <w:t>: Publicly-funded hospital discharge</w:t>
      </w:r>
      <w:r>
        <w:t xml:space="preserve"> </w:t>
      </w:r>
      <w:r w:rsidRPr="00181EF3">
        <w:t>rates</w:t>
      </w:r>
      <w:r>
        <w:t>, by gender</w:t>
      </w:r>
      <w:r w:rsidRPr="00181EF3">
        <w:t xml:space="preserve">, Māori and </w:t>
      </w:r>
      <w:r w:rsidR="00EC03A3">
        <w:t>non</w:t>
      </w:r>
      <w:r w:rsidR="00EC03A3">
        <w:noBreakHyphen/>
        <w:t>M</w:t>
      </w:r>
      <w:r w:rsidRPr="00181EF3">
        <w:t>āori, 1996–97 to 2016–17</w:t>
      </w:r>
      <w:bookmarkEnd w:id="398"/>
    </w:p>
    <w:p w14:paraId="58C58BFC" w14:textId="77777777" w:rsidR="00140176" w:rsidRPr="003F78FF" w:rsidRDefault="00140176" w:rsidP="00140176">
      <w:r w:rsidRPr="003F78FF">
        <w:rPr>
          <w:noProof/>
          <w:lang w:eastAsia="en-NZ"/>
        </w:rPr>
        <w:drawing>
          <wp:inline distT="0" distB="0" distL="0" distR="0" wp14:anchorId="5C8A98D7" wp14:editId="3CDACB2F">
            <wp:extent cx="5130165" cy="2530553"/>
            <wp:effectExtent l="0" t="0" r="0" b="3175"/>
            <wp:docPr id="341" name="Picture 341" descr="Māori women have the highest rates of publicly funded hospital dischages, followed by non-Māori women, Māori men, and non-Māori men. The rates for all groups have increased since 1996-97." title="Figure 131: Publicly-funded hospital discharges, age-standardised rates per 100, Māori and non-Māori males and females, 1996–97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5130165" cy="2530553"/>
                    </a:xfrm>
                    <a:prstGeom prst="rect">
                      <a:avLst/>
                    </a:prstGeom>
                  </pic:spPr>
                </pic:pic>
              </a:graphicData>
            </a:graphic>
          </wp:inline>
        </w:drawing>
      </w:r>
    </w:p>
    <w:p w14:paraId="2D982BF9" w14:textId="77777777" w:rsidR="00140176" w:rsidRDefault="00140176" w:rsidP="00140176">
      <w:pPr>
        <w:pStyle w:val="Note"/>
      </w:pPr>
      <w:r w:rsidRPr="00181EF3">
        <w:t>Note</w:t>
      </w:r>
      <w:r>
        <w:t>s</w:t>
      </w:r>
      <w:r w:rsidRPr="00181EF3">
        <w:t>:</w:t>
      </w:r>
    </w:p>
    <w:p w14:paraId="2BCD06E2" w14:textId="1DA251F2" w:rsidR="008A5642" w:rsidRDefault="00446D86" w:rsidP="00140176">
      <w:pPr>
        <w:pStyle w:val="Note"/>
      </w:pPr>
      <w:r>
        <w:t>Figures are age-standardised to the 2001 Census total Māori population</w:t>
      </w:r>
      <w:r w:rsidR="00140176" w:rsidRPr="00181EF3">
        <w:t>.</w:t>
      </w:r>
    </w:p>
    <w:p w14:paraId="254AF6DD" w14:textId="125040A7" w:rsidR="00140176" w:rsidRPr="00181EF3" w:rsidRDefault="00140176" w:rsidP="00140176">
      <w:pPr>
        <w:pStyle w:val="Note"/>
      </w:pPr>
      <w:r>
        <w:t>Prioritised ethnicity has been used.</w:t>
      </w:r>
    </w:p>
    <w:p w14:paraId="47ED4BB6" w14:textId="77777777" w:rsidR="00140176" w:rsidRPr="00181EF3" w:rsidRDefault="00140176" w:rsidP="00140176">
      <w:pPr>
        <w:pStyle w:val="Source"/>
      </w:pPr>
      <w:r w:rsidRPr="00181EF3">
        <w:t>Source: National Minimum Dataset (NMDS, 10 January 2019)</w:t>
      </w:r>
      <w:r>
        <w:t>,</w:t>
      </w:r>
      <w:r w:rsidRPr="00140176">
        <w:rPr>
          <w:rFonts w:eastAsia="Calibri"/>
        </w:rPr>
        <w:t xml:space="preserve"> </w:t>
      </w:r>
      <w:r w:rsidRPr="00181EF3">
        <w:rPr>
          <w:rFonts w:eastAsia="Calibri"/>
        </w:rPr>
        <w:t>Ministry of Health</w:t>
      </w:r>
      <w:r>
        <w:rPr>
          <w:rFonts w:eastAsia="Calibri"/>
        </w:rPr>
        <w:t>,</w:t>
      </w:r>
      <w:r w:rsidRPr="00507AA7">
        <w:t xml:space="preserve"> </w:t>
      </w:r>
      <w:r w:rsidRPr="00181EF3">
        <w:t>1996–9</w:t>
      </w:r>
      <w:r>
        <w:t>7</w:t>
      </w:r>
      <w:r w:rsidRPr="00181EF3">
        <w:t xml:space="preserve"> to 201</w:t>
      </w:r>
      <w:r>
        <w:t>6</w:t>
      </w:r>
      <w:r w:rsidRPr="00181EF3">
        <w:t>–1</w:t>
      </w:r>
      <w:r>
        <w:t>7</w:t>
      </w:r>
      <w:r w:rsidRPr="00181EF3">
        <w:rPr>
          <w:rFonts w:eastAsia="Calibri"/>
        </w:rPr>
        <w:t>.</w:t>
      </w:r>
    </w:p>
    <w:p w14:paraId="757E4D45" w14:textId="77777777" w:rsidR="00140176" w:rsidRDefault="00140176" w:rsidP="009F7B61"/>
    <w:p w14:paraId="09674D33" w14:textId="6EFC2DC1" w:rsidR="00140176" w:rsidRPr="00181EF3" w:rsidRDefault="00140176" w:rsidP="009F7B61">
      <w:r w:rsidRPr="00181EF3">
        <w:t>Figure 1</w:t>
      </w:r>
      <w:r>
        <w:t>3</w:t>
      </w:r>
      <w:r w:rsidR="001D6946">
        <w:t>1</w:t>
      </w:r>
      <w:r w:rsidRPr="00181EF3">
        <w:t xml:space="preserve"> shows both Māori males and females had higher age-standardised rates of publicly-funded hospital discharges compared </w:t>
      </w:r>
      <w:r w:rsidR="00FF1892">
        <w:t>with</w:t>
      </w:r>
      <w:r w:rsidR="00FF1892" w:rsidRPr="00181EF3">
        <w:t xml:space="preserve"> </w:t>
      </w:r>
      <w:r w:rsidR="00EC03A3">
        <w:t>non</w:t>
      </w:r>
      <w:r w:rsidR="00EC03A3">
        <w:noBreakHyphen/>
        <w:t>M</w:t>
      </w:r>
      <w:r w:rsidRPr="00181EF3">
        <w:t>āori males and females.</w:t>
      </w:r>
    </w:p>
    <w:p w14:paraId="5B095E30" w14:textId="77777777" w:rsidR="00140176" w:rsidRDefault="00140176" w:rsidP="00140176"/>
    <w:p w14:paraId="116F4E47" w14:textId="58310E64" w:rsidR="00140176" w:rsidRDefault="00140176" w:rsidP="00140176">
      <w:r w:rsidRPr="00181EF3">
        <w:t xml:space="preserve">Between 1996–97 and 2016–17, age-standardised rates of publicly-funded hospital discharges for Māori males increased by 38 percent (from 15 to 21 hospitalisations per 100), more than for </w:t>
      </w:r>
      <w:r w:rsidR="00EC03A3">
        <w:t>non</w:t>
      </w:r>
      <w:r w:rsidR="00EC03A3">
        <w:noBreakHyphen/>
        <w:t>M</w:t>
      </w:r>
      <w:r w:rsidRPr="00181EF3">
        <w:t xml:space="preserve">āori males which increased by 25 percent (from 15 to 18 hospitalisations per 100). For females, the rate of publicly-funded discharges per 100 for Māori females increased by 35 percent (from 21 to 28 publicly-funded discharges per 100), whereas the increase for </w:t>
      </w:r>
      <w:r w:rsidR="00EC03A3">
        <w:t>non</w:t>
      </w:r>
      <w:r w:rsidR="00EC03A3">
        <w:noBreakHyphen/>
        <w:t>M</w:t>
      </w:r>
      <w:r w:rsidRPr="00181EF3">
        <w:t>āori females was 26 percent (from 19 to 23 publicly-funded discharges per 100).</w:t>
      </w:r>
    </w:p>
    <w:p w14:paraId="22E2CF3F" w14:textId="77777777" w:rsidR="009F7B61" w:rsidRPr="00181EF3" w:rsidRDefault="009F7B61" w:rsidP="00140176"/>
    <w:p w14:paraId="78EEBC4E" w14:textId="7F2CAF83" w:rsidR="00140176" w:rsidRPr="00181EF3" w:rsidRDefault="00140176" w:rsidP="009F7B61">
      <w:pPr>
        <w:pStyle w:val="Heading3"/>
        <w:pageBreakBefore/>
        <w:spacing w:before="0"/>
      </w:pPr>
      <w:bookmarkStart w:id="399" w:name="_Toc19102446"/>
      <w:r w:rsidRPr="00181EF3">
        <w:lastRenderedPageBreak/>
        <w:t xml:space="preserve">The difference between Māori and </w:t>
      </w:r>
      <w:r w:rsidR="00EC03A3">
        <w:t>non</w:t>
      </w:r>
      <w:r w:rsidR="00EC03A3">
        <w:noBreakHyphen/>
        <w:t>M</w:t>
      </w:r>
      <w:r w:rsidRPr="00181EF3">
        <w:t>āori rates increased for males and for females</w:t>
      </w:r>
      <w:bookmarkEnd w:id="399"/>
    </w:p>
    <w:p w14:paraId="79BAE874" w14:textId="2ADF6220" w:rsidR="00140176" w:rsidRPr="00181EF3" w:rsidRDefault="00140176" w:rsidP="00140176">
      <w:r w:rsidRPr="00181EF3">
        <w:t xml:space="preserve">Between 1996–97 and 2016–17, there was an increase in the difference between the rates of Māori and </w:t>
      </w:r>
      <w:r w:rsidR="00EC03A3">
        <w:t>non</w:t>
      </w:r>
      <w:r w:rsidR="00EC03A3">
        <w:noBreakHyphen/>
        <w:t>M</w:t>
      </w:r>
      <w:r w:rsidRPr="00181EF3">
        <w:t xml:space="preserve">āori male and female publicly-funded hospital discharges. The Māori and </w:t>
      </w:r>
      <w:r w:rsidR="00EC03A3">
        <w:t>non</w:t>
      </w:r>
      <w:r w:rsidR="00EC03A3">
        <w:noBreakHyphen/>
        <w:t>M</w:t>
      </w:r>
      <w:r w:rsidRPr="00181EF3">
        <w:t xml:space="preserve">āori rate difference for males, increasing from less than 1 per 100 in 1996–97 to just under 3 per 100 in 2016–17. For females, the difference between Māori and </w:t>
      </w:r>
      <w:r w:rsidR="00EC03A3">
        <w:t>non</w:t>
      </w:r>
      <w:r w:rsidR="00EC03A3">
        <w:noBreakHyphen/>
        <w:t>M</w:t>
      </w:r>
      <w:r w:rsidRPr="00181EF3">
        <w:t>āori discharge increased from just over 2 per 100 in 1996–97 to just under 5 per 100 in 2016–17.</w:t>
      </w:r>
    </w:p>
    <w:p w14:paraId="1274AE8B" w14:textId="77777777" w:rsidR="00140176" w:rsidRDefault="00140176" w:rsidP="00140176"/>
    <w:p w14:paraId="2158BC7A" w14:textId="437049FE" w:rsidR="00140176" w:rsidRPr="00181EF3" w:rsidRDefault="00140176" w:rsidP="00140176">
      <w:pPr>
        <w:rPr>
          <w:rFonts w:eastAsia="Calibri"/>
        </w:rPr>
      </w:pPr>
      <w:r w:rsidRPr="00181EF3">
        <w:t xml:space="preserve">Between 1996–97 and 2016–17, the difference between Māori and </w:t>
      </w:r>
      <w:r w:rsidR="00EC03A3">
        <w:t>non</w:t>
      </w:r>
      <w:r w:rsidR="00EC03A3">
        <w:noBreakHyphen/>
        <w:t>M</w:t>
      </w:r>
      <w:r w:rsidRPr="00181EF3">
        <w:t xml:space="preserve">āori age-standardised rates of publicly-funded hospital discharges increased for males and females. Rates for both Māori males and females increased to be 1.2 times as high as those of </w:t>
      </w:r>
      <w:r w:rsidR="00EC03A3">
        <w:t>non</w:t>
      </w:r>
      <w:r w:rsidR="00EC03A3">
        <w:noBreakHyphen/>
        <w:t>M</w:t>
      </w:r>
      <w:r w:rsidRPr="00181EF3">
        <w:t>āori males and females</w:t>
      </w:r>
      <w:r w:rsidRPr="00181EF3">
        <w:rPr>
          <w:rFonts w:ascii="Calibri" w:eastAsia="Calibri" w:hAnsi="Calibri"/>
          <w:noProof/>
          <w:szCs w:val="24"/>
          <w:lang w:eastAsia="en-NZ"/>
        </w:rPr>
        <w:t>.</w:t>
      </w:r>
    </w:p>
    <w:p w14:paraId="64434DB7" w14:textId="77777777" w:rsidR="00140176" w:rsidRPr="00181EF3" w:rsidRDefault="00140176" w:rsidP="00140176"/>
    <w:p w14:paraId="4F983568" w14:textId="5CD5EC22" w:rsidR="00140176" w:rsidRPr="00181EF3" w:rsidRDefault="00140176" w:rsidP="00140176">
      <w:pPr>
        <w:pStyle w:val="Table"/>
      </w:pPr>
      <w:bookmarkStart w:id="400" w:name="_Toc18594774"/>
      <w:r w:rsidRPr="00181EF3">
        <w:lastRenderedPageBreak/>
        <w:t xml:space="preserve">Table </w:t>
      </w:r>
      <w:r>
        <w:t>34</w:t>
      </w:r>
      <w:r w:rsidRPr="00181EF3">
        <w:t>: Publicly-funded hospital discharge</w:t>
      </w:r>
      <w:r>
        <w:t xml:space="preserve"> </w:t>
      </w:r>
      <w:r w:rsidRPr="00181EF3">
        <w:t>rates</w:t>
      </w:r>
      <w:r>
        <w:t>, by gender</w:t>
      </w:r>
      <w:r w:rsidRPr="00181EF3">
        <w:t xml:space="preserve">, Māori and </w:t>
      </w:r>
      <w:r w:rsidR="00EC03A3">
        <w:t>non</w:t>
      </w:r>
      <w:r w:rsidR="00EC03A3">
        <w:noBreakHyphen/>
        <w:t>M</w:t>
      </w:r>
      <w:r w:rsidRPr="00181EF3">
        <w:t>āori, 1996–97 to 2016–17</w:t>
      </w:r>
      <w:bookmarkEnd w:id="400"/>
    </w:p>
    <w:tbl>
      <w:tblPr>
        <w:tblW w:w="0" w:type="auto"/>
        <w:tblInd w:w="57" w:type="dxa"/>
        <w:tblLayout w:type="fixed"/>
        <w:tblCellMar>
          <w:left w:w="57" w:type="dxa"/>
          <w:right w:w="57" w:type="dxa"/>
        </w:tblCellMar>
        <w:tblLook w:val="04A0" w:firstRow="1" w:lastRow="0" w:firstColumn="1" w:lastColumn="0" w:noHBand="0" w:noVBand="1"/>
      </w:tblPr>
      <w:tblGrid>
        <w:gridCol w:w="1418"/>
        <w:gridCol w:w="1418"/>
        <w:gridCol w:w="1418"/>
        <w:gridCol w:w="1418"/>
        <w:gridCol w:w="1418"/>
      </w:tblGrid>
      <w:tr w:rsidR="00140176" w:rsidRPr="00181EF3" w14:paraId="791E175E" w14:textId="77777777" w:rsidTr="00502F00">
        <w:trPr>
          <w:cantSplit/>
        </w:trPr>
        <w:tc>
          <w:tcPr>
            <w:tcW w:w="1418" w:type="dxa"/>
            <w:vMerge w:val="restart"/>
            <w:tcBorders>
              <w:bottom w:val="single" w:sz="4" w:space="0" w:color="A6A6A6" w:themeColor="background1" w:themeShade="A6"/>
              <w:right w:val="single" w:sz="4" w:space="0" w:color="A6A6A6" w:themeColor="background1" w:themeShade="A6"/>
            </w:tcBorders>
            <w:shd w:val="clear" w:color="auto" w:fill="D9D9D9" w:themeFill="background1" w:themeFillShade="D9"/>
          </w:tcPr>
          <w:p w14:paraId="1D45C29B" w14:textId="77777777" w:rsidR="00140176" w:rsidRPr="00181EF3" w:rsidRDefault="00140176" w:rsidP="00502F00">
            <w:pPr>
              <w:pStyle w:val="TableText"/>
              <w:keepNext/>
              <w:rPr>
                <w:b/>
              </w:rPr>
            </w:pPr>
            <w:r w:rsidRPr="00181EF3">
              <w:rPr>
                <w:b/>
              </w:rPr>
              <w:t>Year</w:t>
            </w:r>
          </w:p>
        </w:tc>
        <w:tc>
          <w:tcPr>
            <w:tcW w:w="2836" w:type="dxa"/>
            <w:gridSpan w:val="2"/>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18477666" w14:textId="77777777" w:rsidR="00140176" w:rsidRPr="00181EF3" w:rsidRDefault="00140176" w:rsidP="00502F00">
            <w:pPr>
              <w:pStyle w:val="TableText"/>
              <w:keepNext/>
              <w:jc w:val="center"/>
              <w:rPr>
                <w:b/>
              </w:rPr>
            </w:pPr>
            <w:r w:rsidRPr="00181EF3">
              <w:rPr>
                <w:b/>
              </w:rPr>
              <w:t>Māori</w:t>
            </w:r>
          </w:p>
        </w:tc>
        <w:tc>
          <w:tcPr>
            <w:tcW w:w="2836" w:type="dxa"/>
            <w:gridSpan w:val="2"/>
            <w:tcBorders>
              <w:left w:val="single" w:sz="4" w:space="0" w:color="A6A6A6" w:themeColor="background1" w:themeShade="A6"/>
            </w:tcBorders>
            <w:shd w:val="clear" w:color="auto" w:fill="D9D9D9" w:themeFill="background1" w:themeFillShade="D9"/>
          </w:tcPr>
          <w:p w14:paraId="0895E27A" w14:textId="34F7EFED" w:rsidR="00140176" w:rsidRPr="00181EF3" w:rsidRDefault="00EC03A3" w:rsidP="00502F00">
            <w:pPr>
              <w:pStyle w:val="TableText"/>
              <w:keepNext/>
              <w:jc w:val="center"/>
              <w:rPr>
                <w:b/>
              </w:rPr>
            </w:pPr>
            <w:r>
              <w:rPr>
                <w:b/>
              </w:rPr>
              <w:t>Non</w:t>
            </w:r>
            <w:r>
              <w:rPr>
                <w:b/>
              </w:rPr>
              <w:noBreakHyphen/>
              <w:t>M</w:t>
            </w:r>
            <w:r w:rsidR="00140176" w:rsidRPr="00181EF3">
              <w:rPr>
                <w:b/>
              </w:rPr>
              <w:t>āori</w:t>
            </w:r>
          </w:p>
        </w:tc>
      </w:tr>
      <w:tr w:rsidR="00140176" w:rsidRPr="00181EF3" w14:paraId="50566306" w14:textId="77777777" w:rsidTr="00502F00">
        <w:trPr>
          <w:cantSplit/>
        </w:trPr>
        <w:tc>
          <w:tcPr>
            <w:tcW w:w="1418" w:type="dxa"/>
            <w:vMerge/>
            <w:tcBorders>
              <w:top w:val="single" w:sz="4" w:space="0" w:color="A6A6A6" w:themeColor="background1" w:themeShade="A6"/>
              <w:right w:val="single" w:sz="4" w:space="0" w:color="A6A6A6" w:themeColor="background1" w:themeShade="A6"/>
            </w:tcBorders>
            <w:shd w:val="clear" w:color="auto" w:fill="D9D9D9" w:themeFill="background1" w:themeFillShade="D9"/>
          </w:tcPr>
          <w:p w14:paraId="12736212" w14:textId="77777777" w:rsidR="00140176" w:rsidRPr="00181EF3" w:rsidRDefault="00140176" w:rsidP="00502F00">
            <w:pPr>
              <w:pStyle w:val="TableText"/>
              <w:keepNext/>
              <w:rPr>
                <w:b/>
              </w:rPr>
            </w:pPr>
          </w:p>
        </w:tc>
        <w:tc>
          <w:tcPr>
            <w:tcW w:w="1418" w:type="dxa"/>
            <w:tcBorders>
              <w:left w:val="single" w:sz="4" w:space="0" w:color="A6A6A6" w:themeColor="background1" w:themeShade="A6"/>
            </w:tcBorders>
            <w:shd w:val="clear" w:color="auto" w:fill="D9D9D9" w:themeFill="background1" w:themeFillShade="D9"/>
            <w:vAlign w:val="bottom"/>
          </w:tcPr>
          <w:p w14:paraId="6F85F5D2" w14:textId="77777777" w:rsidR="00140176" w:rsidRPr="00181EF3" w:rsidRDefault="00140176" w:rsidP="00502F00">
            <w:pPr>
              <w:pStyle w:val="TableText"/>
              <w:keepNext/>
              <w:spacing w:before="0"/>
              <w:jc w:val="center"/>
              <w:rPr>
                <w:b/>
              </w:rPr>
            </w:pPr>
            <w:r w:rsidRPr="00181EF3">
              <w:rPr>
                <w:b/>
              </w:rPr>
              <w:t>Males</w:t>
            </w:r>
          </w:p>
        </w:tc>
        <w:tc>
          <w:tcPr>
            <w:tcW w:w="1418" w:type="dxa"/>
            <w:tcBorders>
              <w:right w:val="single" w:sz="4" w:space="0" w:color="A6A6A6" w:themeColor="background1" w:themeShade="A6"/>
            </w:tcBorders>
            <w:shd w:val="clear" w:color="auto" w:fill="D9D9D9" w:themeFill="background1" w:themeFillShade="D9"/>
            <w:vAlign w:val="bottom"/>
          </w:tcPr>
          <w:p w14:paraId="01347CB8" w14:textId="77777777" w:rsidR="00140176" w:rsidRPr="00181EF3" w:rsidRDefault="00140176" w:rsidP="00502F00">
            <w:pPr>
              <w:pStyle w:val="TableText"/>
              <w:keepNext/>
              <w:spacing w:before="0"/>
              <w:jc w:val="center"/>
              <w:rPr>
                <w:b/>
              </w:rPr>
            </w:pPr>
            <w:r w:rsidRPr="00181EF3">
              <w:rPr>
                <w:b/>
              </w:rPr>
              <w:t>Females</w:t>
            </w:r>
          </w:p>
        </w:tc>
        <w:tc>
          <w:tcPr>
            <w:tcW w:w="1418" w:type="dxa"/>
            <w:tcBorders>
              <w:left w:val="single" w:sz="4" w:space="0" w:color="A6A6A6" w:themeColor="background1" w:themeShade="A6"/>
            </w:tcBorders>
            <w:shd w:val="clear" w:color="auto" w:fill="D9D9D9" w:themeFill="background1" w:themeFillShade="D9"/>
            <w:vAlign w:val="bottom"/>
          </w:tcPr>
          <w:p w14:paraId="55A14308" w14:textId="77777777" w:rsidR="00140176" w:rsidRPr="00181EF3" w:rsidRDefault="00140176" w:rsidP="00502F00">
            <w:pPr>
              <w:pStyle w:val="TableText"/>
              <w:keepNext/>
              <w:spacing w:before="0"/>
              <w:jc w:val="center"/>
              <w:rPr>
                <w:b/>
              </w:rPr>
            </w:pPr>
            <w:r w:rsidRPr="00181EF3">
              <w:rPr>
                <w:b/>
              </w:rPr>
              <w:t>Males</w:t>
            </w:r>
          </w:p>
        </w:tc>
        <w:tc>
          <w:tcPr>
            <w:tcW w:w="1418" w:type="dxa"/>
            <w:shd w:val="clear" w:color="auto" w:fill="D9D9D9" w:themeFill="background1" w:themeFillShade="D9"/>
            <w:vAlign w:val="bottom"/>
          </w:tcPr>
          <w:p w14:paraId="26957FD9" w14:textId="77777777" w:rsidR="00140176" w:rsidRPr="00181EF3" w:rsidRDefault="00140176" w:rsidP="00502F00">
            <w:pPr>
              <w:pStyle w:val="TableText"/>
              <w:keepNext/>
              <w:spacing w:before="0"/>
              <w:jc w:val="center"/>
              <w:rPr>
                <w:b/>
              </w:rPr>
            </w:pPr>
            <w:r w:rsidRPr="00181EF3">
              <w:rPr>
                <w:b/>
              </w:rPr>
              <w:t>Females</w:t>
            </w:r>
          </w:p>
        </w:tc>
      </w:tr>
      <w:tr w:rsidR="00140176" w:rsidRPr="00181EF3" w14:paraId="17D672DF" w14:textId="77777777" w:rsidTr="00502F00">
        <w:trPr>
          <w:cantSplit/>
        </w:trPr>
        <w:tc>
          <w:tcPr>
            <w:tcW w:w="1418" w:type="dxa"/>
            <w:tcBorders>
              <w:bottom w:val="single" w:sz="4" w:space="0" w:color="A6A6A6" w:themeColor="background1" w:themeShade="A6"/>
              <w:right w:val="single" w:sz="4" w:space="0" w:color="A6A6A6" w:themeColor="background1" w:themeShade="A6"/>
            </w:tcBorders>
            <w:vAlign w:val="bottom"/>
          </w:tcPr>
          <w:p w14:paraId="1D21CA0E" w14:textId="77777777" w:rsidR="00140176" w:rsidRPr="00181EF3" w:rsidRDefault="00140176" w:rsidP="00502F00">
            <w:pPr>
              <w:pStyle w:val="TableText"/>
              <w:keepNext/>
            </w:pPr>
            <w:r w:rsidRPr="00181EF3">
              <w:t>1996–97</w:t>
            </w:r>
          </w:p>
        </w:tc>
        <w:tc>
          <w:tcPr>
            <w:tcW w:w="1418" w:type="dxa"/>
            <w:tcBorders>
              <w:left w:val="single" w:sz="4" w:space="0" w:color="A6A6A6" w:themeColor="background1" w:themeShade="A6"/>
              <w:bottom w:val="single" w:sz="4" w:space="0" w:color="A6A6A6" w:themeColor="background1" w:themeShade="A6"/>
            </w:tcBorders>
            <w:vAlign w:val="bottom"/>
          </w:tcPr>
          <w:p w14:paraId="34512BA4" w14:textId="77777777" w:rsidR="00140176" w:rsidRPr="00181EF3" w:rsidRDefault="00140176" w:rsidP="00502F00">
            <w:pPr>
              <w:pStyle w:val="TableText"/>
              <w:keepNext/>
              <w:jc w:val="center"/>
            </w:pPr>
            <w:r w:rsidRPr="00181EF3">
              <w:t>15.3</w:t>
            </w:r>
          </w:p>
        </w:tc>
        <w:tc>
          <w:tcPr>
            <w:tcW w:w="1418" w:type="dxa"/>
            <w:tcBorders>
              <w:bottom w:val="single" w:sz="4" w:space="0" w:color="A6A6A6" w:themeColor="background1" w:themeShade="A6"/>
              <w:right w:val="single" w:sz="4" w:space="0" w:color="A6A6A6" w:themeColor="background1" w:themeShade="A6"/>
            </w:tcBorders>
            <w:vAlign w:val="bottom"/>
          </w:tcPr>
          <w:p w14:paraId="29040108" w14:textId="77777777" w:rsidR="00140176" w:rsidRPr="00181EF3" w:rsidRDefault="00140176" w:rsidP="00502F00">
            <w:pPr>
              <w:pStyle w:val="TableText"/>
              <w:keepNext/>
              <w:jc w:val="center"/>
            </w:pPr>
            <w:r w:rsidRPr="00181EF3">
              <w:t>21.0</w:t>
            </w:r>
          </w:p>
        </w:tc>
        <w:tc>
          <w:tcPr>
            <w:tcW w:w="1418" w:type="dxa"/>
            <w:tcBorders>
              <w:left w:val="single" w:sz="4" w:space="0" w:color="A6A6A6" w:themeColor="background1" w:themeShade="A6"/>
              <w:bottom w:val="single" w:sz="4" w:space="0" w:color="A6A6A6" w:themeColor="background1" w:themeShade="A6"/>
            </w:tcBorders>
            <w:vAlign w:val="bottom"/>
          </w:tcPr>
          <w:p w14:paraId="19A84A34" w14:textId="77777777" w:rsidR="00140176" w:rsidRPr="00181EF3" w:rsidRDefault="00140176" w:rsidP="00502F00">
            <w:pPr>
              <w:pStyle w:val="TableText"/>
              <w:keepNext/>
              <w:jc w:val="center"/>
            </w:pPr>
            <w:r w:rsidRPr="00181EF3">
              <w:t>14.7</w:t>
            </w:r>
          </w:p>
        </w:tc>
        <w:tc>
          <w:tcPr>
            <w:tcW w:w="1418" w:type="dxa"/>
            <w:tcBorders>
              <w:bottom w:val="single" w:sz="4" w:space="0" w:color="A6A6A6" w:themeColor="background1" w:themeShade="A6"/>
            </w:tcBorders>
            <w:vAlign w:val="bottom"/>
          </w:tcPr>
          <w:p w14:paraId="68336C81" w14:textId="77777777" w:rsidR="00140176" w:rsidRPr="00181EF3" w:rsidRDefault="00140176" w:rsidP="00502F00">
            <w:pPr>
              <w:pStyle w:val="TableText"/>
              <w:keepNext/>
              <w:jc w:val="center"/>
            </w:pPr>
            <w:r w:rsidRPr="00181EF3">
              <w:t>18.6</w:t>
            </w:r>
          </w:p>
        </w:tc>
      </w:tr>
      <w:tr w:rsidR="00140176" w:rsidRPr="00181EF3" w14:paraId="6C15EE8C" w14:textId="77777777" w:rsidTr="00502F00">
        <w:trPr>
          <w:cantSplit/>
        </w:trPr>
        <w:tc>
          <w:tcPr>
            <w:tcW w:w="1418"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19019EF8" w14:textId="77777777" w:rsidR="00140176" w:rsidRPr="00181EF3" w:rsidRDefault="00140176" w:rsidP="00502F00">
            <w:pPr>
              <w:pStyle w:val="TableText"/>
              <w:keepNext/>
            </w:pPr>
            <w:r w:rsidRPr="00181EF3">
              <w:t>1997–98</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bottom"/>
          </w:tcPr>
          <w:p w14:paraId="6E3C4E48" w14:textId="77777777" w:rsidR="00140176" w:rsidRPr="00181EF3" w:rsidRDefault="00140176" w:rsidP="00502F00">
            <w:pPr>
              <w:pStyle w:val="TableText"/>
              <w:keepNext/>
              <w:jc w:val="center"/>
            </w:pPr>
            <w:r w:rsidRPr="00181EF3">
              <w:t>15.6</w:t>
            </w:r>
          </w:p>
        </w:tc>
        <w:tc>
          <w:tcPr>
            <w:tcW w:w="1418"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1A941738" w14:textId="77777777" w:rsidR="00140176" w:rsidRPr="00181EF3" w:rsidRDefault="00140176" w:rsidP="00502F00">
            <w:pPr>
              <w:pStyle w:val="TableText"/>
              <w:keepNext/>
              <w:jc w:val="center"/>
            </w:pPr>
            <w:r w:rsidRPr="00181EF3">
              <w:t>20.7</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bottom"/>
          </w:tcPr>
          <w:p w14:paraId="3E4B8AF2" w14:textId="77777777" w:rsidR="00140176" w:rsidRPr="00181EF3" w:rsidRDefault="00140176" w:rsidP="00502F00">
            <w:pPr>
              <w:pStyle w:val="TableText"/>
              <w:keepNext/>
              <w:jc w:val="center"/>
            </w:pPr>
            <w:r w:rsidRPr="00181EF3">
              <w:t>14.7</w:t>
            </w:r>
          </w:p>
        </w:tc>
        <w:tc>
          <w:tcPr>
            <w:tcW w:w="1418" w:type="dxa"/>
            <w:tcBorders>
              <w:top w:val="single" w:sz="4" w:space="0" w:color="A6A6A6" w:themeColor="background1" w:themeShade="A6"/>
              <w:bottom w:val="single" w:sz="4" w:space="0" w:color="A6A6A6" w:themeColor="background1" w:themeShade="A6"/>
            </w:tcBorders>
            <w:vAlign w:val="bottom"/>
          </w:tcPr>
          <w:p w14:paraId="731E4A51" w14:textId="77777777" w:rsidR="00140176" w:rsidRPr="00181EF3" w:rsidRDefault="00140176" w:rsidP="00502F00">
            <w:pPr>
              <w:pStyle w:val="TableText"/>
              <w:keepNext/>
              <w:jc w:val="center"/>
            </w:pPr>
            <w:r w:rsidRPr="00181EF3">
              <w:t>18.5</w:t>
            </w:r>
          </w:p>
        </w:tc>
      </w:tr>
      <w:tr w:rsidR="00140176" w:rsidRPr="00181EF3" w14:paraId="11414FAD" w14:textId="77777777" w:rsidTr="00502F00">
        <w:trPr>
          <w:cantSplit/>
        </w:trPr>
        <w:tc>
          <w:tcPr>
            <w:tcW w:w="1418"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206D6B12" w14:textId="77777777" w:rsidR="00140176" w:rsidRPr="00181EF3" w:rsidRDefault="00140176" w:rsidP="00502F00">
            <w:pPr>
              <w:pStyle w:val="TableText"/>
              <w:keepNext/>
            </w:pPr>
            <w:r w:rsidRPr="00181EF3">
              <w:t>1998–99</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bottom"/>
          </w:tcPr>
          <w:p w14:paraId="20B14EE8" w14:textId="77777777" w:rsidR="00140176" w:rsidRPr="00181EF3" w:rsidRDefault="00140176" w:rsidP="00502F00">
            <w:pPr>
              <w:pStyle w:val="TableText"/>
              <w:keepNext/>
              <w:jc w:val="center"/>
            </w:pPr>
            <w:r w:rsidRPr="00181EF3">
              <w:t>16.1</w:t>
            </w:r>
          </w:p>
        </w:tc>
        <w:tc>
          <w:tcPr>
            <w:tcW w:w="1418"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4D2CEB0E" w14:textId="77777777" w:rsidR="00140176" w:rsidRPr="00181EF3" w:rsidRDefault="00140176" w:rsidP="00502F00">
            <w:pPr>
              <w:pStyle w:val="TableText"/>
              <w:keepNext/>
              <w:jc w:val="center"/>
            </w:pPr>
            <w:r w:rsidRPr="00181EF3">
              <w:t>20.8</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bottom"/>
          </w:tcPr>
          <w:p w14:paraId="4F424A95" w14:textId="77777777" w:rsidR="00140176" w:rsidRPr="00181EF3" w:rsidRDefault="00140176" w:rsidP="00502F00">
            <w:pPr>
              <w:pStyle w:val="TableText"/>
              <w:keepNext/>
              <w:jc w:val="center"/>
            </w:pPr>
            <w:r w:rsidRPr="00181EF3">
              <w:t>14.9</w:t>
            </w:r>
          </w:p>
        </w:tc>
        <w:tc>
          <w:tcPr>
            <w:tcW w:w="1418" w:type="dxa"/>
            <w:tcBorders>
              <w:top w:val="single" w:sz="4" w:space="0" w:color="A6A6A6" w:themeColor="background1" w:themeShade="A6"/>
              <w:bottom w:val="single" w:sz="4" w:space="0" w:color="A6A6A6" w:themeColor="background1" w:themeShade="A6"/>
            </w:tcBorders>
            <w:vAlign w:val="bottom"/>
          </w:tcPr>
          <w:p w14:paraId="3D340F72" w14:textId="77777777" w:rsidR="00140176" w:rsidRPr="00181EF3" w:rsidRDefault="00140176" w:rsidP="00502F00">
            <w:pPr>
              <w:pStyle w:val="TableText"/>
              <w:keepNext/>
              <w:jc w:val="center"/>
            </w:pPr>
            <w:r w:rsidRPr="00181EF3">
              <w:t>18.7</w:t>
            </w:r>
          </w:p>
        </w:tc>
      </w:tr>
      <w:tr w:rsidR="00140176" w:rsidRPr="00181EF3" w14:paraId="16B54A4A" w14:textId="77777777" w:rsidTr="00502F00">
        <w:trPr>
          <w:cantSplit/>
        </w:trPr>
        <w:tc>
          <w:tcPr>
            <w:tcW w:w="1418"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119A495C" w14:textId="77777777" w:rsidR="00140176" w:rsidRPr="00181EF3" w:rsidRDefault="00140176" w:rsidP="00502F00">
            <w:pPr>
              <w:pStyle w:val="TableText"/>
              <w:keepNext/>
            </w:pPr>
            <w:r w:rsidRPr="00181EF3">
              <w:t>1999–00</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bottom"/>
          </w:tcPr>
          <w:p w14:paraId="66FD1A06" w14:textId="77777777" w:rsidR="00140176" w:rsidRPr="00181EF3" w:rsidRDefault="00140176" w:rsidP="00502F00">
            <w:pPr>
              <w:pStyle w:val="TableText"/>
              <w:keepNext/>
              <w:jc w:val="center"/>
            </w:pPr>
            <w:r w:rsidRPr="00181EF3">
              <w:t>16.9</w:t>
            </w:r>
          </w:p>
        </w:tc>
        <w:tc>
          <w:tcPr>
            <w:tcW w:w="1418"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16DC3C96" w14:textId="77777777" w:rsidR="00140176" w:rsidRPr="00181EF3" w:rsidRDefault="00140176" w:rsidP="00502F00">
            <w:pPr>
              <w:pStyle w:val="TableText"/>
              <w:keepNext/>
              <w:jc w:val="center"/>
            </w:pPr>
            <w:r w:rsidRPr="00181EF3">
              <w:t>21.7</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bottom"/>
          </w:tcPr>
          <w:p w14:paraId="1A0D0942" w14:textId="77777777" w:rsidR="00140176" w:rsidRPr="00181EF3" w:rsidRDefault="00140176" w:rsidP="00502F00">
            <w:pPr>
              <w:pStyle w:val="TableText"/>
              <w:keepNext/>
              <w:jc w:val="center"/>
            </w:pPr>
            <w:r w:rsidRPr="00181EF3">
              <w:t>15.6</w:t>
            </w:r>
          </w:p>
        </w:tc>
        <w:tc>
          <w:tcPr>
            <w:tcW w:w="1418" w:type="dxa"/>
            <w:tcBorders>
              <w:top w:val="single" w:sz="4" w:space="0" w:color="A6A6A6" w:themeColor="background1" w:themeShade="A6"/>
              <w:bottom w:val="single" w:sz="4" w:space="0" w:color="A6A6A6" w:themeColor="background1" w:themeShade="A6"/>
            </w:tcBorders>
            <w:vAlign w:val="bottom"/>
          </w:tcPr>
          <w:p w14:paraId="0128D663" w14:textId="77777777" w:rsidR="00140176" w:rsidRPr="00181EF3" w:rsidRDefault="00140176" w:rsidP="00502F00">
            <w:pPr>
              <w:pStyle w:val="TableText"/>
              <w:keepNext/>
              <w:jc w:val="center"/>
            </w:pPr>
            <w:r w:rsidRPr="00181EF3">
              <w:t>19.6</w:t>
            </w:r>
          </w:p>
        </w:tc>
      </w:tr>
      <w:tr w:rsidR="00140176" w:rsidRPr="00181EF3" w14:paraId="5773A364" w14:textId="77777777" w:rsidTr="00502F00">
        <w:trPr>
          <w:cantSplit/>
        </w:trPr>
        <w:tc>
          <w:tcPr>
            <w:tcW w:w="1418"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43EFC6CF" w14:textId="77777777" w:rsidR="00140176" w:rsidRPr="00181EF3" w:rsidRDefault="00140176" w:rsidP="00502F00">
            <w:pPr>
              <w:pStyle w:val="TableText"/>
              <w:keepNext/>
            </w:pPr>
            <w:r w:rsidRPr="00181EF3">
              <w:t>2000-01</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bottom"/>
          </w:tcPr>
          <w:p w14:paraId="60AAD4F1" w14:textId="77777777" w:rsidR="00140176" w:rsidRPr="00181EF3" w:rsidRDefault="00140176" w:rsidP="00502F00">
            <w:pPr>
              <w:pStyle w:val="TableText"/>
              <w:keepNext/>
              <w:jc w:val="center"/>
            </w:pPr>
            <w:r w:rsidRPr="00181EF3">
              <w:t>18.0</w:t>
            </w:r>
          </w:p>
        </w:tc>
        <w:tc>
          <w:tcPr>
            <w:tcW w:w="1418"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14B80CB4" w14:textId="77777777" w:rsidR="00140176" w:rsidRPr="00181EF3" w:rsidRDefault="00140176" w:rsidP="00502F00">
            <w:pPr>
              <w:pStyle w:val="TableText"/>
              <w:keepNext/>
              <w:jc w:val="center"/>
            </w:pPr>
            <w:r w:rsidRPr="00181EF3">
              <w:t>23.0</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bottom"/>
          </w:tcPr>
          <w:p w14:paraId="73CBFF1F" w14:textId="77777777" w:rsidR="00140176" w:rsidRPr="00181EF3" w:rsidRDefault="00140176" w:rsidP="00502F00">
            <w:pPr>
              <w:pStyle w:val="TableText"/>
              <w:keepNext/>
              <w:jc w:val="center"/>
            </w:pPr>
            <w:r w:rsidRPr="00181EF3">
              <w:t>16.5</w:t>
            </w:r>
          </w:p>
        </w:tc>
        <w:tc>
          <w:tcPr>
            <w:tcW w:w="1418" w:type="dxa"/>
            <w:tcBorders>
              <w:top w:val="single" w:sz="4" w:space="0" w:color="A6A6A6" w:themeColor="background1" w:themeShade="A6"/>
              <w:bottom w:val="single" w:sz="4" w:space="0" w:color="A6A6A6" w:themeColor="background1" w:themeShade="A6"/>
            </w:tcBorders>
            <w:vAlign w:val="bottom"/>
          </w:tcPr>
          <w:p w14:paraId="74074F21" w14:textId="77777777" w:rsidR="00140176" w:rsidRPr="00181EF3" w:rsidRDefault="00140176" w:rsidP="00502F00">
            <w:pPr>
              <w:pStyle w:val="TableText"/>
              <w:keepNext/>
              <w:jc w:val="center"/>
            </w:pPr>
            <w:r w:rsidRPr="00181EF3">
              <w:t>20.7</w:t>
            </w:r>
          </w:p>
        </w:tc>
      </w:tr>
      <w:tr w:rsidR="00140176" w:rsidRPr="00181EF3" w14:paraId="493F393B" w14:textId="77777777" w:rsidTr="00502F00">
        <w:trPr>
          <w:cantSplit/>
        </w:trPr>
        <w:tc>
          <w:tcPr>
            <w:tcW w:w="1418"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0A501DA8" w14:textId="77777777" w:rsidR="00140176" w:rsidRPr="00181EF3" w:rsidRDefault="00140176" w:rsidP="00502F00">
            <w:pPr>
              <w:pStyle w:val="TableText"/>
              <w:keepNext/>
            </w:pPr>
            <w:r w:rsidRPr="00181EF3">
              <w:t>2001–02</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bottom"/>
          </w:tcPr>
          <w:p w14:paraId="3E8E5FD7" w14:textId="77777777" w:rsidR="00140176" w:rsidRPr="00181EF3" w:rsidRDefault="00140176" w:rsidP="00502F00">
            <w:pPr>
              <w:pStyle w:val="TableText"/>
              <w:keepNext/>
              <w:jc w:val="center"/>
            </w:pPr>
            <w:r w:rsidRPr="00181EF3">
              <w:t>18.4</w:t>
            </w:r>
          </w:p>
        </w:tc>
        <w:tc>
          <w:tcPr>
            <w:tcW w:w="1418"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76FFA294" w14:textId="77777777" w:rsidR="00140176" w:rsidRPr="00181EF3" w:rsidRDefault="00140176" w:rsidP="00502F00">
            <w:pPr>
              <w:pStyle w:val="TableText"/>
              <w:keepNext/>
              <w:jc w:val="center"/>
            </w:pPr>
            <w:r w:rsidRPr="00181EF3">
              <w:t>23.0</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bottom"/>
          </w:tcPr>
          <w:p w14:paraId="480D020C" w14:textId="77777777" w:rsidR="00140176" w:rsidRPr="00181EF3" w:rsidRDefault="00140176" w:rsidP="00502F00">
            <w:pPr>
              <w:pStyle w:val="TableText"/>
              <w:keepNext/>
              <w:jc w:val="center"/>
            </w:pPr>
            <w:r w:rsidRPr="00181EF3">
              <w:t>17.0</w:t>
            </w:r>
          </w:p>
        </w:tc>
        <w:tc>
          <w:tcPr>
            <w:tcW w:w="1418" w:type="dxa"/>
            <w:tcBorders>
              <w:top w:val="single" w:sz="4" w:space="0" w:color="A6A6A6" w:themeColor="background1" w:themeShade="A6"/>
              <w:bottom w:val="single" w:sz="4" w:space="0" w:color="A6A6A6" w:themeColor="background1" w:themeShade="A6"/>
            </w:tcBorders>
            <w:vAlign w:val="bottom"/>
          </w:tcPr>
          <w:p w14:paraId="361470FC" w14:textId="77777777" w:rsidR="00140176" w:rsidRPr="00181EF3" w:rsidRDefault="00140176" w:rsidP="00502F00">
            <w:pPr>
              <w:pStyle w:val="TableText"/>
              <w:keepNext/>
              <w:jc w:val="center"/>
            </w:pPr>
            <w:r w:rsidRPr="00181EF3">
              <w:t>20.8</w:t>
            </w:r>
          </w:p>
        </w:tc>
      </w:tr>
      <w:tr w:rsidR="00140176" w:rsidRPr="00181EF3" w14:paraId="05831D5E" w14:textId="77777777" w:rsidTr="00502F00">
        <w:trPr>
          <w:cantSplit/>
        </w:trPr>
        <w:tc>
          <w:tcPr>
            <w:tcW w:w="1418"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1983636E" w14:textId="77777777" w:rsidR="00140176" w:rsidRPr="00181EF3" w:rsidRDefault="00140176" w:rsidP="00502F00">
            <w:pPr>
              <w:pStyle w:val="TableText"/>
              <w:keepNext/>
            </w:pPr>
            <w:r w:rsidRPr="00181EF3">
              <w:t>2002-03</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bottom"/>
          </w:tcPr>
          <w:p w14:paraId="608A2204" w14:textId="77777777" w:rsidR="00140176" w:rsidRPr="00181EF3" w:rsidRDefault="00140176" w:rsidP="00502F00">
            <w:pPr>
              <w:pStyle w:val="TableText"/>
              <w:keepNext/>
              <w:jc w:val="center"/>
            </w:pPr>
            <w:r w:rsidRPr="00181EF3">
              <w:t>19.9</w:t>
            </w:r>
          </w:p>
        </w:tc>
        <w:tc>
          <w:tcPr>
            <w:tcW w:w="1418"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2E47CFFE" w14:textId="77777777" w:rsidR="00140176" w:rsidRPr="00181EF3" w:rsidRDefault="00140176" w:rsidP="00502F00">
            <w:pPr>
              <w:pStyle w:val="TableText"/>
              <w:keepNext/>
              <w:jc w:val="center"/>
            </w:pPr>
            <w:r w:rsidRPr="00181EF3">
              <w:t>24.4</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bottom"/>
          </w:tcPr>
          <w:p w14:paraId="14030344" w14:textId="77777777" w:rsidR="00140176" w:rsidRPr="00181EF3" w:rsidRDefault="00140176" w:rsidP="00502F00">
            <w:pPr>
              <w:pStyle w:val="TableText"/>
              <w:keepNext/>
              <w:jc w:val="center"/>
            </w:pPr>
            <w:r w:rsidRPr="00181EF3">
              <w:t>16.5</w:t>
            </w:r>
          </w:p>
        </w:tc>
        <w:tc>
          <w:tcPr>
            <w:tcW w:w="1418" w:type="dxa"/>
            <w:tcBorders>
              <w:top w:val="single" w:sz="4" w:space="0" w:color="A6A6A6" w:themeColor="background1" w:themeShade="A6"/>
              <w:bottom w:val="single" w:sz="4" w:space="0" w:color="A6A6A6" w:themeColor="background1" w:themeShade="A6"/>
            </w:tcBorders>
            <w:vAlign w:val="bottom"/>
          </w:tcPr>
          <w:p w14:paraId="52A0FFD3" w14:textId="77777777" w:rsidR="00140176" w:rsidRPr="00181EF3" w:rsidRDefault="00140176" w:rsidP="00502F00">
            <w:pPr>
              <w:pStyle w:val="TableText"/>
              <w:keepNext/>
              <w:jc w:val="center"/>
            </w:pPr>
            <w:r w:rsidRPr="00181EF3">
              <w:t>20.3</w:t>
            </w:r>
          </w:p>
        </w:tc>
      </w:tr>
      <w:tr w:rsidR="00140176" w:rsidRPr="00181EF3" w14:paraId="7173DB69" w14:textId="77777777" w:rsidTr="00502F00">
        <w:trPr>
          <w:cantSplit/>
        </w:trPr>
        <w:tc>
          <w:tcPr>
            <w:tcW w:w="1418"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120A5F37" w14:textId="77777777" w:rsidR="00140176" w:rsidRPr="00181EF3" w:rsidRDefault="00140176" w:rsidP="00502F00">
            <w:pPr>
              <w:pStyle w:val="TableText"/>
              <w:keepNext/>
            </w:pPr>
            <w:r w:rsidRPr="00181EF3">
              <w:t>2003-04</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bottom"/>
          </w:tcPr>
          <w:p w14:paraId="32F38012" w14:textId="77777777" w:rsidR="00140176" w:rsidRPr="00181EF3" w:rsidRDefault="00140176" w:rsidP="00502F00">
            <w:pPr>
              <w:pStyle w:val="TableText"/>
              <w:keepNext/>
              <w:jc w:val="center"/>
            </w:pPr>
            <w:r w:rsidRPr="00181EF3">
              <w:t>20.3</w:t>
            </w:r>
          </w:p>
        </w:tc>
        <w:tc>
          <w:tcPr>
            <w:tcW w:w="1418"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42850A21" w14:textId="77777777" w:rsidR="00140176" w:rsidRPr="00181EF3" w:rsidRDefault="00140176" w:rsidP="00502F00">
            <w:pPr>
              <w:pStyle w:val="TableText"/>
              <w:keepNext/>
              <w:jc w:val="center"/>
            </w:pPr>
            <w:r w:rsidRPr="00181EF3">
              <w:t>25.0</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bottom"/>
          </w:tcPr>
          <w:p w14:paraId="04E27ACB" w14:textId="77777777" w:rsidR="00140176" w:rsidRPr="00181EF3" w:rsidRDefault="00140176" w:rsidP="00502F00">
            <w:pPr>
              <w:pStyle w:val="TableText"/>
              <w:keepNext/>
              <w:jc w:val="center"/>
            </w:pPr>
            <w:r w:rsidRPr="00181EF3">
              <w:t>16.6</w:t>
            </w:r>
          </w:p>
        </w:tc>
        <w:tc>
          <w:tcPr>
            <w:tcW w:w="1418" w:type="dxa"/>
            <w:tcBorders>
              <w:top w:val="single" w:sz="4" w:space="0" w:color="A6A6A6" w:themeColor="background1" w:themeShade="A6"/>
              <w:bottom w:val="single" w:sz="4" w:space="0" w:color="A6A6A6" w:themeColor="background1" w:themeShade="A6"/>
            </w:tcBorders>
            <w:vAlign w:val="bottom"/>
          </w:tcPr>
          <w:p w14:paraId="7F8D794F" w14:textId="77777777" w:rsidR="00140176" w:rsidRPr="00181EF3" w:rsidRDefault="00140176" w:rsidP="00502F00">
            <w:pPr>
              <w:pStyle w:val="TableText"/>
              <w:keepNext/>
              <w:jc w:val="center"/>
            </w:pPr>
            <w:r w:rsidRPr="00181EF3">
              <w:t>20.6</w:t>
            </w:r>
          </w:p>
        </w:tc>
      </w:tr>
      <w:tr w:rsidR="00140176" w:rsidRPr="00181EF3" w14:paraId="76083ED4" w14:textId="77777777" w:rsidTr="00502F00">
        <w:trPr>
          <w:cantSplit/>
        </w:trPr>
        <w:tc>
          <w:tcPr>
            <w:tcW w:w="1418"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04B533F9" w14:textId="77777777" w:rsidR="00140176" w:rsidRPr="00181EF3" w:rsidRDefault="00140176" w:rsidP="00502F00">
            <w:pPr>
              <w:pStyle w:val="TableText"/>
              <w:keepNext/>
            </w:pPr>
            <w:r w:rsidRPr="00181EF3">
              <w:t>2004-05</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bottom"/>
          </w:tcPr>
          <w:p w14:paraId="36978F6E" w14:textId="77777777" w:rsidR="00140176" w:rsidRPr="00181EF3" w:rsidRDefault="00140176" w:rsidP="00502F00">
            <w:pPr>
              <w:pStyle w:val="TableText"/>
              <w:keepNext/>
              <w:jc w:val="center"/>
            </w:pPr>
            <w:r w:rsidRPr="00181EF3">
              <w:t>20.5</w:t>
            </w:r>
          </w:p>
        </w:tc>
        <w:tc>
          <w:tcPr>
            <w:tcW w:w="1418"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6F663CBC" w14:textId="77777777" w:rsidR="00140176" w:rsidRPr="00181EF3" w:rsidRDefault="00140176" w:rsidP="00502F00">
            <w:pPr>
              <w:pStyle w:val="TableText"/>
              <w:keepNext/>
              <w:jc w:val="center"/>
            </w:pPr>
            <w:r w:rsidRPr="00181EF3">
              <w:t>25.2</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bottom"/>
          </w:tcPr>
          <w:p w14:paraId="4034E6F7" w14:textId="77777777" w:rsidR="00140176" w:rsidRPr="00181EF3" w:rsidRDefault="00140176" w:rsidP="00502F00">
            <w:pPr>
              <w:pStyle w:val="TableText"/>
              <w:keepNext/>
              <w:jc w:val="center"/>
            </w:pPr>
            <w:r w:rsidRPr="00181EF3">
              <w:t>16.5</w:t>
            </w:r>
          </w:p>
        </w:tc>
        <w:tc>
          <w:tcPr>
            <w:tcW w:w="1418" w:type="dxa"/>
            <w:tcBorders>
              <w:top w:val="single" w:sz="4" w:space="0" w:color="A6A6A6" w:themeColor="background1" w:themeShade="A6"/>
              <w:bottom w:val="single" w:sz="4" w:space="0" w:color="A6A6A6" w:themeColor="background1" w:themeShade="A6"/>
            </w:tcBorders>
            <w:vAlign w:val="bottom"/>
          </w:tcPr>
          <w:p w14:paraId="488D7682" w14:textId="77777777" w:rsidR="00140176" w:rsidRPr="00181EF3" w:rsidRDefault="00140176" w:rsidP="00502F00">
            <w:pPr>
              <w:pStyle w:val="TableText"/>
              <w:keepNext/>
              <w:jc w:val="center"/>
            </w:pPr>
            <w:r w:rsidRPr="00181EF3">
              <w:t>20.4</w:t>
            </w:r>
          </w:p>
        </w:tc>
      </w:tr>
      <w:tr w:rsidR="00140176" w:rsidRPr="00181EF3" w14:paraId="72506464" w14:textId="77777777" w:rsidTr="00502F00">
        <w:trPr>
          <w:cantSplit/>
        </w:trPr>
        <w:tc>
          <w:tcPr>
            <w:tcW w:w="1418"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355F308B" w14:textId="77777777" w:rsidR="00140176" w:rsidRPr="00181EF3" w:rsidRDefault="00140176" w:rsidP="00502F00">
            <w:pPr>
              <w:pStyle w:val="TableText"/>
              <w:keepNext/>
            </w:pPr>
            <w:r w:rsidRPr="00181EF3">
              <w:t>2005–06</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bottom"/>
          </w:tcPr>
          <w:p w14:paraId="1FD62322" w14:textId="77777777" w:rsidR="00140176" w:rsidRPr="00181EF3" w:rsidRDefault="00140176" w:rsidP="00502F00">
            <w:pPr>
              <w:pStyle w:val="TableText"/>
              <w:keepNext/>
              <w:jc w:val="center"/>
            </w:pPr>
            <w:r w:rsidRPr="00181EF3">
              <w:t>20.8</w:t>
            </w:r>
          </w:p>
        </w:tc>
        <w:tc>
          <w:tcPr>
            <w:tcW w:w="1418"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750E92A2" w14:textId="77777777" w:rsidR="00140176" w:rsidRPr="00181EF3" w:rsidRDefault="00140176" w:rsidP="00502F00">
            <w:pPr>
              <w:pStyle w:val="TableText"/>
              <w:keepNext/>
              <w:jc w:val="center"/>
            </w:pPr>
            <w:r w:rsidRPr="00181EF3">
              <w:t>25.6</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bottom"/>
          </w:tcPr>
          <w:p w14:paraId="4B1C5566" w14:textId="77777777" w:rsidR="00140176" w:rsidRPr="00181EF3" w:rsidRDefault="00140176" w:rsidP="00502F00">
            <w:pPr>
              <w:pStyle w:val="TableText"/>
              <w:keepNext/>
              <w:jc w:val="center"/>
            </w:pPr>
            <w:r w:rsidRPr="00181EF3">
              <w:t>16.9</w:t>
            </w:r>
          </w:p>
        </w:tc>
        <w:tc>
          <w:tcPr>
            <w:tcW w:w="1418" w:type="dxa"/>
            <w:tcBorders>
              <w:top w:val="single" w:sz="4" w:space="0" w:color="A6A6A6" w:themeColor="background1" w:themeShade="A6"/>
              <w:bottom w:val="single" w:sz="4" w:space="0" w:color="A6A6A6" w:themeColor="background1" w:themeShade="A6"/>
            </w:tcBorders>
            <w:vAlign w:val="bottom"/>
          </w:tcPr>
          <w:p w14:paraId="19051056" w14:textId="77777777" w:rsidR="00140176" w:rsidRPr="00181EF3" w:rsidRDefault="00140176" w:rsidP="00502F00">
            <w:pPr>
              <w:pStyle w:val="TableText"/>
              <w:keepNext/>
              <w:jc w:val="center"/>
            </w:pPr>
            <w:r w:rsidRPr="00181EF3">
              <w:t>20.7</w:t>
            </w:r>
          </w:p>
        </w:tc>
      </w:tr>
      <w:tr w:rsidR="00140176" w:rsidRPr="00181EF3" w14:paraId="45D822CC" w14:textId="77777777" w:rsidTr="00502F00">
        <w:trPr>
          <w:cantSplit/>
        </w:trPr>
        <w:tc>
          <w:tcPr>
            <w:tcW w:w="1418"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11285687" w14:textId="77777777" w:rsidR="00140176" w:rsidRPr="00181EF3" w:rsidRDefault="00140176" w:rsidP="00502F00">
            <w:pPr>
              <w:pStyle w:val="TableText"/>
              <w:keepNext/>
            </w:pPr>
            <w:r w:rsidRPr="00181EF3">
              <w:t>2006–07</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bottom"/>
          </w:tcPr>
          <w:p w14:paraId="538C38CE" w14:textId="77777777" w:rsidR="00140176" w:rsidRPr="00181EF3" w:rsidRDefault="00140176" w:rsidP="00502F00">
            <w:pPr>
              <w:pStyle w:val="TableText"/>
              <w:keepNext/>
              <w:jc w:val="center"/>
            </w:pPr>
            <w:r w:rsidRPr="00181EF3">
              <w:t>21.5</w:t>
            </w:r>
          </w:p>
        </w:tc>
        <w:tc>
          <w:tcPr>
            <w:tcW w:w="1418"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456C26C7" w14:textId="77777777" w:rsidR="00140176" w:rsidRPr="00181EF3" w:rsidRDefault="00140176" w:rsidP="00502F00">
            <w:pPr>
              <w:pStyle w:val="TableText"/>
              <w:keepNext/>
              <w:jc w:val="center"/>
            </w:pPr>
            <w:r w:rsidRPr="00181EF3">
              <w:t>27.0</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bottom"/>
          </w:tcPr>
          <w:p w14:paraId="6118885E" w14:textId="77777777" w:rsidR="00140176" w:rsidRPr="00181EF3" w:rsidRDefault="00140176" w:rsidP="00502F00">
            <w:pPr>
              <w:pStyle w:val="TableText"/>
              <w:keepNext/>
              <w:jc w:val="center"/>
            </w:pPr>
            <w:r w:rsidRPr="00181EF3">
              <w:t>16.7</w:t>
            </w:r>
          </w:p>
        </w:tc>
        <w:tc>
          <w:tcPr>
            <w:tcW w:w="1418" w:type="dxa"/>
            <w:tcBorders>
              <w:top w:val="single" w:sz="4" w:space="0" w:color="A6A6A6" w:themeColor="background1" w:themeShade="A6"/>
              <w:bottom w:val="single" w:sz="4" w:space="0" w:color="A6A6A6" w:themeColor="background1" w:themeShade="A6"/>
            </w:tcBorders>
            <w:vAlign w:val="bottom"/>
          </w:tcPr>
          <w:p w14:paraId="05346375" w14:textId="77777777" w:rsidR="00140176" w:rsidRPr="00181EF3" w:rsidRDefault="00140176" w:rsidP="00502F00">
            <w:pPr>
              <w:pStyle w:val="TableText"/>
              <w:keepNext/>
              <w:jc w:val="center"/>
            </w:pPr>
            <w:r w:rsidRPr="00181EF3">
              <w:t>20.7</w:t>
            </w:r>
          </w:p>
        </w:tc>
      </w:tr>
      <w:tr w:rsidR="00140176" w:rsidRPr="00181EF3" w14:paraId="4E40D18B" w14:textId="77777777" w:rsidTr="00502F00">
        <w:trPr>
          <w:cantSplit/>
        </w:trPr>
        <w:tc>
          <w:tcPr>
            <w:tcW w:w="1418"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0FBBB4CB" w14:textId="77777777" w:rsidR="00140176" w:rsidRPr="00181EF3" w:rsidRDefault="00140176" w:rsidP="00502F00">
            <w:pPr>
              <w:pStyle w:val="TableText"/>
              <w:keepNext/>
            </w:pPr>
            <w:r w:rsidRPr="00181EF3">
              <w:t>2007–08</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bottom"/>
          </w:tcPr>
          <w:p w14:paraId="2F138A91" w14:textId="77777777" w:rsidR="00140176" w:rsidRPr="00181EF3" w:rsidRDefault="00140176" w:rsidP="00502F00">
            <w:pPr>
              <w:pStyle w:val="TableText"/>
              <w:keepNext/>
              <w:jc w:val="center"/>
            </w:pPr>
            <w:r w:rsidRPr="00181EF3">
              <w:t>20.5</w:t>
            </w:r>
          </w:p>
        </w:tc>
        <w:tc>
          <w:tcPr>
            <w:tcW w:w="1418"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1BB7A6B5" w14:textId="77777777" w:rsidR="00140176" w:rsidRPr="00181EF3" w:rsidRDefault="00140176" w:rsidP="00502F00">
            <w:pPr>
              <w:pStyle w:val="TableText"/>
              <w:keepNext/>
              <w:jc w:val="center"/>
            </w:pPr>
            <w:r w:rsidRPr="00181EF3">
              <w:t>26.4</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bottom"/>
          </w:tcPr>
          <w:p w14:paraId="6F8332E9" w14:textId="77777777" w:rsidR="00140176" w:rsidRPr="00181EF3" w:rsidRDefault="00140176" w:rsidP="00502F00">
            <w:pPr>
              <w:pStyle w:val="TableText"/>
              <w:keepNext/>
              <w:jc w:val="center"/>
            </w:pPr>
            <w:r w:rsidRPr="00181EF3">
              <w:t>16.6</w:t>
            </w:r>
          </w:p>
        </w:tc>
        <w:tc>
          <w:tcPr>
            <w:tcW w:w="1418" w:type="dxa"/>
            <w:tcBorders>
              <w:top w:val="single" w:sz="4" w:space="0" w:color="A6A6A6" w:themeColor="background1" w:themeShade="A6"/>
              <w:bottom w:val="single" w:sz="4" w:space="0" w:color="A6A6A6" w:themeColor="background1" w:themeShade="A6"/>
            </w:tcBorders>
            <w:vAlign w:val="bottom"/>
          </w:tcPr>
          <w:p w14:paraId="17450796" w14:textId="77777777" w:rsidR="00140176" w:rsidRPr="00181EF3" w:rsidRDefault="00140176" w:rsidP="00502F00">
            <w:pPr>
              <w:pStyle w:val="TableText"/>
              <w:keepNext/>
              <w:jc w:val="center"/>
            </w:pPr>
            <w:r w:rsidRPr="00181EF3">
              <w:t>20.9</w:t>
            </w:r>
          </w:p>
        </w:tc>
      </w:tr>
      <w:tr w:rsidR="00140176" w:rsidRPr="00181EF3" w14:paraId="51DCCB20" w14:textId="77777777" w:rsidTr="00502F00">
        <w:trPr>
          <w:cantSplit/>
        </w:trPr>
        <w:tc>
          <w:tcPr>
            <w:tcW w:w="1418"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27B3A959" w14:textId="77777777" w:rsidR="00140176" w:rsidRPr="00181EF3" w:rsidRDefault="00140176" w:rsidP="00502F00">
            <w:pPr>
              <w:pStyle w:val="TableText"/>
              <w:keepNext/>
            </w:pPr>
            <w:r w:rsidRPr="00181EF3">
              <w:t>2008-09</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bottom"/>
          </w:tcPr>
          <w:p w14:paraId="32748BBB" w14:textId="77777777" w:rsidR="00140176" w:rsidRPr="00181EF3" w:rsidRDefault="00140176" w:rsidP="00502F00">
            <w:pPr>
              <w:pStyle w:val="TableText"/>
              <w:keepNext/>
              <w:jc w:val="center"/>
            </w:pPr>
            <w:r w:rsidRPr="00181EF3">
              <w:t>21.7</w:t>
            </w:r>
          </w:p>
        </w:tc>
        <w:tc>
          <w:tcPr>
            <w:tcW w:w="1418"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3C215AF4" w14:textId="77777777" w:rsidR="00140176" w:rsidRPr="00181EF3" w:rsidRDefault="00140176" w:rsidP="00502F00">
            <w:pPr>
              <w:pStyle w:val="TableText"/>
              <w:keepNext/>
              <w:jc w:val="center"/>
            </w:pPr>
            <w:r w:rsidRPr="00181EF3">
              <w:t>28.3</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bottom"/>
          </w:tcPr>
          <w:p w14:paraId="66AB0A32" w14:textId="77777777" w:rsidR="00140176" w:rsidRPr="00181EF3" w:rsidRDefault="00140176" w:rsidP="00502F00">
            <w:pPr>
              <w:pStyle w:val="TableText"/>
              <w:keepNext/>
              <w:jc w:val="center"/>
            </w:pPr>
            <w:r w:rsidRPr="00181EF3">
              <w:t>17.6</w:t>
            </w:r>
          </w:p>
        </w:tc>
        <w:tc>
          <w:tcPr>
            <w:tcW w:w="1418" w:type="dxa"/>
            <w:tcBorders>
              <w:top w:val="single" w:sz="4" w:space="0" w:color="A6A6A6" w:themeColor="background1" w:themeShade="A6"/>
              <w:bottom w:val="single" w:sz="4" w:space="0" w:color="A6A6A6" w:themeColor="background1" w:themeShade="A6"/>
            </w:tcBorders>
            <w:vAlign w:val="bottom"/>
          </w:tcPr>
          <w:p w14:paraId="4AB30BE9" w14:textId="77777777" w:rsidR="00140176" w:rsidRPr="00181EF3" w:rsidRDefault="00140176" w:rsidP="00502F00">
            <w:pPr>
              <w:pStyle w:val="TableText"/>
              <w:keepNext/>
              <w:jc w:val="center"/>
            </w:pPr>
            <w:r w:rsidRPr="00181EF3">
              <w:t>22.0</w:t>
            </w:r>
          </w:p>
        </w:tc>
      </w:tr>
      <w:tr w:rsidR="00140176" w:rsidRPr="00181EF3" w14:paraId="72E76F1B" w14:textId="77777777" w:rsidTr="00502F00">
        <w:trPr>
          <w:cantSplit/>
        </w:trPr>
        <w:tc>
          <w:tcPr>
            <w:tcW w:w="1418"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1E697088" w14:textId="77777777" w:rsidR="00140176" w:rsidRPr="00181EF3" w:rsidRDefault="00140176" w:rsidP="00502F00">
            <w:pPr>
              <w:pStyle w:val="TableText"/>
              <w:keepNext/>
            </w:pPr>
            <w:r w:rsidRPr="00181EF3">
              <w:t>2009–10</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bottom"/>
          </w:tcPr>
          <w:p w14:paraId="4E0EC615" w14:textId="77777777" w:rsidR="00140176" w:rsidRPr="00181EF3" w:rsidRDefault="00140176" w:rsidP="00502F00">
            <w:pPr>
              <w:pStyle w:val="TableText"/>
              <w:keepNext/>
              <w:jc w:val="center"/>
            </w:pPr>
            <w:r w:rsidRPr="00181EF3">
              <w:t>21.9</w:t>
            </w:r>
          </w:p>
        </w:tc>
        <w:tc>
          <w:tcPr>
            <w:tcW w:w="1418"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27D1E1B5" w14:textId="77777777" w:rsidR="00140176" w:rsidRPr="00181EF3" w:rsidRDefault="00140176" w:rsidP="00502F00">
            <w:pPr>
              <w:pStyle w:val="TableText"/>
              <w:keepNext/>
              <w:jc w:val="center"/>
            </w:pPr>
            <w:r w:rsidRPr="00181EF3">
              <w:t>28.8</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bottom"/>
          </w:tcPr>
          <w:p w14:paraId="39CC9A92" w14:textId="77777777" w:rsidR="00140176" w:rsidRPr="00181EF3" w:rsidRDefault="00140176" w:rsidP="00502F00">
            <w:pPr>
              <w:pStyle w:val="TableText"/>
              <w:keepNext/>
              <w:jc w:val="center"/>
            </w:pPr>
            <w:r w:rsidRPr="00181EF3">
              <w:t>17.8</w:t>
            </w:r>
          </w:p>
        </w:tc>
        <w:tc>
          <w:tcPr>
            <w:tcW w:w="1418" w:type="dxa"/>
            <w:tcBorders>
              <w:top w:val="single" w:sz="4" w:space="0" w:color="A6A6A6" w:themeColor="background1" w:themeShade="A6"/>
              <w:bottom w:val="single" w:sz="4" w:space="0" w:color="A6A6A6" w:themeColor="background1" w:themeShade="A6"/>
            </w:tcBorders>
            <w:vAlign w:val="bottom"/>
          </w:tcPr>
          <w:p w14:paraId="7952A741" w14:textId="77777777" w:rsidR="00140176" w:rsidRPr="00181EF3" w:rsidRDefault="00140176" w:rsidP="00502F00">
            <w:pPr>
              <w:pStyle w:val="TableText"/>
              <w:keepNext/>
              <w:jc w:val="center"/>
            </w:pPr>
            <w:r w:rsidRPr="00181EF3">
              <w:t>22.4</w:t>
            </w:r>
          </w:p>
        </w:tc>
      </w:tr>
      <w:tr w:rsidR="00140176" w:rsidRPr="00181EF3" w14:paraId="1C013BE8" w14:textId="77777777" w:rsidTr="00502F00">
        <w:trPr>
          <w:cantSplit/>
        </w:trPr>
        <w:tc>
          <w:tcPr>
            <w:tcW w:w="1418"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339E60CF" w14:textId="77777777" w:rsidR="00140176" w:rsidRPr="00181EF3" w:rsidRDefault="00140176" w:rsidP="00502F00">
            <w:pPr>
              <w:pStyle w:val="TableText"/>
              <w:keepNext/>
            </w:pPr>
            <w:r w:rsidRPr="00181EF3">
              <w:t>2010–11</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bottom"/>
          </w:tcPr>
          <w:p w14:paraId="5DF4C4BB" w14:textId="77777777" w:rsidR="00140176" w:rsidRPr="00181EF3" w:rsidRDefault="00140176" w:rsidP="00502F00">
            <w:pPr>
              <w:pStyle w:val="TableText"/>
              <w:keepNext/>
              <w:jc w:val="center"/>
            </w:pPr>
            <w:r w:rsidRPr="00181EF3">
              <w:t>21.5</w:t>
            </w:r>
          </w:p>
        </w:tc>
        <w:tc>
          <w:tcPr>
            <w:tcW w:w="1418"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122C2A7B" w14:textId="77777777" w:rsidR="00140176" w:rsidRPr="00181EF3" w:rsidRDefault="00140176" w:rsidP="00502F00">
            <w:pPr>
              <w:pStyle w:val="TableText"/>
              <w:keepNext/>
              <w:jc w:val="center"/>
            </w:pPr>
            <w:r w:rsidRPr="00181EF3">
              <w:t>28.4</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bottom"/>
          </w:tcPr>
          <w:p w14:paraId="43665D6A" w14:textId="77777777" w:rsidR="00140176" w:rsidRPr="00181EF3" w:rsidRDefault="00140176" w:rsidP="00502F00">
            <w:pPr>
              <w:pStyle w:val="TableText"/>
              <w:keepNext/>
              <w:jc w:val="center"/>
            </w:pPr>
            <w:r w:rsidRPr="00181EF3">
              <w:t>17.8</w:t>
            </w:r>
          </w:p>
        </w:tc>
        <w:tc>
          <w:tcPr>
            <w:tcW w:w="1418" w:type="dxa"/>
            <w:tcBorders>
              <w:top w:val="single" w:sz="4" w:space="0" w:color="A6A6A6" w:themeColor="background1" w:themeShade="A6"/>
              <w:bottom w:val="single" w:sz="4" w:space="0" w:color="A6A6A6" w:themeColor="background1" w:themeShade="A6"/>
            </w:tcBorders>
            <w:vAlign w:val="bottom"/>
          </w:tcPr>
          <w:p w14:paraId="491A9635" w14:textId="77777777" w:rsidR="00140176" w:rsidRPr="00181EF3" w:rsidRDefault="00140176" w:rsidP="00502F00">
            <w:pPr>
              <w:pStyle w:val="TableText"/>
              <w:keepNext/>
              <w:jc w:val="center"/>
            </w:pPr>
            <w:r w:rsidRPr="00181EF3">
              <w:t>22.5</w:t>
            </w:r>
          </w:p>
        </w:tc>
      </w:tr>
      <w:tr w:rsidR="00140176" w:rsidRPr="00181EF3" w14:paraId="60202A5E" w14:textId="77777777" w:rsidTr="00502F00">
        <w:trPr>
          <w:cantSplit/>
        </w:trPr>
        <w:tc>
          <w:tcPr>
            <w:tcW w:w="1418"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76640626" w14:textId="77777777" w:rsidR="00140176" w:rsidRPr="00181EF3" w:rsidRDefault="00140176" w:rsidP="00502F00">
            <w:pPr>
              <w:pStyle w:val="TableText"/>
              <w:keepNext/>
            </w:pPr>
            <w:r w:rsidRPr="00181EF3">
              <w:t>2011–12</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bottom"/>
          </w:tcPr>
          <w:p w14:paraId="764CDBF5" w14:textId="77777777" w:rsidR="00140176" w:rsidRPr="00181EF3" w:rsidRDefault="00140176" w:rsidP="00502F00">
            <w:pPr>
              <w:pStyle w:val="TableText"/>
              <w:keepNext/>
              <w:jc w:val="center"/>
            </w:pPr>
            <w:r w:rsidRPr="00181EF3">
              <w:t>21.1</w:t>
            </w:r>
          </w:p>
        </w:tc>
        <w:tc>
          <w:tcPr>
            <w:tcW w:w="1418"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7D9F4574" w14:textId="77777777" w:rsidR="00140176" w:rsidRPr="00181EF3" w:rsidRDefault="00140176" w:rsidP="00502F00">
            <w:pPr>
              <w:pStyle w:val="TableText"/>
              <w:keepNext/>
              <w:jc w:val="center"/>
            </w:pPr>
            <w:r w:rsidRPr="00181EF3">
              <w:t>28.3</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bottom"/>
          </w:tcPr>
          <w:p w14:paraId="6238724B" w14:textId="77777777" w:rsidR="00140176" w:rsidRPr="00181EF3" w:rsidRDefault="00140176" w:rsidP="00502F00">
            <w:pPr>
              <w:pStyle w:val="TableText"/>
              <w:keepNext/>
              <w:jc w:val="center"/>
            </w:pPr>
            <w:r w:rsidRPr="00181EF3">
              <w:t>17.9</w:t>
            </w:r>
          </w:p>
        </w:tc>
        <w:tc>
          <w:tcPr>
            <w:tcW w:w="1418" w:type="dxa"/>
            <w:tcBorders>
              <w:top w:val="single" w:sz="4" w:space="0" w:color="A6A6A6" w:themeColor="background1" w:themeShade="A6"/>
              <w:bottom w:val="single" w:sz="4" w:space="0" w:color="A6A6A6" w:themeColor="background1" w:themeShade="A6"/>
            </w:tcBorders>
            <w:vAlign w:val="bottom"/>
          </w:tcPr>
          <w:p w14:paraId="2A858A87" w14:textId="77777777" w:rsidR="00140176" w:rsidRPr="00181EF3" w:rsidRDefault="00140176" w:rsidP="00502F00">
            <w:pPr>
              <w:pStyle w:val="TableText"/>
              <w:keepNext/>
              <w:jc w:val="center"/>
            </w:pPr>
            <w:r w:rsidRPr="00181EF3">
              <w:t>22.7</w:t>
            </w:r>
          </w:p>
        </w:tc>
      </w:tr>
      <w:tr w:rsidR="00140176" w:rsidRPr="00181EF3" w14:paraId="0C70AA86" w14:textId="77777777" w:rsidTr="00502F00">
        <w:trPr>
          <w:cantSplit/>
        </w:trPr>
        <w:tc>
          <w:tcPr>
            <w:tcW w:w="1418"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4D06435F" w14:textId="77777777" w:rsidR="00140176" w:rsidRPr="00181EF3" w:rsidRDefault="00140176" w:rsidP="00502F00">
            <w:pPr>
              <w:pStyle w:val="TableText"/>
              <w:keepNext/>
            </w:pPr>
            <w:r w:rsidRPr="00181EF3">
              <w:t>2012–13</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bottom"/>
          </w:tcPr>
          <w:p w14:paraId="04536A95" w14:textId="77777777" w:rsidR="00140176" w:rsidRPr="00181EF3" w:rsidRDefault="00140176" w:rsidP="00502F00">
            <w:pPr>
              <w:pStyle w:val="TableText"/>
              <w:keepNext/>
              <w:jc w:val="center"/>
            </w:pPr>
            <w:r w:rsidRPr="00181EF3">
              <w:t>21.1</w:t>
            </w:r>
          </w:p>
        </w:tc>
        <w:tc>
          <w:tcPr>
            <w:tcW w:w="1418"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0F2C8C28" w14:textId="77777777" w:rsidR="00140176" w:rsidRPr="00181EF3" w:rsidRDefault="00140176" w:rsidP="00502F00">
            <w:pPr>
              <w:pStyle w:val="TableText"/>
              <w:keepNext/>
              <w:jc w:val="center"/>
            </w:pPr>
            <w:r w:rsidRPr="00181EF3">
              <w:t>28.2</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bottom"/>
          </w:tcPr>
          <w:p w14:paraId="3B098C95" w14:textId="77777777" w:rsidR="00140176" w:rsidRPr="00181EF3" w:rsidRDefault="00140176" w:rsidP="00502F00">
            <w:pPr>
              <w:pStyle w:val="TableText"/>
              <w:keepNext/>
              <w:jc w:val="center"/>
            </w:pPr>
            <w:r w:rsidRPr="00181EF3">
              <w:t>18.2</w:t>
            </w:r>
          </w:p>
        </w:tc>
        <w:tc>
          <w:tcPr>
            <w:tcW w:w="1418" w:type="dxa"/>
            <w:tcBorders>
              <w:top w:val="single" w:sz="4" w:space="0" w:color="A6A6A6" w:themeColor="background1" w:themeShade="A6"/>
              <w:bottom w:val="single" w:sz="4" w:space="0" w:color="A6A6A6" w:themeColor="background1" w:themeShade="A6"/>
            </w:tcBorders>
            <w:vAlign w:val="bottom"/>
          </w:tcPr>
          <w:p w14:paraId="786316DA" w14:textId="77777777" w:rsidR="00140176" w:rsidRPr="00181EF3" w:rsidRDefault="00140176" w:rsidP="00502F00">
            <w:pPr>
              <w:pStyle w:val="TableText"/>
              <w:keepNext/>
              <w:jc w:val="center"/>
            </w:pPr>
            <w:r w:rsidRPr="00181EF3">
              <w:t>23.0</w:t>
            </w:r>
          </w:p>
        </w:tc>
      </w:tr>
      <w:tr w:rsidR="00140176" w:rsidRPr="00181EF3" w14:paraId="7D783B68" w14:textId="77777777" w:rsidTr="00502F00">
        <w:trPr>
          <w:cantSplit/>
        </w:trPr>
        <w:tc>
          <w:tcPr>
            <w:tcW w:w="1418"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594A9DEF" w14:textId="77777777" w:rsidR="00140176" w:rsidRPr="00181EF3" w:rsidRDefault="00140176" w:rsidP="00502F00">
            <w:pPr>
              <w:pStyle w:val="TableText"/>
              <w:keepNext/>
            </w:pPr>
            <w:r w:rsidRPr="00181EF3">
              <w:t>2013–14</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bottom"/>
          </w:tcPr>
          <w:p w14:paraId="1E99D010" w14:textId="77777777" w:rsidR="00140176" w:rsidRPr="00181EF3" w:rsidRDefault="00140176" w:rsidP="00502F00">
            <w:pPr>
              <w:pStyle w:val="TableText"/>
              <w:keepNext/>
              <w:jc w:val="center"/>
            </w:pPr>
            <w:r w:rsidRPr="00181EF3">
              <w:t>20.1</w:t>
            </w:r>
          </w:p>
        </w:tc>
        <w:tc>
          <w:tcPr>
            <w:tcW w:w="1418"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0DCFC16B" w14:textId="77777777" w:rsidR="00140176" w:rsidRPr="00181EF3" w:rsidRDefault="00140176" w:rsidP="00502F00">
            <w:pPr>
              <w:pStyle w:val="TableText"/>
              <w:keepNext/>
              <w:jc w:val="center"/>
            </w:pPr>
            <w:r w:rsidRPr="00181EF3">
              <w:t>27.1</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bottom"/>
          </w:tcPr>
          <w:p w14:paraId="763BE3E9" w14:textId="77777777" w:rsidR="00140176" w:rsidRPr="00181EF3" w:rsidRDefault="00140176" w:rsidP="00502F00">
            <w:pPr>
              <w:pStyle w:val="TableText"/>
              <w:keepNext/>
              <w:jc w:val="center"/>
            </w:pPr>
            <w:r w:rsidRPr="00181EF3">
              <w:t>18.5</w:t>
            </w:r>
          </w:p>
        </w:tc>
        <w:tc>
          <w:tcPr>
            <w:tcW w:w="1418" w:type="dxa"/>
            <w:tcBorders>
              <w:top w:val="single" w:sz="4" w:space="0" w:color="A6A6A6" w:themeColor="background1" w:themeShade="A6"/>
              <w:bottom w:val="single" w:sz="4" w:space="0" w:color="A6A6A6" w:themeColor="background1" w:themeShade="A6"/>
            </w:tcBorders>
            <w:vAlign w:val="bottom"/>
          </w:tcPr>
          <w:p w14:paraId="72A34AC4" w14:textId="77777777" w:rsidR="00140176" w:rsidRPr="00181EF3" w:rsidRDefault="00140176" w:rsidP="00502F00">
            <w:pPr>
              <w:pStyle w:val="TableText"/>
              <w:keepNext/>
              <w:jc w:val="center"/>
            </w:pPr>
            <w:r w:rsidRPr="00181EF3">
              <w:t>23.3</w:t>
            </w:r>
          </w:p>
        </w:tc>
      </w:tr>
      <w:tr w:rsidR="00140176" w:rsidRPr="00181EF3" w14:paraId="5773C06F" w14:textId="77777777" w:rsidTr="00502F00">
        <w:trPr>
          <w:cantSplit/>
        </w:trPr>
        <w:tc>
          <w:tcPr>
            <w:tcW w:w="1418"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088C0EE1" w14:textId="77777777" w:rsidR="00140176" w:rsidRPr="00181EF3" w:rsidRDefault="00140176" w:rsidP="00502F00">
            <w:pPr>
              <w:pStyle w:val="TableText"/>
              <w:keepNext/>
            </w:pPr>
            <w:r w:rsidRPr="00181EF3">
              <w:t>2014–15</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bottom"/>
          </w:tcPr>
          <w:p w14:paraId="0023783A" w14:textId="77777777" w:rsidR="00140176" w:rsidRPr="00181EF3" w:rsidRDefault="00140176" w:rsidP="00502F00">
            <w:pPr>
              <w:pStyle w:val="TableText"/>
              <w:keepNext/>
              <w:jc w:val="center"/>
            </w:pPr>
            <w:r w:rsidRPr="00181EF3">
              <w:t>21.2</w:t>
            </w:r>
          </w:p>
        </w:tc>
        <w:tc>
          <w:tcPr>
            <w:tcW w:w="1418"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6BC7FC2B" w14:textId="77777777" w:rsidR="00140176" w:rsidRPr="00181EF3" w:rsidRDefault="00140176" w:rsidP="00502F00">
            <w:pPr>
              <w:pStyle w:val="TableText"/>
              <w:keepNext/>
              <w:jc w:val="center"/>
            </w:pPr>
            <w:r w:rsidRPr="00181EF3">
              <w:t>27.3</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bottom"/>
          </w:tcPr>
          <w:p w14:paraId="7221F92D" w14:textId="77777777" w:rsidR="00140176" w:rsidRPr="00181EF3" w:rsidRDefault="00140176" w:rsidP="00502F00">
            <w:pPr>
              <w:pStyle w:val="TableText"/>
              <w:keepNext/>
              <w:jc w:val="center"/>
            </w:pPr>
            <w:r w:rsidRPr="00181EF3">
              <w:t>18.6</w:t>
            </w:r>
          </w:p>
        </w:tc>
        <w:tc>
          <w:tcPr>
            <w:tcW w:w="1418" w:type="dxa"/>
            <w:tcBorders>
              <w:top w:val="single" w:sz="4" w:space="0" w:color="A6A6A6" w:themeColor="background1" w:themeShade="A6"/>
              <w:bottom w:val="single" w:sz="4" w:space="0" w:color="A6A6A6" w:themeColor="background1" w:themeShade="A6"/>
            </w:tcBorders>
            <w:vAlign w:val="bottom"/>
          </w:tcPr>
          <w:p w14:paraId="1C612FCE" w14:textId="77777777" w:rsidR="00140176" w:rsidRPr="00181EF3" w:rsidRDefault="00140176" w:rsidP="00502F00">
            <w:pPr>
              <w:pStyle w:val="TableText"/>
              <w:keepNext/>
              <w:jc w:val="center"/>
            </w:pPr>
            <w:r w:rsidRPr="00181EF3">
              <w:t>23.6</w:t>
            </w:r>
          </w:p>
        </w:tc>
      </w:tr>
      <w:tr w:rsidR="00140176" w:rsidRPr="00181EF3" w14:paraId="5A56E4F8" w14:textId="77777777" w:rsidTr="00502F00">
        <w:trPr>
          <w:cantSplit/>
        </w:trPr>
        <w:tc>
          <w:tcPr>
            <w:tcW w:w="1418"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0EAA50EC" w14:textId="77777777" w:rsidR="00140176" w:rsidRPr="00181EF3" w:rsidRDefault="00140176" w:rsidP="009F7B61">
            <w:pPr>
              <w:pStyle w:val="TableText"/>
              <w:keepNext/>
            </w:pPr>
            <w:r w:rsidRPr="00181EF3">
              <w:t>2015–16</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bottom"/>
          </w:tcPr>
          <w:p w14:paraId="36EF251B" w14:textId="77777777" w:rsidR="00140176" w:rsidRPr="00181EF3" w:rsidRDefault="00140176" w:rsidP="009F7B61">
            <w:pPr>
              <w:pStyle w:val="TableText"/>
              <w:keepNext/>
              <w:jc w:val="center"/>
            </w:pPr>
            <w:r w:rsidRPr="00181EF3">
              <w:t>21.3</w:t>
            </w:r>
          </w:p>
        </w:tc>
        <w:tc>
          <w:tcPr>
            <w:tcW w:w="1418"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0F6F5F91" w14:textId="77777777" w:rsidR="00140176" w:rsidRPr="00181EF3" w:rsidRDefault="00140176" w:rsidP="009F7B61">
            <w:pPr>
              <w:pStyle w:val="TableText"/>
              <w:keepNext/>
              <w:jc w:val="center"/>
            </w:pPr>
            <w:r w:rsidRPr="00181EF3">
              <w:t>27.8</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bottom"/>
          </w:tcPr>
          <w:p w14:paraId="3EB20096" w14:textId="77777777" w:rsidR="00140176" w:rsidRPr="00181EF3" w:rsidRDefault="00140176" w:rsidP="009F7B61">
            <w:pPr>
              <w:pStyle w:val="TableText"/>
              <w:keepNext/>
              <w:jc w:val="center"/>
            </w:pPr>
            <w:r w:rsidRPr="00181EF3">
              <w:t>18.6</w:t>
            </w:r>
          </w:p>
        </w:tc>
        <w:tc>
          <w:tcPr>
            <w:tcW w:w="1418" w:type="dxa"/>
            <w:tcBorders>
              <w:top w:val="single" w:sz="4" w:space="0" w:color="A6A6A6" w:themeColor="background1" w:themeShade="A6"/>
              <w:bottom w:val="single" w:sz="4" w:space="0" w:color="A6A6A6" w:themeColor="background1" w:themeShade="A6"/>
            </w:tcBorders>
            <w:vAlign w:val="bottom"/>
          </w:tcPr>
          <w:p w14:paraId="4DCD5C33" w14:textId="77777777" w:rsidR="00140176" w:rsidRPr="00181EF3" w:rsidRDefault="00140176" w:rsidP="009F7B61">
            <w:pPr>
              <w:pStyle w:val="TableText"/>
              <w:keepNext/>
              <w:jc w:val="center"/>
            </w:pPr>
            <w:r w:rsidRPr="00181EF3">
              <w:t>23.6</w:t>
            </w:r>
          </w:p>
        </w:tc>
      </w:tr>
      <w:tr w:rsidR="00140176" w:rsidRPr="00181EF3" w14:paraId="29BC404E" w14:textId="77777777" w:rsidTr="00502F00">
        <w:trPr>
          <w:cantSplit/>
        </w:trPr>
        <w:tc>
          <w:tcPr>
            <w:tcW w:w="1418"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529AF322" w14:textId="77777777" w:rsidR="00140176" w:rsidRPr="00181EF3" w:rsidRDefault="00140176" w:rsidP="009F7B61">
            <w:pPr>
              <w:pStyle w:val="TableText"/>
              <w:keepNext/>
            </w:pPr>
            <w:r w:rsidRPr="00181EF3">
              <w:t>2016–17</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bottom"/>
          </w:tcPr>
          <w:p w14:paraId="1D6E2E8E" w14:textId="77777777" w:rsidR="00140176" w:rsidRPr="00181EF3" w:rsidRDefault="00140176" w:rsidP="009F7B61">
            <w:pPr>
              <w:pStyle w:val="TableText"/>
              <w:keepNext/>
              <w:jc w:val="center"/>
            </w:pPr>
            <w:r w:rsidRPr="00181EF3">
              <w:t>21.2</w:t>
            </w:r>
          </w:p>
        </w:tc>
        <w:tc>
          <w:tcPr>
            <w:tcW w:w="1418"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26FCB0D7" w14:textId="77777777" w:rsidR="00140176" w:rsidRPr="00181EF3" w:rsidRDefault="00140176" w:rsidP="009F7B61">
            <w:pPr>
              <w:pStyle w:val="TableText"/>
              <w:keepNext/>
              <w:jc w:val="center"/>
            </w:pPr>
            <w:r w:rsidRPr="00181EF3">
              <w:t>28.3</w:t>
            </w: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bottom"/>
          </w:tcPr>
          <w:p w14:paraId="4718E4DF" w14:textId="77777777" w:rsidR="00140176" w:rsidRPr="00181EF3" w:rsidRDefault="00140176" w:rsidP="009F7B61">
            <w:pPr>
              <w:pStyle w:val="TableText"/>
              <w:keepNext/>
              <w:jc w:val="center"/>
            </w:pPr>
            <w:r w:rsidRPr="00181EF3">
              <w:t>18.3</w:t>
            </w:r>
          </w:p>
        </w:tc>
        <w:tc>
          <w:tcPr>
            <w:tcW w:w="1418" w:type="dxa"/>
            <w:tcBorders>
              <w:top w:val="single" w:sz="4" w:space="0" w:color="A6A6A6" w:themeColor="background1" w:themeShade="A6"/>
              <w:bottom w:val="single" w:sz="4" w:space="0" w:color="A6A6A6" w:themeColor="background1" w:themeShade="A6"/>
            </w:tcBorders>
            <w:vAlign w:val="bottom"/>
          </w:tcPr>
          <w:p w14:paraId="211124C4" w14:textId="77777777" w:rsidR="00140176" w:rsidRPr="00181EF3" w:rsidRDefault="00140176" w:rsidP="009F7B61">
            <w:pPr>
              <w:pStyle w:val="TableText"/>
              <w:keepNext/>
              <w:jc w:val="center"/>
            </w:pPr>
            <w:r w:rsidRPr="00181EF3">
              <w:t>23.4</w:t>
            </w:r>
          </w:p>
        </w:tc>
      </w:tr>
    </w:tbl>
    <w:p w14:paraId="35FBC6A7" w14:textId="77777777" w:rsidR="00140176" w:rsidRDefault="00140176" w:rsidP="009F7B61">
      <w:pPr>
        <w:pStyle w:val="Note"/>
        <w:keepNext/>
      </w:pPr>
      <w:r w:rsidRPr="00181EF3">
        <w:t>Note</w:t>
      </w:r>
      <w:r>
        <w:t>s</w:t>
      </w:r>
      <w:r w:rsidRPr="00181EF3">
        <w:t>:</w:t>
      </w:r>
    </w:p>
    <w:p w14:paraId="23CF9657" w14:textId="4A49BC70" w:rsidR="008A5642" w:rsidRDefault="00446D86" w:rsidP="009F7B61">
      <w:pPr>
        <w:pStyle w:val="Note"/>
        <w:keepNext/>
      </w:pPr>
      <w:r>
        <w:t>Figures are age-standardised to the 2001 Census total Māori population</w:t>
      </w:r>
      <w:r w:rsidR="00140176" w:rsidRPr="00181EF3">
        <w:t>.</w:t>
      </w:r>
    </w:p>
    <w:p w14:paraId="166F1259" w14:textId="738DD920" w:rsidR="00140176" w:rsidRPr="00181EF3" w:rsidRDefault="00140176" w:rsidP="009F7B61">
      <w:pPr>
        <w:pStyle w:val="Note"/>
        <w:keepNext/>
      </w:pPr>
      <w:r>
        <w:t>Prioritised ethnicity has been used.</w:t>
      </w:r>
    </w:p>
    <w:p w14:paraId="3E1F9CF3" w14:textId="77777777" w:rsidR="00140176" w:rsidRPr="00181EF3" w:rsidRDefault="00140176" w:rsidP="00140176">
      <w:pPr>
        <w:pStyle w:val="Source"/>
      </w:pPr>
      <w:r w:rsidRPr="00181EF3">
        <w:t>Source: National Minimum Dataset (NMDS, 10 January 2019)</w:t>
      </w:r>
      <w:r>
        <w:t>,</w:t>
      </w:r>
      <w:r w:rsidRPr="00140176">
        <w:rPr>
          <w:rFonts w:eastAsia="Calibri"/>
        </w:rPr>
        <w:t xml:space="preserve"> </w:t>
      </w:r>
      <w:r w:rsidRPr="00181EF3">
        <w:rPr>
          <w:rFonts w:eastAsia="Calibri"/>
        </w:rPr>
        <w:t>Ministry of Health</w:t>
      </w:r>
      <w:r>
        <w:rPr>
          <w:rFonts w:eastAsia="Calibri"/>
        </w:rPr>
        <w:t>,</w:t>
      </w:r>
      <w:r w:rsidRPr="00507AA7">
        <w:t xml:space="preserve"> </w:t>
      </w:r>
      <w:r w:rsidRPr="00181EF3">
        <w:t>1996–9</w:t>
      </w:r>
      <w:r>
        <w:t>7</w:t>
      </w:r>
      <w:r w:rsidRPr="00181EF3">
        <w:t xml:space="preserve"> to 201</w:t>
      </w:r>
      <w:r>
        <w:t>6</w:t>
      </w:r>
      <w:r w:rsidRPr="00181EF3">
        <w:t>–1</w:t>
      </w:r>
      <w:r>
        <w:t>7</w:t>
      </w:r>
      <w:r w:rsidRPr="00181EF3">
        <w:rPr>
          <w:rFonts w:eastAsia="Calibri"/>
        </w:rPr>
        <w:t>.</w:t>
      </w:r>
    </w:p>
    <w:p w14:paraId="5DD4EE18" w14:textId="77777777" w:rsidR="00140176" w:rsidRDefault="00140176" w:rsidP="00140176"/>
    <w:p w14:paraId="7E9AE6B5" w14:textId="7E37212D" w:rsidR="00502F00" w:rsidRPr="00181EF3" w:rsidRDefault="00502F00" w:rsidP="009F7B61">
      <w:pPr>
        <w:pStyle w:val="Heading2"/>
        <w:pageBreakBefore/>
        <w:spacing w:before="0"/>
        <w:rPr>
          <w:noProof/>
          <w:lang w:eastAsia="en-NZ"/>
        </w:rPr>
      </w:pPr>
      <w:bookmarkStart w:id="401" w:name="_Toc14718626"/>
      <w:bookmarkStart w:id="402" w:name="_Toc14775049"/>
      <w:bookmarkStart w:id="403" w:name="_Toc19102447"/>
      <w:r w:rsidRPr="00181EF3">
        <w:rPr>
          <w:noProof/>
          <w:lang w:eastAsia="en-NZ"/>
        </w:rPr>
        <w:lastRenderedPageBreak/>
        <w:t>Emergency department attendances</w:t>
      </w:r>
      <w:bookmarkEnd w:id="401"/>
      <w:bookmarkEnd w:id="402"/>
      <w:bookmarkEnd w:id="403"/>
    </w:p>
    <w:p w14:paraId="1791B23B" w14:textId="065D69F0" w:rsidR="00502F00" w:rsidRPr="00181EF3" w:rsidRDefault="00502F00" w:rsidP="00502F00">
      <w:r w:rsidRPr="00181EF3">
        <w:t xml:space="preserve">This </w:t>
      </w:r>
      <w:r>
        <w:t>section presents</w:t>
      </w:r>
      <w:r w:rsidRPr="00181EF3">
        <w:t xml:space="preserve"> information on emergency department attendances for Māori</w:t>
      </w:r>
      <w:r>
        <w:t xml:space="preserve"> </w:t>
      </w:r>
      <w:r w:rsidRPr="00181EF3">
        <w:t xml:space="preserve">and </w:t>
      </w:r>
      <w:r w:rsidR="00EC03A3">
        <w:t>non</w:t>
      </w:r>
      <w:r w:rsidR="00EC03A3">
        <w:noBreakHyphen/>
        <w:t>M</w:t>
      </w:r>
      <w:r w:rsidRPr="00181EF3">
        <w:t>āori males and females.</w:t>
      </w:r>
    </w:p>
    <w:p w14:paraId="4B6F3A4E" w14:textId="77777777" w:rsidR="00502F00" w:rsidRPr="00181EF3" w:rsidRDefault="00502F00" w:rsidP="00502F00"/>
    <w:p w14:paraId="051C9702" w14:textId="77777777" w:rsidR="00502F00" w:rsidRPr="00181EF3" w:rsidRDefault="00502F00" w:rsidP="00502F00">
      <w:r w:rsidRPr="00181EF3">
        <w:t>An attendance is where the health</w:t>
      </w:r>
      <w:r>
        <w:t xml:space="preserve"> </w:t>
      </w:r>
      <w:r w:rsidRPr="00181EF3">
        <w:t>care user is assessed by a registered medical practitioner or nurse practitioner. The health</w:t>
      </w:r>
      <w:r>
        <w:t xml:space="preserve"> </w:t>
      </w:r>
      <w:r w:rsidRPr="00181EF3">
        <w:t>care user received treatment, therapy, advice, diagnostic or investigatory procedures.</w:t>
      </w:r>
    </w:p>
    <w:p w14:paraId="34D9E4F2" w14:textId="77777777" w:rsidR="00502F00" w:rsidRPr="00181EF3" w:rsidRDefault="00502F00" w:rsidP="00502F00"/>
    <w:p w14:paraId="2630DAC1" w14:textId="77777777" w:rsidR="00502F00" w:rsidRPr="00181EF3" w:rsidRDefault="00502F00" w:rsidP="00502F00">
      <w:r w:rsidRPr="00181EF3">
        <w:t xml:space="preserve">This </w:t>
      </w:r>
      <w:r>
        <w:t xml:space="preserve">section </w:t>
      </w:r>
      <w:r w:rsidRPr="00181EF3">
        <w:t>covers the period 2007 to 2017 and reports age-standardised attendance rates per 100 population. Reporting per 100 population is the standard way the Ministry reports on attendances. Reporting on emergency department attendances first started in 2006–07; however reporting for that year was incomplete hence this reporting starts in 2007–08.</w:t>
      </w:r>
    </w:p>
    <w:p w14:paraId="3B44D27D" w14:textId="77777777" w:rsidR="00502F00" w:rsidRPr="00181EF3" w:rsidRDefault="00502F00" w:rsidP="00502F00"/>
    <w:p w14:paraId="5A4BDDF9" w14:textId="77777777" w:rsidR="00502F00" w:rsidRPr="00181EF3" w:rsidRDefault="00502F00" w:rsidP="00502F00">
      <w:pPr>
        <w:pStyle w:val="Heading3"/>
      </w:pPr>
      <w:bookmarkStart w:id="404" w:name="_Toc19102448"/>
      <w:r w:rsidRPr="00181EF3">
        <w:t>What is the data telling us?</w:t>
      </w:r>
      <w:bookmarkEnd w:id="404"/>
    </w:p>
    <w:p w14:paraId="2B8F8E1F" w14:textId="77777777" w:rsidR="00502F00" w:rsidRPr="00181EF3" w:rsidRDefault="00502F00" w:rsidP="001338CA">
      <w:pPr>
        <w:pStyle w:val="Shadedboxtext"/>
      </w:pPr>
      <w:r w:rsidRPr="00181EF3">
        <w:t>Overall the data shows that between 2007–08 and 2016–17:</w:t>
      </w:r>
    </w:p>
    <w:p w14:paraId="3D4C0DFC" w14:textId="7F239E80" w:rsidR="00502F00" w:rsidRPr="00181EF3" w:rsidRDefault="00502F00" w:rsidP="001338CA">
      <w:pPr>
        <w:pStyle w:val="Shadedboxbullet"/>
        <w:ind w:left="568" w:hanging="284"/>
      </w:pPr>
      <w:r w:rsidRPr="00181EF3">
        <w:t xml:space="preserve">Both Māori males and females had higher age-standardised rates of emergency department attendances compared </w:t>
      </w:r>
      <w:r w:rsidR="00FF1892">
        <w:t>with</w:t>
      </w:r>
      <w:r w:rsidR="00FF1892" w:rsidRPr="00181EF3">
        <w:t xml:space="preserve"> </w:t>
      </w:r>
      <w:r w:rsidR="00EC03A3">
        <w:t>non</w:t>
      </w:r>
      <w:r w:rsidR="00EC03A3">
        <w:noBreakHyphen/>
        <w:t>M</w:t>
      </w:r>
      <w:r w:rsidRPr="00181EF3">
        <w:t>āori males and females.</w:t>
      </w:r>
    </w:p>
    <w:p w14:paraId="29C14468" w14:textId="4CEFA67B" w:rsidR="00502F00" w:rsidRPr="00181EF3" w:rsidRDefault="00502F00" w:rsidP="001338CA">
      <w:pPr>
        <w:pStyle w:val="Shadedboxbullet"/>
        <w:ind w:left="568" w:hanging="284"/>
      </w:pPr>
      <w:r w:rsidRPr="00181EF3">
        <w:t xml:space="preserve">Age-standardised rates of emergency department attendances increased for Māori and </w:t>
      </w:r>
      <w:r w:rsidR="00EC03A3">
        <w:t>non</w:t>
      </w:r>
      <w:r w:rsidR="00EC03A3">
        <w:noBreakHyphen/>
        <w:t>M</w:t>
      </w:r>
      <w:r w:rsidRPr="00181EF3">
        <w:t xml:space="preserve">āori males and females during this time, however, the increases were greater for Māori males and females compared </w:t>
      </w:r>
      <w:r w:rsidR="00FF1892">
        <w:t>with</w:t>
      </w:r>
      <w:r w:rsidR="00FF1892" w:rsidRPr="00181EF3">
        <w:t xml:space="preserve"> </w:t>
      </w:r>
      <w:r w:rsidR="00EC03A3">
        <w:t>non</w:t>
      </w:r>
      <w:r w:rsidR="00EC03A3">
        <w:noBreakHyphen/>
        <w:t>M</w:t>
      </w:r>
      <w:r w:rsidRPr="00181EF3">
        <w:t>āori males and females.</w:t>
      </w:r>
    </w:p>
    <w:p w14:paraId="766A04AC" w14:textId="6972A523" w:rsidR="00502F00" w:rsidRPr="00181EF3" w:rsidRDefault="00502F00" w:rsidP="001338CA">
      <w:pPr>
        <w:pStyle w:val="Shadedboxbullet"/>
        <w:ind w:left="568" w:hanging="284"/>
      </w:pPr>
      <w:r w:rsidRPr="00181EF3">
        <w:t xml:space="preserve">In 2016–17, the age-standardised rate of emergency department attendances per 100 population was eight attendances higher for Māori males (30 attendances per 100 population) compared </w:t>
      </w:r>
      <w:r w:rsidR="00FF1892">
        <w:t>with</w:t>
      </w:r>
      <w:r w:rsidR="00FF1892" w:rsidRPr="00181EF3">
        <w:t xml:space="preserve"> </w:t>
      </w:r>
      <w:r w:rsidR="00EC03A3">
        <w:t>non</w:t>
      </w:r>
      <w:r w:rsidR="00EC03A3">
        <w:noBreakHyphen/>
        <w:t>M</w:t>
      </w:r>
      <w:r w:rsidRPr="00181EF3">
        <w:t xml:space="preserve">āori males (22), and 10 attendances higher for Māori females (31) compared </w:t>
      </w:r>
      <w:r w:rsidR="00FF1892">
        <w:t>with</w:t>
      </w:r>
      <w:r w:rsidR="00FF1892" w:rsidRPr="00181EF3">
        <w:t xml:space="preserve"> </w:t>
      </w:r>
      <w:r w:rsidR="00EC03A3">
        <w:t>non</w:t>
      </w:r>
      <w:r w:rsidR="00EC03A3">
        <w:noBreakHyphen/>
        <w:t>M</w:t>
      </w:r>
      <w:r w:rsidRPr="00181EF3">
        <w:t>āori females (21).</w:t>
      </w:r>
    </w:p>
    <w:p w14:paraId="727F12F1" w14:textId="77777777" w:rsidR="00502F00" w:rsidRPr="00181EF3" w:rsidRDefault="00502F00" w:rsidP="00502F00"/>
    <w:p w14:paraId="1006A1D6" w14:textId="77777777" w:rsidR="00502F00" w:rsidRDefault="00502F00" w:rsidP="001338CA">
      <w:pPr>
        <w:pStyle w:val="Heading3"/>
        <w:pageBreakBefore/>
        <w:spacing w:before="0"/>
      </w:pPr>
      <w:bookmarkStart w:id="405" w:name="_Toc19102449"/>
      <w:r w:rsidRPr="00181EF3">
        <w:lastRenderedPageBreak/>
        <w:t>Age-standardised rates of emergency department attendances have increased</w:t>
      </w:r>
      <w:bookmarkEnd w:id="405"/>
    </w:p>
    <w:p w14:paraId="697B5300" w14:textId="12EF346E" w:rsidR="007F6DC9" w:rsidRPr="00181EF3" w:rsidRDefault="007F6DC9" w:rsidP="007F6DC9">
      <w:pPr>
        <w:pStyle w:val="Figure"/>
      </w:pPr>
      <w:bookmarkStart w:id="406" w:name="_Toc19101983"/>
      <w:r w:rsidRPr="00181EF3">
        <w:t>Figure 1</w:t>
      </w:r>
      <w:r>
        <w:t>3</w:t>
      </w:r>
      <w:r w:rsidR="00572A9A">
        <w:t>2</w:t>
      </w:r>
      <w:r w:rsidRPr="00181EF3">
        <w:t>: Emergency department attendance</w:t>
      </w:r>
      <w:r>
        <w:t xml:space="preserve"> </w:t>
      </w:r>
      <w:r w:rsidRPr="00181EF3">
        <w:t>rates</w:t>
      </w:r>
      <w:r>
        <w:t>, by gender,</w:t>
      </w:r>
      <w:r w:rsidRPr="00181EF3">
        <w:t xml:space="preserve"> Māori</w:t>
      </w:r>
      <w:r w:rsidR="000738F0">
        <w:t xml:space="preserve"> and</w:t>
      </w:r>
      <w:r w:rsidRPr="00181EF3">
        <w:t xml:space="preserve"> </w:t>
      </w:r>
      <w:r w:rsidR="00EC03A3">
        <w:t>non</w:t>
      </w:r>
      <w:r w:rsidR="00EC03A3">
        <w:noBreakHyphen/>
        <w:t>M</w:t>
      </w:r>
      <w:r w:rsidRPr="00181EF3">
        <w:t>āori, 2007–08 to 2016–17</w:t>
      </w:r>
      <w:bookmarkEnd w:id="406"/>
    </w:p>
    <w:p w14:paraId="3B2C130C" w14:textId="77777777" w:rsidR="007F6DC9" w:rsidRPr="00181EF3" w:rsidRDefault="002E3E9F" w:rsidP="007F6DC9">
      <w:pPr>
        <w:rPr>
          <w:sz w:val="20"/>
        </w:rPr>
      </w:pPr>
      <w:r w:rsidRPr="002E3E9F">
        <w:rPr>
          <w:noProof/>
          <w:lang w:eastAsia="en-NZ"/>
        </w:rPr>
        <w:drawing>
          <wp:inline distT="0" distB="0" distL="0" distR="0" wp14:anchorId="1124D7CD" wp14:editId="3FC473AB">
            <wp:extent cx="5130165" cy="2511425"/>
            <wp:effectExtent l="0" t="0" r="0" b="3175"/>
            <wp:docPr id="342" name="Picture 342" descr="Māori men and women go to the emergency department at roughly the same rate, which has increased since 2007-08. Non-Māori men and women go to the emergency department at a lower rate than Māori, with non-Māori women going at a slightly lower rate than non-Māori men. The rates for both non-Māori men and women have remained relatively steady." title="Figure 132: Emergency department attendance rates, by gender, Māori and non-Māori, 2007-08 to 201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130165" cy="2511425"/>
                    </a:xfrm>
                    <a:prstGeom prst="rect">
                      <a:avLst/>
                    </a:prstGeom>
                  </pic:spPr>
                </pic:pic>
              </a:graphicData>
            </a:graphic>
          </wp:inline>
        </w:drawing>
      </w:r>
    </w:p>
    <w:p w14:paraId="24E38A5A" w14:textId="77777777" w:rsidR="007F6DC9" w:rsidRDefault="007F6DC9" w:rsidP="007F6DC9">
      <w:pPr>
        <w:pStyle w:val="Note"/>
      </w:pPr>
      <w:r w:rsidRPr="00181EF3">
        <w:t>Note</w:t>
      </w:r>
      <w:r>
        <w:t>s</w:t>
      </w:r>
      <w:r w:rsidRPr="00181EF3">
        <w:t>:</w:t>
      </w:r>
    </w:p>
    <w:p w14:paraId="11434E82" w14:textId="64C3AA24" w:rsidR="008A5642" w:rsidRDefault="00446D86" w:rsidP="007F6DC9">
      <w:pPr>
        <w:pStyle w:val="Note"/>
      </w:pPr>
      <w:r>
        <w:t>Figures are age-standardised to the 2001 Census total Māori population</w:t>
      </w:r>
      <w:r w:rsidR="007F6DC9" w:rsidRPr="00181EF3">
        <w:t>.</w:t>
      </w:r>
    </w:p>
    <w:p w14:paraId="45565912" w14:textId="6DC748DE" w:rsidR="007F6DC9" w:rsidRPr="00181EF3" w:rsidRDefault="007F6DC9" w:rsidP="007F6DC9">
      <w:pPr>
        <w:pStyle w:val="Note"/>
      </w:pPr>
      <w:r>
        <w:t>Prioritised ethnicity has been used.</w:t>
      </w:r>
    </w:p>
    <w:p w14:paraId="1CA3EDE5" w14:textId="77777777" w:rsidR="007F6DC9" w:rsidRPr="00181EF3" w:rsidRDefault="007F6DC9" w:rsidP="007F6DC9">
      <w:pPr>
        <w:pStyle w:val="Source"/>
      </w:pPr>
      <w:r w:rsidRPr="00181EF3">
        <w:t>Source: National Minimum Dataset (NMDS, 10 January 2019)</w:t>
      </w:r>
      <w:r>
        <w:t>,</w:t>
      </w:r>
      <w:r w:rsidRPr="00140176">
        <w:rPr>
          <w:rFonts w:eastAsia="Calibri"/>
        </w:rPr>
        <w:t xml:space="preserve"> </w:t>
      </w:r>
      <w:r w:rsidRPr="00181EF3">
        <w:rPr>
          <w:rFonts w:eastAsia="Calibri"/>
        </w:rPr>
        <w:t>Ministry of Health</w:t>
      </w:r>
      <w:r>
        <w:rPr>
          <w:rFonts w:eastAsia="Calibri"/>
        </w:rPr>
        <w:t>,</w:t>
      </w:r>
      <w:r w:rsidRPr="00507AA7">
        <w:t xml:space="preserve"> </w:t>
      </w:r>
      <w:r>
        <w:t>2007</w:t>
      </w:r>
      <w:r w:rsidRPr="00181EF3">
        <w:t>–</w:t>
      </w:r>
      <w:r>
        <w:t>08</w:t>
      </w:r>
      <w:r w:rsidRPr="00181EF3">
        <w:t xml:space="preserve"> to 201</w:t>
      </w:r>
      <w:r>
        <w:t>6</w:t>
      </w:r>
      <w:r w:rsidRPr="00181EF3">
        <w:t>–1</w:t>
      </w:r>
      <w:r>
        <w:t>7</w:t>
      </w:r>
      <w:r w:rsidRPr="00181EF3">
        <w:rPr>
          <w:rFonts w:eastAsia="Calibri"/>
        </w:rPr>
        <w:t>.</w:t>
      </w:r>
    </w:p>
    <w:p w14:paraId="57EA2250" w14:textId="77777777" w:rsidR="007F6DC9" w:rsidRDefault="007F6DC9" w:rsidP="00502F00"/>
    <w:p w14:paraId="4C3332C6" w14:textId="128934BC" w:rsidR="00502F00" w:rsidRPr="00181EF3" w:rsidRDefault="00502F00" w:rsidP="00502F00">
      <w:r w:rsidRPr="00181EF3">
        <w:t xml:space="preserve">Figure </w:t>
      </w:r>
      <w:r>
        <w:t>13</w:t>
      </w:r>
      <w:r w:rsidR="001D6946">
        <w:t>2</w:t>
      </w:r>
      <w:r w:rsidRPr="00181EF3">
        <w:t xml:space="preserve"> shows both Māori males and females had higher age-standardised rates of emergency department attendances compared </w:t>
      </w:r>
      <w:r w:rsidR="00FF1892">
        <w:t>with</w:t>
      </w:r>
      <w:r w:rsidR="00FF1892" w:rsidRPr="00181EF3">
        <w:t xml:space="preserve"> </w:t>
      </w:r>
      <w:r w:rsidR="00EC03A3">
        <w:t>non</w:t>
      </w:r>
      <w:r w:rsidR="00EC03A3">
        <w:noBreakHyphen/>
        <w:t>M</w:t>
      </w:r>
      <w:r w:rsidRPr="00181EF3">
        <w:t>āori males and females, with greater differences between females than males.</w:t>
      </w:r>
    </w:p>
    <w:p w14:paraId="632FBC5B" w14:textId="77777777" w:rsidR="00502F00" w:rsidRPr="00502F00" w:rsidRDefault="00502F00" w:rsidP="00502F00"/>
    <w:p w14:paraId="3959D483" w14:textId="38EF2E56" w:rsidR="00502F00" w:rsidRDefault="00502F00" w:rsidP="00502F00">
      <w:r w:rsidRPr="00181EF3">
        <w:t xml:space="preserve">Between 2007–08 and 2016–17, age-standardised rates of emergency department attendances for Māori males increased by 21 percent (from 25 to 30 attendances per 100), more than for </w:t>
      </w:r>
      <w:r w:rsidR="00EC03A3">
        <w:t>non</w:t>
      </w:r>
      <w:r w:rsidR="00EC03A3">
        <w:noBreakHyphen/>
        <w:t>M</w:t>
      </w:r>
      <w:r w:rsidRPr="00181EF3">
        <w:t xml:space="preserve">āori males which increased by 9 percent (from 20 to 22 attendances per 100). For females, the rate of emergency department attendances per 100 for Māori females increased by 35 percent (from 23 to 31 emergency department attendances per 100), lower than the increase for </w:t>
      </w:r>
      <w:r w:rsidR="00EC03A3">
        <w:t>non</w:t>
      </w:r>
      <w:r w:rsidR="00EC03A3">
        <w:noBreakHyphen/>
        <w:t>M</w:t>
      </w:r>
      <w:r w:rsidRPr="00181EF3">
        <w:t>āori females</w:t>
      </w:r>
      <w:r w:rsidR="003F3EA8">
        <w:t>,</w:t>
      </w:r>
      <w:r w:rsidRPr="00181EF3">
        <w:t xml:space="preserve"> which was 25 percent (from 17 to 21 emergency department attendances per 100).</w:t>
      </w:r>
    </w:p>
    <w:p w14:paraId="55A40102" w14:textId="77777777" w:rsidR="001338CA" w:rsidRPr="00181EF3" w:rsidRDefault="001338CA" w:rsidP="00502F00"/>
    <w:p w14:paraId="463A7D2E" w14:textId="5C6BBA1D" w:rsidR="00502F00" w:rsidRPr="00181EF3" w:rsidRDefault="00502F00" w:rsidP="001338CA">
      <w:pPr>
        <w:pStyle w:val="Heading3"/>
        <w:pageBreakBefore/>
        <w:spacing w:before="0"/>
      </w:pPr>
      <w:bookmarkStart w:id="407" w:name="_Toc19102450"/>
      <w:r w:rsidRPr="00181EF3">
        <w:lastRenderedPageBreak/>
        <w:t xml:space="preserve">The difference </w:t>
      </w:r>
      <w:r w:rsidR="00713A3E">
        <w:t xml:space="preserve">in emergency department attendances </w:t>
      </w:r>
      <w:r w:rsidRPr="00181EF3">
        <w:t xml:space="preserve">between Māori and </w:t>
      </w:r>
      <w:r w:rsidR="00EC03A3">
        <w:t>non</w:t>
      </w:r>
      <w:r w:rsidR="00EC03A3">
        <w:noBreakHyphen/>
        <w:t>M</w:t>
      </w:r>
      <w:r w:rsidRPr="00181EF3">
        <w:t>āori rates increased for males and females</w:t>
      </w:r>
      <w:bookmarkEnd w:id="407"/>
    </w:p>
    <w:p w14:paraId="4CE13483" w14:textId="447252BC" w:rsidR="00502F00" w:rsidRPr="00181EF3" w:rsidRDefault="00502F00" w:rsidP="00502F00">
      <w:r w:rsidRPr="00181EF3">
        <w:t xml:space="preserve">Between 2007–08 and 2016–17, there was an increase in the difference between the rates of Māori and </w:t>
      </w:r>
      <w:r w:rsidR="00EC03A3">
        <w:t>non</w:t>
      </w:r>
      <w:r w:rsidR="00EC03A3">
        <w:noBreakHyphen/>
        <w:t>M</w:t>
      </w:r>
      <w:r w:rsidRPr="00181EF3">
        <w:t xml:space="preserve">āori male and female emergency department attendance rates. The Māori and </w:t>
      </w:r>
      <w:r w:rsidR="00EC03A3">
        <w:t>non</w:t>
      </w:r>
      <w:r w:rsidR="00EC03A3">
        <w:noBreakHyphen/>
        <w:t>M</w:t>
      </w:r>
      <w:r w:rsidRPr="00181EF3">
        <w:t xml:space="preserve">āori rate difference for males, increasing from 5 attendances per 100 in 2007–08 to 8 per 100 in 2016–17. For females, the difference between Māori and </w:t>
      </w:r>
      <w:r w:rsidR="00EC03A3">
        <w:t>non</w:t>
      </w:r>
      <w:r w:rsidR="00EC03A3">
        <w:noBreakHyphen/>
        <w:t>M</w:t>
      </w:r>
      <w:r w:rsidRPr="00181EF3">
        <w:t>āori attendances increased from 6 per 100 in 2007–08 to 10</w:t>
      </w:r>
      <w:r w:rsidR="001338CA">
        <w:t> </w:t>
      </w:r>
      <w:r w:rsidRPr="00181EF3">
        <w:t>per 100 in 2016–17.</w:t>
      </w:r>
    </w:p>
    <w:p w14:paraId="76A86785" w14:textId="77777777" w:rsidR="00502F00" w:rsidRPr="00181EF3" w:rsidRDefault="00502F00" w:rsidP="00502F00"/>
    <w:p w14:paraId="2D425C95" w14:textId="636B91E6" w:rsidR="00502F00" w:rsidRPr="00181EF3" w:rsidRDefault="00502F00" w:rsidP="00502F00">
      <w:pPr>
        <w:pStyle w:val="Table"/>
      </w:pPr>
      <w:bookmarkStart w:id="408" w:name="_Toc18594775"/>
      <w:r w:rsidRPr="00181EF3">
        <w:t xml:space="preserve">Table </w:t>
      </w:r>
      <w:r w:rsidR="007F6DC9">
        <w:t>35</w:t>
      </w:r>
      <w:r w:rsidRPr="00181EF3">
        <w:t xml:space="preserve">: </w:t>
      </w:r>
      <w:r w:rsidR="007F6DC9" w:rsidRPr="00181EF3">
        <w:t>Emergency department attendance</w:t>
      </w:r>
      <w:r w:rsidR="007F6DC9">
        <w:t xml:space="preserve"> </w:t>
      </w:r>
      <w:r w:rsidR="007F6DC9" w:rsidRPr="00181EF3">
        <w:t>rates</w:t>
      </w:r>
      <w:r w:rsidR="007F6DC9">
        <w:t>, by gender,</w:t>
      </w:r>
      <w:r w:rsidR="007F6DC9" w:rsidRPr="00181EF3">
        <w:t xml:space="preserve"> Māori</w:t>
      </w:r>
      <w:r w:rsidR="00950B81">
        <w:t xml:space="preserve"> and</w:t>
      </w:r>
      <w:r w:rsidR="007F6DC9" w:rsidRPr="00181EF3">
        <w:t xml:space="preserve"> </w:t>
      </w:r>
      <w:r w:rsidR="00EC03A3">
        <w:t>non</w:t>
      </w:r>
      <w:r w:rsidR="00EC03A3">
        <w:noBreakHyphen/>
        <w:t>M</w:t>
      </w:r>
      <w:r w:rsidR="007F6DC9" w:rsidRPr="00181EF3">
        <w:t>āori, 2007–08 to 2016–17</w:t>
      </w:r>
      <w:bookmarkEnd w:id="408"/>
    </w:p>
    <w:tbl>
      <w:tblPr>
        <w:tblW w:w="5816" w:type="dxa"/>
        <w:tblInd w:w="57" w:type="dxa"/>
        <w:tblLayout w:type="fixed"/>
        <w:tblCellMar>
          <w:left w:w="57" w:type="dxa"/>
          <w:right w:w="57" w:type="dxa"/>
        </w:tblCellMar>
        <w:tblLook w:val="04A0" w:firstRow="1" w:lastRow="0" w:firstColumn="1" w:lastColumn="0" w:noHBand="0" w:noVBand="1"/>
      </w:tblPr>
      <w:tblGrid>
        <w:gridCol w:w="1288"/>
        <w:gridCol w:w="1132"/>
        <w:gridCol w:w="1132"/>
        <w:gridCol w:w="1132"/>
        <w:gridCol w:w="1132"/>
      </w:tblGrid>
      <w:tr w:rsidR="00950B81" w:rsidRPr="00181EF3" w14:paraId="45F67968" w14:textId="77777777" w:rsidTr="001338CA">
        <w:trPr>
          <w:cantSplit/>
        </w:trPr>
        <w:tc>
          <w:tcPr>
            <w:tcW w:w="1288" w:type="dxa"/>
            <w:vMerge w:val="restart"/>
            <w:tcBorders>
              <w:right w:val="single" w:sz="4" w:space="0" w:color="A6A6A6" w:themeColor="background1" w:themeShade="A6"/>
            </w:tcBorders>
            <w:shd w:val="clear" w:color="auto" w:fill="D9D9D9" w:themeFill="background1" w:themeFillShade="D9"/>
          </w:tcPr>
          <w:p w14:paraId="65E69E63" w14:textId="77777777" w:rsidR="00950B81" w:rsidRPr="00181EF3" w:rsidRDefault="00950B81" w:rsidP="001338CA">
            <w:pPr>
              <w:pStyle w:val="TableText"/>
              <w:rPr>
                <w:b/>
                <w:szCs w:val="18"/>
              </w:rPr>
            </w:pPr>
            <w:r w:rsidRPr="00181EF3">
              <w:rPr>
                <w:b/>
              </w:rPr>
              <w:t>Year</w:t>
            </w:r>
          </w:p>
        </w:tc>
        <w:tc>
          <w:tcPr>
            <w:tcW w:w="2264" w:type="dxa"/>
            <w:gridSpan w:val="2"/>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5B572922" w14:textId="77777777" w:rsidR="00950B81" w:rsidRPr="00181EF3" w:rsidRDefault="00950B81" w:rsidP="001338CA">
            <w:pPr>
              <w:pStyle w:val="TableText"/>
              <w:spacing w:after="0"/>
              <w:jc w:val="center"/>
              <w:rPr>
                <w:b/>
              </w:rPr>
            </w:pPr>
            <w:r w:rsidRPr="00181EF3">
              <w:rPr>
                <w:b/>
              </w:rPr>
              <w:t>Māori</w:t>
            </w:r>
          </w:p>
        </w:tc>
        <w:tc>
          <w:tcPr>
            <w:tcW w:w="2264" w:type="dxa"/>
            <w:gridSpan w:val="2"/>
            <w:tcBorders>
              <w:left w:val="single" w:sz="4" w:space="0" w:color="A6A6A6" w:themeColor="background1" w:themeShade="A6"/>
            </w:tcBorders>
            <w:shd w:val="clear" w:color="auto" w:fill="D9D9D9" w:themeFill="background1" w:themeFillShade="D9"/>
          </w:tcPr>
          <w:p w14:paraId="39D1F024" w14:textId="18B1D246" w:rsidR="00950B81" w:rsidRPr="00181EF3" w:rsidRDefault="00EC03A3" w:rsidP="001338CA">
            <w:pPr>
              <w:pStyle w:val="TableText"/>
              <w:spacing w:after="0"/>
              <w:jc w:val="center"/>
              <w:rPr>
                <w:b/>
              </w:rPr>
            </w:pPr>
            <w:r>
              <w:rPr>
                <w:b/>
              </w:rPr>
              <w:t>Non</w:t>
            </w:r>
            <w:r>
              <w:rPr>
                <w:b/>
              </w:rPr>
              <w:noBreakHyphen/>
              <w:t>M</w:t>
            </w:r>
            <w:r w:rsidR="00950B81" w:rsidRPr="00181EF3">
              <w:rPr>
                <w:b/>
              </w:rPr>
              <w:t>āori</w:t>
            </w:r>
          </w:p>
        </w:tc>
      </w:tr>
      <w:tr w:rsidR="00950B81" w:rsidRPr="00181EF3" w14:paraId="6E75C2B0" w14:textId="77777777" w:rsidTr="001338CA">
        <w:trPr>
          <w:cantSplit/>
        </w:trPr>
        <w:tc>
          <w:tcPr>
            <w:tcW w:w="1288" w:type="dxa"/>
            <w:vMerge/>
            <w:tcBorders>
              <w:right w:val="single" w:sz="4" w:space="0" w:color="A6A6A6" w:themeColor="background1" w:themeShade="A6"/>
            </w:tcBorders>
            <w:shd w:val="clear" w:color="auto" w:fill="D9D9D9" w:themeFill="background1" w:themeFillShade="D9"/>
          </w:tcPr>
          <w:p w14:paraId="1B9C6CF1" w14:textId="77777777" w:rsidR="00950B81" w:rsidRPr="00181EF3" w:rsidRDefault="00950B81" w:rsidP="001338CA">
            <w:pPr>
              <w:pStyle w:val="TableText"/>
              <w:rPr>
                <w:b/>
                <w:szCs w:val="18"/>
              </w:rPr>
            </w:pPr>
          </w:p>
        </w:tc>
        <w:tc>
          <w:tcPr>
            <w:tcW w:w="1132" w:type="dxa"/>
            <w:tcBorders>
              <w:left w:val="single" w:sz="4" w:space="0" w:color="A6A6A6" w:themeColor="background1" w:themeShade="A6"/>
            </w:tcBorders>
            <w:shd w:val="clear" w:color="auto" w:fill="D9D9D9" w:themeFill="background1" w:themeFillShade="D9"/>
            <w:vAlign w:val="bottom"/>
          </w:tcPr>
          <w:p w14:paraId="5B0C0B14" w14:textId="77777777" w:rsidR="00950B81" w:rsidRPr="00181EF3" w:rsidRDefault="00950B81" w:rsidP="001338CA">
            <w:pPr>
              <w:pStyle w:val="TableText"/>
              <w:spacing w:before="0"/>
              <w:jc w:val="center"/>
              <w:rPr>
                <w:b/>
              </w:rPr>
            </w:pPr>
            <w:r w:rsidRPr="00181EF3">
              <w:rPr>
                <w:b/>
              </w:rPr>
              <w:t>Males</w:t>
            </w:r>
          </w:p>
        </w:tc>
        <w:tc>
          <w:tcPr>
            <w:tcW w:w="1132" w:type="dxa"/>
            <w:tcBorders>
              <w:right w:val="single" w:sz="4" w:space="0" w:color="A6A6A6" w:themeColor="background1" w:themeShade="A6"/>
            </w:tcBorders>
            <w:shd w:val="clear" w:color="auto" w:fill="D9D9D9" w:themeFill="background1" w:themeFillShade="D9"/>
            <w:vAlign w:val="bottom"/>
          </w:tcPr>
          <w:p w14:paraId="7811DA93" w14:textId="77777777" w:rsidR="00950B81" w:rsidRPr="00181EF3" w:rsidRDefault="00950B81" w:rsidP="001338CA">
            <w:pPr>
              <w:pStyle w:val="TableText"/>
              <w:spacing w:before="0"/>
              <w:jc w:val="center"/>
              <w:rPr>
                <w:b/>
              </w:rPr>
            </w:pPr>
            <w:r w:rsidRPr="00181EF3">
              <w:rPr>
                <w:b/>
              </w:rPr>
              <w:t>Females</w:t>
            </w:r>
          </w:p>
        </w:tc>
        <w:tc>
          <w:tcPr>
            <w:tcW w:w="1132" w:type="dxa"/>
            <w:tcBorders>
              <w:left w:val="single" w:sz="4" w:space="0" w:color="A6A6A6" w:themeColor="background1" w:themeShade="A6"/>
            </w:tcBorders>
            <w:shd w:val="clear" w:color="auto" w:fill="D9D9D9" w:themeFill="background1" w:themeFillShade="D9"/>
            <w:vAlign w:val="bottom"/>
          </w:tcPr>
          <w:p w14:paraId="5FFB3136" w14:textId="77777777" w:rsidR="00950B81" w:rsidRPr="00181EF3" w:rsidRDefault="00950B81" w:rsidP="001338CA">
            <w:pPr>
              <w:pStyle w:val="TableText"/>
              <w:spacing w:before="0"/>
              <w:jc w:val="center"/>
              <w:rPr>
                <w:b/>
              </w:rPr>
            </w:pPr>
            <w:r w:rsidRPr="00181EF3">
              <w:rPr>
                <w:b/>
              </w:rPr>
              <w:t>Males</w:t>
            </w:r>
          </w:p>
        </w:tc>
        <w:tc>
          <w:tcPr>
            <w:tcW w:w="1132" w:type="dxa"/>
            <w:shd w:val="clear" w:color="auto" w:fill="D9D9D9" w:themeFill="background1" w:themeFillShade="D9"/>
            <w:vAlign w:val="bottom"/>
          </w:tcPr>
          <w:p w14:paraId="429BCF8A" w14:textId="77777777" w:rsidR="00950B81" w:rsidRPr="00181EF3" w:rsidRDefault="00950B81" w:rsidP="001338CA">
            <w:pPr>
              <w:pStyle w:val="TableText"/>
              <w:spacing w:before="0"/>
              <w:jc w:val="center"/>
              <w:rPr>
                <w:b/>
              </w:rPr>
            </w:pPr>
            <w:r w:rsidRPr="00181EF3">
              <w:rPr>
                <w:b/>
              </w:rPr>
              <w:t>Females</w:t>
            </w:r>
          </w:p>
        </w:tc>
      </w:tr>
      <w:tr w:rsidR="00950B81" w:rsidRPr="00181EF3" w14:paraId="3893C1FE" w14:textId="77777777" w:rsidTr="001338CA">
        <w:trPr>
          <w:cantSplit/>
        </w:trPr>
        <w:tc>
          <w:tcPr>
            <w:tcW w:w="1288" w:type="dxa"/>
            <w:tcBorders>
              <w:bottom w:val="single" w:sz="4" w:space="0" w:color="A6A6A6" w:themeColor="background1" w:themeShade="A6"/>
              <w:right w:val="single" w:sz="4" w:space="0" w:color="A6A6A6" w:themeColor="background1" w:themeShade="A6"/>
            </w:tcBorders>
            <w:shd w:val="clear" w:color="auto" w:fill="auto"/>
            <w:vAlign w:val="bottom"/>
          </w:tcPr>
          <w:p w14:paraId="36BAC6CF" w14:textId="77777777" w:rsidR="00950B81" w:rsidRPr="00181EF3" w:rsidRDefault="00950B81" w:rsidP="001338CA">
            <w:pPr>
              <w:pStyle w:val="TableText"/>
            </w:pPr>
            <w:r w:rsidRPr="00181EF3">
              <w:t>2007–08</w:t>
            </w:r>
          </w:p>
        </w:tc>
        <w:tc>
          <w:tcPr>
            <w:tcW w:w="1132" w:type="dxa"/>
            <w:tcBorders>
              <w:left w:val="single" w:sz="4" w:space="0" w:color="A6A6A6" w:themeColor="background1" w:themeShade="A6"/>
              <w:bottom w:val="single" w:sz="4" w:space="0" w:color="A6A6A6" w:themeColor="background1" w:themeShade="A6"/>
            </w:tcBorders>
            <w:shd w:val="clear" w:color="auto" w:fill="auto"/>
            <w:vAlign w:val="bottom"/>
          </w:tcPr>
          <w:p w14:paraId="3669CA31" w14:textId="77777777" w:rsidR="00950B81" w:rsidRPr="00181EF3" w:rsidRDefault="00950B81" w:rsidP="001338CA">
            <w:pPr>
              <w:pStyle w:val="TableText"/>
              <w:jc w:val="center"/>
            </w:pPr>
            <w:r w:rsidRPr="00181EF3">
              <w:t>25.2</w:t>
            </w:r>
          </w:p>
        </w:tc>
        <w:tc>
          <w:tcPr>
            <w:tcW w:w="1132" w:type="dxa"/>
            <w:tcBorders>
              <w:bottom w:val="single" w:sz="4" w:space="0" w:color="A6A6A6" w:themeColor="background1" w:themeShade="A6"/>
              <w:right w:val="single" w:sz="4" w:space="0" w:color="A6A6A6" w:themeColor="background1" w:themeShade="A6"/>
            </w:tcBorders>
            <w:shd w:val="clear" w:color="auto" w:fill="auto"/>
            <w:vAlign w:val="bottom"/>
          </w:tcPr>
          <w:p w14:paraId="137E8F39" w14:textId="77777777" w:rsidR="00950B81" w:rsidRPr="00181EF3" w:rsidRDefault="00950B81" w:rsidP="001338CA">
            <w:pPr>
              <w:pStyle w:val="TableText"/>
              <w:jc w:val="center"/>
            </w:pPr>
            <w:r w:rsidRPr="00181EF3">
              <w:t>23.1</w:t>
            </w:r>
          </w:p>
        </w:tc>
        <w:tc>
          <w:tcPr>
            <w:tcW w:w="1132" w:type="dxa"/>
            <w:tcBorders>
              <w:left w:val="single" w:sz="4" w:space="0" w:color="A6A6A6" w:themeColor="background1" w:themeShade="A6"/>
              <w:bottom w:val="single" w:sz="4" w:space="0" w:color="A6A6A6" w:themeColor="background1" w:themeShade="A6"/>
            </w:tcBorders>
            <w:shd w:val="clear" w:color="auto" w:fill="auto"/>
            <w:vAlign w:val="bottom"/>
          </w:tcPr>
          <w:p w14:paraId="794933E1" w14:textId="77777777" w:rsidR="00950B81" w:rsidRPr="00181EF3" w:rsidRDefault="00950B81" w:rsidP="001338CA">
            <w:pPr>
              <w:pStyle w:val="TableText"/>
              <w:jc w:val="center"/>
            </w:pPr>
            <w:r w:rsidRPr="00181EF3">
              <w:t>20.2</w:t>
            </w:r>
          </w:p>
        </w:tc>
        <w:tc>
          <w:tcPr>
            <w:tcW w:w="1132" w:type="dxa"/>
            <w:tcBorders>
              <w:bottom w:val="single" w:sz="4" w:space="0" w:color="A6A6A6" w:themeColor="background1" w:themeShade="A6"/>
            </w:tcBorders>
            <w:shd w:val="clear" w:color="auto" w:fill="auto"/>
            <w:vAlign w:val="bottom"/>
          </w:tcPr>
          <w:p w14:paraId="08582518" w14:textId="77777777" w:rsidR="00950B81" w:rsidRPr="00181EF3" w:rsidRDefault="00950B81" w:rsidP="001338CA">
            <w:pPr>
              <w:pStyle w:val="TableText"/>
              <w:jc w:val="center"/>
            </w:pPr>
            <w:r w:rsidRPr="00181EF3">
              <w:t>17.1</w:t>
            </w:r>
          </w:p>
        </w:tc>
      </w:tr>
      <w:tr w:rsidR="00950B81" w:rsidRPr="00181EF3" w14:paraId="24260BE3" w14:textId="77777777" w:rsidTr="001338CA">
        <w:trPr>
          <w:cantSplit/>
        </w:trPr>
        <w:tc>
          <w:tcPr>
            <w:tcW w:w="1288"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bottom"/>
          </w:tcPr>
          <w:p w14:paraId="1785F090" w14:textId="77777777" w:rsidR="00950B81" w:rsidRPr="00181EF3" w:rsidRDefault="00950B81" w:rsidP="001338CA">
            <w:pPr>
              <w:pStyle w:val="TableText"/>
            </w:pPr>
            <w:r w:rsidRPr="00181EF3">
              <w:t>2008–09</w:t>
            </w:r>
          </w:p>
        </w:tc>
        <w:tc>
          <w:tcPr>
            <w:tcW w:w="113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bottom"/>
          </w:tcPr>
          <w:p w14:paraId="086A7C23" w14:textId="77777777" w:rsidR="00950B81" w:rsidRPr="00181EF3" w:rsidRDefault="00950B81" w:rsidP="001338CA">
            <w:pPr>
              <w:pStyle w:val="TableText"/>
              <w:jc w:val="center"/>
            </w:pPr>
            <w:r w:rsidRPr="00181EF3">
              <w:t>26.5</w:t>
            </w:r>
          </w:p>
        </w:tc>
        <w:tc>
          <w:tcPr>
            <w:tcW w:w="1132"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bottom"/>
          </w:tcPr>
          <w:p w14:paraId="78290A8D" w14:textId="77777777" w:rsidR="00950B81" w:rsidRPr="00181EF3" w:rsidRDefault="00950B81" w:rsidP="001338CA">
            <w:pPr>
              <w:pStyle w:val="TableText"/>
              <w:jc w:val="center"/>
            </w:pPr>
            <w:r w:rsidRPr="00181EF3">
              <w:t>25.0</w:t>
            </w:r>
          </w:p>
        </w:tc>
        <w:tc>
          <w:tcPr>
            <w:tcW w:w="113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bottom"/>
          </w:tcPr>
          <w:p w14:paraId="5986BA22" w14:textId="77777777" w:rsidR="00950B81" w:rsidRPr="00181EF3" w:rsidRDefault="00950B81" w:rsidP="001338CA">
            <w:pPr>
              <w:pStyle w:val="TableText"/>
              <w:jc w:val="center"/>
            </w:pPr>
            <w:r w:rsidRPr="00181EF3">
              <w:t>21.3</w:t>
            </w:r>
          </w:p>
        </w:tc>
        <w:tc>
          <w:tcPr>
            <w:tcW w:w="1132" w:type="dxa"/>
            <w:tcBorders>
              <w:top w:val="single" w:sz="4" w:space="0" w:color="A6A6A6" w:themeColor="background1" w:themeShade="A6"/>
              <w:bottom w:val="single" w:sz="4" w:space="0" w:color="A6A6A6" w:themeColor="background1" w:themeShade="A6"/>
            </w:tcBorders>
            <w:shd w:val="clear" w:color="auto" w:fill="auto"/>
            <w:vAlign w:val="bottom"/>
          </w:tcPr>
          <w:p w14:paraId="209F8E62" w14:textId="77777777" w:rsidR="00950B81" w:rsidRPr="00181EF3" w:rsidRDefault="00950B81" w:rsidP="001338CA">
            <w:pPr>
              <w:pStyle w:val="TableText"/>
              <w:jc w:val="center"/>
            </w:pPr>
            <w:r w:rsidRPr="00181EF3">
              <w:t>18.3</w:t>
            </w:r>
          </w:p>
        </w:tc>
      </w:tr>
      <w:tr w:rsidR="00950B81" w:rsidRPr="00181EF3" w14:paraId="12A5020C" w14:textId="77777777" w:rsidTr="001338CA">
        <w:trPr>
          <w:cantSplit/>
        </w:trPr>
        <w:tc>
          <w:tcPr>
            <w:tcW w:w="1288"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bottom"/>
          </w:tcPr>
          <w:p w14:paraId="62A2C57A" w14:textId="77777777" w:rsidR="00950B81" w:rsidRPr="00181EF3" w:rsidRDefault="00950B81" w:rsidP="001338CA">
            <w:pPr>
              <w:pStyle w:val="TableText"/>
            </w:pPr>
            <w:r w:rsidRPr="00181EF3">
              <w:t>2009–10</w:t>
            </w:r>
          </w:p>
        </w:tc>
        <w:tc>
          <w:tcPr>
            <w:tcW w:w="113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bottom"/>
          </w:tcPr>
          <w:p w14:paraId="197EB423" w14:textId="77777777" w:rsidR="00950B81" w:rsidRPr="00181EF3" w:rsidRDefault="00950B81" w:rsidP="001338CA">
            <w:pPr>
              <w:pStyle w:val="TableText"/>
              <w:jc w:val="center"/>
            </w:pPr>
            <w:r w:rsidRPr="00181EF3">
              <w:t>27.9</w:t>
            </w:r>
          </w:p>
        </w:tc>
        <w:tc>
          <w:tcPr>
            <w:tcW w:w="1132"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bottom"/>
          </w:tcPr>
          <w:p w14:paraId="2CD15BE3" w14:textId="77777777" w:rsidR="00950B81" w:rsidRPr="00181EF3" w:rsidRDefault="00950B81" w:rsidP="001338CA">
            <w:pPr>
              <w:pStyle w:val="TableText"/>
              <w:jc w:val="center"/>
            </w:pPr>
            <w:r w:rsidRPr="00181EF3">
              <w:t>26.7</w:t>
            </w:r>
          </w:p>
        </w:tc>
        <w:tc>
          <w:tcPr>
            <w:tcW w:w="113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bottom"/>
          </w:tcPr>
          <w:p w14:paraId="76BEDDA4" w14:textId="77777777" w:rsidR="00950B81" w:rsidRPr="00181EF3" w:rsidRDefault="00950B81" w:rsidP="001338CA">
            <w:pPr>
              <w:pStyle w:val="TableText"/>
              <w:jc w:val="center"/>
            </w:pPr>
            <w:r w:rsidRPr="00181EF3">
              <w:t>21.9</w:t>
            </w:r>
          </w:p>
        </w:tc>
        <w:tc>
          <w:tcPr>
            <w:tcW w:w="1132" w:type="dxa"/>
            <w:tcBorders>
              <w:top w:val="single" w:sz="4" w:space="0" w:color="A6A6A6" w:themeColor="background1" w:themeShade="A6"/>
              <w:bottom w:val="single" w:sz="4" w:space="0" w:color="A6A6A6" w:themeColor="background1" w:themeShade="A6"/>
            </w:tcBorders>
            <w:shd w:val="clear" w:color="auto" w:fill="auto"/>
            <w:vAlign w:val="bottom"/>
          </w:tcPr>
          <w:p w14:paraId="1349D60A" w14:textId="77777777" w:rsidR="00950B81" w:rsidRPr="00181EF3" w:rsidRDefault="00950B81" w:rsidP="001338CA">
            <w:pPr>
              <w:pStyle w:val="TableText"/>
              <w:jc w:val="center"/>
            </w:pPr>
            <w:r w:rsidRPr="00181EF3">
              <w:t>19.2</w:t>
            </w:r>
          </w:p>
        </w:tc>
      </w:tr>
      <w:tr w:rsidR="00950B81" w:rsidRPr="00181EF3" w14:paraId="3DB30DE4" w14:textId="77777777" w:rsidTr="001338CA">
        <w:trPr>
          <w:cantSplit/>
        </w:trPr>
        <w:tc>
          <w:tcPr>
            <w:tcW w:w="1288"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bottom"/>
          </w:tcPr>
          <w:p w14:paraId="5F4C339D" w14:textId="77777777" w:rsidR="00950B81" w:rsidRPr="00181EF3" w:rsidRDefault="00950B81" w:rsidP="00502F00">
            <w:pPr>
              <w:pStyle w:val="TableText"/>
            </w:pPr>
            <w:r w:rsidRPr="00181EF3">
              <w:t>2010–11</w:t>
            </w:r>
          </w:p>
        </w:tc>
        <w:tc>
          <w:tcPr>
            <w:tcW w:w="113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bottom"/>
          </w:tcPr>
          <w:p w14:paraId="09650327" w14:textId="77777777" w:rsidR="00950B81" w:rsidRPr="00181EF3" w:rsidRDefault="00950B81" w:rsidP="00502F00">
            <w:pPr>
              <w:pStyle w:val="TableText"/>
              <w:jc w:val="center"/>
            </w:pPr>
            <w:r w:rsidRPr="00181EF3">
              <w:t>28.3</w:t>
            </w:r>
          </w:p>
        </w:tc>
        <w:tc>
          <w:tcPr>
            <w:tcW w:w="1132"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bottom"/>
          </w:tcPr>
          <w:p w14:paraId="03369EFA" w14:textId="77777777" w:rsidR="00950B81" w:rsidRPr="00181EF3" w:rsidRDefault="00950B81" w:rsidP="00502F00">
            <w:pPr>
              <w:pStyle w:val="TableText"/>
              <w:jc w:val="center"/>
            </w:pPr>
            <w:r w:rsidRPr="00181EF3">
              <w:t>27.6</w:t>
            </w:r>
          </w:p>
        </w:tc>
        <w:tc>
          <w:tcPr>
            <w:tcW w:w="113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bottom"/>
          </w:tcPr>
          <w:p w14:paraId="617D8BF3" w14:textId="77777777" w:rsidR="00950B81" w:rsidRPr="00181EF3" w:rsidRDefault="00950B81" w:rsidP="00502F00">
            <w:pPr>
              <w:pStyle w:val="TableText"/>
              <w:jc w:val="center"/>
            </w:pPr>
            <w:r w:rsidRPr="00181EF3">
              <w:t>21.7</w:t>
            </w:r>
          </w:p>
        </w:tc>
        <w:tc>
          <w:tcPr>
            <w:tcW w:w="1132" w:type="dxa"/>
            <w:tcBorders>
              <w:top w:val="single" w:sz="4" w:space="0" w:color="A6A6A6" w:themeColor="background1" w:themeShade="A6"/>
              <w:bottom w:val="single" w:sz="4" w:space="0" w:color="A6A6A6" w:themeColor="background1" w:themeShade="A6"/>
            </w:tcBorders>
            <w:shd w:val="clear" w:color="auto" w:fill="auto"/>
            <w:vAlign w:val="bottom"/>
          </w:tcPr>
          <w:p w14:paraId="286ECCC9" w14:textId="77777777" w:rsidR="00950B81" w:rsidRPr="00181EF3" w:rsidRDefault="00950B81" w:rsidP="00502F00">
            <w:pPr>
              <w:pStyle w:val="TableText"/>
              <w:jc w:val="center"/>
            </w:pPr>
            <w:r w:rsidRPr="00181EF3">
              <w:t>19.4</w:t>
            </w:r>
          </w:p>
        </w:tc>
      </w:tr>
      <w:tr w:rsidR="00950B81" w:rsidRPr="00181EF3" w14:paraId="2305035E" w14:textId="77777777" w:rsidTr="001338CA">
        <w:trPr>
          <w:cantSplit/>
        </w:trPr>
        <w:tc>
          <w:tcPr>
            <w:tcW w:w="1288"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bottom"/>
          </w:tcPr>
          <w:p w14:paraId="1928B9A0" w14:textId="77777777" w:rsidR="00950B81" w:rsidRPr="00181EF3" w:rsidRDefault="00950B81" w:rsidP="00502F00">
            <w:pPr>
              <w:pStyle w:val="TableText"/>
            </w:pPr>
            <w:r w:rsidRPr="00181EF3">
              <w:t>2011–12</w:t>
            </w:r>
          </w:p>
        </w:tc>
        <w:tc>
          <w:tcPr>
            <w:tcW w:w="113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bottom"/>
          </w:tcPr>
          <w:p w14:paraId="4A65E1C7" w14:textId="77777777" w:rsidR="00950B81" w:rsidRPr="00181EF3" w:rsidRDefault="00950B81" w:rsidP="00502F00">
            <w:pPr>
              <w:pStyle w:val="TableText"/>
              <w:jc w:val="center"/>
            </w:pPr>
            <w:r w:rsidRPr="00181EF3">
              <w:t>28.1</w:t>
            </w:r>
          </w:p>
        </w:tc>
        <w:tc>
          <w:tcPr>
            <w:tcW w:w="1132"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bottom"/>
          </w:tcPr>
          <w:p w14:paraId="4193610A" w14:textId="77777777" w:rsidR="00950B81" w:rsidRPr="00181EF3" w:rsidRDefault="00950B81" w:rsidP="00502F00">
            <w:pPr>
              <w:pStyle w:val="TableText"/>
              <w:jc w:val="center"/>
            </w:pPr>
            <w:r w:rsidRPr="00181EF3">
              <w:t>27.6</w:t>
            </w:r>
          </w:p>
        </w:tc>
        <w:tc>
          <w:tcPr>
            <w:tcW w:w="113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bottom"/>
          </w:tcPr>
          <w:p w14:paraId="4DFE9CFD" w14:textId="77777777" w:rsidR="00950B81" w:rsidRPr="00181EF3" w:rsidRDefault="00950B81" w:rsidP="00502F00">
            <w:pPr>
              <w:pStyle w:val="TableText"/>
              <w:jc w:val="center"/>
            </w:pPr>
            <w:r w:rsidRPr="00181EF3">
              <w:t>21.9</w:t>
            </w:r>
          </w:p>
        </w:tc>
        <w:tc>
          <w:tcPr>
            <w:tcW w:w="1132" w:type="dxa"/>
            <w:tcBorders>
              <w:top w:val="single" w:sz="4" w:space="0" w:color="A6A6A6" w:themeColor="background1" w:themeShade="A6"/>
              <w:bottom w:val="single" w:sz="4" w:space="0" w:color="A6A6A6" w:themeColor="background1" w:themeShade="A6"/>
            </w:tcBorders>
            <w:shd w:val="clear" w:color="auto" w:fill="auto"/>
            <w:vAlign w:val="bottom"/>
          </w:tcPr>
          <w:p w14:paraId="3BD98661" w14:textId="77777777" w:rsidR="00950B81" w:rsidRPr="00181EF3" w:rsidRDefault="00950B81" w:rsidP="00502F00">
            <w:pPr>
              <w:pStyle w:val="TableText"/>
              <w:jc w:val="center"/>
            </w:pPr>
            <w:r w:rsidRPr="00181EF3">
              <w:t>19.8</w:t>
            </w:r>
          </w:p>
        </w:tc>
      </w:tr>
      <w:tr w:rsidR="00950B81" w:rsidRPr="00181EF3" w14:paraId="08C096F0" w14:textId="77777777" w:rsidTr="001338CA">
        <w:trPr>
          <w:cantSplit/>
        </w:trPr>
        <w:tc>
          <w:tcPr>
            <w:tcW w:w="1288"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bottom"/>
          </w:tcPr>
          <w:p w14:paraId="125EF59B" w14:textId="77777777" w:rsidR="00950B81" w:rsidRPr="00181EF3" w:rsidRDefault="00950B81" w:rsidP="00502F00">
            <w:pPr>
              <w:pStyle w:val="TableText"/>
            </w:pPr>
            <w:r w:rsidRPr="00181EF3">
              <w:t>2012–13</w:t>
            </w:r>
          </w:p>
        </w:tc>
        <w:tc>
          <w:tcPr>
            <w:tcW w:w="113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bottom"/>
          </w:tcPr>
          <w:p w14:paraId="60010795" w14:textId="77777777" w:rsidR="00950B81" w:rsidRPr="00181EF3" w:rsidRDefault="00950B81" w:rsidP="00502F00">
            <w:pPr>
              <w:pStyle w:val="TableText"/>
              <w:jc w:val="center"/>
            </w:pPr>
            <w:r w:rsidRPr="00181EF3">
              <w:t>28.4</w:t>
            </w:r>
          </w:p>
        </w:tc>
        <w:tc>
          <w:tcPr>
            <w:tcW w:w="1132"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bottom"/>
          </w:tcPr>
          <w:p w14:paraId="228CDBE3" w14:textId="77777777" w:rsidR="00950B81" w:rsidRPr="00181EF3" w:rsidRDefault="00950B81" w:rsidP="00502F00">
            <w:pPr>
              <w:pStyle w:val="TableText"/>
              <w:jc w:val="center"/>
            </w:pPr>
            <w:r w:rsidRPr="00181EF3">
              <w:t>28.0</w:t>
            </w:r>
          </w:p>
        </w:tc>
        <w:tc>
          <w:tcPr>
            <w:tcW w:w="113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bottom"/>
          </w:tcPr>
          <w:p w14:paraId="10DC5781" w14:textId="77777777" w:rsidR="00950B81" w:rsidRPr="00181EF3" w:rsidRDefault="00950B81" w:rsidP="00502F00">
            <w:pPr>
              <w:pStyle w:val="TableText"/>
              <w:jc w:val="center"/>
            </w:pPr>
            <w:r w:rsidRPr="00181EF3">
              <w:t>21.9</w:t>
            </w:r>
          </w:p>
        </w:tc>
        <w:tc>
          <w:tcPr>
            <w:tcW w:w="1132" w:type="dxa"/>
            <w:tcBorders>
              <w:top w:val="single" w:sz="4" w:space="0" w:color="A6A6A6" w:themeColor="background1" w:themeShade="A6"/>
              <w:bottom w:val="single" w:sz="4" w:space="0" w:color="A6A6A6" w:themeColor="background1" w:themeShade="A6"/>
            </w:tcBorders>
            <w:shd w:val="clear" w:color="auto" w:fill="auto"/>
            <w:vAlign w:val="bottom"/>
          </w:tcPr>
          <w:p w14:paraId="7015A0A4" w14:textId="77777777" w:rsidR="00950B81" w:rsidRPr="00181EF3" w:rsidRDefault="00950B81" w:rsidP="00502F00">
            <w:pPr>
              <w:pStyle w:val="TableText"/>
              <w:jc w:val="center"/>
            </w:pPr>
            <w:r w:rsidRPr="00181EF3">
              <w:t>20.1</w:t>
            </w:r>
          </w:p>
        </w:tc>
      </w:tr>
      <w:tr w:rsidR="00950B81" w:rsidRPr="00181EF3" w14:paraId="5636B820" w14:textId="77777777" w:rsidTr="001338CA">
        <w:trPr>
          <w:cantSplit/>
        </w:trPr>
        <w:tc>
          <w:tcPr>
            <w:tcW w:w="1288"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bottom"/>
          </w:tcPr>
          <w:p w14:paraId="5F6B2344" w14:textId="77777777" w:rsidR="00950B81" w:rsidRPr="00181EF3" w:rsidRDefault="00950B81" w:rsidP="00502F00">
            <w:pPr>
              <w:pStyle w:val="TableText"/>
            </w:pPr>
            <w:r w:rsidRPr="00181EF3">
              <w:t>2013–14</w:t>
            </w:r>
          </w:p>
        </w:tc>
        <w:tc>
          <w:tcPr>
            <w:tcW w:w="113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bottom"/>
          </w:tcPr>
          <w:p w14:paraId="2C34DCBE" w14:textId="77777777" w:rsidR="00950B81" w:rsidRPr="00181EF3" w:rsidRDefault="00950B81" w:rsidP="00502F00">
            <w:pPr>
              <w:pStyle w:val="TableText"/>
              <w:jc w:val="center"/>
            </w:pPr>
            <w:r w:rsidRPr="00181EF3">
              <w:t>28.5</w:t>
            </w:r>
          </w:p>
        </w:tc>
        <w:tc>
          <w:tcPr>
            <w:tcW w:w="1132"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bottom"/>
          </w:tcPr>
          <w:p w14:paraId="0305343A" w14:textId="77777777" w:rsidR="00950B81" w:rsidRPr="00181EF3" w:rsidRDefault="00950B81" w:rsidP="00502F00">
            <w:pPr>
              <w:pStyle w:val="TableText"/>
              <w:jc w:val="center"/>
            </w:pPr>
            <w:r w:rsidRPr="00181EF3">
              <w:t>28.8</w:t>
            </w:r>
          </w:p>
        </w:tc>
        <w:tc>
          <w:tcPr>
            <w:tcW w:w="113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bottom"/>
          </w:tcPr>
          <w:p w14:paraId="79B14851" w14:textId="77777777" w:rsidR="00950B81" w:rsidRPr="00181EF3" w:rsidRDefault="00950B81" w:rsidP="00502F00">
            <w:pPr>
              <w:pStyle w:val="TableText"/>
              <w:jc w:val="center"/>
            </w:pPr>
            <w:r w:rsidRPr="00181EF3">
              <w:t>22.1</w:t>
            </w:r>
          </w:p>
        </w:tc>
        <w:tc>
          <w:tcPr>
            <w:tcW w:w="1132" w:type="dxa"/>
            <w:tcBorders>
              <w:top w:val="single" w:sz="4" w:space="0" w:color="A6A6A6" w:themeColor="background1" w:themeShade="A6"/>
              <w:bottom w:val="single" w:sz="4" w:space="0" w:color="A6A6A6" w:themeColor="background1" w:themeShade="A6"/>
            </w:tcBorders>
            <w:shd w:val="clear" w:color="auto" w:fill="auto"/>
            <w:vAlign w:val="bottom"/>
          </w:tcPr>
          <w:p w14:paraId="213054EC" w14:textId="77777777" w:rsidR="00950B81" w:rsidRPr="00181EF3" w:rsidRDefault="00950B81" w:rsidP="00502F00">
            <w:pPr>
              <w:pStyle w:val="TableText"/>
              <w:jc w:val="center"/>
            </w:pPr>
            <w:r w:rsidRPr="00181EF3">
              <w:t>20.8</w:t>
            </w:r>
          </w:p>
        </w:tc>
      </w:tr>
      <w:tr w:rsidR="00950B81" w:rsidRPr="00181EF3" w14:paraId="65C41646" w14:textId="77777777" w:rsidTr="001338CA">
        <w:trPr>
          <w:cantSplit/>
        </w:trPr>
        <w:tc>
          <w:tcPr>
            <w:tcW w:w="1288"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bottom"/>
          </w:tcPr>
          <w:p w14:paraId="0C428E07" w14:textId="77777777" w:rsidR="00950B81" w:rsidRPr="00181EF3" w:rsidRDefault="00950B81" w:rsidP="00502F00">
            <w:pPr>
              <w:pStyle w:val="TableText"/>
            </w:pPr>
            <w:r w:rsidRPr="00181EF3">
              <w:t>2014–15</w:t>
            </w:r>
          </w:p>
        </w:tc>
        <w:tc>
          <w:tcPr>
            <w:tcW w:w="113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bottom"/>
          </w:tcPr>
          <w:p w14:paraId="704F5352" w14:textId="77777777" w:rsidR="00950B81" w:rsidRPr="00181EF3" w:rsidRDefault="00950B81" w:rsidP="00502F00">
            <w:pPr>
              <w:pStyle w:val="TableText"/>
              <w:jc w:val="center"/>
            </w:pPr>
            <w:r w:rsidRPr="00181EF3">
              <w:t>29.9</w:t>
            </w:r>
          </w:p>
        </w:tc>
        <w:tc>
          <w:tcPr>
            <w:tcW w:w="1132"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bottom"/>
          </w:tcPr>
          <w:p w14:paraId="2E3C5425" w14:textId="77777777" w:rsidR="00950B81" w:rsidRPr="00181EF3" w:rsidRDefault="00950B81" w:rsidP="00502F00">
            <w:pPr>
              <w:pStyle w:val="TableText"/>
              <w:jc w:val="center"/>
            </w:pPr>
            <w:r w:rsidRPr="00181EF3">
              <w:t>29.7</w:t>
            </w:r>
          </w:p>
        </w:tc>
        <w:tc>
          <w:tcPr>
            <w:tcW w:w="113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bottom"/>
          </w:tcPr>
          <w:p w14:paraId="5B74E3E2" w14:textId="77777777" w:rsidR="00950B81" w:rsidRPr="00181EF3" w:rsidRDefault="00950B81" w:rsidP="00502F00">
            <w:pPr>
              <w:pStyle w:val="TableText"/>
              <w:jc w:val="center"/>
            </w:pPr>
            <w:r w:rsidRPr="00181EF3">
              <w:t>22.5</w:t>
            </w:r>
          </w:p>
        </w:tc>
        <w:tc>
          <w:tcPr>
            <w:tcW w:w="1132" w:type="dxa"/>
            <w:tcBorders>
              <w:top w:val="single" w:sz="4" w:space="0" w:color="A6A6A6" w:themeColor="background1" w:themeShade="A6"/>
              <w:bottom w:val="single" w:sz="4" w:space="0" w:color="A6A6A6" w:themeColor="background1" w:themeShade="A6"/>
            </w:tcBorders>
            <w:shd w:val="clear" w:color="auto" w:fill="auto"/>
            <w:vAlign w:val="bottom"/>
          </w:tcPr>
          <w:p w14:paraId="2E574A24" w14:textId="77777777" w:rsidR="00950B81" w:rsidRPr="00181EF3" w:rsidRDefault="00950B81" w:rsidP="00502F00">
            <w:pPr>
              <w:pStyle w:val="TableText"/>
              <w:jc w:val="center"/>
            </w:pPr>
            <w:r w:rsidRPr="00181EF3">
              <w:t>21.3</w:t>
            </w:r>
          </w:p>
        </w:tc>
      </w:tr>
      <w:tr w:rsidR="00950B81" w:rsidRPr="00181EF3" w14:paraId="0F4D9944" w14:textId="77777777" w:rsidTr="001338CA">
        <w:trPr>
          <w:cantSplit/>
        </w:trPr>
        <w:tc>
          <w:tcPr>
            <w:tcW w:w="1288"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bottom"/>
          </w:tcPr>
          <w:p w14:paraId="2E977B69" w14:textId="77777777" w:rsidR="00950B81" w:rsidRPr="00181EF3" w:rsidRDefault="00950B81" w:rsidP="00502F00">
            <w:pPr>
              <w:pStyle w:val="TableText"/>
            </w:pPr>
            <w:r w:rsidRPr="00181EF3">
              <w:t>2015–16</w:t>
            </w:r>
          </w:p>
        </w:tc>
        <w:tc>
          <w:tcPr>
            <w:tcW w:w="113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bottom"/>
          </w:tcPr>
          <w:p w14:paraId="046627EA" w14:textId="77777777" w:rsidR="00950B81" w:rsidRPr="00181EF3" w:rsidRDefault="00950B81" w:rsidP="00502F00">
            <w:pPr>
              <w:pStyle w:val="TableText"/>
              <w:jc w:val="center"/>
            </w:pPr>
            <w:r w:rsidRPr="00181EF3">
              <w:t>30.7</w:t>
            </w:r>
          </w:p>
        </w:tc>
        <w:tc>
          <w:tcPr>
            <w:tcW w:w="1132"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bottom"/>
          </w:tcPr>
          <w:p w14:paraId="5E15FB65" w14:textId="77777777" w:rsidR="00950B81" w:rsidRPr="00181EF3" w:rsidRDefault="00950B81" w:rsidP="00502F00">
            <w:pPr>
              <w:pStyle w:val="TableText"/>
              <w:jc w:val="center"/>
            </w:pPr>
            <w:r w:rsidRPr="00181EF3">
              <w:t>30.7</w:t>
            </w:r>
          </w:p>
        </w:tc>
        <w:tc>
          <w:tcPr>
            <w:tcW w:w="113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bottom"/>
          </w:tcPr>
          <w:p w14:paraId="0C5A4529" w14:textId="77777777" w:rsidR="00950B81" w:rsidRPr="00181EF3" w:rsidRDefault="00950B81" w:rsidP="00502F00">
            <w:pPr>
              <w:pStyle w:val="TableText"/>
              <w:jc w:val="center"/>
            </w:pPr>
            <w:r w:rsidRPr="00181EF3">
              <w:t>22.6</w:t>
            </w:r>
          </w:p>
        </w:tc>
        <w:tc>
          <w:tcPr>
            <w:tcW w:w="1132" w:type="dxa"/>
            <w:tcBorders>
              <w:top w:val="single" w:sz="4" w:space="0" w:color="A6A6A6" w:themeColor="background1" w:themeShade="A6"/>
              <w:bottom w:val="single" w:sz="4" w:space="0" w:color="A6A6A6" w:themeColor="background1" w:themeShade="A6"/>
            </w:tcBorders>
            <w:shd w:val="clear" w:color="auto" w:fill="auto"/>
            <w:vAlign w:val="bottom"/>
          </w:tcPr>
          <w:p w14:paraId="7E1BE5D8" w14:textId="77777777" w:rsidR="00950B81" w:rsidRPr="00181EF3" w:rsidRDefault="00950B81" w:rsidP="00502F00">
            <w:pPr>
              <w:pStyle w:val="TableText"/>
              <w:jc w:val="center"/>
            </w:pPr>
            <w:r w:rsidRPr="00181EF3">
              <w:t>21.7</w:t>
            </w:r>
          </w:p>
        </w:tc>
      </w:tr>
      <w:tr w:rsidR="00950B81" w:rsidRPr="00181EF3" w14:paraId="364426B8" w14:textId="77777777" w:rsidTr="001338CA">
        <w:trPr>
          <w:cantSplit/>
        </w:trPr>
        <w:tc>
          <w:tcPr>
            <w:tcW w:w="1288"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bottom"/>
          </w:tcPr>
          <w:p w14:paraId="2EFD7AAE" w14:textId="77777777" w:rsidR="00950B81" w:rsidRPr="00181EF3" w:rsidRDefault="00950B81" w:rsidP="00502F00">
            <w:pPr>
              <w:pStyle w:val="TableText"/>
            </w:pPr>
            <w:r w:rsidRPr="00181EF3">
              <w:t>2016–17</w:t>
            </w:r>
          </w:p>
        </w:tc>
        <w:tc>
          <w:tcPr>
            <w:tcW w:w="113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bottom"/>
          </w:tcPr>
          <w:p w14:paraId="4D5828CC" w14:textId="77777777" w:rsidR="00950B81" w:rsidRPr="00181EF3" w:rsidRDefault="00950B81" w:rsidP="00502F00">
            <w:pPr>
              <w:pStyle w:val="TableText"/>
              <w:jc w:val="center"/>
            </w:pPr>
            <w:r w:rsidRPr="00181EF3">
              <w:t>30.5</w:t>
            </w:r>
          </w:p>
        </w:tc>
        <w:tc>
          <w:tcPr>
            <w:tcW w:w="1132"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bottom"/>
          </w:tcPr>
          <w:p w14:paraId="4A21EDCE" w14:textId="77777777" w:rsidR="00950B81" w:rsidRPr="00181EF3" w:rsidRDefault="00950B81" w:rsidP="00502F00">
            <w:pPr>
              <w:pStyle w:val="TableText"/>
              <w:jc w:val="center"/>
            </w:pPr>
            <w:r w:rsidRPr="00181EF3">
              <w:t>31.3</w:t>
            </w:r>
          </w:p>
        </w:tc>
        <w:tc>
          <w:tcPr>
            <w:tcW w:w="113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bottom"/>
          </w:tcPr>
          <w:p w14:paraId="12ACCD8F" w14:textId="77777777" w:rsidR="00950B81" w:rsidRPr="00181EF3" w:rsidRDefault="00950B81" w:rsidP="00502F00">
            <w:pPr>
              <w:pStyle w:val="TableText"/>
              <w:jc w:val="center"/>
            </w:pPr>
            <w:r w:rsidRPr="00181EF3">
              <w:t>22.0</w:t>
            </w:r>
          </w:p>
        </w:tc>
        <w:tc>
          <w:tcPr>
            <w:tcW w:w="1132" w:type="dxa"/>
            <w:tcBorders>
              <w:top w:val="single" w:sz="4" w:space="0" w:color="A6A6A6" w:themeColor="background1" w:themeShade="A6"/>
              <w:bottom w:val="single" w:sz="4" w:space="0" w:color="A6A6A6" w:themeColor="background1" w:themeShade="A6"/>
            </w:tcBorders>
            <w:shd w:val="clear" w:color="auto" w:fill="auto"/>
            <w:vAlign w:val="bottom"/>
          </w:tcPr>
          <w:p w14:paraId="0A5692A3" w14:textId="77777777" w:rsidR="00950B81" w:rsidRPr="00181EF3" w:rsidRDefault="00950B81" w:rsidP="00502F00">
            <w:pPr>
              <w:pStyle w:val="TableText"/>
              <w:jc w:val="center"/>
            </w:pPr>
            <w:r w:rsidRPr="00181EF3">
              <w:t>21.4</w:t>
            </w:r>
          </w:p>
        </w:tc>
      </w:tr>
    </w:tbl>
    <w:p w14:paraId="6F8E40D3" w14:textId="77777777" w:rsidR="007F6DC9" w:rsidRDefault="007F6DC9" w:rsidP="007F6DC9">
      <w:pPr>
        <w:pStyle w:val="Note"/>
      </w:pPr>
      <w:r w:rsidRPr="00181EF3">
        <w:t>Note</w:t>
      </w:r>
      <w:r>
        <w:t>s</w:t>
      </w:r>
      <w:r w:rsidRPr="00181EF3">
        <w:t>:</w:t>
      </w:r>
    </w:p>
    <w:p w14:paraId="2E627052" w14:textId="1179E2C4" w:rsidR="008A5642" w:rsidRDefault="00446D86" w:rsidP="007F6DC9">
      <w:pPr>
        <w:pStyle w:val="Note"/>
      </w:pPr>
      <w:r>
        <w:t>Figures are age-standardised to the 2001 Census total Māori population</w:t>
      </w:r>
      <w:r w:rsidR="007F6DC9" w:rsidRPr="00181EF3">
        <w:t>.</w:t>
      </w:r>
    </w:p>
    <w:p w14:paraId="73F2BE4F" w14:textId="5E278D3E" w:rsidR="007F6DC9" w:rsidRPr="00181EF3" w:rsidRDefault="007F6DC9" w:rsidP="007F6DC9">
      <w:pPr>
        <w:pStyle w:val="Note"/>
      </w:pPr>
      <w:r>
        <w:t>Prioritised ethnicity has been used.</w:t>
      </w:r>
    </w:p>
    <w:p w14:paraId="427BC9A5" w14:textId="77777777" w:rsidR="007F6DC9" w:rsidRPr="00181EF3" w:rsidRDefault="007F6DC9" w:rsidP="007F6DC9">
      <w:pPr>
        <w:pStyle w:val="Source"/>
      </w:pPr>
      <w:r w:rsidRPr="00181EF3">
        <w:t>Source: National Minimum Dataset (NMDS, 10 January 2019)</w:t>
      </w:r>
      <w:r>
        <w:t>,</w:t>
      </w:r>
      <w:r w:rsidRPr="00140176">
        <w:rPr>
          <w:rFonts w:eastAsia="Calibri"/>
        </w:rPr>
        <w:t xml:space="preserve"> </w:t>
      </w:r>
      <w:r w:rsidRPr="00181EF3">
        <w:rPr>
          <w:rFonts w:eastAsia="Calibri"/>
        </w:rPr>
        <w:t>Ministry of Health</w:t>
      </w:r>
      <w:r>
        <w:rPr>
          <w:rFonts w:eastAsia="Calibri"/>
        </w:rPr>
        <w:t>,</w:t>
      </w:r>
      <w:r w:rsidRPr="00507AA7">
        <w:t xml:space="preserve"> </w:t>
      </w:r>
      <w:r>
        <w:t>2007</w:t>
      </w:r>
      <w:r w:rsidRPr="00181EF3">
        <w:t>–</w:t>
      </w:r>
      <w:r>
        <w:t>08</w:t>
      </w:r>
      <w:r w:rsidRPr="00181EF3">
        <w:t xml:space="preserve"> to 201</w:t>
      </w:r>
      <w:r>
        <w:t>6</w:t>
      </w:r>
      <w:r w:rsidRPr="00181EF3">
        <w:t>–1</w:t>
      </w:r>
      <w:r>
        <w:t>7</w:t>
      </w:r>
      <w:r w:rsidRPr="00181EF3">
        <w:rPr>
          <w:rFonts w:eastAsia="Calibri"/>
        </w:rPr>
        <w:t>.</w:t>
      </w:r>
    </w:p>
    <w:p w14:paraId="19D9FB17" w14:textId="77777777" w:rsidR="004A7F24" w:rsidRPr="00D2650B" w:rsidRDefault="004A7F24" w:rsidP="00354652">
      <w:pPr>
        <w:rPr>
          <w:highlight w:val="yellow"/>
        </w:rPr>
      </w:pPr>
    </w:p>
    <w:p w14:paraId="5A8253C8" w14:textId="77777777" w:rsidR="004A7F24" w:rsidRDefault="00932BA7" w:rsidP="00530269">
      <w:pPr>
        <w:pStyle w:val="Heading1"/>
      </w:pPr>
      <w:bookmarkStart w:id="409" w:name="_Toc19102451"/>
      <w:bookmarkEnd w:id="385"/>
      <w:r>
        <w:lastRenderedPageBreak/>
        <w:t>Health workforce</w:t>
      </w:r>
      <w:bookmarkEnd w:id="409"/>
    </w:p>
    <w:p w14:paraId="54D502DC" w14:textId="77777777" w:rsidR="00B66973" w:rsidRPr="00181EF3" w:rsidRDefault="00B66973" w:rsidP="00B66973">
      <w:pPr>
        <w:rPr>
          <w:lang w:eastAsia="en-NZ"/>
        </w:rPr>
      </w:pPr>
      <w:r w:rsidRPr="00181EF3">
        <w:rPr>
          <w:lang w:eastAsia="en-NZ"/>
        </w:rPr>
        <w:t xml:space="preserve">This </w:t>
      </w:r>
      <w:r>
        <w:rPr>
          <w:lang w:eastAsia="en-NZ"/>
        </w:rPr>
        <w:t>section</w:t>
      </w:r>
      <w:r w:rsidRPr="00181EF3">
        <w:rPr>
          <w:lang w:eastAsia="en-NZ"/>
        </w:rPr>
        <w:t xml:space="preserve"> </w:t>
      </w:r>
      <w:r>
        <w:rPr>
          <w:lang w:eastAsia="en-NZ"/>
        </w:rPr>
        <w:t>presents</w:t>
      </w:r>
      <w:r w:rsidRPr="00181EF3">
        <w:rPr>
          <w:lang w:eastAsia="en-NZ"/>
        </w:rPr>
        <w:t xml:space="preserve"> the trends related to the health workforce data between 2004 and 2018. Data is sourced from workforce surveys by the relevant regulatory authorities. Fourteen of the 16 regulatory bodies that operate under the Health Practitioners Competence Assurance Act (2003) are included in this brief.</w:t>
      </w:r>
    </w:p>
    <w:p w14:paraId="0ADB9EA5" w14:textId="77777777" w:rsidR="00B66973" w:rsidRPr="00181EF3" w:rsidRDefault="00B66973" w:rsidP="00B66973"/>
    <w:p w14:paraId="2661E8EC" w14:textId="77777777" w:rsidR="00B66973" w:rsidRPr="00181EF3" w:rsidRDefault="00B66973" w:rsidP="00B66973">
      <w:r w:rsidRPr="00181EF3">
        <w:t>The regulatory bodies, and the covered professions, included within this brief are:</w:t>
      </w:r>
    </w:p>
    <w:p w14:paraId="15317C6E" w14:textId="77777777" w:rsidR="00B66973" w:rsidRPr="00181EF3" w:rsidRDefault="00B66973" w:rsidP="00B66973">
      <w:pPr>
        <w:pStyle w:val="Bullet"/>
      </w:pPr>
      <w:r w:rsidRPr="00181EF3">
        <w:t>Nursing Council of New Zealand – Nursing</w:t>
      </w:r>
    </w:p>
    <w:p w14:paraId="267F4182" w14:textId="77777777" w:rsidR="00B66973" w:rsidRPr="00181EF3" w:rsidRDefault="00B66973" w:rsidP="00B66973">
      <w:pPr>
        <w:pStyle w:val="Bullet"/>
      </w:pPr>
      <w:r w:rsidRPr="00181EF3">
        <w:t>Midwifery Council of New Zealand – Midwives</w:t>
      </w:r>
    </w:p>
    <w:p w14:paraId="7B00DEE1" w14:textId="77777777" w:rsidR="00B66973" w:rsidRPr="00181EF3" w:rsidRDefault="00B66973" w:rsidP="00B66973">
      <w:pPr>
        <w:pStyle w:val="Bullet"/>
      </w:pPr>
      <w:r w:rsidRPr="00181EF3">
        <w:t>Medical Council of New Zealand – Medical Employed FTE</w:t>
      </w:r>
    </w:p>
    <w:p w14:paraId="6B7368F4" w14:textId="77777777" w:rsidR="00B66973" w:rsidRPr="00181EF3" w:rsidRDefault="00B66973" w:rsidP="00B66973">
      <w:pPr>
        <w:pStyle w:val="Bullet"/>
      </w:pPr>
      <w:r w:rsidRPr="00181EF3">
        <w:t>Dental Council of New Zealand – Oral Health</w:t>
      </w:r>
    </w:p>
    <w:p w14:paraId="458E455D" w14:textId="77777777" w:rsidR="00B66973" w:rsidRPr="00181EF3" w:rsidRDefault="00B66973" w:rsidP="00B66973">
      <w:pPr>
        <w:pStyle w:val="Bullet"/>
      </w:pPr>
      <w:r w:rsidRPr="00181EF3">
        <w:t>New Zealand Physiotherapists Board – Physiotherapists</w:t>
      </w:r>
    </w:p>
    <w:p w14:paraId="7E07C9D6" w14:textId="77777777" w:rsidR="00B66973" w:rsidRPr="00181EF3" w:rsidRDefault="00B66973" w:rsidP="00B66973">
      <w:pPr>
        <w:pStyle w:val="Bullet"/>
      </w:pPr>
      <w:r w:rsidRPr="00181EF3">
        <w:t>New Zealand Psychologists Board – Psychologists</w:t>
      </w:r>
    </w:p>
    <w:p w14:paraId="0BD71AC5" w14:textId="77777777" w:rsidR="00B66973" w:rsidRPr="00181EF3" w:rsidRDefault="00B66973" w:rsidP="00B66973">
      <w:pPr>
        <w:pStyle w:val="Bullet"/>
      </w:pPr>
      <w:r w:rsidRPr="00181EF3">
        <w:t>Medical Radiation Technologists Board – Medical Radiologists</w:t>
      </w:r>
    </w:p>
    <w:p w14:paraId="562AAD24" w14:textId="77777777" w:rsidR="00B66973" w:rsidRPr="00181EF3" w:rsidRDefault="00B66973" w:rsidP="00B66973">
      <w:pPr>
        <w:pStyle w:val="Bullet"/>
      </w:pPr>
      <w:r w:rsidRPr="00181EF3">
        <w:t>New Zealand Dietitians Board – Dietitians</w:t>
      </w:r>
    </w:p>
    <w:p w14:paraId="3E41130C" w14:textId="77777777" w:rsidR="00B66973" w:rsidRPr="00181EF3" w:rsidRDefault="00B66973" w:rsidP="00B66973">
      <w:pPr>
        <w:pStyle w:val="Bullet"/>
      </w:pPr>
      <w:r w:rsidRPr="00181EF3">
        <w:t>Medical Sciences Council of New Zealand – Medical Laboratory Scientists and Technicians</w:t>
      </w:r>
    </w:p>
    <w:p w14:paraId="61848C73" w14:textId="77777777" w:rsidR="00B66973" w:rsidRPr="00181EF3" w:rsidRDefault="00B66973" w:rsidP="00B66973">
      <w:pPr>
        <w:pStyle w:val="Bullet"/>
      </w:pPr>
      <w:r w:rsidRPr="00181EF3">
        <w:t>Pharmacy Council of New Zealand – Pharmacists</w:t>
      </w:r>
    </w:p>
    <w:p w14:paraId="350CF07E" w14:textId="77777777" w:rsidR="00B66973" w:rsidRPr="00181EF3" w:rsidRDefault="00B66973" w:rsidP="00B66973">
      <w:pPr>
        <w:pStyle w:val="Bullet"/>
      </w:pPr>
      <w:r w:rsidRPr="00181EF3">
        <w:t>New Zealand Optometrists and Dispensing Opticians Board – Optometrists and Dispensing Opticians</w:t>
      </w:r>
    </w:p>
    <w:p w14:paraId="4C72EE02" w14:textId="77777777" w:rsidR="00B66973" w:rsidRPr="00181EF3" w:rsidRDefault="00B66973" w:rsidP="00B66973">
      <w:pPr>
        <w:pStyle w:val="Bullet"/>
      </w:pPr>
      <w:r w:rsidRPr="00181EF3">
        <w:t>New Zealand Podiatrists Board – Podiatrists</w:t>
      </w:r>
    </w:p>
    <w:p w14:paraId="7021B391" w14:textId="77777777" w:rsidR="00B66973" w:rsidRPr="00181EF3" w:rsidRDefault="00B66973" w:rsidP="00B66973">
      <w:pPr>
        <w:pStyle w:val="Bullet"/>
      </w:pPr>
      <w:r w:rsidRPr="00181EF3">
        <w:t>New Zealand Psychologists Board – Osteopaths</w:t>
      </w:r>
    </w:p>
    <w:p w14:paraId="57F2B0A5" w14:textId="77777777" w:rsidR="00B66973" w:rsidRPr="00181EF3" w:rsidRDefault="00B66973" w:rsidP="00B66973">
      <w:pPr>
        <w:pStyle w:val="Bullet"/>
      </w:pPr>
      <w:r w:rsidRPr="00181EF3">
        <w:t>New Zealand Chiropractic Board – Chiropractors.</w:t>
      </w:r>
    </w:p>
    <w:p w14:paraId="146F843C" w14:textId="77777777" w:rsidR="00B66973" w:rsidRPr="00181EF3" w:rsidRDefault="00B66973" w:rsidP="00B66973"/>
    <w:p w14:paraId="1530A08E" w14:textId="49DBFA52" w:rsidR="00B66973" w:rsidRPr="00181EF3" w:rsidRDefault="00B66973" w:rsidP="00B66973">
      <w:r w:rsidRPr="00181EF3">
        <w:t xml:space="preserve">The availability of health workforce data is subject to the make-up of the workforce surveys for each regulative authority. Because of this no information is available for the occupational therapy and psychotherapy workforces and various other professions covered in this </w:t>
      </w:r>
      <w:r w:rsidR="0078298C">
        <w:t>report</w:t>
      </w:r>
      <w:r w:rsidRPr="00181EF3">
        <w:t xml:space="preserve"> have gaps in the reported timeframe.</w:t>
      </w:r>
    </w:p>
    <w:p w14:paraId="058C2841" w14:textId="77777777" w:rsidR="00B66973" w:rsidRPr="00181EF3" w:rsidRDefault="00B66973" w:rsidP="00B66973"/>
    <w:p w14:paraId="6CF0EFB8" w14:textId="77777777" w:rsidR="00B66973" w:rsidRPr="00181EF3" w:rsidRDefault="00B66973" w:rsidP="00B66973">
      <w:r w:rsidRPr="00181EF3">
        <w:t xml:space="preserve">This </w:t>
      </w:r>
      <w:r>
        <w:t>section</w:t>
      </w:r>
      <w:r w:rsidRPr="00181EF3">
        <w:t xml:space="preserve"> does not include professions that are either: unregulated (eg, kaiāwhina/care and support workers) or regulated but not covered under the Health Practitioners Competence Assurance Act (2003) (eg, social workers) as no data is available for these professions.</w:t>
      </w:r>
    </w:p>
    <w:p w14:paraId="72296931" w14:textId="77777777" w:rsidR="00B66973" w:rsidRPr="00181EF3" w:rsidRDefault="00B66973" w:rsidP="00B66973"/>
    <w:p w14:paraId="39B566AD" w14:textId="2F54BAFF" w:rsidR="00B66973" w:rsidRPr="00181EF3" w:rsidRDefault="00B66973" w:rsidP="00B66973">
      <w:r w:rsidRPr="00181EF3">
        <w:t xml:space="preserve">It is evident from the below indicators that in general, the number of Māori in the health workforce increased at a similar rate to the total number of workers in that profession. Because of this the percentage of Māori in each workforce did not improve over time – every profession did not reflect the ethnic population distribution (14.9 percent Māori, 85.1 percent </w:t>
      </w:r>
      <w:r w:rsidR="00EC03A3">
        <w:t>non</w:t>
      </w:r>
      <w:r w:rsidR="00EC03A3">
        <w:noBreakHyphen/>
        <w:t>M</w:t>
      </w:r>
      <w:r w:rsidRPr="00181EF3">
        <w:t>āori).</w:t>
      </w:r>
      <w:r w:rsidRPr="001338CA">
        <w:rPr>
          <w:rStyle w:val="FootnoteReference"/>
        </w:rPr>
        <w:footnoteReference w:id="10"/>
      </w:r>
    </w:p>
    <w:p w14:paraId="7F30C7A5" w14:textId="77777777" w:rsidR="00B66973" w:rsidRPr="00181EF3" w:rsidRDefault="00B66973" w:rsidP="00B66973"/>
    <w:p w14:paraId="0D680C1E" w14:textId="77777777" w:rsidR="00B66973" w:rsidRPr="00181EF3" w:rsidRDefault="00B66973" w:rsidP="001338CA">
      <w:pPr>
        <w:pStyle w:val="Heading2"/>
        <w:pageBreakBefore/>
        <w:spacing w:before="0"/>
      </w:pPr>
      <w:bookmarkStart w:id="410" w:name="_Toc19102452"/>
      <w:r w:rsidRPr="00181EF3">
        <w:lastRenderedPageBreak/>
        <w:t>Nursing Council of New Zealand – nurses</w:t>
      </w:r>
      <w:bookmarkEnd w:id="410"/>
    </w:p>
    <w:p w14:paraId="6BA58215" w14:textId="77777777" w:rsidR="00B66973" w:rsidRPr="00181EF3" w:rsidRDefault="00B66973" w:rsidP="00B66973">
      <w:r w:rsidRPr="00181EF3">
        <w:t>The nursing workforce includes enrolled, practising and registered nurses.</w:t>
      </w:r>
    </w:p>
    <w:p w14:paraId="477C5FC2" w14:textId="77777777" w:rsidR="00B66973" w:rsidRPr="00181EF3" w:rsidRDefault="00B66973" w:rsidP="00B66973"/>
    <w:p w14:paraId="09726055" w14:textId="0A299EEF" w:rsidR="00B66973" w:rsidRPr="00181EF3" w:rsidRDefault="00B66973" w:rsidP="00B66973">
      <w:pPr>
        <w:pStyle w:val="Table"/>
      </w:pPr>
      <w:bookmarkStart w:id="411" w:name="_Toc18594776"/>
      <w:r w:rsidRPr="00181EF3">
        <w:t xml:space="preserve">Table </w:t>
      </w:r>
      <w:r>
        <w:t>36</w:t>
      </w:r>
      <w:r w:rsidRPr="00181EF3">
        <w:t xml:space="preserve">: Estimated number (percentage in workforce) of Māori and </w:t>
      </w:r>
      <w:r w:rsidR="00EC03A3">
        <w:t>non</w:t>
      </w:r>
      <w:r w:rsidR="00EC03A3">
        <w:noBreakHyphen/>
        <w:t>M</w:t>
      </w:r>
      <w:r w:rsidRPr="00181EF3">
        <w:t>āori in nursing, 2005–2018</w:t>
      </w:r>
      <w:bookmarkEnd w:id="411"/>
    </w:p>
    <w:tbl>
      <w:tblPr>
        <w:tblW w:w="8080" w:type="dxa"/>
        <w:tblInd w:w="57" w:type="dxa"/>
        <w:tblLayout w:type="fixed"/>
        <w:tblCellMar>
          <w:left w:w="57" w:type="dxa"/>
          <w:right w:w="57" w:type="dxa"/>
        </w:tblCellMar>
        <w:tblLook w:val="04A0" w:firstRow="1" w:lastRow="0" w:firstColumn="1" w:lastColumn="0" w:noHBand="0" w:noVBand="1"/>
      </w:tblPr>
      <w:tblGrid>
        <w:gridCol w:w="2693"/>
        <w:gridCol w:w="2693"/>
        <w:gridCol w:w="2694"/>
      </w:tblGrid>
      <w:tr w:rsidR="00B66973" w:rsidRPr="00181EF3" w14:paraId="38490657" w14:textId="77777777" w:rsidTr="00B66973">
        <w:trPr>
          <w:cantSplit/>
        </w:trPr>
        <w:tc>
          <w:tcPr>
            <w:tcW w:w="8080" w:type="dxa"/>
            <w:gridSpan w:val="3"/>
            <w:shd w:val="clear" w:color="auto" w:fill="D9D9D9" w:themeFill="background1" w:themeFillShade="D9"/>
          </w:tcPr>
          <w:p w14:paraId="03E661F7" w14:textId="77777777" w:rsidR="00B66973" w:rsidRPr="00181EF3" w:rsidRDefault="00B66973" w:rsidP="00B66973">
            <w:pPr>
              <w:pStyle w:val="TableText"/>
              <w:jc w:val="center"/>
              <w:rPr>
                <w:b/>
              </w:rPr>
            </w:pPr>
            <w:r w:rsidRPr="00181EF3">
              <w:rPr>
                <w:b/>
              </w:rPr>
              <w:t>Nursing (2005–2018)</w:t>
            </w:r>
          </w:p>
        </w:tc>
      </w:tr>
      <w:tr w:rsidR="00B66973" w:rsidRPr="00181EF3" w14:paraId="4B509844" w14:textId="77777777" w:rsidTr="00B66973">
        <w:trPr>
          <w:cantSplit/>
        </w:trPr>
        <w:tc>
          <w:tcPr>
            <w:tcW w:w="2693" w:type="dxa"/>
            <w:shd w:val="clear" w:color="auto" w:fill="F2F2F2" w:themeFill="background1" w:themeFillShade="F2"/>
          </w:tcPr>
          <w:p w14:paraId="648507A1" w14:textId="77777777" w:rsidR="00B66973" w:rsidRPr="00181EF3" w:rsidRDefault="00B66973" w:rsidP="00B66973">
            <w:pPr>
              <w:pStyle w:val="TableText"/>
              <w:jc w:val="center"/>
              <w:rPr>
                <w:b/>
              </w:rPr>
            </w:pPr>
            <w:r w:rsidRPr="00181EF3">
              <w:rPr>
                <w:b/>
              </w:rPr>
              <w:t>Year</w:t>
            </w:r>
          </w:p>
        </w:tc>
        <w:tc>
          <w:tcPr>
            <w:tcW w:w="2693" w:type="dxa"/>
            <w:shd w:val="clear" w:color="auto" w:fill="F2F2F2" w:themeFill="background1" w:themeFillShade="F2"/>
          </w:tcPr>
          <w:p w14:paraId="5E828507" w14:textId="77777777" w:rsidR="00B66973" w:rsidRPr="00181EF3" w:rsidRDefault="00B66973" w:rsidP="00B66973">
            <w:pPr>
              <w:pStyle w:val="TableText"/>
              <w:jc w:val="center"/>
              <w:rPr>
                <w:b/>
              </w:rPr>
            </w:pPr>
            <w:r w:rsidRPr="00181EF3">
              <w:rPr>
                <w:b/>
              </w:rPr>
              <w:t>Māori</w:t>
            </w:r>
          </w:p>
        </w:tc>
        <w:tc>
          <w:tcPr>
            <w:tcW w:w="2694" w:type="dxa"/>
            <w:shd w:val="clear" w:color="auto" w:fill="F2F2F2" w:themeFill="background1" w:themeFillShade="F2"/>
          </w:tcPr>
          <w:p w14:paraId="503639B4" w14:textId="404AF686" w:rsidR="00B66973" w:rsidRPr="00181EF3" w:rsidRDefault="00EC03A3" w:rsidP="00B66973">
            <w:pPr>
              <w:pStyle w:val="TableText"/>
              <w:jc w:val="center"/>
              <w:rPr>
                <w:b/>
              </w:rPr>
            </w:pPr>
            <w:r>
              <w:rPr>
                <w:b/>
              </w:rPr>
              <w:t>Non</w:t>
            </w:r>
            <w:r>
              <w:rPr>
                <w:b/>
              </w:rPr>
              <w:noBreakHyphen/>
              <w:t>M</w:t>
            </w:r>
            <w:r w:rsidR="00B66973" w:rsidRPr="00181EF3">
              <w:rPr>
                <w:b/>
              </w:rPr>
              <w:t>āori</w:t>
            </w:r>
          </w:p>
        </w:tc>
      </w:tr>
      <w:tr w:rsidR="00B66973" w:rsidRPr="00181EF3" w14:paraId="3B3A2CB4" w14:textId="77777777" w:rsidTr="00B66973">
        <w:trPr>
          <w:cantSplit/>
        </w:trPr>
        <w:tc>
          <w:tcPr>
            <w:tcW w:w="2693" w:type="dxa"/>
            <w:tcBorders>
              <w:bottom w:val="single" w:sz="4" w:space="0" w:color="A6A6A6" w:themeColor="background1" w:themeShade="A6"/>
            </w:tcBorders>
          </w:tcPr>
          <w:p w14:paraId="6DEE356D" w14:textId="77777777" w:rsidR="00B66973" w:rsidRPr="00181EF3" w:rsidRDefault="00B66973" w:rsidP="00B66973">
            <w:pPr>
              <w:pStyle w:val="TableText"/>
              <w:jc w:val="center"/>
            </w:pPr>
            <w:r w:rsidRPr="00181EF3">
              <w:t>2005</w:t>
            </w:r>
          </w:p>
        </w:tc>
        <w:tc>
          <w:tcPr>
            <w:tcW w:w="2693" w:type="dxa"/>
            <w:tcBorders>
              <w:bottom w:val="single" w:sz="4" w:space="0" w:color="A6A6A6" w:themeColor="background1" w:themeShade="A6"/>
            </w:tcBorders>
          </w:tcPr>
          <w:p w14:paraId="668496CC" w14:textId="77777777" w:rsidR="00B66973" w:rsidRPr="00181EF3" w:rsidRDefault="00B66973" w:rsidP="00B66973">
            <w:pPr>
              <w:pStyle w:val="TableText"/>
              <w:tabs>
                <w:tab w:val="decimal" w:pos="1247"/>
              </w:tabs>
            </w:pPr>
            <w:r w:rsidRPr="00181EF3">
              <w:t>3,003 (7.5%)</w:t>
            </w:r>
          </w:p>
        </w:tc>
        <w:tc>
          <w:tcPr>
            <w:tcW w:w="2694" w:type="dxa"/>
            <w:tcBorders>
              <w:bottom w:val="single" w:sz="4" w:space="0" w:color="A6A6A6" w:themeColor="background1" w:themeShade="A6"/>
            </w:tcBorders>
          </w:tcPr>
          <w:p w14:paraId="079A0839" w14:textId="77777777" w:rsidR="00B66973" w:rsidRPr="00181EF3" w:rsidRDefault="00B66973" w:rsidP="00B66973">
            <w:pPr>
              <w:pStyle w:val="TableText"/>
              <w:tabs>
                <w:tab w:val="decimal" w:pos="1247"/>
              </w:tabs>
            </w:pPr>
            <w:r w:rsidRPr="00181EF3">
              <w:t>37,127 (92.5%)</w:t>
            </w:r>
          </w:p>
        </w:tc>
      </w:tr>
      <w:tr w:rsidR="00B66973" w:rsidRPr="00181EF3" w14:paraId="6633952B"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41D1BF7F" w14:textId="77777777" w:rsidR="00B66973" w:rsidRPr="00181EF3" w:rsidRDefault="00B66973" w:rsidP="00B66973">
            <w:pPr>
              <w:pStyle w:val="TableText"/>
              <w:jc w:val="center"/>
            </w:pPr>
            <w:r w:rsidRPr="00181EF3">
              <w:t>2006</w:t>
            </w:r>
          </w:p>
        </w:tc>
        <w:tc>
          <w:tcPr>
            <w:tcW w:w="2693" w:type="dxa"/>
            <w:tcBorders>
              <w:top w:val="single" w:sz="4" w:space="0" w:color="A6A6A6" w:themeColor="background1" w:themeShade="A6"/>
              <w:bottom w:val="single" w:sz="4" w:space="0" w:color="A6A6A6" w:themeColor="background1" w:themeShade="A6"/>
            </w:tcBorders>
          </w:tcPr>
          <w:p w14:paraId="26AC3744" w14:textId="77777777" w:rsidR="00B66973" w:rsidRPr="00181EF3" w:rsidRDefault="00B66973" w:rsidP="00B66973">
            <w:pPr>
              <w:pStyle w:val="TableText"/>
              <w:tabs>
                <w:tab w:val="decimal" w:pos="1247"/>
              </w:tabs>
            </w:pPr>
            <w:r w:rsidRPr="00181EF3">
              <w:t>2,941 (7.4%)</w:t>
            </w:r>
          </w:p>
        </w:tc>
        <w:tc>
          <w:tcPr>
            <w:tcW w:w="2694" w:type="dxa"/>
            <w:tcBorders>
              <w:top w:val="single" w:sz="4" w:space="0" w:color="A6A6A6" w:themeColor="background1" w:themeShade="A6"/>
              <w:bottom w:val="single" w:sz="4" w:space="0" w:color="A6A6A6" w:themeColor="background1" w:themeShade="A6"/>
            </w:tcBorders>
          </w:tcPr>
          <w:p w14:paraId="37D0F429" w14:textId="77777777" w:rsidR="00B66973" w:rsidRPr="00181EF3" w:rsidRDefault="00B66973" w:rsidP="00B66973">
            <w:pPr>
              <w:pStyle w:val="TableText"/>
              <w:tabs>
                <w:tab w:val="decimal" w:pos="1247"/>
              </w:tabs>
            </w:pPr>
            <w:r w:rsidRPr="00181EF3">
              <w:t>36,913 (92.6%)</w:t>
            </w:r>
          </w:p>
        </w:tc>
      </w:tr>
      <w:tr w:rsidR="00B66973" w:rsidRPr="00181EF3" w14:paraId="7CBD8864"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63EE8F60" w14:textId="77777777" w:rsidR="00B66973" w:rsidRPr="00181EF3" w:rsidRDefault="00B66973" w:rsidP="00B66973">
            <w:pPr>
              <w:pStyle w:val="TableText"/>
              <w:jc w:val="center"/>
            </w:pPr>
            <w:r w:rsidRPr="00181EF3">
              <w:t>2007</w:t>
            </w:r>
          </w:p>
        </w:tc>
        <w:tc>
          <w:tcPr>
            <w:tcW w:w="2693" w:type="dxa"/>
            <w:tcBorders>
              <w:top w:val="single" w:sz="4" w:space="0" w:color="A6A6A6" w:themeColor="background1" w:themeShade="A6"/>
              <w:bottom w:val="single" w:sz="4" w:space="0" w:color="A6A6A6" w:themeColor="background1" w:themeShade="A6"/>
            </w:tcBorders>
          </w:tcPr>
          <w:p w14:paraId="51FF4046" w14:textId="77777777" w:rsidR="00B66973" w:rsidRPr="00181EF3" w:rsidRDefault="00B66973" w:rsidP="00B66973">
            <w:pPr>
              <w:pStyle w:val="TableText"/>
              <w:tabs>
                <w:tab w:val="decimal" w:pos="1247"/>
              </w:tabs>
            </w:pPr>
            <w:r w:rsidRPr="00181EF3">
              <w:t>3,053 (7.3%)</w:t>
            </w:r>
          </w:p>
        </w:tc>
        <w:tc>
          <w:tcPr>
            <w:tcW w:w="2694" w:type="dxa"/>
            <w:tcBorders>
              <w:top w:val="single" w:sz="4" w:space="0" w:color="A6A6A6" w:themeColor="background1" w:themeShade="A6"/>
              <w:bottom w:val="single" w:sz="4" w:space="0" w:color="A6A6A6" w:themeColor="background1" w:themeShade="A6"/>
            </w:tcBorders>
          </w:tcPr>
          <w:p w14:paraId="48519492" w14:textId="77777777" w:rsidR="00B66973" w:rsidRPr="00181EF3" w:rsidRDefault="00B66973" w:rsidP="00B66973">
            <w:pPr>
              <w:pStyle w:val="TableText"/>
              <w:tabs>
                <w:tab w:val="decimal" w:pos="1247"/>
              </w:tabs>
            </w:pPr>
            <w:r w:rsidRPr="00181EF3">
              <w:t>38,860 (92.7%)</w:t>
            </w:r>
          </w:p>
        </w:tc>
      </w:tr>
      <w:tr w:rsidR="00B66973" w:rsidRPr="00181EF3" w14:paraId="51C6AD24"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0E265EFD" w14:textId="77777777" w:rsidR="00B66973" w:rsidRPr="00181EF3" w:rsidRDefault="00B66973" w:rsidP="00B66973">
            <w:pPr>
              <w:pStyle w:val="TableText"/>
              <w:jc w:val="center"/>
            </w:pPr>
            <w:r w:rsidRPr="00181EF3">
              <w:t>2008</w:t>
            </w:r>
          </w:p>
        </w:tc>
        <w:tc>
          <w:tcPr>
            <w:tcW w:w="2693" w:type="dxa"/>
            <w:tcBorders>
              <w:top w:val="single" w:sz="4" w:space="0" w:color="A6A6A6" w:themeColor="background1" w:themeShade="A6"/>
              <w:bottom w:val="single" w:sz="4" w:space="0" w:color="A6A6A6" w:themeColor="background1" w:themeShade="A6"/>
            </w:tcBorders>
          </w:tcPr>
          <w:p w14:paraId="7116D0B8" w14:textId="77777777" w:rsidR="00B66973" w:rsidRPr="00181EF3" w:rsidRDefault="00B66973" w:rsidP="00B66973">
            <w:pPr>
              <w:pStyle w:val="TableText"/>
              <w:tabs>
                <w:tab w:val="decimal" w:pos="1247"/>
              </w:tabs>
            </w:pPr>
            <w:r w:rsidRPr="00181EF3">
              <w:t>3,237 (7.2%)</w:t>
            </w:r>
          </w:p>
        </w:tc>
        <w:tc>
          <w:tcPr>
            <w:tcW w:w="2694" w:type="dxa"/>
            <w:tcBorders>
              <w:top w:val="single" w:sz="4" w:space="0" w:color="A6A6A6" w:themeColor="background1" w:themeShade="A6"/>
              <w:bottom w:val="single" w:sz="4" w:space="0" w:color="A6A6A6" w:themeColor="background1" w:themeShade="A6"/>
            </w:tcBorders>
          </w:tcPr>
          <w:p w14:paraId="1352279F" w14:textId="77777777" w:rsidR="00B66973" w:rsidRPr="00181EF3" w:rsidRDefault="00B66973" w:rsidP="00B66973">
            <w:pPr>
              <w:pStyle w:val="TableText"/>
              <w:tabs>
                <w:tab w:val="decimal" w:pos="1247"/>
              </w:tabs>
            </w:pPr>
            <w:r w:rsidRPr="00181EF3">
              <w:t>41,525 (92.8%)</w:t>
            </w:r>
          </w:p>
        </w:tc>
      </w:tr>
      <w:tr w:rsidR="00B66973" w:rsidRPr="00181EF3" w14:paraId="30A92868"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4DED28A0" w14:textId="77777777" w:rsidR="00B66973" w:rsidRPr="00181EF3" w:rsidRDefault="00B66973" w:rsidP="00B66973">
            <w:pPr>
              <w:pStyle w:val="TableText"/>
              <w:jc w:val="center"/>
            </w:pPr>
            <w:r w:rsidRPr="00181EF3">
              <w:t>2009</w:t>
            </w:r>
          </w:p>
        </w:tc>
        <w:tc>
          <w:tcPr>
            <w:tcW w:w="2693" w:type="dxa"/>
            <w:tcBorders>
              <w:top w:val="single" w:sz="4" w:space="0" w:color="A6A6A6" w:themeColor="background1" w:themeShade="A6"/>
              <w:bottom w:val="single" w:sz="4" w:space="0" w:color="A6A6A6" w:themeColor="background1" w:themeShade="A6"/>
            </w:tcBorders>
          </w:tcPr>
          <w:p w14:paraId="1E3C6735" w14:textId="77777777" w:rsidR="00B66973" w:rsidRPr="00181EF3" w:rsidRDefault="00B66973" w:rsidP="00B66973">
            <w:pPr>
              <w:pStyle w:val="TableText"/>
              <w:tabs>
                <w:tab w:val="decimal" w:pos="1247"/>
              </w:tabs>
            </w:pPr>
            <w:r w:rsidRPr="00181EF3">
              <w:t>2,803 (6.3%)</w:t>
            </w:r>
          </w:p>
        </w:tc>
        <w:tc>
          <w:tcPr>
            <w:tcW w:w="2694" w:type="dxa"/>
            <w:tcBorders>
              <w:top w:val="single" w:sz="4" w:space="0" w:color="A6A6A6" w:themeColor="background1" w:themeShade="A6"/>
              <w:bottom w:val="single" w:sz="4" w:space="0" w:color="A6A6A6" w:themeColor="background1" w:themeShade="A6"/>
            </w:tcBorders>
          </w:tcPr>
          <w:p w14:paraId="0E501102" w14:textId="77777777" w:rsidR="00B66973" w:rsidRPr="00181EF3" w:rsidRDefault="00B66973" w:rsidP="00B66973">
            <w:pPr>
              <w:pStyle w:val="TableText"/>
              <w:tabs>
                <w:tab w:val="decimal" w:pos="1247"/>
              </w:tabs>
            </w:pPr>
            <w:r w:rsidRPr="00181EF3">
              <w:t>41,757 (93.7%)</w:t>
            </w:r>
          </w:p>
        </w:tc>
      </w:tr>
      <w:tr w:rsidR="00B66973" w:rsidRPr="00181EF3" w14:paraId="63EC4A89"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647FFDD6" w14:textId="77777777" w:rsidR="00B66973" w:rsidRPr="00181EF3" w:rsidRDefault="00B66973" w:rsidP="00B66973">
            <w:pPr>
              <w:pStyle w:val="TableText"/>
              <w:jc w:val="center"/>
            </w:pPr>
            <w:r w:rsidRPr="00181EF3">
              <w:t>2010</w:t>
            </w:r>
          </w:p>
        </w:tc>
        <w:tc>
          <w:tcPr>
            <w:tcW w:w="2693" w:type="dxa"/>
            <w:tcBorders>
              <w:top w:val="single" w:sz="4" w:space="0" w:color="A6A6A6" w:themeColor="background1" w:themeShade="A6"/>
              <w:bottom w:val="single" w:sz="4" w:space="0" w:color="A6A6A6" w:themeColor="background1" w:themeShade="A6"/>
            </w:tcBorders>
          </w:tcPr>
          <w:p w14:paraId="1D39F5B4" w14:textId="77777777" w:rsidR="00B66973" w:rsidRPr="00181EF3" w:rsidRDefault="00B66973" w:rsidP="00B66973">
            <w:pPr>
              <w:pStyle w:val="TableText"/>
              <w:tabs>
                <w:tab w:val="decimal" w:pos="1247"/>
              </w:tabs>
            </w:pPr>
            <w:r w:rsidRPr="00181EF3">
              <w:t>–</w:t>
            </w:r>
          </w:p>
        </w:tc>
        <w:tc>
          <w:tcPr>
            <w:tcW w:w="2694" w:type="dxa"/>
            <w:tcBorders>
              <w:top w:val="single" w:sz="4" w:space="0" w:color="A6A6A6" w:themeColor="background1" w:themeShade="A6"/>
              <w:bottom w:val="single" w:sz="4" w:space="0" w:color="A6A6A6" w:themeColor="background1" w:themeShade="A6"/>
            </w:tcBorders>
          </w:tcPr>
          <w:p w14:paraId="5393B0A3" w14:textId="77777777" w:rsidR="00B66973" w:rsidRPr="00181EF3" w:rsidRDefault="00B66973" w:rsidP="00B66973">
            <w:pPr>
              <w:pStyle w:val="TableText"/>
              <w:tabs>
                <w:tab w:val="decimal" w:pos="1247"/>
              </w:tabs>
            </w:pPr>
            <w:r w:rsidRPr="00181EF3">
              <w:t>–</w:t>
            </w:r>
          </w:p>
        </w:tc>
      </w:tr>
      <w:tr w:rsidR="00B66973" w:rsidRPr="00181EF3" w14:paraId="32717EF0"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7AF44421" w14:textId="77777777" w:rsidR="00B66973" w:rsidRPr="00181EF3" w:rsidRDefault="00B66973" w:rsidP="00B66973">
            <w:pPr>
              <w:pStyle w:val="TableText"/>
              <w:jc w:val="center"/>
            </w:pPr>
            <w:r w:rsidRPr="00181EF3">
              <w:t>2011</w:t>
            </w:r>
          </w:p>
        </w:tc>
        <w:tc>
          <w:tcPr>
            <w:tcW w:w="2693" w:type="dxa"/>
            <w:tcBorders>
              <w:top w:val="single" w:sz="4" w:space="0" w:color="A6A6A6" w:themeColor="background1" w:themeShade="A6"/>
              <w:bottom w:val="single" w:sz="4" w:space="0" w:color="A6A6A6" w:themeColor="background1" w:themeShade="A6"/>
            </w:tcBorders>
          </w:tcPr>
          <w:p w14:paraId="07E6A871" w14:textId="77777777" w:rsidR="00B66973" w:rsidRPr="00181EF3" w:rsidRDefault="00B66973" w:rsidP="00B66973">
            <w:pPr>
              <w:pStyle w:val="TableText"/>
              <w:tabs>
                <w:tab w:val="decimal" w:pos="1247"/>
              </w:tabs>
            </w:pPr>
            <w:r w:rsidRPr="00181EF3">
              <w:t>3,484 (7.2%)</w:t>
            </w:r>
          </w:p>
        </w:tc>
        <w:tc>
          <w:tcPr>
            <w:tcW w:w="2694" w:type="dxa"/>
            <w:tcBorders>
              <w:top w:val="single" w:sz="4" w:space="0" w:color="A6A6A6" w:themeColor="background1" w:themeShade="A6"/>
              <w:bottom w:val="single" w:sz="4" w:space="0" w:color="A6A6A6" w:themeColor="background1" w:themeShade="A6"/>
            </w:tcBorders>
          </w:tcPr>
          <w:p w14:paraId="36D8B3AB" w14:textId="77777777" w:rsidR="00B66973" w:rsidRPr="00181EF3" w:rsidRDefault="00B66973" w:rsidP="00B66973">
            <w:pPr>
              <w:pStyle w:val="TableText"/>
              <w:tabs>
                <w:tab w:val="decimal" w:pos="1247"/>
              </w:tabs>
            </w:pPr>
            <w:r w:rsidRPr="00181EF3">
              <w:t>45,079 (92.8%)</w:t>
            </w:r>
          </w:p>
        </w:tc>
      </w:tr>
      <w:tr w:rsidR="00B66973" w:rsidRPr="00181EF3" w14:paraId="70AADA91"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471F9288" w14:textId="77777777" w:rsidR="00B66973" w:rsidRPr="00181EF3" w:rsidRDefault="00B66973" w:rsidP="00B66973">
            <w:pPr>
              <w:pStyle w:val="TableText"/>
              <w:jc w:val="center"/>
            </w:pPr>
            <w:r w:rsidRPr="00181EF3">
              <w:t>2012</w:t>
            </w:r>
          </w:p>
        </w:tc>
        <w:tc>
          <w:tcPr>
            <w:tcW w:w="2693" w:type="dxa"/>
            <w:tcBorders>
              <w:top w:val="single" w:sz="4" w:space="0" w:color="A6A6A6" w:themeColor="background1" w:themeShade="A6"/>
              <w:bottom w:val="single" w:sz="4" w:space="0" w:color="A6A6A6" w:themeColor="background1" w:themeShade="A6"/>
            </w:tcBorders>
          </w:tcPr>
          <w:p w14:paraId="214540FA" w14:textId="77777777" w:rsidR="00B66973" w:rsidRPr="00181EF3" w:rsidRDefault="00B66973" w:rsidP="00B66973">
            <w:pPr>
              <w:pStyle w:val="TableText"/>
              <w:tabs>
                <w:tab w:val="decimal" w:pos="1247"/>
              </w:tabs>
            </w:pPr>
            <w:r w:rsidRPr="00181EF3">
              <w:t>3,501 (7.1%)</w:t>
            </w:r>
          </w:p>
        </w:tc>
        <w:tc>
          <w:tcPr>
            <w:tcW w:w="2694" w:type="dxa"/>
            <w:tcBorders>
              <w:top w:val="single" w:sz="4" w:space="0" w:color="A6A6A6" w:themeColor="background1" w:themeShade="A6"/>
              <w:bottom w:val="single" w:sz="4" w:space="0" w:color="A6A6A6" w:themeColor="background1" w:themeShade="A6"/>
            </w:tcBorders>
          </w:tcPr>
          <w:p w14:paraId="78DA7AED" w14:textId="77777777" w:rsidR="00B66973" w:rsidRPr="00181EF3" w:rsidRDefault="00B66973" w:rsidP="00B66973">
            <w:pPr>
              <w:pStyle w:val="TableText"/>
              <w:tabs>
                <w:tab w:val="decimal" w:pos="1247"/>
              </w:tabs>
            </w:pPr>
            <w:r w:rsidRPr="00181EF3">
              <w:t>45,875 (92.9%)</w:t>
            </w:r>
          </w:p>
        </w:tc>
      </w:tr>
      <w:tr w:rsidR="00B66973" w:rsidRPr="00181EF3" w14:paraId="683C9C7B"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658FF245" w14:textId="77777777" w:rsidR="00B66973" w:rsidRPr="00181EF3" w:rsidRDefault="00B66973" w:rsidP="00B66973">
            <w:pPr>
              <w:pStyle w:val="TableText"/>
              <w:jc w:val="center"/>
            </w:pPr>
            <w:r w:rsidRPr="00181EF3">
              <w:t>2013</w:t>
            </w:r>
          </w:p>
        </w:tc>
        <w:tc>
          <w:tcPr>
            <w:tcW w:w="2693" w:type="dxa"/>
            <w:tcBorders>
              <w:top w:val="single" w:sz="4" w:space="0" w:color="A6A6A6" w:themeColor="background1" w:themeShade="A6"/>
              <w:bottom w:val="single" w:sz="4" w:space="0" w:color="A6A6A6" w:themeColor="background1" w:themeShade="A6"/>
            </w:tcBorders>
          </w:tcPr>
          <w:p w14:paraId="5E4E3C2C" w14:textId="77777777" w:rsidR="00B66973" w:rsidRPr="00181EF3" w:rsidRDefault="00B66973" w:rsidP="00B66973">
            <w:pPr>
              <w:pStyle w:val="TableText"/>
              <w:tabs>
                <w:tab w:val="decimal" w:pos="1247"/>
              </w:tabs>
            </w:pPr>
            <w:r w:rsidRPr="00181EF3">
              <w:t>3,428 (6.8%)</w:t>
            </w:r>
          </w:p>
        </w:tc>
        <w:tc>
          <w:tcPr>
            <w:tcW w:w="2694" w:type="dxa"/>
            <w:tcBorders>
              <w:top w:val="single" w:sz="4" w:space="0" w:color="A6A6A6" w:themeColor="background1" w:themeShade="A6"/>
              <w:bottom w:val="single" w:sz="4" w:space="0" w:color="A6A6A6" w:themeColor="background1" w:themeShade="A6"/>
            </w:tcBorders>
          </w:tcPr>
          <w:p w14:paraId="7A674E87" w14:textId="77777777" w:rsidR="00B66973" w:rsidRPr="00181EF3" w:rsidRDefault="00B66973" w:rsidP="00B66973">
            <w:pPr>
              <w:pStyle w:val="TableText"/>
              <w:tabs>
                <w:tab w:val="decimal" w:pos="1247"/>
              </w:tabs>
            </w:pPr>
            <w:r w:rsidRPr="00181EF3">
              <w:t>46,646 (93.2%)</w:t>
            </w:r>
          </w:p>
        </w:tc>
      </w:tr>
      <w:tr w:rsidR="00B66973" w:rsidRPr="00181EF3" w14:paraId="2D21BDAF"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784C1C3B" w14:textId="77777777" w:rsidR="00B66973" w:rsidRPr="00181EF3" w:rsidRDefault="00B66973" w:rsidP="00B66973">
            <w:pPr>
              <w:pStyle w:val="TableText"/>
              <w:jc w:val="center"/>
            </w:pPr>
            <w:r w:rsidRPr="00181EF3">
              <w:t>2014</w:t>
            </w:r>
          </w:p>
        </w:tc>
        <w:tc>
          <w:tcPr>
            <w:tcW w:w="2693" w:type="dxa"/>
            <w:tcBorders>
              <w:top w:val="single" w:sz="4" w:space="0" w:color="A6A6A6" w:themeColor="background1" w:themeShade="A6"/>
              <w:bottom w:val="single" w:sz="4" w:space="0" w:color="A6A6A6" w:themeColor="background1" w:themeShade="A6"/>
            </w:tcBorders>
          </w:tcPr>
          <w:p w14:paraId="1AE405D0" w14:textId="77777777" w:rsidR="00B66973" w:rsidRPr="00181EF3" w:rsidRDefault="00B66973" w:rsidP="00B66973">
            <w:pPr>
              <w:pStyle w:val="TableText"/>
              <w:tabs>
                <w:tab w:val="decimal" w:pos="1247"/>
              </w:tabs>
            </w:pPr>
            <w:r w:rsidRPr="00181EF3">
              <w:t>3,547 (6.9%)</w:t>
            </w:r>
          </w:p>
        </w:tc>
        <w:tc>
          <w:tcPr>
            <w:tcW w:w="2694" w:type="dxa"/>
            <w:tcBorders>
              <w:top w:val="single" w:sz="4" w:space="0" w:color="A6A6A6" w:themeColor="background1" w:themeShade="A6"/>
              <w:bottom w:val="single" w:sz="4" w:space="0" w:color="A6A6A6" w:themeColor="background1" w:themeShade="A6"/>
            </w:tcBorders>
          </w:tcPr>
          <w:p w14:paraId="38BFB223" w14:textId="77777777" w:rsidR="00B66973" w:rsidRPr="00181EF3" w:rsidRDefault="00B66973" w:rsidP="00B66973">
            <w:pPr>
              <w:pStyle w:val="TableText"/>
              <w:tabs>
                <w:tab w:val="decimal" w:pos="1247"/>
              </w:tabs>
            </w:pPr>
            <w:r w:rsidRPr="00181EF3">
              <w:t>47,859 (93.1%)</w:t>
            </w:r>
          </w:p>
        </w:tc>
      </w:tr>
      <w:tr w:rsidR="00B66973" w:rsidRPr="00181EF3" w14:paraId="4814AEA5"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0276BBAB" w14:textId="77777777" w:rsidR="00B66973" w:rsidRPr="00181EF3" w:rsidRDefault="00B66973" w:rsidP="00B66973">
            <w:pPr>
              <w:pStyle w:val="TableText"/>
              <w:jc w:val="center"/>
            </w:pPr>
            <w:r w:rsidRPr="00181EF3">
              <w:t>2015</w:t>
            </w:r>
          </w:p>
        </w:tc>
        <w:tc>
          <w:tcPr>
            <w:tcW w:w="2693" w:type="dxa"/>
            <w:tcBorders>
              <w:top w:val="single" w:sz="4" w:space="0" w:color="A6A6A6" w:themeColor="background1" w:themeShade="A6"/>
              <w:bottom w:val="single" w:sz="4" w:space="0" w:color="A6A6A6" w:themeColor="background1" w:themeShade="A6"/>
            </w:tcBorders>
          </w:tcPr>
          <w:p w14:paraId="200A417A" w14:textId="77777777" w:rsidR="00B66973" w:rsidRPr="00181EF3" w:rsidRDefault="00B66973" w:rsidP="00B66973">
            <w:pPr>
              <w:pStyle w:val="TableText"/>
              <w:tabs>
                <w:tab w:val="decimal" w:pos="1247"/>
              </w:tabs>
            </w:pPr>
            <w:r w:rsidRPr="00181EF3">
              <w:t>3,632 (6.9%)</w:t>
            </w:r>
          </w:p>
        </w:tc>
        <w:tc>
          <w:tcPr>
            <w:tcW w:w="2694" w:type="dxa"/>
            <w:tcBorders>
              <w:top w:val="single" w:sz="4" w:space="0" w:color="A6A6A6" w:themeColor="background1" w:themeShade="A6"/>
              <w:bottom w:val="single" w:sz="4" w:space="0" w:color="A6A6A6" w:themeColor="background1" w:themeShade="A6"/>
            </w:tcBorders>
          </w:tcPr>
          <w:p w14:paraId="447E9B32" w14:textId="77777777" w:rsidR="00B66973" w:rsidRPr="00181EF3" w:rsidRDefault="00B66973" w:rsidP="00B66973">
            <w:pPr>
              <w:pStyle w:val="TableText"/>
              <w:tabs>
                <w:tab w:val="decimal" w:pos="1247"/>
              </w:tabs>
            </w:pPr>
            <w:r w:rsidRPr="00181EF3">
              <w:t>49,097 (93.1%)</w:t>
            </w:r>
          </w:p>
        </w:tc>
      </w:tr>
      <w:tr w:rsidR="00B66973" w:rsidRPr="00181EF3" w14:paraId="6517DD26"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5C7CD5D8" w14:textId="77777777" w:rsidR="00B66973" w:rsidRPr="00181EF3" w:rsidRDefault="00B66973" w:rsidP="00B66973">
            <w:pPr>
              <w:pStyle w:val="TableText"/>
              <w:jc w:val="center"/>
            </w:pPr>
            <w:r w:rsidRPr="00181EF3">
              <w:t>2016</w:t>
            </w:r>
          </w:p>
        </w:tc>
        <w:tc>
          <w:tcPr>
            <w:tcW w:w="2693" w:type="dxa"/>
            <w:tcBorders>
              <w:top w:val="single" w:sz="4" w:space="0" w:color="A6A6A6" w:themeColor="background1" w:themeShade="A6"/>
              <w:bottom w:val="single" w:sz="4" w:space="0" w:color="A6A6A6" w:themeColor="background1" w:themeShade="A6"/>
            </w:tcBorders>
          </w:tcPr>
          <w:p w14:paraId="3C249A82" w14:textId="77777777" w:rsidR="00B66973" w:rsidRPr="00181EF3" w:rsidRDefault="00B66973" w:rsidP="00B66973">
            <w:pPr>
              <w:pStyle w:val="TableText"/>
              <w:tabs>
                <w:tab w:val="decimal" w:pos="1247"/>
              </w:tabs>
            </w:pPr>
            <w:r w:rsidRPr="00181EF3">
              <w:t>3,783 (7.0%)</w:t>
            </w:r>
          </w:p>
        </w:tc>
        <w:tc>
          <w:tcPr>
            <w:tcW w:w="2694" w:type="dxa"/>
            <w:tcBorders>
              <w:top w:val="single" w:sz="4" w:space="0" w:color="A6A6A6" w:themeColor="background1" w:themeShade="A6"/>
              <w:bottom w:val="single" w:sz="4" w:space="0" w:color="A6A6A6" w:themeColor="background1" w:themeShade="A6"/>
            </w:tcBorders>
          </w:tcPr>
          <w:p w14:paraId="63483B4D" w14:textId="77777777" w:rsidR="00B66973" w:rsidRPr="00181EF3" w:rsidRDefault="00B66973" w:rsidP="00B66973">
            <w:pPr>
              <w:pStyle w:val="TableText"/>
              <w:tabs>
                <w:tab w:val="decimal" w:pos="1247"/>
              </w:tabs>
            </w:pPr>
            <w:r w:rsidRPr="00181EF3">
              <w:t>50,139 (93.0%)</w:t>
            </w:r>
          </w:p>
        </w:tc>
      </w:tr>
      <w:tr w:rsidR="00B66973" w:rsidRPr="00181EF3" w14:paraId="134D336F"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5F8BF563" w14:textId="77777777" w:rsidR="00B66973" w:rsidRPr="00181EF3" w:rsidRDefault="00B66973" w:rsidP="00B66973">
            <w:pPr>
              <w:pStyle w:val="TableText"/>
              <w:jc w:val="center"/>
            </w:pPr>
            <w:r w:rsidRPr="00181EF3">
              <w:t>2017</w:t>
            </w:r>
          </w:p>
        </w:tc>
        <w:tc>
          <w:tcPr>
            <w:tcW w:w="2693" w:type="dxa"/>
            <w:tcBorders>
              <w:top w:val="single" w:sz="4" w:space="0" w:color="A6A6A6" w:themeColor="background1" w:themeShade="A6"/>
              <w:bottom w:val="single" w:sz="4" w:space="0" w:color="A6A6A6" w:themeColor="background1" w:themeShade="A6"/>
            </w:tcBorders>
          </w:tcPr>
          <w:p w14:paraId="1751B71A" w14:textId="77777777" w:rsidR="00B66973" w:rsidRPr="00181EF3" w:rsidRDefault="00B66973" w:rsidP="00B66973">
            <w:pPr>
              <w:pStyle w:val="TableText"/>
              <w:tabs>
                <w:tab w:val="decimal" w:pos="1247"/>
              </w:tabs>
            </w:pPr>
            <w:r w:rsidRPr="00181EF3">
              <w:t>3,977 (7.2%)</w:t>
            </w:r>
          </w:p>
        </w:tc>
        <w:tc>
          <w:tcPr>
            <w:tcW w:w="2694" w:type="dxa"/>
            <w:tcBorders>
              <w:top w:val="single" w:sz="4" w:space="0" w:color="A6A6A6" w:themeColor="background1" w:themeShade="A6"/>
              <w:bottom w:val="single" w:sz="4" w:space="0" w:color="A6A6A6" w:themeColor="background1" w:themeShade="A6"/>
            </w:tcBorders>
          </w:tcPr>
          <w:p w14:paraId="34EA15A5" w14:textId="77777777" w:rsidR="00B66973" w:rsidRPr="00181EF3" w:rsidRDefault="00B66973" w:rsidP="00B66973">
            <w:pPr>
              <w:pStyle w:val="TableText"/>
              <w:tabs>
                <w:tab w:val="decimal" w:pos="1247"/>
              </w:tabs>
            </w:pPr>
            <w:r w:rsidRPr="00181EF3">
              <w:t>51,312 (92.8%)</w:t>
            </w:r>
          </w:p>
        </w:tc>
      </w:tr>
      <w:tr w:rsidR="00B66973" w:rsidRPr="00181EF3" w14:paraId="3849B957"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13BAF0A9" w14:textId="77777777" w:rsidR="00B66973" w:rsidRPr="00181EF3" w:rsidRDefault="00B66973" w:rsidP="00B66973">
            <w:pPr>
              <w:pStyle w:val="TableText"/>
              <w:jc w:val="center"/>
            </w:pPr>
            <w:r w:rsidRPr="00181EF3">
              <w:t>2018</w:t>
            </w:r>
          </w:p>
        </w:tc>
        <w:tc>
          <w:tcPr>
            <w:tcW w:w="2693" w:type="dxa"/>
            <w:tcBorders>
              <w:top w:val="single" w:sz="4" w:space="0" w:color="A6A6A6" w:themeColor="background1" w:themeShade="A6"/>
              <w:bottom w:val="single" w:sz="4" w:space="0" w:color="A6A6A6" w:themeColor="background1" w:themeShade="A6"/>
            </w:tcBorders>
          </w:tcPr>
          <w:p w14:paraId="05AF33E1" w14:textId="77777777" w:rsidR="00B66973" w:rsidRPr="00181EF3" w:rsidRDefault="00B66973" w:rsidP="00B66973">
            <w:pPr>
              <w:pStyle w:val="TableText"/>
              <w:tabs>
                <w:tab w:val="decimal" w:pos="1247"/>
              </w:tabs>
            </w:pPr>
            <w:r w:rsidRPr="00181EF3">
              <w:t>4,163 (7.4%)</w:t>
            </w:r>
          </w:p>
        </w:tc>
        <w:tc>
          <w:tcPr>
            <w:tcW w:w="2694" w:type="dxa"/>
            <w:tcBorders>
              <w:top w:val="single" w:sz="4" w:space="0" w:color="A6A6A6" w:themeColor="background1" w:themeShade="A6"/>
              <w:bottom w:val="single" w:sz="4" w:space="0" w:color="A6A6A6" w:themeColor="background1" w:themeShade="A6"/>
            </w:tcBorders>
          </w:tcPr>
          <w:p w14:paraId="2D65DFDC" w14:textId="77777777" w:rsidR="00B66973" w:rsidRPr="00181EF3" w:rsidRDefault="00B66973" w:rsidP="00B66973">
            <w:pPr>
              <w:pStyle w:val="TableText"/>
              <w:tabs>
                <w:tab w:val="decimal" w:pos="1247"/>
              </w:tabs>
            </w:pPr>
            <w:r w:rsidRPr="00181EF3">
              <w:t>52,193 (92.6%)</w:t>
            </w:r>
          </w:p>
        </w:tc>
      </w:tr>
    </w:tbl>
    <w:p w14:paraId="7F57FDD7" w14:textId="77777777" w:rsidR="00B66973" w:rsidRPr="00181EF3" w:rsidRDefault="00B66973" w:rsidP="00B66973">
      <w:pPr>
        <w:pStyle w:val="Source"/>
      </w:pPr>
      <w:r w:rsidRPr="00181EF3">
        <w:t>Source: Nursing Council of New Zealand, 2005–2009 and 2011–2018.</w:t>
      </w:r>
    </w:p>
    <w:p w14:paraId="6DB22CFE" w14:textId="77777777" w:rsidR="00B66973" w:rsidRPr="00181EF3" w:rsidRDefault="00B66973" w:rsidP="00B66973"/>
    <w:p w14:paraId="67751145" w14:textId="43A3B4AA" w:rsidR="00B16E84" w:rsidRPr="00181EF3" w:rsidRDefault="00B16E84" w:rsidP="00B16E84">
      <w:r w:rsidRPr="00181EF3">
        <w:t xml:space="preserve">Table </w:t>
      </w:r>
      <w:r>
        <w:t>36</w:t>
      </w:r>
      <w:r w:rsidRPr="00181EF3">
        <w:t xml:space="preserve"> shows the estimated number and percentage of Māori and </w:t>
      </w:r>
      <w:r w:rsidR="00EC03A3">
        <w:t>non</w:t>
      </w:r>
      <w:r w:rsidR="00EC03A3">
        <w:noBreakHyphen/>
        <w:t>M</w:t>
      </w:r>
      <w:r w:rsidRPr="00181EF3">
        <w:t>āori in the nursing workforce between 2009 and 2018, excluding 2010.</w:t>
      </w:r>
    </w:p>
    <w:p w14:paraId="11246DCB" w14:textId="77777777" w:rsidR="00B16E84" w:rsidRPr="00181EF3" w:rsidRDefault="00B16E84" w:rsidP="00B16E84"/>
    <w:p w14:paraId="3D94C389" w14:textId="311AE505" w:rsidR="00B16E84" w:rsidRPr="00181EF3" w:rsidRDefault="00B16E84" w:rsidP="00B16E84">
      <w:r w:rsidRPr="00181EF3">
        <w:t xml:space="preserve">Despite the number of Māori in the nursing workforce increasing over time, the percentage of Māori in the workforce did not change much – the average percentage of Māori in the nursing workforce between 2005 and 2018 was 7.1 percent (average of 3,427 Māori nurses, compared </w:t>
      </w:r>
      <w:r w:rsidR="00FF1892">
        <w:t>with</w:t>
      </w:r>
      <w:r w:rsidR="00FF1892" w:rsidRPr="00181EF3">
        <w:t xml:space="preserve"> </w:t>
      </w:r>
      <w:r w:rsidRPr="00181EF3">
        <w:t xml:space="preserve">an average of 44,952 </w:t>
      </w:r>
      <w:r w:rsidR="00EC03A3">
        <w:t>non</w:t>
      </w:r>
      <w:r w:rsidR="00EC03A3">
        <w:noBreakHyphen/>
        <w:t>M</w:t>
      </w:r>
      <w:r w:rsidRPr="00181EF3">
        <w:t xml:space="preserve">āori nurses). The nursing workforce does not reflect the ethnic population distribution in New Zealand (14.9 percent Māori, 85.1 percent </w:t>
      </w:r>
      <w:r w:rsidR="00EC03A3">
        <w:t>non</w:t>
      </w:r>
      <w:r w:rsidR="00EC03A3">
        <w:noBreakHyphen/>
        <w:t>M</w:t>
      </w:r>
      <w:r w:rsidRPr="00181EF3">
        <w:t>āori).</w:t>
      </w:r>
      <w:r w:rsidRPr="00181EF3">
        <w:rPr>
          <w:rStyle w:val="FootnoteReference"/>
        </w:rPr>
        <w:footnoteReference w:id="11"/>
      </w:r>
    </w:p>
    <w:p w14:paraId="0F1E40DB" w14:textId="77777777" w:rsidR="00B16E84" w:rsidRPr="00181EF3" w:rsidRDefault="00B16E84" w:rsidP="00B16E84"/>
    <w:p w14:paraId="16AABC1F" w14:textId="77777777" w:rsidR="00B16E84" w:rsidRDefault="00B16E84" w:rsidP="00B16E84">
      <w:r w:rsidRPr="00181EF3">
        <w:t xml:space="preserve">The workforce population data for enrolled, practising and registered nurses can be found in </w:t>
      </w:r>
      <w:r>
        <w:t>A</w:t>
      </w:r>
      <w:r w:rsidRPr="00181EF3">
        <w:t xml:space="preserve">ppendix </w:t>
      </w:r>
      <w:r>
        <w:t xml:space="preserve">6 </w:t>
      </w:r>
      <w:r w:rsidRPr="00181EF3">
        <w:t xml:space="preserve">in Tables </w:t>
      </w:r>
      <w:r>
        <w:t>A6.1</w:t>
      </w:r>
      <w:r w:rsidRPr="00181EF3">
        <w:t xml:space="preserve">, </w:t>
      </w:r>
      <w:r>
        <w:t>A6.2</w:t>
      </w:r>
      <w:r w:rsidRPr="00181EF3">
        <w:t xml:space="preserve"> and </w:t>
      </w:r>
      <w:r>
        <w:t>A6.3</w:t>
      </w:r>
      <w:r w:rsidRPr="00181EF3">
        <w:t xml:space="preserve"> respectively.</w:t>
      </w:r>
    </w:p>
    <w:p w14:paraId="3DB09905" w14:textId="77777777" w:rsidR="001338CA" w:rsidRPr="00181EF3" w:rsidRDefault="001338CA" w:rsidP="00B16E84"/>
    <w:p w14:paraId="2EFFAB55" w14:textId="77777777" w:rsidR="00B66973" w:rsidRPr="00181EF3" w:rsidRDefault="00B66973" w:rsidP="001338CA">
      <w:pPr>
        <w:pStyle w:val="Heading2"/>
        <w:pageBreakBefore/>
        <w:spacing w:before="0"/>
      </w:pPr>
      <w:bookmarkStart w:id="412" w:name="_Toc19102453"/>
      <w:r w:rsidRPr="00181EF3">
        <w:lastRenderedPageBreak/>
        <w:t>Midwifery Council of New Zealand – midwifery</w:t>
      </w:r>
      <w:bookmarkEnd w:id="412"/>
    </w:p>
    <w:p w14:paraId="215CACF4" w14:textId="361B61CE" w:rsidR="00B66973" w:rsidRPr="00181EF3" w:rsidRDefault="00B66973" w:rsidP="00B66973">
      <w:pPr>
        <w:pStyle w:val="Table"/>
      </w:pPr>
      <w:bookmarkStart w:id="413" w:name="_Toc18594777"/>
      <w:r w:rsidRPr="00181EF3">
        <w:t xml:space="preserve">Table </w:t>
      </w:r>
      <w:r>
        <w:t>37</w:t>
      </w:r>
      <w:r w:rsidRPr="00181EF3">
        <w:t xml:space="preserve">: Estimated number (percentage in workforce) of Māori and </w:t>
      </w:r>
      <w:r w:rsidR="00EC03A3">
        <w:t>non</w:t>
      </w:r>
      <w:r w:rsidR="00EC03A3">
        <w:noBreakHyphen/>
        <w:t>M</w:t>
      </w:r>
      <w:r w:rsidRPr="00181EF3">
        <w:t>āori in midwifery, 2005–2016</w:t>
      </w:r>
      <w:bookmarkEnd w:id="413"/>
    </w:p>
    <w:tbl>
      <w:tblPr>
        <w:tblW w:w="0" w:type="auto"/>
        <w:tblInd w:w="57" w:type="dxa"/>
        <w:tblLayout w:type="fixed"/>
        <w:tblCellMar>
          <w:left w:w="57" w:type="dxa"/>
          <w:right w:w="57" w:type="dxa"/>
        </w:tblCellMar>
        <w:tblLook w:val="04A0" w:firstRow="1" w:lastRow="0" w:firstColumn="1" w:lastColumn="0" w:noHBand="0" w:noVBand="1"/>
      </w:tblPr>
      <w:tblGrid>
        <w:gridCol w:w="2693"/>
        <w:gridCol w:w="2693"/>
        <w:gridCol w:w="2694"/>
      </w:tblGrid>
      <w:tr w:rsidR="00B66973" w:rsidRPr="00181EF3" w14:paraId="3FE1AD23" w14:textId="77777777" w:rsidTr="00B66973">
        <w:trPr>
          <w:cantSplit/>
        </w:trPr>
        <w:tc>
          <w:tcPr>
            <w:tcW w:w="8080" w:type="dxa"/>
            <w:gridSpan w:val="3"/>
            <w:shd w:val="clear" w:color="auto" w:fill="D9D9D9" w:themeFill="background1" w:themeFillShade="D9"/>
          </w:tcPr>
          <w:p w14:paraId="7B63D4A5" w14:textId="77777777" w:rsidR="00B66973" w:rsidRPr="00181EF3" w:rsidRDefault="00B66973" w:rsidP="00B66973">
            <w:pPr>
              <w:pStyle w:val="TableText"/>
              <w:jc w:val="center"/>
              <w:rPr>
                <w:b/>
              </w:rPr>
            </w:pPr>
            <w:r w:rsidRPr="00181EF3">
              <w:rPr>
                <w:b/>
              </w:rPr>
              <w:t>Midwifery (2005–2016)</w:t>
            </w:r>
          </w:p>
        </w:tc>
      </w:tr>
      <w:tr w:rsidR="00B66973" w:rsidRPr="00181EF3" w14:paraId="09A27539" w14:textId="77777777" w:rsidTr="00B66973">
        <w:trPr>
          <w:cantSplit/>
        </w:trPr>
        <w:tc>
          <w:tcPr>
            <w:tcW w:w="2693" w:type="dxa"/>
            <w:shd w:val="clear" w:color="auto" w:fill="F2F2F2" w:themeFill="background1" w:themeFillShade="F2"/>
          </w:tcPr>
          <w:p w14:paraId="4FBBE078" w14:textId="77777777" w:rsidR="00B66973" w:rsidRPr="00181EF3" w:rsidRDefault="00B66973" w:rsidP="00B66973">
            <w:pPr>
              <w:pStyle w:val="TableText"/>
              <w:jc w:val="center"/>
              <w:rPr>
                <w:b/>
                <w:szCs w:val="18"/>
              </w:rPr>
            </w:pPr>
            <w:r w:rsidRPr="00181EF3">
              <w:rPr>
                <w:b/>
                <w:szCs w:val="18"/>
              </w:rPr>
              <w:t>Year</w:t>
            </w:r>
          </w:p>
        </w:tc>
        <w:tc>
          <w:tcPr>
            <w:tcW w:w="2693" w:type="dxa"/>
            <w:shd w:val="clear" w:color="auto" w:fill="F2F2F2" w:themeFill="background1" w:themeFillShade="F2"/>
          </w:tcPr>
          <w:p w14:paraId="759F43BE" w14:textId="77777777" w:rsidR="00B66973" w:rsidRPr="00181EF3" w:rsidRDefault="00B66973" w:rsidP="00B66973">
            <w:pPr>
              <w:pStyle w:val="TableText"/>
              <w:jc w:val="center"/>
              <w:rPr>
                <w:b/>
                <w:szCs w:val="18"/>
              </w:rPr>
            </w:pPr>
            <w:r w:rsidRPr="00181EF3">
              <w:rPr>
                <w:b/>
                <w:szCs w:val="18"/>
              </w:rPr>
              <w:t>Māori</w:t>
            </w:r>
          </w:p>
        </w:tc>
        <w:tc>
          <w:tcPr>
            <w:tcW w:w="2694" w:type="dxa"/>
            <w:shd w:val="clear" w:color="auto" w:fill="F2F2F2" w:themeFill="background1" w:themeFillShade="F2"/>
          </w:tcPr>
          <w:p w14:paraId="79F6BC4B" w14:textId="34466E9D" w:rsidR="00B66973" w:rsidRPr="00181EF3" w:rsidRDefault="00EC03A3" w:rsidP="00B66973">
            <w:pPr>
              <w:pStyle w:val="TableText"/>
              <w:jc w:val="center"/>
              <w:rPr>
                <w:b/>
                <w:szCs w:val="18"/>
              </w:rPr>
            </w:pPr>
            <w:r>
              <w:rPr>
                <w:b/>
                <w:szCs w:val="18"/>
              </w:rPr>
              <w:t>Non</w:t>
            </w:r>
            <w:r>
              <w:rPr>
                <w:b/>
                <w:szCs w:val="18"/>
              </w:rPr>
              <w:noBreakHyphen/>
              <w:t>M</w:t>
            </w:r>
            <w:r w:rsidR="00B66973" w:rsidRPr="00181EF3">
              <w:rPr>
                <w:b/>
                <w:szCs w:val="18"/>
              </w:rPr>
              <w:t>āori</w:t>
            </w:r>
          </w:p>
        </w:tc>
      </w:tr>
      <w:tr w:rsidR="00B66973" w:rsidRPr="00181EF3" w14:paraId="18DCF529" w14:textId="77777777" w:rsidTr="00B66973">
        <w:trPr>
          <w:cantSplit/>
        </w:trPr>
        <w:tc>
          <w:tcPr>
            <w:tcW w:w="2693" w:type="dxa"/>
            <w:tcBorders>
              <w:bottom w:val="single" w:sz="4" w:space="0" w:color="A6A6A6" w:themeColor="background1" w:themeShade="A6"/>
            </w:tcBorders>
          </w:tcPr>
          <w:p w14:paraId="3877B571" w14:textId="77777777" w:rsidR="00B66973" w:rsidRPr="00181EF3" w:rsidRDefault="00B66973" w:rsidP="00B66973">
            <w:pPr>
              <w:pStyle w:val="TableText"/>
              <w:jc w:val="center"/>
              <w:rPr>
                <w:szCs w:val="18"/>
              </w:rPr>
            </w:pPr>
            <w:r w:rsidRPr="00181EF3">
              <w:rPr>
                <w:szCs w:val="18"/>
              </w:rPr>
              <w:t>2005</w:t>
            </w:r>
          </w:p>
        </w:tc>
        <w:tc>
          <w:tcPr>
            <w:tcW w:w="2693" w:type="dxa"/>
            <w:tcBorders>
              <w:bottom w:val="single" w:sz="4" w:space="0" w:color="A6A6A6" w:themeColor="background1" w:themeShade="A6"/>
            </w:tcBorders>
          </w:tcPr>
          <w:p w14:paraId="6378908E" w14:textId="77777777" w:rsidR="00B66973" w:rsidRPr="00181EF3" w:rsidRDefault="00B66973" w:rsidP="00B66973">
            <w:pPr>
              <w:pStyle w:val="TableText"/>
              <w:tabs>
                <w:tab w:val="decimal" w:pos="1247"/>
              </w:tabs>
              <w:rPr>
                <w:szCs w:val="18"/>
              </w:rPr>
            </w:pPr>
            <w:r w:rsidRPr="00181EF3">
              <w:rPr>
                <w:szCs w:val="18"/>
              </w:rPr>
              <w:t>171 (6.5%)</w:t>
            </w:r>
          </w:p>
        </w:tc>
        <w:tc>
          <w:tcPr>
            <w:tcW w:w="2694" w:type="dxa"/>
            <w:tcBorders>
              <w:bottom w:val="single" w:sz="4" w:space="0" w:color="A6A6A6" w:themeColor="background1" w:themeShade="A6"/>
            </w:tcBorders>
          </w:tcPr>
          <w:p w14:paraId="234E95FE" w14:textId="77777777" w:rsidR="00B66973" w:rsidRPr="00181EF3" w:rsidRDefault="00B66973" w:rsidP="00B66973">
            <w:pPr>
              <w:pStyle w:val="TableText"/>
              <w:tabs>
                <w:tab w:val="decimal" w:pos="1247"/>
              </w:tabs>
              <w:rPr>
                <w:szCs w:val="18"/>
              </w:rPr>
            </w:pPr>
            <w:r w:rsidRPr="00181EF3">
              <w:rPr>
                <w:szCs w:val="18"/>
              </w:rPr>
              <w:t>2,440 (93.5%)</w:t>
            </w:r>
          </w:p>
        </w:tc>
      </w:tr>
      <w:tr w:rsidR="00B66973" w:rsidRPr="00181EF3" w14:paraId="704C8D41"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6FB5EF19" w14:textId="77777777" w:rsidR="00B66973" w:rsidRPr="00181EF3" w:rsidRDefault="00B66973" w:rsidP="00B66973">
            <w:pPr>
              <w:pStyle w:val="TableText"/>
              <w:jc w:val="center"/>
              <w:rPr>
                <w:szCs w:val="18"/>
              </w:rPr>
            </w:pPr>
            <w:r w:rsidRPr="00181EF3">
              <w:rPr>
                <w:szCs w:val="18"/>
              </w:rPr>
              <w:t>2006</w:t>
            </w:r>
          </w:p>
        </w:tc>
        <w:tc>
          <w:tcPr>
            <w:tcW w:w="2693" w:type="dxa"/>
            <w:tcBorders>
              <w:top w:val="single" w:sz="4" w:space="0" w:color="A6A6A6" w:themeColor="background1" w:themeShade="A6"/>
              <w:bottom w:val="single" w:sz="4" w:space="0" w:color="A6A6A6" w:themeColor="background1" w:themeShade="A6"/>
            </w:tcBorders>
          </w:tcPr>
          <w:p w14:paraId="31A27DAE" w14:textId="77777777" w:rsidR="00B66973" w:rsidRPr="00181EF3" w:rsidRDefault="00B66973" w:rsidP="00B66973">
            <w:pPr>
              <w:pStyle w:val="TableText"/>
              <w:tabs>
                <w:tab w:val="decimal" w:pos="1247"/>
              </w:tabs>
              <w:rPr>
                <w:szCs w:val="18"/>
              </w:rPr>
            </w:pPr>
            <w:r w:rsidRPr="00181EF3">
              <w:rPr>
                <w:szCs w:val="18"/>
              </w:rPr>
              <w:t>153 (6.6%)</w:t>
            </w:r>
          </w:p>
        </w:tc>
        <w:tc>
          <w:tcPr>
            <w:tcW w:w="2694" w:type="dxa"/>
            <w:tcBorders>
              <w:top w:val="single" w:sz="4" w:space="0" w:color="A6A6A6" w:themeColor="background1" w:themeShade="A6"/>
              <w:bottom w:val="single" w:sz="4" w:space="0" w:color="A6A6A6" w:themeColor="background1" w:themeShade="A6"/>
            </w:tcBorders>
          </w:tcPr>
          <w:p w14:paraId="41BC4FC2" w14:textId="77777777" w:rsidR="00B66973" w:rsidRPr="00181EF3" w:rsidRDefault="00B66973" w:rsidP="00B66973">
            <w:pPr>
              <w:pStyle w:val="TableText"/>
              <w:tabs>
                <w:tab w:val="decimal" w:pos="1247"/>
              </w:tabs>
              <w:rPr>
                <w:szCs w:val="18"/>
              </w:rPr>
            </w:pPr>
            <w:r w:rsidRPr="00181EF3">
              <w:rPr>
                <w:szCs w:val="18"/>
              </w:rPr>
              <w:t>2,150 (93.4%)</w:t>
            </w:r>
          </w:p>
        </w:tc>
      </w:tr>
      <w:tr w:rsidR="00B66973" w:rsidRPr="00181EF3" w14:paraId="7E77A0C9"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43D3F744" w14:textId="77777777" w:rsidR="00B66973" w:rsidRPr="00181EF3" w:rsidRDefault="00B66973" w:rsidP="00B66973">
            <w:pPr>
              <w:pStyle w:val="TableText"/>
              <w:jc w:val="center"/>
              <w:rPr>
                <w:szCs w:val="18"/>
              </w:rPr>
            </w:pPr>
            <w:r w:rsidRPr="00181EF3">
              <w:rPr>
                <w:szCs w:val="18"/>
              </w:rPr>
              <w:t>2007</w:t>
            </w:r>
          </w:p>
        </w:tc>
        <w:tc>
          <w:tcPr>
            <w:tcW w:w="2693" w:type="dxa"/>
            <w:tcBorders>
              <w:top w:val="single" w:sz="4" w:space="0" w:color="A6A6A6" w:themeColor="background1" w:themeShade="A6"/>
              <w:bottom w:val="single" w:sz="4" w:space="0" w:color="A6A6A6" w:themeColor="background1" w:themeShade="A6"/>
            </w:tcBorders>
          </w:tcPr>
          <w:p w14:paraId="35C1C0E6" w14:textId="77777777" w:rsidR="00B66973" w:rsidRPr="00181EF3" w:rsidRDefault="00B66973" w:rsidP="00B66973">
            <w:pPr>
              <w:pStyle w:val="TableText"/>
              <w:tabs>
                <w:tab w:val="decimal" w:pos="1247"/>
              </w:tabs>
              <w:rPr>
                <w:szCs w:val="18"/>
              </w:rPr>
            </w:pPr>
            <w:r w:rsidRPr="00181EF3">
              <w:rPr>
                <w:szCs w:val="18"/>
              </w:rPr>
              <w:t>146 (5.9%)</w:t>
            </w:r>
          </w:p>
        </w:tc>
        <w:tc>
          <w:tcPr>
            <w:tcW w:w="2694" w:type="dxa"/>
            <w:tcBorders>
              <w:top w:val="single" w:sz="4" w:space="0" w:color="A6A6A6" w:themeColor="background1" w:themeShade="A6"/>
              <w:bottom w:val="single" w:sz="4" w:space="0" w:color="A6A6A6" w:themeColor="background1" w:themeShade="A6"/>
            </w:tcBorders>
          </w:tcPr>
          <w:p w14:paraId="6511FF2F" w14:textId="77777777" w:rsidR="00B66973" w:rsidRPr="00181EF3" w:rsidRDefault="00B66973" w:rsidP="00B66973">
            <w:pPr>
              <w:pStyle w:val="TableText"/>
              <w:tabs>
                <w:tab w:val="decimal" w:pos="1247"/>
              </w:tabs>
              <w:rPr>
                <w:szCs w:val="18"/>
              </w:rPr>
            </w:pPr>
            <w:r w:rsidRPr="00181EF3">
              <w:rPr>
                <w:szCs w:val="18"/>
              </w:rPr>
              <w:t>2,323 (94.1%)</w:t>
            </w:r>
          </w:p>
        </w:tc>
      </w:tr>
      <w:tr w:rsidR="00B66973" w:rsidRPr="00181EF3" w14:paraId="4EFD8D06"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4E6042BE" w14:textId="77777777" w:rsidR="00B66973" w:rsidRPr="00181EF3" w:rsidRDefault="00B66973" w:rsidP="00B66973">
            <w:pPr>
              <w:pStyle w:val="TableText"/>
              <w:jc w:val="center"/>
              <w:rPr>
                <w:szCs w:val="18"/>
              </w:rPr>
            </w:pPr>
            <w:r w:rsidRPr="00181EF3">
              <w:rPr>
                <w:szCs w:val="18"/>
              </w:rPr>
              <w:t>2008</w:t>
            </w:r>
          </w:p>
        </w:tc>
        <w:tc>
          <w:tcPr>
            <w:tcW w:w="2693" w:type="dxa"/>
            <w:tcBorders>
              <w:top w:val="single" w:sz="4" w:space="0" w:color="A6A6A6" w:themeColor="background1" w:themeShade="A6"/>
              <w:bottom w:val="single" w:sz="4" w:space="0" w:color="A6A6A6" w:themeColor="background1" w:themeShade="A6"/>
            </w:tcBorders>
          </w:tcPr>
          <w:p w14:paraId="5DED5973" w14:textId="77777777" w:rsidR="00B66973" w:rsidRPr="00181EF3" w:rsidRDefault="00B66973" w:rsidP="00B66973">
            <w:pPr>
              <w:pStyle w:val="TableText"/>
              <w:tabs>
                <w:tab w:val="decimal" w:pos="1247"/>
              </w:tabs>
              <w:rPr>
                <w:szCs w:val="18"/>
              </w:rPr>
            </w:pPr>
            <w:r w:rsidRPr="00181EF3">
              <w:rPr>
                <w:szCs w:val="18"/>
              </w:rPr>
              <w:t>166 (6.7%)</w:t>
            </w:r>
          </w:p>
        </w:tc>
        <w:tc>
          <w:tcPr>
            <w:tcW w:w="2694" w:type="dxa"/>
            <w:tcBorders>
              <w:top w:val="single" w:sz="4" w:space="0" w:color="A6A6A6" w:themeColor="background1" w:themeShade="A6"/>
              <w:bottom w:val="single" w:sz="4" w:space="0" w:color="A6A6A6" w:themeColor="background1" w:themeShade="A6"/>
            </w:tcBorders>
          </w:tcPr>
          <w:p w14:paraId="758D763A" w14:textId="77777777" w:rsidR="00B66973" w:rsidRPr="00181EF3" w:rsidRDefault="00B66973" w:rsidP="00B66973">
            <w:pPr>
              <w:pStyle w:val="TableText"/>
              <w:tabs>
                <w:tab w:val="decimal" w:pos="1247"/>
              </w:tabs>
              <w:rPr>
                <w:szCs w:val="18"/>
              </w:rPr>
            </w:pPr>
            <w:r w:rsidRPr="00181EF3">
              <w:rPr>
                <w:szCs w:val="18"/>
              </w:rPr>
              <w:t>2,302 (93.3%)</w:t>
            </w:r>
          </w:p>
        </w:tc>
      </w:tr>
      <w:tr w:rsidR="00B66973" w:rsidRPr="00181EF3" w14:paraId="7A2E83FA"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7018060E" w14:textId="77777777" w:rsidR="00B66973" w:rsidRPr="00181EF3" w:rsidRDefault="00B66973" w:rsidP="00B66973">
            <w:pPr>
              <w:pStyle w:val="TableText"/>
              <w:jc w:val="center"/>
              <w:rPr>
                <w:szCs w:val="18"/>
              </w:rPr>
            </w:pPr>
            <w:r w:rsidRPr="00181EF3">
              <w:rPr>
                <w:szCs w:val="18"/>
              </w:rPr>
              <w:t>2009</w:t>
            </w:r>
          </w:p>
        </w:tc>
        <w:tc>
          <w:tcPr>
            <w:tcW w:w="2693" w:type="dxa"/>
            <w:tcBorders>
              <w:top w:val="single" w:sz="4" w:space="0" w:color="A6A6A6" w:themeColor="background1" w:themeShade="A6"/>
              <w:bottom w:val="single" w:sz="4" w:space="0" w:color="A6A6A6" w:themeColor="background1" w:themeShade="A6"/>
            </w:tcBorders>
          </w:tcPr>
          <w:p w14:paraId="64AD2FFC" w14:textId="77777777" w:rsidR="00B66973" w:rsidRPr="00181EF3" w:rsidRDefault="00B66973" w:rsidP="00B66973">
            <w:pPr>
              <w:pStyle w:val="TableText"/>
              <w:tabs>
                <w:tab w:val="decimal" w:pos="1247"/>
              </w:tabs>
              <w:rPr>
                <w:szCs w:val="18"/>
              </w:rPr>
            </w:pPr>
            <w:r w:rsidRPr="00181EF3">
              <w:rPr>
                <w:szCs w:val="18"/>
              </w:rPr>
              <w:t>182 (7.1%)</w:t>
            </w:r>
          </w:p>
        </w:tc>
        <w:tc>
          <w:tcPr>
            <w:tcW w:w="2694" w:type="dxa"/>
            <w:tcBorders>
              <w:top w:val="single" w:sz="4" w:space="0" w:color="A6A6A6" w:themeColor="background1" w:themeShade="A6"/>
              <w:bottom w:val="single" w:sz="4" w:space="0" w:color="A6A6A6" w:themeColor="background1" w:themeShade="A6"/>
            </w:tcBorders>
          </w:tcPr>
          <w:p w14:paraId="6316BBC6" w14:textId="77777777" w:rsidR="00B66973" w:rsidRPr="00181EF3" w:rsidRDefault="00B66973" w:rsidP="00B66973">
            <w:pPr>
              <w:pStyle w:val="TableText"/>
              <w:tabs>
                <w:tab w:val="decimal" w:pos="1247"/>
              </w:tabs>
              <w:rPr>
                <w:szCs w:val="18"/>
              </w:rPr>
            </w:pPr>
            <w:r w:rsidRPr="00181EF3">
              <w:rPr>
                <w:szCs w:val="18"/>
              </w:rPr>
              <w:t>2,365 (92.9%)</w:t>
            </w:r>
          </w:p>
        </w:tc>
      </w:tr>
      <w:tr w:rsidR="00B66973" w:rsidRPr="00181EF3" w14:paraId="342E1854"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658A00FC" w14:textId="77777777" w:rsidR="00B66973" w:rsidRPr="00181EF3" w:rsidRDefault="00B66973" w:rsidP="00B66973">
            <w:pPr>
              <w:pStyle w:val="TableText"/>
              <w:jc w:val="center"/>
              <w:rPr>
                <w:szCs w:val="18"/>
              </w:rPr>
            </w:pPr>
            <w:r w:rsidRPr="00181EF3">
              <w:rPr>
                <w:szCs w:val="18"/>
              </w:rPr>
              <w:t>2010</w:t>
            </w:r>
          </w:p>
        </w:tc>
        <w:tc>
          <w:tcPr>
            <w:tcW w:w="2693" w:type="dxa"/>
            <w:tcBorders>
              <w:top w:val="single" w:sz="4" w:space="0" w:color="A6A6A6" w:themeColor="background1" w:themeShade="A6"/>
              <w:bottom w:val="single" w:sz="4" w:space="0" w:color="A6A6A6" w:themeColor="background1" w:themeShade="A6"/>
            </w:tcBorders>
          </w:tcPr>
          <w:p w14:paraId="7A54A46D" w14:textId="77777777" w:rsidR="00B66973" w:rsidRPr="00181EF3" w:rsidRDefault="00B66973" w:rsidP="00B66973">
            <w:pPr>
              <w:pStyle w:val="TableText"/>
              <w:tabs>
                <w:tab w:val="decimal" w:pos="1247"/>
              </w:tabs>
              <w:rPr>
                <w:szCs w:val="18"/>
              </w:rPr>
            </w:pPr>
            <w:r w:rsidRPr="00181EF3">
              <w:rPr>
                <w:szCs w:val="18"/>
              </w:rPr>
              <w:t>198 (7.5%)</w:t>
            </w:r>
          </w:p>
        </w:tc>
        <w:tc>
          <w:tcPr>
            <w:tcW w:w="2694" w:type="dxa"/>
            <w:tcBorders>
              <w:top w:val="single" w:sz="4" w:space="0" w:color="A6A6A6" w:themeColor="background1" w:themeShade="A6"/>
              <w:bottom w:val="single" w:sz="4" w:space="0" w:color="A6A6A6" w:themeColor="background1" w:themeShade="A6"/>
            </w:tcBorders>
          </w:tcPr>
          <w:p w14:paraId="1C34E47C" w14:textId="77777777" w:rsidR="00B66973" w:rsidRPr="00181EF3" w:rsidRDefault="00B66973" w:rsidP="00B66973">
            <w:pPr>
              <w:pStyle w:val="TableText"/>
              <w:tabs>
                <w:tab w:val="decimal" w:pos="1247"/>
              </w:tabs>
              <w:rPr>
                <w:szCs w:val="18"/>
              </w:rPr>
            </w:pPr>
            <w:r w:rsidRPr="00181EF3">
              <w:rPr>
                <w:szCs w:val="18"/>
              </w:rPr>
              <w:t>2,441 (92.5%)</w:t>
            </w:r>
          </w:p>
        </w:tc>
      </w:tr>
      <w:tr w:rsidR="00B66973" w:rsidRPr="00181EF3" w14:paraId="3804656F"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67681997" w14:textId="77777777" w:rsidR="00B66973" w:rsidRPr="00181EF3" w:rsidRDefault="00B66973" w:rsidP="00B66973">
            <w:pPr>
              <w:pStyle w:val="TableText"/>
              <w:jc w:val="center"/>
              <w:rPr>
                <w:szCs w:val="18"/>
              </w:rPr>
            </w:pPr>
            <w:r w:rsidRPr="00181EF3">
              <w:rPr>
                <w:szCs w:val="18"/>
              </w:rPr>
              <w:t>2011</w:t>
            </w:r>
          </w:p>
        </w:tc>
        <w:tc>
          <w:tcPr>
            <w:tcW w:w="2693" w:type="dxa"/>
            <w:tcBorders>
              <w:top w:val="single" w:sz="4" w:space="0" w:color="A6A6A6" w:themeColor="background1" w:themeShade="A6"/>
              <w:bottom w:val="single" w:sz="4" w:space="0" w:color="A6A6A6" w:themeColor="background1" w:themeShade="A6"/>
            </w:tcBorders>
          </w:tcPr>
          <w:p w14:paraId="1FAAB636" w14:textId="77777777" w:rsidR="00B66973" w:rsidRPr="00181EF3" w:rsidRDefault="00B66973" w:rsidP="00B66973">
            <w:pPr>
              <w:pStyle w:val="TableText"/>
              <w:tabs>
                <w:tab w:val="decimal" w:pos="1247"/>
              </w:tabs>
              <w:rPr>
                <w:szCs w:val="18"/>
              </w:rPr>
            </w:pPr>
            <w:r w:rsidRPr="00181EF3">
              <w:rPr>
                <w:szCs w:val="18"/>
              </w:rPr>
              <w:t>–</w:t>
            </w:r>
          </w:p>
        </w:tc>
        <w:tc>
          <w:tcPr>
            <w:tcW w:w="2694" w:type="dxa"/>
            <w:tcBorders>
              <w:top w:val="single" w:sz="4" w:space="0" w:color="A6A6A6" w:themeColor="background1" w:themeShade="A6"/>
              <w:bottom w:val="single" w:sz="4" w:space="0" w:color="A6A6A6" w:themeColor="background1" w:themeShade="A6"/>
            </w:tcBorders>
          </w:tcPr>
          <w:p w14:paraId="731CEEDC" w14:textId="77777777" w:rsidR="00B66973" w:rsidRPr="00181EF3" w:rsidRDefault="00B66973" w:rsidP="00B66973">
            <w:pPr>
              <w:pStyle w:val="TableText"/>
              <w:tabs>
                <w:tab w:val="decimal" w:pos="1247"/>
              </w:tabs>
              <w:rPr>
                <w:szCs w:val="18"/>
              </w:rPr>
            </w:pPr>
            <w:r w:rsidRPr="00181EF3">
              <w:rPr>
                <w:szCs w:val="18"/>
              </w:rPr>
              <w:t>–</w:t>
            </w:r>
          </w:p>
        </w:tc>
      </w:tr>
      <w:tr w:rsidR="00B66973" w:rsidRPr="00181EF3" w14:paraId="7AABD038"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1BB42260" w14:textId="77777777" w:rsidR="00B66973" w:rsidRPr="00181EF3" w:rsidRDefault="00B66973" w:rsidP="00B66973">
            <w:pPr>
              <w:pStyle w:val="TableText"/>
              <w:jc w:val="center"/>
              <w:rPr>
                <w:szCs w:val="18"/>
              </w:rPr>
            </w:pPr>
            <w:r w:rsidRPr="00181EF3">
              <w:rPr>
                <w:szCs w:val="18"/>
              </w:rPr>
              <w:t>2012</w:t>
            </w:r>
          </w:p>
        </w:tc>
        <w:tc>
          <w:tcPr>
            <w:tcW w:w="2693" w:type="dxa"/>
            <w:tcBorders>
              <w:top w:val="single" w:sz="4" w:space="0" w:color="A6A6A6" w:themeColor="background1" w:themeShade="A6"/>
              <w:bottom w:val="single" w:sz="4" w:space="0" w:color="A6A6A6" w:themeColor="background1" w:themeShade="A6"/>
            </w:tcBorders>
          </w:tcPr>
          <w:p w14:paraId="6897888D" w14:textId="77777777" w:rsidR="00B66973" w:rsidRPr="00181EF3" w:rsidRDefault="00B66973" w:rsidP="00B66973">
            <w:pPr>
              <w:pStyle w:val="TableText"/>
              <w:tabs>
                <w:tab w:val="decimal" w:pos="1247"/>
              </w:tabs>
              <w:rPr>
                <w:szCs w:val="18"/>
              </w:rPr>
            </w:pPr>
            <w:r w:rsidRPr="00181EF3">
              <w:rPr>
                <w:szCs w:val="18"/>
              </w:rPr>
              <w:t>236 (8.1%)</w:t>
            </w:r>
          </w:p>
        </w:tc>
        <w:tc>
          <w:tcPr>
            <w:tcW w:w="2694" w:type="dxa"/>
            <w:tcBorders>
              <w:top w:val="single" w:sz="4" w:space="0" w:color="A6A6A6" w:themeColor="background1" w:themeShade="A6"/>
              <w:bottom w:val="single" w:sz="4" w:space="0" w:color="A6A6A6" w:themeColor="background1" w:themeShade="A6"/>
            </w:tcBorders>
          </w:tcPr>
          <w:p w14:paraId="185E7499" w14:textId="77777777" w:rsidR="00B66973" w:rsidRPr="00181EF3" w:rsidRDefault="00B66973" w:rsidP="00B66973">
            <w:pPr>
              <w:pStyle w:val="TableText"/>
              <w:tabs>
                <w:tab w:val="decimal" w:pos="1247"/>
              </w:tabs>
              <w:rPr>
                <w:szCs w:val="18"/>
              </w:rPr>
            </w:pPr>
            <w:r w:rsidRPr="00181EF3">
              <w:rPr>
                <w:szCs w:val="18"/>
              </w:rPr>
              <w:t>2,674 (91.9%)</w:t>
            </w:r>
          </w:p>
        </w:tc>
      </w:tr>
      <w:tr w:rsidR="00B66973" w:rsidRPr="00181EF3" w14:paraId="3E1CFCF7"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2C5FEEDA" w14:textId="77777777" w:rsidR="00B66973" w:rsidRPr="00181EF3" w:rsidRDefault="00B66973" w:rsidP="00B66973">
            <w:pPr>
              <w:pStyle w:val="TableText"/>
              <w:jc w:val="center"/>
              <w:rPr>
                <w:szCs w:val="18"/>
              </w:rPr>
            </w:pPr>
            <w:r w:rsidRPr="00181EF3">
              <w:rPr>
                <w:szCs w:val="18"/>
              </w:rPr>
              <w:t>2013</w:t>
            </w:r>
          </w:p>
        </w:tc>
        <w:tc>
          <w:tcPr>
            <w:tcW w:w="2693" w:type="dxa"/>
            <w:tcBorders>
              <w:top w:val="single" w:sz="4" w:space="0" w:color="A6A6A6" w:themeColor="background1" w:themeShade="A6"/>
              <w:bottom w:val="single" w:sz="4" w:space="0" w:color="A6A6A6" w:themeColor="background1" w:themeShade="A6"/>
            </w:tcBorders>
          </w:tcPr>
          <w:p w14:paraId="775AFA6F" w14:textId="77777777" w:rsidR="00B66973" w:rsidRPr="00181EF3" w:rsidRDefault="00B66973" w:rsidP="00B66973">
            <w:pPr>
              <w:pStyle w:val="TableText"/>
              <w:tabs>
                <w:tab w:val="decimal" w:pos="1247"/>
              </w:tabs>
              <w:rPr>
                <w:szCs w:val="18"/>
              </w:rPr>
            </w:pPr>
            <w:r w:rsidRPr="00181EF3">
              <w:rPr>
                <w:szCs w:val="18"/>
              </w:rPr>
              <w:t>255 (8.7%)</w:t>
            </w:r>
          </w:p>
        </w:tc>
        <w:tc>
          <w:tcPr>
            <w:tcW w:w="2694" w:type="dxa"/>
            <w:tcBorders>
              <w:top w:val="single" w:sz="4" w:space="0" w:color="A6A6A6" w:themeColor="background1" w:themeShade="A6"/>
              <w:bottom w:val="single" w:sz="4" w:space="0" w:color="A6A6A6" w:themeColor="background1" w:themeShade="A6"/>
            </w:tcBorders>
          </w:tcPr>
          <w:p w14:paraId="78465AF9" w14:textId="77777777" w:rsidR="00B66973" w:rsidRPr="00181EF3" w:rsidRDefault="00B66973" w:rsidP="00B66973">
            <w:pPr>
              <w:pStyle w:val="TableText"/>
              <w:tabs>
                <w:tab w:val="decimal" w:pos="1247"/>
              </w:tabs>
              <w:rPr>
                <w:szCs w:val="18"/>
              </w:rPr>
            </w:pPr>
            <w:r w:rsidRPr="00181EF3">
              <w:rPr>
                <w:szCs w:val="18"/>
              </w:rPr>
              <w:t>2,683 (91.3%)</w:t>
            </w:r>
          </w:p>
        </w:tc>
      </w:tr>
      <w:tr w:rsidR="00B66973" w:rsidRPr="00181EF3" w14:paraId="0F479993"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792168F8" w14:textId="77777777" w:rsidR="00B66973" w:rsidRPr="00181EF3" w:rsidRDefault="00B66973" w:rsidP="00B66973">
            <w:pPr>
              <w:pStyle w:val="TableText"/>
              <w:jc w:val="center"/>
              <w:rPr>
                <w:szCs w:val="18"/>
              </w:rPr>
            </w:pPr>
            <w:r w:rsidRPr="00181EF3">
              <w:rPr>
                <w:szCs w:val="18"/>
              </w:rPr>
              <w:t>2014</w:t>
            </w:r>
          </w:p>
        </w:tc>
        <w:tc>
          <w:tcPr>
            <w:tcW w:w="2693" w:type="dxa"/>
            <w:tcBorders>
              <w:top w:val="single" w:sz="4" w:space="0" w:color="A6A6A6" w:themeColor="background1" w:themeShade="A6"/>
              <w:bottom w:val="single" w:sz="4" w:space="0" w:color="A6A6A6" w:themeColor="background1" w:themeShade="A6"/>
            </w:tcBorders>
          </w:tcPr>
          <w:p w14:paraId="11C4D8C0" w14:textId="77777777" w:rsidR="00B66973" w:rsidRPr="00181EF3" w:rsidRDefault="00B66973" w:rsidP="00B66973">
            <w:pPr>
              <w:pStyle w:val="TableText"/>
              <w:tabs>
                <w:tab w:val="decimal" w:pos="1247"/>
              </w:tabs>
              <w:rPr>
                <w:szCs w:val="18"/>
              </w:rPr>
            </w:pPr>
            <w:r w:rsidRPr="00181EF3">
              <w:rPr>
                <w:szCs w:val="18"/>
              </w:rPr>
              <w:t>266 (9.0%)</w:t>
            </w:r>
          </w:p>
        </w:tc>
        <w:tc>
          <w:tcPr>
            <w:tcW w:w="2694" w:type="dxa"/>
            <w:tcBorders>
              <w:top w:val="single" w:sz="4" w:space="0" w:color="A6A6A6" w:themeColor="background1" w:themeShade="A6"/>
              <w:bottom w:val="single" w:sz="4" w:space="0" w:color="A6A6A6" w:themeColor="background1" w:themeShade="A6"/>
            </w:tcBorders>
          </w:tcPr>
          <w:p w14:paraId="47BBEB88" w14:textId="77777777" w:rsidR="00B66973" w:rsidRPr="00181EF3" w:rsidRDefault="00B66973" w:rsidP="00B66973">
            <w:pPr>
              <w:pStyle w:val="TableText"/>
              <w:tabs>
                <w:tab w:val="decimal" w:pos="1247"/>
              </w:tabs>
              <w:rPr>
                <w:szCs w:val="18"/>
              </w:rPr>
            </w:pPr>
            <w:r w:rsidRPr="00181EF3">
              <w:rPr>
                <w:szCs w:val="18"/>
              </w:rPr>
              <w:t>2,705 (91.0%)</w:t>
            </w:r>
          </w:p>
        </w:tc>
      </w:tr>
      <w:tr w:rsidR="00B66973" w:rsidRPr="00181EF3" w14:paraId="7C9102CF"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48DB55B9" w14:textId="77777777" w:rsidR="00B66973" w:rsidRPr="00181EF3" w:rsidRDefault="00B66973" w:rsidP="00B66973">
            <w:pPr>
              <w:pStyle w:val="TableText"/>
              <w:jc w:val="center"/>
              <w:rPr>
                <w:szCs w:val="18"/>
              </w:rPr>
            </w:pPr>
            <w:r w:rsidRPr="00181EF3">
              <w:rPr>
                <w:szCs w:val="18"/>
              </w:rPr>
              <w:t>2015</w:t>
            </w:r>
          </w:p>
        </w:tc>
        <w:tc>
          <w:tcPr>
            <w:tcW w:w="2693" w:type="dxa"/>
            <w:tcBorders>
              <w:top w:val="single" w:sz="4" w:space="0" w:color="A6A6A6" w:themeColor="background1" w:themeShade="A6"/>
              <w:bottom w:val="single" w:sz="4" w:space="0" w:color="A6A6A6" w:themeColor="background1" w:themeShade="A6"/>
            </w:tcBorders>
          </w:tcPr>
          <w:p w14:paraId="21747253" w14:textId="77777777" w:rsidR="00B66973" w:rsidRPr="00181EF3" w:rsidRDefault="00B66973" w:rsidP="00B66973">
            <w:pPr>
              <w:pStyle w:val="TableText"/>
              <w:tabs>
                <w:tab w:val="decimal" w:pos="1247"/>
              </w:tabs>
              <w:rPr>
                <w:szCs w:val="18"/>
              </w:rPr>
            </w:pPr>
            <w:r w:rsidRPr="00181EF3">
              <w:rPr>
                <w:szCs w:val="18"/>
              </w:rPr>
              <w:t>278 (9.2%)</w:t>
            </w:r>
          </w:p>
        </w:tc>
        <w:tc>
          <w:tcPr>
            <w:tcW w:w="2694" w:type="dxa"/>
            <w:tcBorders>
              <w:top w:val="single" w:sz="4" w:space="0" w:color="A6A6A6" w:themeColor="background1" w:themeShade="A6"/>
              <w:bottom w:val="single" w:sz="4" w:space="0" w:color="A6A6A6" w:themeColor="background1" w:themeShade="A6"/>
            </w:tcBorders>
          </w:tcPr>
          <w:p w14:paraId="0B52A502" w14:textId="77777777" w:rsidR="00B66973" w:rsidRPr="00181EF3" w:rsidRDefault="00B66973" w:rsidP="00B66973">
            <w:pPr>
              <w:pStyle w:val="TableText"/>
              <w:tabs>
                <w:tab w:val="decimal" w:pos="1247"/>
              </w:tabs>
              <w:rPr>
                <w:szCs w:val="18"/>
              </w:rPr>
            </w:pPr>
            <w:r w:rsidRPr="00181EF3">
              <w:rPr>
                <w:szCs w:val="18"/>
              </w:rPr>
              <w:t>2,755 (90.8%)</w:t>
            </w:r>
          </w:p>
        </w:tc>
      </w:tr>
      <w:tr w:rsidR="00B66973" w:rsidRPr="00181EF3" w14:paraId="482143C1"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6225AB2B" w14:textId="77777777" w:rsidR="00B66973" w:rsidRPr="00181EF3" w:rsidRDefault="00B66973" w:rsidP="00B66973">
            <w:pPr>
              <w:pStyle w:val="TableText"/>
              <w:jc w:val="center"/>
              <w:rPr>
                <w:szCs w:val="18"/>
              </w:rPr>
            </w:pPr>
            <w:r w:rsidRPr="00181EF3">
              <w:rPr>
                <w:szCs w:val="18"/>
              </w:rPr>
              <w:t>2016</w:t>
            </w:r>
          </w:p>
        </w:tc>
        <w:tc>
          <w:tcPr>
            <w:tcW w:w="2693" w:type="dxa"/>
            <w:tcBorders>
              <w:top w:val="single" w:sz="4" w:space="0" w:color="A6A6A6" w:themeColor="background1" w:themeShade="A6"/>
              <w:bottom w:val="single" w:sz="4" w:space="0" w:color="A6A6A6" w:themeColor="background1" w:themeShade="A6"/>
            </w:tcBorders>
          </w:tcPr>
          <w:p w14:paraId="5A248715" w14:textId="77777777" w:rsidR="00B66973" w:rsidRPr="00181EF3" w:rsidRDefault="00B66973" w:rsidP="00B66973">
            <w:pPr>
              <w:pStyle w:val="TableText"/>
              <w:tabs>
                <w:tab w:val="decimal" w:pos="1247"/>
              </w:tabs>
              <w:rPr>
                <w:szCs w:val="18"/>
              </w:rPr>
            </w:pPr>
            <w:r w:rsidRPr="00181EF3">
              <w:rPr>
                <w:szCs w:val="18"/>
              </w:rPr>
              <w:t>285 (9.4%)</w:t>
            </w:r>
          </w:p>
        </w:tc>
        <w:tc>
          <w:tcPr>
            <w:tcW w:w="2694" w:type="dxa"/>
            <w:tcBorders>
              <w:top w:val="single" w:sz="4" w:space="0" w:color="A6A6A6" w:themeColor="background1" w:themeShade="A6"/>
              <w:bottom w:val="single" w:sz="4" w:space="0" w:color="A6A6A6" w:themeColor="background1" w:themeShade="A6"/>
            </w:tcBorders>
          </w:tcPr>
          <w:p w14:paraId="465F1123" w14:textId="77777777" w:rsidR="00B66973" w:rsidRPr="00181EF3" w:rsidRDefault="00B66973" w:rsidP="00B66973">
            <w:pPr>
              <w:pStyle w:val="TableText"/>
              <w:tabs>
                <w:tab w:val="decimal" w:pos="1247"/>
              </w:tabs>
              <w:rPr>
                <w:szCs w:val="18"/>
              </w:rPr>
            </w:pPr>
            <w:r w:rsidRPr="00181EF3">
              <w:rPr>
                <w:szCs w:val="18"/>
              </w:rPr>
              <w:t>2,738 (90.6%)</w:t>
            </w:r>
          </w:p>
        </w:tc>
      </w:tr>
    </w:tbl>
    <w:p w14:paraId="3F312D5D" w14:textId="77777777" w:rsidR="00B66973" w:rsidRPr="00181EF3" w:rsidRDefault="00B66973" w:rsidP="00B66973">
      <w:pPr>
        <w:pStyle w:val="Source"/>
      </w:pPr>
      <w:r w:rsidRPr="00181EF3">
        <w:t>Source: Midwifery Council of New Zealand, 2005–2010 and 2011–2016.</w:t>
      </w:r>
    </w:p>
    <w:p w14:paraId="5CA611FD" w14:textId="77777777" w:rsidR="00B66973" w:rsidRPr="00181EF3" w:rsidRDefault="00B66973" w:rsidP="00B66973"/>
    <w:p w14:paraId="6A0D0281" w14:textId="047B2D4E" w:rsidR="00B16E84" w:rsidRPr="00181EF3" w:rsidRDefault="00B16E84" w:rsidP="00B16E84">
      <w:r w:rsidRPr="00181EF3">
        <w:t xml:space="preserve">Table </w:t>
      </w:r>
      <w:r>
        <w:t>37</w:t>
      </w:r>
      <w:r w:rsidRPr="00181EF3">
        <w:t xml:space="preserve"> shows the estimated number and percentage of Māori and </w:t>
      </w:r>
      <w:r w:rsidR="00EC03A3">
        <w:t>non</w:t>
      </w:r>
      <w:r w:rsidR="00EC03A3">
        <w:noBreakHyphen/>
        <w:t>M</w:t>
      </w:r>
      <w:r w:rsidRPr="00181EF3">
        <w:t>āori in the midwifery workforce between 2005 and 2016, excluding 2011.</w:t>
      </w:r>
    </w:p>
    <w:p w14:paraId="102608C6" w14:textId="77777777" w:rsidR="00B16E84" w:rsidRPr="00181EF3" w:rsidRDefault="00B16E84" w:rsidP="00B16E84"/>
    <w:p w14:paraId="1E2B5BB7" w14:textId="76BF8B1F" w:rsidR="00B16E84" w:rsidRDefault="00B16E84" w:rsidP="00B16E84">
      <w:r w:rsidRPr="00181EF3">
        <w:t xml:space="preserve">The number and percentage of Māori in the midwifery workforce increased over time – from 6.5 percent in 2005 to 9.4 percent in 2016 (171 to 285 Māori midwives). The number of </w:t>
      </w:r>
      <w:r w:rsidR="00EC03A3">
        <w:t>non</w:t>
      </w:r>
      <w:r w:rsidR="00EC03A3">
        <w:noBreakHyphen/>
        <w:t>M</w:t>
      </w:r>
      <w:r w:rsidRPr="00181EF3">
        <w:t xml:space="preserve">āori in the midwifery workforce also increased (from 2,440 to 2,738 </w:t>
      </w:r>
      <w:r w:rsidR="00EC03A3">
        <w:t>non</w:t>
      </w:r>
      <w:r w:rsidR="00EC03A3">
        <w:noBreakHyphen/>
        <w:t>M</w:t>
      </w:r>
      <w:r w:rsidRPr="00181EF3">
        <w:t xml:space="preserve">āori midwives), the percentage of </w:t>
      </w:r>
      <w:r w:rsidR="00EC03A3">
        <w:t>non</w:t>
      </w:r>
      <w:r w:rsidR="00EC03A3">
        <w:noBreakHyphen/>
        <w:t>M</w:t>
      </w:r>
      <w:r w:rsidRPr="00181EF3">
        <w:t xml:space="preserve">āori in the workforce decreased (from 93.5 percent in 2005 to 90.6 percent in 2016). The midwifery workforce does not reflect the ethnic population distribution in New Zealand (14.9 percent Māori, 85.1 percent </w:t>
      </w:r>
      <w:r w:rsidR="00EC03A3">
        <w:t>non</w:t>
      </w:r>
      <w:r w:rsidR="00EC03A3">
        <w:noBreakHyphen/>
        <w:t>M</w:t>
      </w:r>
      <w:r w:rsidRPr="00181EF3">
        <w:t>āori).</w:t>
      </w:r>
      <w:r w:rsidRPr="001338CA">
        <w:rPr>
          <w:rStyle w:val="FootnoteReference"/>
        </w:rPr>
        <w:footnoteReference w:id="12"/>
      </w:r>
    </w:p>
    <w:p w14:paraId="2B3215DC" w14:textId="77777777" w:rsidR="001338CA" w:rsidRPr="00181EF3" w:rsidRDefault="001338CA" w:rsidP="001338CA"/>
    <w:p w14:paraId="04A97DE7" w14:textId="77777777" w:rsidR="00B66973" w:rsidRPr="00181EF3" w:rsidRDefault="00B66973" w:rsidP="001338CA">
      <w:pPr>
        <w:pStyle w:val="Heading2"/>
        <w:pageBreakBefore/>
        <w:spacing w:before="0"/>
      </w:pPr>
      <w:bookmarkStart w:id="414" w:name="_Toc19102454"/>
      <w:r w:rsidRPr="00181EF3">
        <w:lastRenderedPageBreak/>
        <w:t>Medical Council of New Zealand – medical employed FTE</w:t>
      </w:r>
      <w:bookmarkEnd w:id="414"/>
    </w:p>
    <w:p w14:paraId="754FC794" w14:textId="77777777" w:rsidR="00B66973" w:rsidRPr="00181EF3" w:rsidRDefault="00B66973" w:rsidP="00B66973">
      <w:r w:rsidRPr="00181EF3">
        <w:t>The medical employed full-time employees (FTE) workforce incorporates senior medical officers, medical officers, general practitioners, registrars, house officers, and probationers and interns.</w:t>
      </w:r>
    </w:p>
    <w:p w14:paraId="10A87B1A" w14:textId="77777777" w:rsidR="00B66973" w:rsidRPr="00181EF3" w:rsidRDefault="00B66973" w:rsidP="00B66973"/>
    <w:p w14:paraId="2465E8D2" w14:textId="69790171" w:rsidR="00B66973" w:rsidRPr="00181EF3" w:rsidRDefault="00B66973" w:rsidP="00B66973">
      <w:pPr>
        <w:pStyle w:val="Table"/>
      </w:pPr>
      <w:bookmarkStart w:id="415" w:name="_Toc18594778"/>
      <w:r w:rsidRPr="00181EF3">
        <w:t xml:space="preserve">Table </w:t>
      </w:r>
      <w:r w:rsidR="00353BFB">
        <w:t>3</w:t>
      </w:r>
      <w:r>
        <w:rPr>
          <w:noProof/>
        </w:rPr>
        <w:t>8</w:t>
      </w:r>
      <w:r w:rsidRPr="00181EF3">
        <w:t xml:space="preserve">: Estimated number (percentage in workforce) of Māori and </w:t>
      </w:r>
      <w:r w:rsidR="00EC03A3">
        <w:t>non</w:t>
      </w:r>
      <w:r w:rsidR="00EC03A3">
        <w:noBreakHyphen/>
        <w:t>M</w:t>
      </w:r>
      <w:r w:rsidRPr="00181EF3">
        <w:t>āori in the medical employed FTE, 2004–2016</w:t>
      </w:r>
      <w:bookmarkEnd w:id="415"/>
    </w:p>
    <w:tbl>
      <w:tblPr>
        <w:tblW w:w="8080" w:type="dxa"/>
        <w:tblInd w:w="57" w:type="dxa"/>
        <w:tblLayout w:type="fixed"/>
        <w:tblCellMar>
          <w:left w:w="57" w:type="dxa"/>
          <w:right w:w="57" w:type="dxa"/>
        </w:tblCellMar>
        <w:tblLook w:val="04A0" w:firstRow="1" w:lastRow="0" w:firstColumn="1" w:lastColumn="0" w:noHBand="0" w:noVBand="1"/>
      </w:tblPr>
      <w:tblGrid>
        <w:gridCol w:w="2693"/>
        <w:gridCol w:w="2693"/>
        <w:gridCol w:w="2694"/>
      </w:tblGrid>
      <w:tr w:rsidR="00B66973" w:rsidRPr="00181EF3" w14:paraId="73109EC8" w14:textId="77777777" w:rsidTr="00B66973">
        <w:trPr>
          <w:trHeight w:val="220"/>
        </w:trPr>
        <w:tc>
          <w:tcPr>
            <w:tcW w:w="8080" w:type="dxa"/>
            <w:gridSpan w:val="3"/>
            <w:shd w:val="clear" w:color="auto" w:fill="D9D9D9" w:themeFill="background1" w:themeFillShade="D9"/>
          </w:tcPr>
          <w:p w14:paraId="74A1824C" w14:textId="77777777" w:rsidR="00B66973" w:rsidRPr="00181EF3" w:rsidRDefault="00B66973" w:rsidP="00B66973">
            <w:pPr>
              <w:pStyle w:val="TableText"/>
              <w:jc w:val="center"/>
              <w:rPr>
                <w:b/>
              </w:rPr>
            </w:pPr>
            <w:r w:rsidRPr="00181EF3">
              <w:rPr>
                <w:b/>
              </w:rPr>
              <w:t>Medical employed FTE (2004–2016)</w:t>
            </w:r>
          </w:p>
        </w:tc>
      </w:tr>
      <w:tr w:rsidR="00B66973" w:rsidRPr="00181EF3" w14:paraId="26D52F33" w14:textId="77777777" w:rsidTr="00B66973">
        <w:trPr>
          <w:cantSplit/>
        </w:trPr>
        <w:tc>
          <w:tcPr>
            <w:tcW w:w="2693" w:type="dxa"/>
            <w:shd w:val="clear" w:color="auto" w:fill="F2F2F2" w:themeFill="background1" w:themeFillShade="F2"/>
          </w:tcPr>
          <w:p w14:paraId="5FA8648D" w14:textId="77777777" w:rsidR="00B66973" w:rsidRPr="00181EF3" w:rsidRDefault="00B66973" w:rsidP="00B66973">
            <w:pPr>
              <w:pStyle w:val="TableText"/>
              <w:jc w:val="center"/>
              <w:rPr>
                <w:b/>
              </w:rPr>
            </w:pPr>
            <w:r w:rsidRPr="00181EF3">
              <w:rPr>
                <w:b/>
              </w:rPr>
              <w:t>Year</w:t>
            </w:r>
          </w:p>
        </w:tc>
        <w:tc>
          <w:tcPr>
            <w:tcW w:w="2693" w:type="dxa"/>
            <w:shd w:val="clear" w:color="auto" w:fill="F2F2F2" w:themeFill="background1" w:themeFillShade="F2"/>
          </w:tcPr>
          <w:p w14:paraId="5A2665D7" w14:textId="77777777" w:rsidR="00B66973" w:rsidRPr="00181EF3" w:rsidRDefault="00B66973" w:rsidP="00B66973">
            <w:pPr>
              <w:pStyle w:val="TableText"/>
              <w:jc w:val="center"/>
              <w:rPr>
                <w:b/>
              </w:rPr>
            </w:pPr>
            <w:r w:rsidRPr="00181EF3">
              <w:rPr>
                <w:b/>
              </w:rPr>
              <w:t>Māori</w:t>
            </w:r>
          </w:p>
        </w:tc>
        <w:tc>
          <w:tcPr>
            <w:tcW w:w="2694" w:type="dxa"/>
            <w:shd w:val="clear" w:color="auto" w:fill="F2F2F2" w:themeFill="background1" w:themeFillShade="F2"/>
          </w:tcPr>
          <w:p w14:paraId="0E1DC32C" w14:textId="770884FF" w:rsidR="00B66973" w:rsidRPr="00181EF3" w:rsidRDefault="00EC03A3" w:rsidP="00B66973">
            <w:pPr>
              <w:pStyle w:val="TableText"/>
              <w:jc w:val="center"/>
              <w:rPr>
                <w:b/>
              </w:rPr>
            </w:pPr>
            <w:r>
              <w:rPr>
                <w:b/>
              </w:rPr>
              <w:t>Non</w:t>
            </w:r>
            <w:r>
              <w:rPr>
                <w:b/>
              </w:rPr>
              <w:noBreakHyphen/>
              <w:t>M</w:t>
            </w:r>
            <w:r w:rsidR="00B66973" w:rsidRPr="00181EF3">
              <w:rPr>
                <w:b/>
              </w:rPr>
              <w:t>āori</w:t>
            </w:r>
          </w:p>
        </w:tc>
      </w:tr>
      <w:tr w:rsidR="00B66973" w:rsidRPr="00181EF3" w14:paraId="15C1EFEA" w14:textId="77777777" w:rsidTr="00B66973">
        <w:trPr>
          <w:trHeight w:val="220"/>
        </w:trPr>
        <w:tc>
          <w:tcPr>
            <w:tcW w:w="2693" w:type="dxa"/>
            <w:tcBorders>
              <w:bottom w:val="single" w:sz="4" w:space="0" w:color="A6A6A6" w:themeColor="background1" w:themeShade="A6"/>
            </w:tcBorders>
          </w:tcPr>
          <w:p w14:paraId="5B80848D" w14:textId="77777777" w:rsidR="00B66973" w:rsidRPr="00181EF3" w:rsidRDefault="00B66973" w:rsidP="00B66973">
            <w:pPr>
              <w:pStyle w:val="TableText"/>
              <w:jc w:val="center"/>
            </w:pPr>
            <w:r w:rsidRPr="00181EF3">
              <w:t>2004</w:t>
            </w:r>
          </w:p>
        </w:tc>
        <w:tc>
          <w:tcPr>
            <w:tcW w:w="2693" w:type="dxa"/>
            <w:tcBorders>
              <w:bottom w:val="single" w:sz="4" w:space="0" w:color="A6A6A6" w:themeColor="background1" w:themeShade="A6"/>
            </w:tcBorders>
          </w:tcPr>
          <w:p w14:paraId="6C6A0AEF" w14:textId="77777777" w:rsidR="00B66973" w:rsidRPr="00181EF3" w:rsidRDefault="00B66973" w:rsidP="00B66973">
            <w:pPr>
              <w:pStyle w:val="TableText"/>
              <w:tabs>
                <w:tab w:val="decimal" w:pos="1247"/>
              </w:tabs>
            </w:pPr>
            <w:r w:rsidRPr="00181EF3">
              <w:t>234 (2.6%)</w:t>
            </w:r>
          </w:p>
        </w:tc>
        <w:tc>
          <w:tcPr>
            <w:tcW w:w="2694" w:type="dxa"/>
            <w:tcBorders>
              <w:bottom w:val="single" w:sz="4" w:space="0" w:color="A6A6A6" w:themeColor="background1" w:themeShade="A6"/>
            </w:tcBorders>
          </w:tcPr>
          <w:p w14:paraId="3B325A60" w14:textId="77777777" w:rsidR="00B66973" w:rsidRPr="00181EF3" w:rsidRDefault="00B66973" w:rsidP="00B66973">
            <w:pPr>
              <w:pStyle w:val="TableText"/>
              <w:tabs>
                <w:tab w:val="decimal" w:pos="1247"/>
              </w:tabs>
            </w:pPr>
            <w:r w:rsidRPr="00181EF3">
              <w:t>8,757 (97.4%)</w:t>
            </w:r>
          </w:p>
        </w:tc>
      </w:tr>
      <w:tr w:rsidR="00B66973" w:rsidRPr="00181EF3" w14:paraId="2F214901" w14:textId="77777777" w:rsidTr="00B66973">
        <w:trPr>
          <w:trHeight w:val="220"/>
        </w:trPr>
        <w:tc>
          <w:tcPr>
            <w:tcW w:w="2693" w:type="dxa"/>
            <w:tcBorders>
              <w:top w:val="single" w:sz="4" w:space="0" w:color="A6A6A6" w:themeColor="background1" w:themeShade="A6"/>
              <w:bottom w:val="single" w:sz="4" w:space="0" w:color="A6A6A6" w:themeColor="background1" w:themeShade="A6"/>
            </w:tcBorders>
            <w:shd w:val="clear" w:color="auto" w:fill="auto"/>
          </w:tcPr>
          <w:p w14:paraId="4C1DB215" w14:textId="77777777" w:rsidR="00B66973" w:rsidRPr="00181EF3" w:rsidRDefault="00B66973" w:rsidP="00B66973">
            <w:pPr>
              <w:pStyle w:val="TableText"/>
              <w:jc w:val="center"/>
            </w:pPr>
            <w:r w:rsidRPr="00181EF3">
              <w:t>2005</w:t>
            </w:r>
          </w:p>
        </w:tc>
        <w:tc>
          <w:tcPr>
            <w:tcW w:w="2693" w:type="dxa"/>
            <w:tcBorders>
              <w:top w:val="single" w:sz="4" w:space="0" w:color="A6A6A6" w:themeColor="background1" w:themeShade="A6"/>
              <w:bottom w:val="single" w:sz="4" w:space="0" w:color="A6A6A6" w:themeColor="background1" w:themeShade="A6"/>
            </w:tcBorders>
            <w:shd w:val="clear" w:color="auto" w:fill="auto"/>
          </w:tcPr>
          <w:p w14:paraId="2A45B3CF" w14:textId="77777777" w:rsidR="00B66973" w:rsidRPr="00181EF3" w:rsidRDefault="00B66973" w:rsidP="00B66973">
            <w:pPr>
              <w:pStyle w:val="TableText"/>
              <w:tabs>
                <w:tab w:val="decimal" w:pos="1247"/>
              </w:tabs>
            </w:pPr>
            <w:r w:rsidRPr="00181EF3">
              <w:t>230 (2.6%)</w:t>
            </w:r>
          </w:p>
        </w:tc>
        <w:tc>
          <w:tcPr>
            <w:tcW w:w="2694" w:type="dxa"/>
            <w:tcBorders>
              <w:top w:val="single" w:sz="4" w:space="0" w:color="A6A6A6" w:themeColor="background1" w:themeShade="A6"/>
              <w:bottom w:val="single" w:sz="4" w:space="0" w:color="A6A6A6" w:themeColor="background1" w:themeShade="A6"/>
            </w:tcBorders>
            <w:shd w:val="clear" w:color="auto" w:fill="auto"/>
          </w:tcPr>
          <w:p w14:paraId="4F0FE06B" w14:textId="77777777" w:rsidR="00B66973" w:rsidRPr="00181EF3" w:rsidRDefault="00B66973" w:rsidP="00B66973">
            <w:pPr>
              <w:pStyle w:val="TableText"/>
              <w:tabs>
                <w:tab w:val="decimal" w:pos="1247"/>
              </w:tabs>
            </w:pPr>
            <w:r w:rsidRPr="00181EF3">
              <w:t>8,516 (97.4%)</w:t>
            </w:r>
          </w:p>
        </w:tc>
      </w:tr>
      <w:tr w:rsidR="00B66973" w:rsidRPr="00181EF3" w14:paraId="6AD9AA47" w14:textId="77777777" w:rsidTr="00B66973">
        <w:trPr>
          <w:trHeight w:val="220"/>
        </w:trPr>
        <w:tc>
          <w:tcPr>
            <w:tcW w:w="2693" w:type="dxa"/>
            <w:tcBorders>
              <w:top w:val="single" w:sz="4" w:space="0" w:color="A6A6A6" w:themeColor="background1" w:themeShade="A6"/>
              <w:bottom w:val="single" w:sz="4" w:space="0" w:color="A6A6A6" w:themeColor="background1" w:themeShade="A6"/>
            </w:tcBorders>
            <w:shd w:val="clear" w:color="auto" w:fill="auto"/>
          </w:tcPr>
          <w:p w14:paraId="2AFA86ED" w14:textId="77777777" w:rsidR="00B66973" w:rsidRPr="00181EF3" w:rsidRDefault="00B66973" w:rsidP="00B66973">
            <w:pPr>
              <w:pStyle w:val="TableText"/>
              <w:jc w:val="center"/>
            </w:pPr>
            <w:r w:rsidRPr="00181EF3">
              <w:t>2006</w:t>
            </w:r>
          </w:p>
        </w:tc>
        <w:tc>
          <w:tcPr>
            <w:tcW w:w="2693" w:type="dxa"/>
            <w:tcBorders>
              <w:top w:val="single" w:sz="4" w:space="0" w:color="A6A6A6" w:themeColor="background1" w:themeShade="A6"/>
              <w:bottom w:val="single" w:sz="4" w:space="0" w:color="A6A6A6" w:themeColor="background1" w:themeShade="A6"/>
            </w:tcBorders>
            <w:shd w:val="clear" w:color="auto" w:fill="auto"/>
          </w:tcPr>
          <w:p w14:paraId="68170A96" w14:textId="77777777" w:rsidR="00B66973" w:rsidRPr="00181EF3" w:rsidRDefault="00B66973" w:rsidP="00B66973">
            <w:pPr>
              <w:pStyle w:val="TableText"/>
              <w:tabs>
                <w:tab w:val="decimal" w:pos="1247"/>
              </w:tabs>
            </w:pPr>
            <w:r w:rsidRPr="00181EF3">
              <w:t>240 (2.5%)</w:t>
            </w:r>
          </w:p>
        </w:tc>
        <w:tc>
          <w:tcPr>
            <w:tcW w:w="2694" w:type="dxa"/>
            <w:tcBorders>
              <w:top w:val="single" w:sz="4" w:space="0" w:color="A6A6A6" w:themeColor="background1" w:themeShade="A6"/>
              <w:bottom w:val="single" w:sz="4" w:space="0" w:color="A6A6A6" w:themeColor="background1" w:themeShade="A6"/>
            </w:tcBorders>
            <w:shd w:val="clear" w:color="auto" w:fill="auto"/>
          </w:tcPr>
          <w:p w14:paraId="56FE0A30" w14:textId="77777777" w:rsidR="00B66973" w:rsidRPr="00181EF3" w:rsidRDefault="00B66973" w:rsidP="00B66973">
            <w:pPr>
              <w:pStyle w:val="TableText"/>
              <w:tabs>
                <w:tab w:val="decimal" w:pos="1247"/>
              </w:tabs>
            </w:pPr>
            <w:r w:rsidRPr="00181EF3">
              <w:t>9,307 (97.5%)</w:t>
            </w:r>
          </w:p>
        </w:tc>
      </w:tr>
      <w:tr w:rsidR="00B66973" w:rsidRPr="00181EF3" w14:paraId="388D83AF" w14:textId="77777777" w:rsidTr="00B66973">
        <w:trPr>
          <w:trHeight w:val="220"/>
        </w:trPr>
        <w:tc>
          <w:tcPr>
            <w:tcW w:w="2693" w:type="dxa"/>
            <w:tcBorders>
              <w:top w:val="single" w:sz="4" w:space="0" w:color="A6A6A6" w:themeColor="background1" w:themeShade="A6"/>
              <w:bottom w:val="single" w:sz="4" w:space="0" w:color="A6A6A6" w:themeColor="background1" w:themeShade="A6"/>
            </w:tcBorders>
            <w:shd w:val="clear" w:color="auto" w:fill="auto"/>
          </w:tcPr>
          <w:p w14:paraId="3B6653A3" w14:textId="77777777" w:rsidR="00B66973" w:rsidRPr="00181EF3" w:rsidRDefault="00B66973" w:rsidP="00B66973">
            <w:pPr>
              <w:pStyle w:val="TableText"/>
              <w:jc w:val="center"/>
            </w:pPr>
            <w:r w:rsidRPr="00181EF3">
              <w:t>2007</w:t>
            </w:r>
          </w:p>
        </w:tc>
        <w:tc>
          <w:tcPr>
            <w:tcW w:w="2693" w:type="dxa"/>
            <w:tcBorders>
              <w:top w:val="single" w:sz="4" w:space="0" w:color="A6A6A6" w:themeColor="background1" w:themeShade="A6"/>
              <w:bottom w:val="single" w:sz="4" w:space="0" w:color="A6A6A6" w:themeColor="background1" w:themeShade="A6"/>
            </w:tcBorders>
            <w:shd w:val="clear" w:color="auto" w:fill="auto"/>
          </w:tcPr>
          <w:p w14:paraId="5FA37924" w14:textId="77777777" w:rsidR="00B66973" w:rsidRPr="00181EF3" w:rsidRDefault="00B66973" w:rsidP="00B66973">
            <w:pPr>
              <w:pStyle w:val="TableText"/>
              <w:tabs>
                <w:tab w:val="decimal" w:pos="1247"/>
              </w:tabs>
            </w:pPr>
            <w:r w:rsidRPr="00181EF3">
              <w:t>261 (2.7%)</w:t>
            </w:r>
          </w:p>
        </w:tc>
        <w:tc>
          <w:tcPr>
            <w:tcW w:w="2694" w:type="dxa"/>
            <w:tcBorders>
              <w:top w:val="single" w:sz="4" w:space="0" w:color="A6A6A6" w:themeColor="background1" w:themeShade="A6"/>
              <w:bottom w:val="single" w:sz="4" w:space="0" w:color="A6A6A6" w:themeColor="background1" w:themeShade="A6"/>
            </w:tcBorders>
            <w:shd w:val="clear" w:color="auto" w:fill="auto"/>
          </w:tcPr>
          <w:p w14:paraId="1D6B4D9F" w14:textId="77777777" w:rsidR="00B66973" w:rsidRPr="00181EF3" w:rsidRDefault="00B66973" w:rsidP="00B66973">
            <w:pPr>
              <w:pStyle w:val="TableText"/>
              <w:tabs>
                <w:tab w:val="decimal" w:pos="1247"/>
              </w:tabs>
            </w:pPr>
            <w:r w:rsidRPr="00181EF3">
              <w:t>9,496 (97.3%)</w:t>
            </w:r>
          </w:p>
        </w:tc>
      </w:tr>
      <w:tr w:rsidR="00B66973" w:rsidRPr="00181EF3" w14:paraId="49793E79" w14:textId="77777777" w:rsidTr="00B66973">
        <w:trPr>
          <w:trHeight w:val="220"/>
        </w:trPr>
        <w:tc>
          <w:tcPr>
            <w:tcW w:w="2693" w:type="dxa"/>
            <w:tcBorders>
              <w:top w:val="single" w:sz="4" w:space="0" w:color="A6A6A6" w:themeColor="background1" w:themeShade="A6"/>
              <w:bottom w:val="single" w:sz="4" w:space="0" w:color="A6A6A6" w:themeColor="background1" w:themeShade="A6"/>
            </w:tcBorders>
            <w:shd w:val="clear" w:color="auto" w:fill="auto"/>
          </w:tcPr>
          <w:p w14:paraId="2801AFE3" w14:textId="77777777" w:rsidR="00B66973" w:rsidRPr="00181EF3" w:rsidRDefault="00B66973" w:rsidP="00B66973">
            <w:pPr>
              <w:pStyle w:val="TableText"/>
              <w:jc w:val="center"/>
            </w:pPr>
            <w:r w:rsidRPr="00181EF3">
              <w:t>2008</w:t>
            </w:r>
          </w:p>
        </w:tc>
        <w:tc>
          <w:tcPr>
            <w:tcW w:w="2693" w:type="dxa"/>
            <w:tcBorders>
              <w:top w:val="single" w:sz="4" w:space="0" w:color="A6A6A6" w:themeColor="background1" w:themeShade="A6"/>
              <w:bottom w:val="single" w:sz="4" w:space="0" w:color="A6A6A6" w:themeColor="background1" w:themeShade="A6"/>
            </w:tcBorders>
            <w:shd w:val="clear" w:color="auto" w:fill="auto"/>
          </w:tcPr>
          <w:p w14:paraId="63C54CBD" w14:textId="77777777" w:rsidR="00B66973" w:rsidRPr="00181EF3" w:rsidRDefault="00B66973" w:rsidP="00B66973">
            <w:pPr>
              <w:pStyle w:val="TableText"/>
              <w:tabs>
                <w:tab w:val="decimal" w:pos="1247"/>
              </w:tabs>
            </w:pPr>
            <w:r w:rsidRPr="00181EF3">
              <w:t>328 (3.1%)</w:t>
            </w:r>
          </w:p>
        </w:tc>
        <w:tc>
          <w:tcPr>
            <w:tcW w:w="2694" w:type="dxa"/>
            <w:tcBorders>
              <w:top w:val="single" w:sz="4" w:space="0" w:color="A6A6A6" w:themeColor="background1" w:themeShade="A6"/>
              <w:bottom w:val="single" w:sz="4" w:space="0" w:color="A6A6A6" w:themeColor="background1" w:themeShade="A6"/>
            </w:tcBorders>
            <w:shd w:val="clear" w:color="auto" w:fill="auto"/>
          </w:tcPr>
          <w:p w14:paraId="231DCE1F" w14:textId="77777777" w:rsidR="00B66973" w:rsidRPr="00181EF3" w:rsidRDefault="00B66973" w:rsidP="00B66973">
            <w:pPr>
              <w:pStyle w:val="TableText"/>
              <w:tabs>
                <w:tab w:val="decimal" w:pos="1247"/>
              </w:tabs>
            </w:pPr>
            <w:r w:rsidRPr="00181EF3">
              <w:t>10,224 (96.9%)</w:t>
            </w:r>
          </w:p>
        </w:tc>
      </w:tr>
      <w:tr w:rsidR="00B66973" w:rsidRPr="00181EF3" w14:paraId="3C222D7E" w14:textId="77777777" w:rsidTr="00B66973">
        <w:trPr>
          <w:trHeight w:val="220"/>
        </w:trPr>
        <w:tc>
          <w:tcPr>
            <w:tcW w:w="2693" w:type="dxa"/>
            <w:tcBorders>
              <w:top w:val="single" w:sz="4" w:space="0" w:color="A6A6A6" w:themeColor="background1" w:themeShade="A6"/>
              <w:bottom w:val="single" w:sz="4" w:space="0" w:color="A6A6A6" w:themeColor="background1" w:themeShade="A6"/>
            </w:tcBorders>
            <w:shd w:val="clear" w:color="auto" w:fill="auto"/>
          </w:tcPr>
          <w:p w14:paraId="4B5E7F2C" w14:textId="77777777" w:rsidR="00B66973" w:rsidRPr="00181EF3" w:rsidRDefault="00B66973" w:rsidP="00B66973">
            <w:pPr>
              <w:pStyle w:val="TableText"/>
              <w:jc w:val="center"/>
            </w:pPr>
            <w:r w:rsidRPr="00181EF3">
              <w:t>2009</w:t>
            </w:r>
          </w:p>
        </w:tc>
        <w:tc>
          <w:tcPr>
            <w:tcW w:w="2693" w:type="dxa"/>
            <w:tcBorders>
              <w:top w:val="single" w:sz="4" w:space="0" w:color="A6A6A6" w:themeColor="background1" w:themeShade="A6"/>
              <w:bottom w:val="single" w:sz="4" w:space="0" w:color="A6A6A6" w:themeColor="background1" w:themeShade="A6"/>
            </w:tcBorders>
            <w:shd w:val="clear" w:color="auto" w:fill="auto"/>
          </w:tcPr>
          <w:p w14:paraId="0341A550" w14:textId="77777777" w:rsidR="00B66973" w:rsidRPr="00181EF3" w:rsidRDefault="00B66973" w:rsidP="00B66973">
            <w:pPr>
              <w:pStyle w:val="TableText"/>
              <w:tabs>
                <w:tab w:val="decimal" w:pos="1247"/>
              </w:tabs>
            </w:pPr>
            <w:r w:rsidRPr="00181EF3">
              <w:t>324 (2.9%)</w:t>
            </w:r>
          </w:p>
        </w:tc>
        <w:tc>
          <w:tcPr>
            <w:tcW w:w="2694" w:type="dxa"/>
            <w:tcBorders>
              <w:top w:val="single" w:sz="4" w:space="0" w:color="A6A6A6" w:themeColor="background1" w:themeShade="A6"/>
              <w:bottom w:val="single" w:sz="4" w:space="0" w:color="A6A6A6" w:themeColor="background1" w:themeShade="A6"/>
            </w:tcBorders>
            <w:shd w:val="clear" w:color="auto" w:fill="auto"/>
          </w:tcPr>
          <w:p w14:paraId="086F97E0" w14:textId="77777777" w:rsidR="00B66973" w:rsidRPr="00181EF3" w:rsidRDefault="00B66973" w:rsidP="00B66973">
            <w:pPr>
              <w:pStyle w:val="TableText"/>
              <w:tabs>
                <w:tab w:val="decimal" w:pos="1247"/>
              </w:tabs>
            </w:pPr>
            <w:r w:rsidRPr="00181EF3">
              <w:t>10,665 (97.1%)</w:t>
            </w:r>
          </w:p>
        </w:tc>
      </w:tr>
      <w:tr w:rsidR="00B66973" w:rsidRPr="00181EF3" w14:paraId="7C5A5F58" w14:textId="77777777" w:rsidTr="00B66973">
        <w:trPr>
          <w:trHeight w:val="220"/>
        </w:trPr>
        <w:tc>
          <w:tcPr>
            <w:tcW w:w="2693" w:type="dxa"/>
            <w:tcBorders>
              <w:top w:val="single" w:sz="4" w:space="0" w:color="A6A6A6" w:themeColor="background1" w:themeShade="A6"/>
              <w:bottom w:val="single" w:sz="4" w:space="0" w:color="A6A6A6" w:themeColor="background1" w:themeShade="A6"/>
            </w:tcBorders>
            <w:shd w:val="clear" w:color="auto" w:fill="auto"/>
          </w:tcPr>
          <w:p w14:paraId="0637FF54" w14:textId="77777777" w:rsidR="00B66973" w:rsidRPr="00181EF3" w:rsidRDefault="00B66973" w:rsidP="00B66973">
            <w:pPr>
              <w:pStyle w:val="TableText"/>
              <w:jc w:val="center"/>
            </w:pPr>
            <w:r w:rsidRPr="00181EF3">
              <w:t>2010</w:t>
            </w:r>
          </w:p>
        </w:tc>
        <w:tc>
          <w:tcPr>
            <w:tcW w:w="2693" w:type="dxa"/>
            <w:tcBorders>
              <w:top w:val="single" w:sz="4" w:space="0" w:color="A6A6A6" w:themeColor="background1" w:themeShade="A6"/>
              <w:bottom w:val="single" w:sz="4" w:space="0" w:color="A6A6A6" w:themeColor="background1" w:themeShade="A6"/>
            </w:tcBorders>
            <w:shd w:val="clear" w:color="auto" w:fill="auto"/>
          </w:tcPr>
          <w:p w14:paraId="2D4AE56D" w14:textId="77777777" w:rsidR="00B66973" w:rsidRPr="00181EF3" w:rsidRDefault="00B66973" w:rsidP="00B66973">
            <w:pPr>
              <w:pStyle w:val="TableText"/>
              <w:tabs>
                <w:tab w:val="decimal" w:pos="1247"/>
              </w:tabs>
            </w:pPr>
            <w:r w:rsidRPr="00181EF3">
              <w:t>341 (3.0%)</w:t>
            </w:r>
          </w:p>
        </w:tc>
        <w:tc>
          <w:tcPr>
            <w:tcW w:w="2694" w:type="dxa"/>
            <w:tcBorders>
              <w:top w:val="single" w:sz="4" w:space="0" w:color="A6A6A6" w:themeColor="background1" w:themeShade="A6"/>
              <w:bottom w:val="single" w:sz="4" w:space="0" w:color="A6A6A6" w:themeColor="background1" w:themeShade="A6"/>
            </w:tcBorders>
            <w:shd w:val="clear" w:color="auto" w:fill="auto"/>
          </w:tcPr>
          <w:p w14:paraId="2D504B02" w14:textId="77777777" w:rsidR="00B66973" w:rsidRPr="00181EF3" w:rsidRDefault="00B66973" w:rsidP="00B66973">
            <w:pPr>
              <w:pStyle w:val="TableText"/>
              <w:tabs>
                <w:tab w:val="decimal" w:pos="1247"/>
              </w:tabs>
            </w:pPr>
            <w:r w:rsidRPr="00181EF3">
              <w:t>10,890 (97.0 %)</w:t>
            </w:r>
          </w:p>
        </w:tc>
      </w:tr>
      <w:tr w:rsidR="00B66973" w:rsidRPr="00181EF3" w14:paraId="5FBF2757" w14:textId="77777777" w:rsidTr="00B66973">
        <w:trPr>
          <w:trHeight w:val="220"/>
        </w:trPr>
        <w:tc>
          <w:tcPr>
            <w:tcW w:w="2693" w:type="dxa"/>
            <w:tcBorders>
              <w:top w:val="single" w:sz="4" w:space="0" w:color="A6A6A6" w:themeColor="background1" w:themeShade="A6"/>
              <w:bottom w:val="single" w:sz="4" w:space="0" w:color="A6A6A6" w:themeColor="background1" w:themeShade="A6"/>
            </w:tcBorders>
            <w:shd w:val="clear" w:color="auto" w:fill="auto"/>
          </w:tcPr>
          <w:p w14:paraId="3208A815" w14:textId="77777777" w:rsidR="00B66973" w:rsidRPr="00181EF3" w:rsidRDefault="00B66973" w:rsidP="00B66973">
            <w:pPr>
              <w:pStyle w:val="TableText"/>
              <w:jc w:val="center"/>
            </w:pPr>
            <w:r w:rsidRPr="00181EF3">
              <w:t>2011</w:t>
            </w:r>
          </w:p>
        </w:tc>
        <w:tc>
          <w:tcPr>
            <w:tcW w:w="2693" w:type="dxa"/>
            <w:tcBorders>
              <w:top w:val="single" w:sz="4" w:space="0" w:color="A6A6A6" w:themeColor="background1" w:themeShade="A6"/>
              <w:bottom w:val="single" w:sz="4" w:space="0" w:color="A6A6A6" w:themeColor="background1" w:themeShade="A6"/>
            </w:tcBorders>
            <w:shd w:val="clear" w:color="auto" w:fill="auto"/>
          </w:tcPr>
          <w:p w14:paraId="112503E0" w14:textId="77777777" w:rsidR="00B66973" w:rsidRPr="00181EF3" w:rsidRDefault="00B66973" w:rsidP="00B66973">
            <w:pPr>
              <w:pStyle w:val="TableText"/>
              <w:tabs>
                <w:tab w:val="decimal" w:pos="1247"/>
              </w:tabs>
            </w:pPr>
            <w:r w:rsidRPr="00181EF3">
              <w:t>324 (2.8%)</w:t>
            </w:r>
          </w:p>
        </w:tc>
        <w:tc>
          <w:tcPr>
            <w:tcW w:w="2694" w:type="dxa"/>
            <w:tcBorders>
              <w:top w:val="single" w:sz="4" w:space="0" w:color="A6A6A6" w:themeColor="background1" w:themeShade="A6"/>
              <w:bottom w:val="single" w:sz="4" w:space="0" w:color="A6A6A6" w:themeColor="background1" w:themeShade="A6"/>
            </w:tcBorders>
            <w:shd w:val="clear" w:color="auto" w:fill="auto"/>
          </w:tcPr>
          <w:p w14:paraId="54125E79" w14:textId="77777777" w:rsidR="00B66973" w:rsidRPr="00181EF3" w:rsidRDefault="00B66973" w:rsidP="00B66973">
            <w:pPr>
              <w:pStyle w:val="TableText"/>
              <w:tabs>
                <w:tab w:val="decimal" w:pos="1247"/>
              </w:tabs>
            </w:pPr>
            <w:r w:rsidRPr="00181EF3">
              <w:t>11,194 (97.2%)</w:t>
            </w:r>
          </w:p>
        </w:tc>
      </w:tr>
      <w:tr w:rsidR="00B66973" w:rsidRPr="00181EF3" w14:paraId="5BF63B8D" w14:textId="77777777" w:rsidTr="00B66973">
        <w:trPr>
          <w:trHeight w:val="220"/>
        </w:trPr>
        <w:tc>
          <w:tcPr>
            <w:tcW w:w="2693" w:type="dxa"/>
            <w:tcBorders>
              <w:top w:val="single" w:sz="4" w:space="0" w:color="A6A6A6" w:themeColor="background1" w:themeShade="A6"/>
              <w:bottom w:val="single" w:sz="4" w:space="0" w:color="A6A6A6" w:themeColor="background1" w:themeShade="A6"/>
            </w:tcBorders>
            <w:shd w:val="clear" w:color="auto" w:fill="auto"/>
          </w:tcPr>
          <w:p w14:paraId="43551736" w14:textId="77777777" w:rsidR="00B66973" w:rsidRPr="00181EF3" w:rsidRDefault="00B66973" w:rsidP="00B66973">
            <w:pPr>
              <w:pStyle w:val="TableText"/>
              <w:jc w:val="center"/>
            </w:pPr>
            <w:r w:rsidRPr="00181EF3">
              <w:t>2012</w:t>
            </w:r>
          </w:p>
        </w:tc>
        <w:tc>
          <w:tcPr>
            <w:tcW w:w="2693" w:type="dxa"/>
            <w:tcBorders>
              <w:top w:val="single" w:sz="4" w:space="0" w:color="A6A6A6" w:themeColor="background1" w:themeShade="A6"/>
              <w:bottom w:val="single" w:sz="4" w:space="0" w:color="A6A6A6" w:themeColor="background1" w:themeShade="A6"/>
            </w:tcBorders>
            <w:shd w:val="clear" w:color="auto" w:fill="auto"/>
          </w:tcPr>
          <w:p w14:paraId="32684DF5" w14:textId="77777777" w:rsidR="00B66973" w:rsidRPr="00181EF3" w:rsidRDefault="00B66973" w:rsidP="00B66973">
            <w:pPr>
              <w:pStyle w:val="TableText"/>
              <w:tabs>
                <w:tab w:val="decimal" w:pos="1247"/>
              </w:tabs>
            </w:pPr>
            <w:r w:rsidRPr="00181EF3">
              <w:t>348 (2.9%)</w:t>
            </w:r>
          </w:p>
        </w:tc>
        <w:tc>
          <w:tcPr>
            <w:tcW w:w="2694" w:type="dxa"/>
            <w:tcBorders>
              <w:top w:val="single" w:sz="4" w:space="0" w:color="A6A6A6" w:themeColor="background1" w:themeShade="A6"/>
              <w:bottom w:val="single" w:sz="4" w:space="0" w:color="A6A6A6" w:themeColor="background1" w:themeShade="A6"/>
            </w:tcBorders>
            <w:shd w:val="clear" w:color="auto" w:fill="auto"/>
          </w:tcPr>
          <w:p w14:paraId="66837396" w14:textId="77777777" w:rsidR="00B66973" w:rsidRPr="00181EF3" w:rsidRDefault="00B66973" w:rsidP="00B66973">
            <w:pPr>
              <w:pStyle w:val="TableText"/>
              <w:tabs>
                <w:tab w:val="decimal" w:pos="1247"/>
              </w:tabs>
            </w:pPr>
            <w:r w:rsidRPr="00181EF3">
              <w:t>11,456 (97.1%)</w:t>
            </w:r>
          </w:p>
        </w:tc>
      </w:tr>
      <w:tr w:rsidR="00B66973" w:rsidRPr="00181EF3" w14:paraId="688992C2" w14:textId="77777777" w:rsidTr="00B66973">
        <w:trPr>
          <w:trHeight w:val="220"/>
        </w:trPr>
        <w:tc>
          <w:tcPr>
            <w:tcW w:w="2693" w:type="dxa"/>
            <w:tcBorders>
              <w:top w:val="single" w:sz="4" w:space="0" w:color="A6A6A6" w:themeColor="background1" w:themeShade="A6"/>
              <w:bottom w:val="single" w:sz="4" w:space="0" w:color="A6A6A6" w:themeColor="background1" w:themeShade="A6"/>
            </w:tcBorders>
            <w:shd w:val="clear" w:color="auto" w:fill="auto"/>
          </w:tcPr>
          <w:p w14:paraId="105765F2" w14:textId="77777777" w:rsidR="00B66973" w:rsidRPr="00181EF3" w:rsidRDefault="00B66973" w:rsidP="00B66973">
            <w:pPr>
              <w:pStyle w:val="TableText"/>
              <w:jc w:val="center"/>
            </w:pPr>
            <w:r w:rsidRPr="00181EF3">
              <w:t>2013</w:t>
            </w:r>
          </w:p>
        </w:tc>
        <w:tc>
          <w:tcPr>
            <w:tcW w:w="2693" w:type="dxa"/>
            <w:tcBorders>
              <w:top w:val="single" w:sz="4" w:space="0" w:color="A6A6A6" w:themeColor="background1" w:themeShade="A6"/>
              <w:bottom w:val="single" w:sz="4" w:space="0" w:color="A6A6A6" w:themeColor="background1" w:themeShade="A6"/>
            </w:tcBorders>
            <w:shd w:val="clear" w:color="auto" w:fill="auto"/>
          </w:tcPr>
          <w:p w14:paraId="03EEA09A" w14:textId="77777777" w:rsidR="00B66973" w:rsidRPr="00181EF3" w:rsidRDefault="00B66973" w:rsidP="00B66973">
            <w:pPr>
              <w:pStyle w:val="TableText"/>
              <w:tabs>
                <w:tab w:val="decimal" w:pos="1247"/>
              </w:tabs>
            </w:pPr>
            <w:r w:rsidRPr="00181EF3">
              <w:t>341 (2.8%)</w:t>
            </w:r>
          </w:p>
        </w:tc>
        <w:tc>
          <w:tcPr>
            <w:tcW w:w="2694" w:type="dxa"/>
            <w:tcBorders>
              <w:top w:val="single" w:sz="4" w:space="0" w:color="A6A6A6" w:themeColor="background1" w:themeShade="A6"/>
              <w:bottom w:val="single" w:sz="4" w:space="0" w:color="A6A6A6" w:themeColor="background1" w:themeShade="A6"/>
            </w:tcBorders>
            <w:shd w:val="clear" w:color="auto" w:fill="auto"/>
          </w:tcPr>
          <w:p w14:paraId="7493E372" w14:textId="77777777" w:rsidR="00B66973" w:rsidRPr="00181EF3" w:rsidRDefault="00B66973" w:rsidP="00B66973">
            <w:pPr>
              <w:pStyle w:val="TableText"/>
              <w:tabs>
                <w:tab w:val="decimal" w:pos="1247"/>
              </w:tabs>
            </w:pPr>
            <w:r w:rsidRPr="00181EF3">
              <w:t>11,936 (97.2%)</w:t>
            </w:r>
          </w:p>
        </w:tc>
      </w:tr>
      <w:tr w:rsidR="00B66973" w:rsidRPr="00181EF3" w14:paraId="25C5059E" w14:textId="77777777" w:rsidTr="00B66973">
        <w:trPr>
          <w:trHeight w:val="220"/>
        </w:trPr>
        <w:tc>
          <w:tcPr>
            <w:tcW w:w="2693" w:type="dxa"/>
            <w:tcBorders>
              <w:top w:val="single" w:sz="4" w:space="0" w:color="A6A6A6" w:themeColor="background1" w:themeShade="A6"/>
              <w:bottom w:val="single" w:sz="4" w:space="0" w:color="A6A6A6" w:themeColor="background1" w:themeShade="A6"/>
            </w:tcBorders>
            <w:shd w:val="clear" w:color="auto" w:fill="auto"/>
          </w:tcPr>
          <w:p w14:paraId="00D0108B" w14:textId="77777777" w:rsidR="00B66973" w:rsidRPr="00181EF3" w:rsidRDefault="00B66973" w:rsidP="00B66973">
            <w:pPr>
              <w:pStyle w:val="TableText"/>
              <w:jc w:val="center"/>
            </w:pPr>
            <w:r w:rsidRPr="00181EF3">
              <w:t>2014</w:t>
            </w:r>
          </w:p>
        </w:tc>
        <w:tc>
          <w:tcPr>
            <w:tcW w:w="2693" w:type="dxa"/>
            <w:tcBorders>
              <w:top w:val="single" w:sz="4" w:space="0" w:color="A6A6A6" w:themeColor="background1" w:themeShade="A6"/>
              <w:bottom w:val="single" w:sz="4" w:space="0" w:color="A6A6A6" w:themeColor="background1" w:themeShade="A6"/>
            </w:tcBorders>
            <w:shd w:val="clear" w:color="auto" w:fill="auto"/>
          </w:tcPr>
          <w:p w14:paraId="491765D5" w14:textId="77777777" w:rsidR="00B66973" w:rsidRPr="00181EF3" w:rsidRDefault="00B66973" w:rsidP="00B66973">
            <w:pPr>
              <w:pStyle w:val="TableText"/>
              <w:tabs>
                <w:tab w:val="decimal" w:pos="1247"/>
              </w:tabs>
            </w:pPr>
            <w:r w:rsidRPr="00181EF3">
              <w:t>409 (3.2%)</w:t>
            </w:r>
          </w:p>
        </w:tc>
        <w:tc>
          <w:tcPr>
            <w:tcW w:w="2694" w:type="dxa"/>
            <w:tcBorders>
              <w:top w:val="single" w:sz="4" w:space="0" w:color="A6A6A6" w:themeColor="background1" w:themeShade="A6"/>
              <w:bottom w:val="single" w:sz="4" w:space="0" w:color="A6A6A6" w:themeColor="background1" w:themeShade="A6"/>
            </w:tcBorders>
            <w:shd w:val="clear" w:color="auto" w:fill="auto"/>
          </w:tcPr>
          <w:p w14:paraId="21AA8535" w14:textId="77777777" w:rsidR="00B66973" w:rsidRPr="00181EF3" w:rsidRDefault="00B66973" w:rsidP="00B66973">
            <w:pPr>
              <w:pStyle w:val="TableText"/>
              <w:tabs>
                <w:tab w:val="decimal" w:pos="1247"/>
              </w:tabs>
            </w:pPr>
            <w:r w:rsidRPr="00181EF3">
              <w:t>12,322 (96.8%)</w:t>
            </w:r>
          </w:p>
        </w:tc>
      </w:tr>
      <w:tr w:rsidR="00B66973" w:rsidRPr="00181EF3" w14:paraId="4F118398" w14:textId="77777777" w:rsidTr="00B66973">
        <w:trPr>
          <w:trHeight w:val="220"/>
        </w:trPr>
        <w:tc>
          <w:tcPr>
            <w:tcW w:w="2693" w:type="dxa"/>
            <w:tcBorders>
              <w:top w:val="single" w:sz="4" w:space="0" w:color="A6A6A6" w:themeColor="background1" w:themeShade="A6"/>
              <w:bottom w:val="single" w:sz="4" w:space="0" w:color="A6A6A6" w:themeColor="background1" w:themeShade="A6"/>
            </w:tcBorders>
            <w:shd w:val="clear" w:color="auto" w:fill="auto"/>
          </w:tcPr>
          <w:p w14:paraId="12753D31" w14:textId="77777777" w:rsidR="00B66973" w:rsidRPr="00181EF3" w:rsidRDefault="00B66973" w:rsidP="00B66973">
            <w:pPr>
              <w:pStyle w:val="TableText"/>
              <w:jc w:val="center"/>
            </w:pPr>
            <w:r w:rsidRPr="00181EF3">
              <w:t>2015</w:t>
            </w:r>
          </w:p>
        </w:tc>
        <w:tc>
          <w:tcPr>
            <w:tcW w:w="2693" w:type="dxa"/>
            <w:tcBorders>
              <w:top w:val="single" w:sz="4" w:space="0" w:color="A6A6A6" w:themeColor="background1" w:themeShade="A6"/>
              <w:bottom w:val="single" w:sz="4" w:space="0" w:color="A6A6A6" w:themeColor="background1" w:themeShade="A6"/>
            </w:tcBorders>
            <w:shd w:val="clear" w:color="auto" w:fill="auto"/>
          </w:tcPr>
          <w:p w14:paraId="36B93C85" w14:textId="77777777" w:rsidR="00B66973" w:rsidRPr="00181EF3" w:rsidRDefault="00B66973" w:rsidP="00B66973">
            <w:pPr>
              <w:pStyle w:val="TableText"/>
              <w:tabs>
                <w:tab w:val="decimal" w:pos="1247"/>
              </w:tabs>
            </w:pPr>
            <w:r w:rsidRPr="00181EF3">
              <w:t>452 (3.3%)</w:t>
            </w:r>
          </w:p>
        </w:tc>
        <w:tc>
          <w:tcPr>
            <w:tcW w:w="2694" w:type="dxa"/>
            <w:tcBorders>
              <w:top w:val="single" w:sz="4" w:space="0" w:color="A6A6A6" w:themeColor="background1" w:themeShade="A6"/>
              <w:bottom w:val="single" w:sz="4" w:space="0" w:color="A6A6A6" w:themeColor="background1" w:themeShade="A6"/>
            </w:tcBorders>
            <w:shd w:val="clear" w:color="auto" w:fill="auto"/>
          </w:tcPr>
          <w:p w14:paraId="7B538B3C" w14:textId="77777777" w:rsidR="00B66973" w:rsidRPr="00181EF3" w:rsidRDefault="00B66973" w:rsidP="00B66973">
            <w:pPr>
              <w:pStyle w:val="TableText"/>
              <w:tabs>
                <w:tab w:val="decimal" w:pos="1247"/>
              </w:tabs>
            </w:pPr>
            <w:r w:rsidRPr="00181EF3">
              <w:t>13,447 (96.7%)</w:t>
            </w:r>
          </w:p>
        </w:tc>
      </w:tr>
      <w:tr w:rsidR="00B66973" w:rsidRPr="00181EF3" w14:paraId="21827431" w14:textId="77777777" w:rsidTr="00B66973">
        <w:trPr>
          <w:trHeight w:val="220"/>
        </w:trPr>
        <w:tc>
          <w:tcPr>
            <w:tcW w:w="2693" w:type="dxa"/>
            <w:tcBorders>
              <w:top w:val="single" w:sz="4" w:space="0" w:color="A6A6A6" w:themeColor="background1" w:themeShade="A6"/>
              <w:bottom w:val="single" w:sz="4" w:space="0" w:color="A6A6A6" w:themeColor="background1" w:themeShade="A6"/>
            </w:tcBorders>
            <w:shd w:val="clear" w:color="auto" w:fill="auto"/>
          </w:tcPr>
          <w:p w14:paraId="6DF22F5D" w14:textId="77777777" w:rsidR="00B66973" w:rsidRPr="00181EF3" w:rsidRDefault="00B66973" w:rsidP="00B66973">
            <w:pPr>
              <w:pStyle w:val="TableText"/>
              <w:jc w:val="center"/>
            </w:pPr>
            <w:r w:rsidRPr="00181EF3">
              <w:t>2016</w:t>
            </w:r>
          </w:p>
        </w:tc>
        <w:tc>
          <w:tcPr>
            <w:tcW w:w="2693" w:type="dxa"/>
            <w:tcBorders>
              <w:top w:val="single" w:sz="4" w:space="0" w:color="A6A6A6" w:themeColor="background1" w:themeShade="A6"/>
              <w:bottom w:val="single" w:sz="4" w:space="0" w:color="A6A6A6" w:themeColor="background1" w:themeShade="A6"/>
            </w:tcBorders>
            <w:shd w:val="clear" w:color="auto" w:fill="auto"/>
          </w:tcPr>
          <w:p w14:paraId="7F0FF81F" w14:textId="77777777" w:rsidR="00B66973" w:rsidRPr="00181EF3" w:rsidRDefault="00B66973" w:rsidP="00B66973">
            <w:pPr>
              <w:pStyle w:val="TableText"/>
              <w:tabs>
                <w:tab w:val="decimal" w:pos="1247"/>
              </w:tabs>
            </w:pPr>
            <w:r w:rsidRPr="00181EF3">
              <w:t>465 (3.3%)</w:t>
            </w:r>
          </w:p>
        </w:tc>
        <w:tc>
          <w:tcPr>
            <w:tcW w:w="2694" w:type="dxa"/>
            <w:tcBorders>
              <w:top w:val="single" w:sz="4" w:space="0" w:color="A6A6A6" w:themeColor="background1" w:themeShade="A6"/>
              <w:bottom w:val="single" w:sz="4" w:space="0" w:color="A6A6A6" w:themeColor="background1" w:themeShade="A6"/>
            </w:tcBorders>
            <w:shd w:val="clear" w:color="auto" w:fill="auto"/>
          </w:tcPr>
          <w:p w14:paraId="22AEA87C" w14:textId="77777777" w:rsidR="00B66973" w:rsidRPr="00181EF3" w:rsidRDefault="00B66973" w:rsidP="00B66973">
            <w:pPr>
              <w:pStyle w:val="TableText"/>
              <w:tabs>
                <w:tab w:val="decimal" w:pos="1247"/>
              </w:tabs>
            </w:pPr>
            <w:r w:rsidRPr="00181EF3">
              <w:t>13,695 (96.7%)</w:t>
            </w:r>
          </w:p>
        </w:tc>
      </w:tr>
    </w:tbl>
    <w:p w14:paraId="24B038CB" w14:textId="77777777" w:rsidR="00B66973" w:rsidRPr="00181EF3" w:rsidRDefault="00B66973" w:rsidP="00B66973">
      <w:pPr>
        <w:pStyle w:val="Source"/>
      </w:pPr>
      <w:r w:rsidRPr="00181EF3">
        <w:t>Source: Medical Council of New Zealand, 2004–2016.</w:t>
      </w:r>
    </w:p>
    <w:p w14:paraId="177F980B" w14:textId="77777777" w:rsidR="00B66973" w:rsidRPr="00181EF3" w:rsidRDefault="00B66973" w:rsidP="00B66973"/>
    <w:p w14:paraId="14F89EBD" w14:textId="488BA9AD" w:rsidR="00B16E84" w:rsidRPr="00181EF3" w:rsidRDefault="00B16E84" w:rsidP="00B16E84">
      <w:r w:rsidRPr="00181EF3">
        <w:t>Table 3</w:t>
      </w:r>
      <w:r>
        <w:t>8</w:t>
      </w:r>
      <w:r w:rsidRPr="00181EF3">
        <w:t xml:space="preserve"> shows the estimated number and percentage of Māori and </w:t>
      </w:r>
      <w:r w:rsidR="00EC03A3">
        <w:t>non</w:t>
      </w:r>
      <w:r w:rsidR="00EC03A3">
        <w:noBreakHyphen/>
        <w:t>M</w:t>
      </w:r>
      <w:r w:rsidRPr="00181EF3">
        <w:t>āori covered in the medical employed FTE workforce between 2004 and 2016.</w:t>
      </w:r>
    </w:p>
    <w:p w14:paraId="20EE69BE" w14:textId="77777777" w:rsidR="00B16E84" w:rsidRPr="00181EF3" w:rsidRDefault="00B16E84" w:rsidP="00B16E84"/>
    <w:p w14:paraId="755B5086" w14:textId="6363E138" w:rsidR="00B16E84" w:rsidRPr="00181EF3" w:rsidRDefault="00B16E84" w:rsidP="00B16E84">
      <w:r w:rsidRPr="00181EF3">
        <w:t xml:space="preserve">Despite the number of Māori in the medical employed FTE workforce increasing over time, the percentage of Māori in the workforce did not change much – the average percentage of Māori in the medical employed FTE workforce between 2004 and 2016 was 2.9 percent. The medical employed FTE workforce does not reflect the ethnic population distribution in New Zealand (14.9 percent Māori, 85.1 percent </w:t>
      </w:r>
      <w:r w:rsidR="00EC03A3">
        <w:t>non</w:t>
      </w:r>
      <w:r w:rsidR="00EC03A3">
        <w:noBreakHyphen/>
        <w:t>M</w:t>
      </w:r>
      <w:r w:rsidRPr="00181EF3">
        <w:t>āori).</w:t>
      </w:r>
      <w:r w:rsidRPr="001338CA">
        <w:rPr>
          <w:rStyle w:val="FootnoteReference"/>
        </w:rPr>
        <w:footnoteReference w:id="13"/>
      </w:r>
    </w:p>
    <w:p w14:paraId="4B2D0EDA" w14:textId="77777777" w:rsidR="00B16E84" w:rsidRPr="00181EF3" w:rsidRDefault="00B16E84" w:rsidP="00B16E84"/>
    <w:p w14:paraId="1A9FA9DF" w14:textId="77777777" w:rsidR="00B16E84" w:rsidRDefault="00B16E84" w:rsidP="00B16E84">
      <w:r w:rsidRPr="00181EF3">
        <w:t xml:space="preserve">The workforce population data for senior medical officers, medical officers, general practitioners, registrars, house officers, and probationers and Interns can be found in </w:t>
      </w:r>
      <w:r>
        <w:t>A</w:t>
      </w:r>
      <w:r w:rsidRPr="00181EF3">
        <w:t xml:space="preserve">ppendix </w:t>
      </w:r>
      <w:r>
        <w:t xml:space="preserve">6 </w:t>
      </w:r>
      <w:r w:rsidRPr="00181EF3">
        <w:t xml:space="preserve">in Tables </w:t>
      </w:r>
      <w:r>
        <w:t>A6.4</w:t>
      </w:r>
      <w:r w:rsidRPr="00181EF3">
        <w:t xml:space="preserve">, </w:t>
      </w:r>
      <w:r>
        <w:t>A6.5</w:t>
      </w:r>
      <w:r w:rsidRPr="00181EF3">
        <w:t xml:space="preserve">, </w:t>
      </w:r>
      <w:r>
        <w:t>A6.6</w:t>
      </w:r>
      <w:r w:rsidRPr="00181EF3">
        <w:t xml:space="preserve">, </w:t>
      </w:r>
      <w:r>
        <w:t>A6.7</w:t>
      </w:r>
      <w:r w:rsidRPr="00181EF3">
        <w:t xml:space="preserve">, </w:t>
      </w:r>
      <w:r>
        <w:t>A6.8</w:t>
      </w:r>
      <w:r w:rsidRPr="00181EF3">
        <w:t xml:space="preserve"> and </w:t>
      </w:r>
      <w:r>
        <w:t>A6.9</w:t>
      </w:r>
      <w:r w:rsidRPr="00181EF3">
        <w:t xml:space="preserve"> respectively.</w:t>
      </w:r>
    </w:p>
    <w:p w14:paraId="523C4901" w14:textId="77777777" w:rsidR="001338CA" w:rsidRPr="00181EF3" w:rsidRDefault="001338CA" w:rsidP="00B16E84"/>
    <w:p w14:paraId="7A44A055" w14:textId="77777777" w:rsidR="00B66973" w:rsidRPr="00181EF3" w:rsidRDefault="00B66973" w:rsidP="001338CA">
      <w:pPr>
        <w:pStyle w:val="Heading2"/>
        <w:pageBreakBefore/>
        <w:spacing w:before="0"/>
      </w:pPr>
      <w:bookmarkStart w:id="416" w:name="_Toc19102455"/>
      <w:r w:rsidRPr="00181EF3">
        <w:lastRenderedPageBreak/>
        <w:t>Dental Council of New Zealand – oral health</w:t>
      </w:r>
      <w:bookmarkEnd w:id="416"/>
    </w:p>
    <w:p w14:paraId="4DDB5300" w14:textId="3FB5DE2B" w:rsidR="00B66973" w:rsidRPr="00181EF3" w:rsidRDefault="00B66973" w:rsidP="00B66973">
      <w:pPr>
        <w:pStyle w:val="Table"/>
      </w:pPr>
      <w:bookmarkStart w:id="417" w:name="_Toc18594779"/>
      <w:r w:rsidRPr="00181EF3">
        <w:t xml:space="preserve">Table </w:t>
      </w:r>
      <w:r>
        <w:t>39</w:t>
      </w:r>
      <w:r w:rsidRPr="00181EF3">
        <w:t xml:space="preserve">: Estimated number (percentage in workforce) of Māori and </w:t>
      </w:r>
      <w:r w:rsidR="00EC03A3">
        <w:t>non</w:t>
      </w:r>
      <w:r w:rsidR="00EC03A3">
        <w:noBreakHyphen/>
        <w:t>M</w:t>
      </w:r>
      <w:r w:rsidRPr="00181EF3">
        <w:t>āori in the oral health workforce, 2006–2008 and 2015–2017</w:t>
      </w:r>
      <w:bookmarkEnd w:id="417"/>
    </w:p>
    <w:tbl>
      <w:tblPr>
        <w:tblW w:w="0" w:type="auto"/>
        <w:tblInd w:w="57" w:type="dxa"/>
        <w:tblLayout w:type="fixed"/>
        <w:tblCellMar>
          <w:left w:w="57" w:type="dxa"/>
          <w:right w:w="57" w:type="dxa"/>
        </w:tblCellMar>
        <w:tblLook w:val="04A0" w:firstRow="1" w:lastRow="0" w:firstColumn="1" w:lastColumn="0" w:noHBand="0" w:noVBand="1"/>
      </w:tblPr>
      <w:tblGrid>
        <w:gridCol w:w="2693"/>
        <w:gridCol w:w="2693"/>
        <w:gridCol w:w="2694"/>
      </w:tblGrid>
      <w:tr w:rsidR="00B66973" w:rsidRPr="00181EF3" w14:paraId="4F7541B4" w14:textId="77777777" w:rsidTr="00B66973">
        <w:trPr>
          <w:cantSplit/>
        </w:trPr>
        <w:tc>
          <w:tcPr>
            <w:tcW w:w="8080" w:type="dxa"/>
            <w:gridSpan w:val="3"/>
            <w:shd w:val="clear" w:color="auto" w:fill="D9D9D9" w:themeFill="background1" w:themeFillShade="D9"/>
          </w:tcPr>
          <w:p w14:paraId="720BF2F9" w14:textId="77777777" w:rsidR="00B66973" w:rsidRPr="00181EF3" w:rsidRDefault="00B66973" w:rsidP="00B66973">
            <w:pPr>
              <w:pStyle w:val="TableText"/>
              <w:jc w:val="center"/>
              <w:rPr>
                <w:b/>
              </w:rPr>
            </w:pPr>
            <w:r w:rsidRPr="00181EF3">
              <w:rPr>
                <w:b/>
              </w:rPr>
              <w:t>Oral health (2006–2008 and 2015–2017)</w:t>
            </w:r>
          </w:p>
        </w:tc>
      </w:tr>
      <w:tr w:rsidR="00B66973" w:rsidRPr="00181EF3" w14:paraId="1D9E9690" w14:textId="77777777" w:rsidTr="00B66973">
        <w:trPr>
          <w:cantSplit/>
        </w:trPr>
        <w:tc>
          <w:tcPr>
            <w:tcW w:w="2693" w:type="dxa"/>
            <w:shd w:val="clear" w:color="auto" w:fill="F2F2F2" w:themeFill="background1" w:themeFillShade="F2"/>
          </w:tcPr>
          <w:p w14:paraId="60666AFC" w14:textId="77777777" w:rsidR="00B66973" w:rsidRPr="00181EF3" w:rsidRDefault="00B66973" w:rsidP="00B66973">
            <w:pPr>
              <w:pStyle w:val="TableText"/>
              <w:jc w:val="center"/>
              <w:rPr>
                <w:b/>
              </w:rPr>
            </w:pPr>
            <w:r w:rsidRPr="00181EF3">
              <w:rPr>
                <w:b/>
              </w:rPr>
              <w:t>Year</w:t>
            </w:r>
          </w:p>
        </w:tc>
        <w:tc>
          <w:tcPr>
            <w:tcW w:w="2693" w:type="dxa"/>
            <w:shd w:val="clear" w:color="auto" w:fill="F2F2F2" w:themeFill="background1" w:themeFillShade="F2"/>
          </w:tcPr>
          <w:p w14:paraId="54232228" w14:textId="77777777" w:rsidR="00B66973" w:rsidRPr="00181EF3" w:rsidRDefault="00B66973" w:rsidP="00B66973">
            <w:pPr>
              <w:pStyle w:val="TableText"/>
              <w:jc w:val="center"/>
              <w:rPr>
                <w:b/>
              </w:rPr>
            </w:pPr>
            <w:r w:rsidRPr="00181EF3">
              <w:rPr>
                <w:b/>
              </w:rPr>
              <w:t>Māori</w:t>
            </w:r>
          </w:p>
        </w:tc>
        <w:tc>
          <w:tcPr>
            <w:tcW w:w="2694" w:type="dxa"/>
            <w:shd w:val="clear" w:color="auto" w:fill="F2F2F2" w:themeFill="background1" w:themeFillShade="F2"/>
          </w:tcPr>
          <w:p w14:paraId="62E245DA" w14:textId="5114D5AE" w:rsidR="00B66973" w:rsidRPr="00181EF3" w:rsidRDefault="00EC03A3" w:rsidP="00B66973">
            <w:pPr>
              <w:pStyle w:val="TableText"/>
              <w:jc w:val="center"/>
              <w:rPr>
                <w:b/>
              </w:rPr>
            </w:pPr>
            <w:r>
              <w:rPr>
                <w:b/>
              </w:rPr>
              <w:t>Non</w:t>
            </w:r>
            <w:r>
              <w:rPr>
                <w:b/>
              </w:rPr>
              <w:noBreakHyphen/>
              <w:t>M</w:t>
            </w:r>
            <w:r w:rsidR="00B66973" w:rsidRPr="00181EF3">
              <w:rPr>
                <w:b/>
              </w:rPr>
              <w:t>āori</w:t>
            </w:r>
          </w:p>
        </w:tc>
      </w:tr>
      <w:tr w:rsidR="00B66973" w:rsidRPr="00181EF3" w14:paraId="69304EA0" w14:textId="77777777" w:rsidTr="00B66973">
        <w:trPr>
          <w:cantSplit/>
        </w:trPr>
        <w:tc>
          <w:tcPr>
            <w:tcW w:w="2693" w:type="dxa"/>
            <w:tcBorders>
              <w:bottom w:val="single" w:sz="4" w:space="0" w:color="A6A6A6" w:themeColor="background1" w:themeShade="A6"/>
            </w:tcBorders>
          </w:tcPr>
          <w:p w14:paraId="6802C809" w14:textId="77777777" w:rsidR="00B66973" w:rsidRPr="00181EF3" w:rsidRDefault="00B66973" w:rsidP="00B66973">
            <w:pPr>
              <w:pStyle w:val="TableText"/>
              <w:jc w:val="center"/>
            </w:pPr>
            <w:r w:rsidRPr="00181EF3">
              <w:t>2006</w:t>
            </w:r>
          </w:p>
        </w:tc>
        <w:tc>
          <w:tcPr>
            <w:tcW w:w="2693" w:type="dxa"/>
            <w:tcBorders>
              <w:bottom w:val="single" w:sz="4" w:space="0" w:color="A6A6A6" w:themeColor="background1" w:themeShade="A6"/>
            </w:tcBorders>
          </w:tcPr>
          <w:p w14:paraId="4DC0E42D" w14:textId="77777777" w:rsidR="00B66973" w:rsidRPr="00181EF3" w:rsidRDefault="00B66973" w:rsidP="00B66973">
            <w:pPr>
              <w:pStyle w:val="TableText"/>
              <w:tabs>
                <w:tab w:val="decimal" w:pos="1247"/>
              </w:tabs>
            </w:pPr>
            <w:r w:rsidRPr="00181EF3">
              <w:t>134 (4.4%)</w:t>
            </w:r>
          </w:p>
        </w:tc>
        <w:tc>
          <w:tcPr>
            <w:tcW w:w="2694" w:type="dxa"/>
            <w:tcBorders>
              <w:bottom w:val="single" w:sz="4" w:space="0" w:color="A6A6A6" w:themeColor="background1" w:themeShade="A6"/>
            </w:tcBorders>
          </w:tcPr>
          <w:p w14:paraId="7BFE6331" w14:textId="77777777" w:rsidR="00B66973" w:rsidRPr="00181EF3" w:rsidRDefault="00B66973" w:rsidP="00B66973">
            <w:pPr>
              <w:pStyle w:val="TableText"/>
              <w:tabs>
                <w:tab w:val="decimal" w:pos="1247"/>
              </w:tabs>
            </w:pPr>
            <w:r w:rsidRPr="00181EF3">
              <w:t>2,942 (95.6%)</w:t>
            </w:r>
          </w:p>
        </w:tc>
      </w:tr>
      <w:tr w:rsidR="00B66973" w:rsidRPr="00181EF3" w14:paraId="4EA860D1"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7D454BD4" w14:textId="77777777" w:rsidR="00B66973" w:rsidRPr="00181EF3" w:rsidRDefault="00B66973" w:rsidP="00B66973">
            <w:pPr>
              <w:pStyle w:val="TableText"/>
              <w:jc w:val="center"/>
            </w:pPr>
            <w:r w:rsidRPr="00181EF3">
              <w:t>2007</w:t>
            </w:r>
          </w:p>
        </w:tc>
        <w:tc>
          <w:tcPr>
            <w:tcW w:w="2693" w:type="dxa"/>
            <w:tcBorders>
              <w:top w:val="single" w:sz="4" w:space="0" w:color="A6A6A6" w:themeColor="background1" w:themeShade="A6"/>
              <w:bottom w:val="single" w:sz="4" w:space="0" w:color="A6A6A6" w:themeColor="background1" w:themeShade="A6"/>
            </w:tcBorders>
          </w:tcPr>
          <w:p w14:paraId="667AFFF2" w14:textId="77777777" w:rsidR="00B66973" w:rsidRPr="00181EF3" w:rsidRDefault="00B66973" w:rsidP="00B66973">
            <w:pPr>
              <w:pStyle w:val="TableText"/>
              <w:tabs>
                <w:tab w:val="decimal" w:pos="1247"/>
              </w:tabs>
            </w:pPr>
            <w:r w:rsidRPr="00181EF3">
              <w:t>153 (4.7%)</w:t>
            </w:r>
          </w:p>
        </w:tc>
        <w:tc>
          <w:tcPr>
            <w:tcW w:w="2694" w:type="dxa"/>
            <w:tcBorders>
              <w:top w:val="single" w:sz="4" w:space="0" w:color="A6A6A6" w:themeColor="background1" w:themeShade="A6"/>
              <w:bottom w:val="single" w:sz="4" w:space="0" w:color="A6A6A6" w:themeColor="background1" w:themeShade="A6"/>
            </w:tcBorders>
          </w:tcPr>
          <w:p w14:paraId="17B9D18A" w14:textId="77777777" w:rsidR="00B66973" w:rsidRPr="00181EF3" w:rsidRDefault="00B66973" w:rsidP="00B66973">
            <w:pPr>
              <w:pStyle w:val="TableText"/>
              <w:tabs>
                <w:tab w:val="decimal" w:pos="1247"/>
              </w:tabs>
            </w:pPr>
            <w:r w:rsidRPr="00181EF3">
              <w:t>3,124 (95.3%)</w:t>
            </w:r>
          </w:p>
        </w:tc>
      </w:tr>
      <w:tr w:rsidR="00B66973" w:rsidRPr="00181EF3" w14:paraId="1B89AEBA"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2C9708EB" w14:textId="77777777" w:rsidR="00B66973" w:rsidRPr="00181EF3" w:rsidRDefault="00B66973" w:rsidP="00B66973">
            <w:pPr>
              <w:pStyle w:val="TableText"/>
              <w:jc w:val="center"/>
            </w:pPr>
            <w:r w:rsidRPr="00181EF3">
              <w:t>2008</w:t>
            </w:r>
          </w:p>
        </w:tc>
        <w:tc>
          <w:tcPr>
            <w:tcW w:w="2693" w:type="dxa"/>
            <w:tcBorders>
              <w:top w:val="single" w:sz="4" w:space="0" w:color="A6A6A6" w:themeColor="background1" w:themeShade="A6"/>
              <w:bottom w:val="single" w:sz="4" w:space="0" w:color="A6A6A6" w:themeColor="background1" w:themeShade="A6"/>
            </w:tcBorders>
          </w:tcPr>
          <w:p w14:paraId="393DF4CA" w14:textId="77777777" w:rsidR="00B66973" w:rsidRPr="00181EF3" w:rsidRDefault="00B66973" w:rsidP="00B66973">
            <w:pPr>
              <w:pStyle w:val="TableText"/>
              <w:tabs>
                <w:tab w:val="decimal" w:pos="1247"/>
              </w:tabs>
            </w:pPr>
            <w:r w:rsidRPr="00181EF3">
              <w:t>156 (4.6%)</w:t>
            </w:r>
          </w:p>
        </w:tc>
        <w:tc>
          <w:tcPr>
            <w:tcW w:w="2694" w:type="dxa"/>
            <w:tcBorders>
              <w:top w:val="single" w:sz="4" w:space="0" w:color="A6A6A6" w:themeColor="background1" w:themeShade="A6"/>
              <w:bottom w:val="single" w:sz="4" w:space="0" w:color="A6A6A6" w:themeColor="background1" w:themeShade="A6"/>
            </w:tcBorders>
          </w:tcPr>
          <w:p w14:paraId="18E4C5EC" w14:textId="77777777" w:rsidR="00B66973" w:rsidRPr="00181EF3" w:rsidRDefault="00B66973" w:rsidP="00B66973">
            <w:pPr>
              <w:pStyle w:val="TableText"/>
              <w:tabs>
                <w:tab w:val="decimal" w:pos="1247"/>
              </w:tabs>
            </w:pPr>
            <w:r w:rsidRPr="00181EF3">
              <w:t>3,263 (95.4%)</w:t>
            </w:r>
          </w:p>
        </w:tc>
      </w:tr>
      <w:tr w:rsidR="00B66973" w:rsidRPr="00181EF3" w14:paraId="40A1F568"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0C00CDB2" w14:textId="77777777" w:rsidR="00B66973" w:rsidRPr="00181EF3" w:rsidRDefault="00B66973" w:rsidP="00B66973">
            <w:pPr>
              <w:pStyle w:val="TableText"/>
              <w:jc w:val="center"/>
            </w:pPr>
            <w:r w:rsidRPr="00181EF3">
              <w:t>2009</w:t>
            </w:r>
          </w:p>
        </w:tc>
        <w:tc>
          <w:tcPr>
            <w:tcW w:w="2693" w:type="dxa"/>
            <w:tcBorders>
              <w:top w:val="single" w:sz="4" w:space="0" w:color="A6A6A6" w:themeColor="background1" w:themeShade="A6"/>
              <w:bottom w:val="single" w:sz="4" w:space="0" w:color="A6A6A6" w:themeColor="background1" w:themeShade="A6"/>
            </w:tcBorders>
          </w:tcPr>
          <w:p w14:paraId="15DFDB04" w14:textId="77777777" w:rsidR="00B66973" w:rsidRPr="00181EF3" w:rsidRDefault="00B66973" w:rsidP="00B66973">
            <w:pPr>
              <w:pStyle w:val="TableText"/>
              <w:tabs>
                <w:tab w:val="decimal" w:pos="1247"/>
              </w:tabs>
            </w:pPr>
            <w:r w:rsidRPr="00181EF3">
              <w:t>–</w:t>
            </w:r>
          </w:p>
        </w:tc>
        <w:tc>
          <w:tcPr>
            <w:tcW w:w="2694" w:type="dxa"/>
            <w:tcBorders>
              <w:top w:val="single" w:sz="4" w:space="0" w:color="A6A6A6" w:themeColor="background1" w:themeShade="A6"/>
              <w:bottom w:val="single" w:sz="4" w:space="0" w:color="A6A6A6" w:themeColor="background1" w:themeShade="A6"/>
            </w:tcBorders>
          </w:tcPr>
          <w:p w14:paraId="47E1E884" w14:textId="77777777" w:rsidR="00B66973" w:rsidRPr="00181EF3" w:rsidRDefault="00B66973" w:rsidP="00B66973">
            <w:pPr>
              <w:pStyle w:val="TableText"/>
              <w:tabs>
                <w:tab w:val="decimal" w:pos="1247"/>
              </w:tabs>
            </w:pPr>
            <w:r w:rsidRPr="00181EF3">
              <w:t>–</w:t>
            </w:r>
          </w:p>
        </w:tc>
      </w:tr>
      <w:tr w:rsidR="00B66973" w:rsidRPr="00181EF3" w14:paraId="33D740A0"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20506E60" w14:textId="77777777" w:rsidR="00B66973" w:rsidRPr="00181EF3" w:rsidRDefault="00B66973" w:rsidP="00B66973">
            <w:pPr>
              <w:pStyle w:val="TableText"/>
              <w:jc w:val="center"/>
            </w:pPr>
            <w:r w:rsidRPr="00181EF3">
              <w:t>2010</w:t>
            </w:r>
          </w:p>
        </w:tc>
        <w:tc>
          <w:tcPr>
            <w:tcW w:w="2693" w:type="dxa"/>
            <w:tcBorders>
              <w:top w:val="single" w:sz="4" w:space="0" w:color="A6A6A6" w:themeColor="background1" w:themeShade="A6"/>
              <w:bottom w:val="single" w:sz="4" w:space="0" w:color="A6A6A6" w:themeColor="background1" w:themeShade="A6"/>
            </w:tcBorders>
          </w:tcPr>
          <w:p w14:paraId="48A71950" w14:textId="77777777" w:rsidR="00B66973" w:rsidRPr="00181EF3" w:rsidRDefault="00B66973" w:rsidP="00B66973">
            <w:pPr>
              <w:pStyle w:val="TableText"/>
              <w:tabs>
                <w:tab w:val="decimal" w:pos="1247"/>
              </w:tabs>
            </w:pPr>
            <w:r w:rsidRPr="00181EF3">
              <w:t>–</w:t>
            </w:r>
          </w:p>
        </w:tc>
        <w:tc>
          <w:tcPr>
            <w:tcW w:w="2694" w:type="dxa"/>
            <w:tcBorders>
              <w:top w:val="single" w:sz="4" w:space="0" w:color="A6A6A6" w:themeColor="background1" w:themeShade="A6"/>
              <w:bottom w:val="single" w:sz="4" w:space="0" w:color="A6A6A6" w:themeColor="background1" w:themeShade="A6"/>
            </w:tcBorders>
          </w:tcPr>
          <w:p w14:paraId="4D82F3FE" w14:textId="77777777" w:rsidR="00B66973" w:rsidRPr="00181EF3" w:rsidRDefault="00B66973" w:rsidP="00B66973">
            <w:pPr>
              <w:pStyle w:val="TableText"/>
              <w:tabs>
                <w:tab w:val="decimal" w:pos="1247"/>
              </w:tabs>
            </w:pPr>
            <w:r w:rsidRPr="00181EF3">
              <w:t>–</w:t>
            </w:r>
          </w:p>
        </w:tc>
      </w:tr>
      <w:tr w:rsidR="00B66973" w:rsidRPr="00181EF3" w14:paraId="4DF437C1"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63D6FC6F" w14:textId="77777777" w:rsidR="00B66973" w:rsidRPr="00181EF3" w:rsidRDefault="00B66973" w:rsidP="00B66973">
            <w:pPr>
              <w:pStyle w:val="TableText"/>
              <w:jc w:val="center"/>
            </w:pPr>
            <w:r w:rsidRPr="00181EF3">
              <w:t>2011</w:t>
            </w:r>
          </w:p>
        </w:tc>
        <w:tc>
          <w:tcPr>
            <w:tcW w:w="2693" w:type="dxa"/>
            <w:tcBorders>
              <w:top w:val="single" w:sz="4" w:space="0" w:color="A6A6A6" w:themeColor="background1" w:themeShade="A6"/>
              <w:bottom w:val="single" w:sz="4" w:space="0" w:color="A6A6A6" w:themeColor="background1" w:themeShade="A6"/>
            </w:tcBorders>
          </w:tcPr>
          <w:p w14:paraId="499F2503" w14:textId="77777777" w:rsidR="00B66973" w:rsidRPr="00181EF3" w:rsidRDefault="00B66973" w:rsidP="00B66973">
            <w:pPr>
              <w:pStyle w:val="TableText"/>
              <w:tabs>
                <w:tab w:val="decimal" w:pos="1247"/>
              </w:tabs>
            </w:pPr>
            <w:r w:rsidRPr="00181EF3">
              <w:t>–</w:t>
            </w:r>
          </w:p>
        </w:tc>
        <w:tc>
          <w:tcPr>
            <w:tcW w:w="2694" w:type="dxa"/>
            <w:tcBorders>
              <w:top w:val="single" w:sz="4" w:space="0" w:color="A6A6A6" w:themeColor="background1" w:themeShade="A6"/>
              <w:bottom w:val="single" w:sz="4" w:space="0" w:color="A6A6A6" w:themeColor="background1" w:themeShade="A6"/>
            </w:tcBorders>
          </w:tcPr>
          <w:p w14:paraId="795BB323" w14:textId="77777777" w:rsidR="00B66973" w:rsidRPr="00181EF3" w:rsidRDefault="00B66973" w:rsidP="00B66973">
            <w:pPr>
              <w:pStyle w:val="TableText"/>
              <w:tabs>
                <w:tab w:val="decimal" w:pos="1247"/>
              </w:tabs>
            </w:pPr>
            <w:r w:rsidRPr="00181EF3">
              <w:t>–</w:t>
            </w:r>
          </w:p>
        </w:tc>
      </w:tr>
      <w:tr w:rsidR="00B66973" w:rsidRPr="00181EF3" w14:paraId="699C9037"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2D0BD2A3" w14:textId="77777777" w:rsidR="00B66973" w:rsidRPr="00181EF3" w:rsidRDefault="00B66973" w:rsidP="00B66973">
            <w:pPr>
              <w:pStyle w:val="TableText"/>
              <w:jc w:val="center"/>
            </w:pPr>
            <w:r w:rsidRPr="00181EF3">
              <w:t>2012</w:t>
            </w:r>
          </w:p>
        </w:tc>
        <w:tc>
          <w:tcPr>
            <w:tcW w:w="2693" w:type="dxa"/>
            <w:tcBorders>
              <w:top w:val="single" w:sz="4" w:space="0" w:color="A6A6A6" w:themeColor="background1" w:themeShade="A6"/>
              <w:bottom w:val="single" w:sz="4" w:space="0" w:color="A6A6A6" w:themeColor="background1" w:themeShade="A6"/>
            </w:tcBorders>
          </w:tcPr>
          <w:p w14:paraId="399C83CB" w14:textId="77777777" w:rsidR="00B66973" w:rsidRPr="00181EF3" w:rsidRDefault="00B66973" w:rsidP="00B66973">
            <w:pPr>
              <w:pStyle w:val="TableText"/>
              <w:tabs>
                <w:tab w:val="decimal" w:pos="1247"/>
              </w:tabs>
            </w:pPr>
            <w:r w:rsidRPr="00181EF3">
              <w:t>–</w:t>
            </w:r>
          </w:p>
        </w:tc>
        <w:tc>
          <w:tcPr>
            <w:tcW w:w="2694" w:type="dxa"/>
            <w:tcBorders>
              <w:top w:val="single" w:sz="4" w:space="0" w:color="A6A6A6" w:themeColor="background1" w:themeShade="A6"/>
              <w:bottom w:val="single" w:sz="4" w:space="0" w:color="A6A6A6" w:themeColor="background1" w:themeShade="A6"/>
            </w:tcBorders>
          </w:tcPr>
          <w:p w14:paraId="4478CEA6" w14:textId="77777777" w:rsidR="00B66973" w:rsidRPr="00181EF3" w:rsidRDefault="00B66973" w:rsidP="00B66973">
            <w:pPr>
              <w:pStyle w:val="TableText"/>
              <w:tabs>
                <w:tab w:val="decimal" w:pos="1247"/>
              </w:tabs>
            </w:pPr>
            <w:r w:rsidRPr="00181EF3">
              <w:t>–</w:t>
            </w:r>
          </w:p>
        </w:tc>
      </w:tr>
      <w:tr w:rsidR="00B66973" w:rsidRPr="00181EF3" w14:paraId="6CE5B745"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36558CFC" w14:textId="77777777" w:rsidR="00B66973" w:rsidRPr="00181EF3" w:rsidRDefault="00B66973" w:rsidP="00B66973">
            <w:pPr>
              <w:pStyle w:val="TableText"/>
              <w:jc w:val="center"/>
            </w:pPr>
            <w:r w:rsidRPr="00181EF3">
              <w:t>2013</w:t>
            </w:r>
          </w:p>
        </w:tc>
        <w:tc>
          <w:tcPr>
            <w:tcW w:w="2693" w:type="dxa"/>
            <w:tcBorders>
              <w:top w:val="single" w:sz="4" w:space="0" w:color="A6A6A6" w:themeColor="background1" w:themeShade="A6"/>
              <w:bottom w:val="single" w:sz="4" w:space="0" w:color="A6A6A6" w:themeColor="background1" w:themeShade="A6"/>
            </w:tcBorders>
          </w:tcPr>
          <w:p w14:paraId="0B0E74D2" w14:textId="77777777" w:rsidR="00B66973" w:rsidRPr="00181EF3" w:rsidRDefault="00B66973" w:rsidP="00B66973">
            <w:pPr>
              <w:pStyle w:val="TableText"/>
              <w:tabs>
                <w:tab w:val="decimal" w:pos="1247"/>
              </w:tabs>
            </w:pPr>
            <w:r w:rsidRPr="00181EF3">
              <w:t>–</w:t>
            </w:r>
          </w:p>
        </w:tc>
        <w:tc>
          <w:tcPr>
            <w:tcW w:w="2694" w:type="dxa"/>
            <w:tcBorders>
              <w:top w:val="single" w:sz="4" w:space="0" w:color="A6A6A6" w:themeColor="background1" w:themeShade="A6"/>
              <w:bottom w:val="single" w:sz="4" w:space="0" w:color="A6A6A6" w:themeColor="background1" w:themeShade="A6"/>
            </w:tcBorders>
          </w:tcPr>
          <w:p w14:paraId="44A44487" w14:textId="77777777" w:rsidR="00B66973" w:rsidRPr="00181EF3" w:rsidRDefault="00B66973" w:rsidP="00B66973">
            <w:pPr>
              <w:pStyle w:val="TableText"/>
              <w:tabs>
                <w:tab w:val="decimal" w:pos="1247"/>
              </w:tabs>
            </w:pPr>
            <w:r w:rsidRPr="00181EF3">
              <w:t>–</w:t>
            </w:r>
          </w:p>
        </w:tc>
      </w:tr>
      <w:tr w:rsidR="00B66973" w:rsidRPr="00181EF3" w14:paraId="11A0F363"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43B4D62A" w14:textId="77777777" w:rsidR="00B66973" w:rsidRPr="00181EF3" w:rsidRDefault="00B66973" w:rsidP="00B66973">
            <w:pPr>
              <w:pStyle w:val="TableText"/>
              <w:jc w:val="center"/>
            </w:pPr>
            <w:r w:rsidRPr="00181EF3">
              <w:t>2014</w:t>
            </w:r>
          </w:p>
        </w:tc>
        <w:tc>
          <w:tcPr>
            <w:tcW w:w="2693" w:type="dxa"/>
            <w:tcBorders>
              <w:top w:val="single" w:sz="4" w:space="0" w:color="A6A6A6" w:themeColor="background1" w:themeShade="A6"/>
              <w:bottom w:val="single" w:sz="4" w:space="0" w:color="A6A6A6" w:themeColor="background1" w:themeShade="A6"/>
            </w:tcBorders>
          </w:tcPr>
          <w:p w14:paraId="0B88EC17" w14:textId="77777777" w:rsidR="00B66973" w:rsidRPr="00181EF3" w:rsidRDefault="00B66973" w:rsidP="00B66973">
            <w:pPr>
              <w:pStyle w:val="TableText"/>
              <w:tabs>
                <w:tab w:val="decimal" w:pos="1247"/>
              </w:tabs>
            </w:pPr>
            <w:r w:rsidRPr="00181EF3">
              <w:t>–</w:t>
            </w:r>
          </w:p>
        </w:tc>
        <w:tc>
          <w:tcPr>
            <w:tcW w:w="2694" w:type="dxa"/>
            <w:tcBorders>
              <w:top w:val="single" w:sz="4" w:space="0" w:color="A6A6A6" w:themeColor="background1" w:themeShade="A6"/>
              <w:bottom w:val="single" w:sz="4" w:space="0" w:color="A6A6A6" w:themeColor="background1" w:themeShade="A6"/>
            </w:tcBorders>
          </w:tcPr>
          <w:p w14:paraId="1ED5F83D" w14:textId="77777777" w:rsidR="00B66973" w:rsidRPr="00181EF3" w:rsidRDefault="00B66973" w:rsidP="00B66973">
            <w:pPr>
              <w:pStyle w:val="TableText"/>
              <w:tabs>
                <w:tab w:val="decimal" w:pos="1247"/>
              </w:tabs>
            </w:pPr>
            <w:r w:rsidRPr="00181EF3">
              <w:t>–</w:t>
            </w:r>
          </w:p>
        </w:tc>
      </w:tr>
      <w:tr w:rsidR="00B66973" w:rsidRPr="00181EF3" w14:paraId="1E6C983A"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66A5CB6B" w14:textId="77777777" w:rsidR="00B66973" w:rsidRPr="00181EF3" w:rsidRDefault="00B66973" w:rsidP="00B66973">
            <w:pPr>
              <w:pStyle w:val="TableText"/>
              <w:jc w:val="center"/>
            </w:pPr>
            <w:r w:rsidRPr="00181EF3">
              <w:t>2015</w:t>
            </w:r>
          </w:p>
        </w:tc>
        <w:tc>
          <w:tcPr>
            <w:tcW w:w="2693" w:type="dxa"/>
            <w:tcBorders>
              <w:top w:val="single" w:sz="4" w:space="0" w:color="A6A6A6" w:themeColor="background1" w:themeShade="A6"/>
              <w:bottom w:val="single" w:sz="4" w:space="0" w:color="A6A6A6" w:themeColor="background1" w:themeShade="A6"/>
            </w:tcBorders>
          </w:tcPr>
          <w:p w14:paraId="0179B964" w14:textId="77777777" w:rsidR="00B66973" w:rsidRPr="00181EF3" w:rsidRDefault="00B66973" w:rsidP="00B66973">
            <w:pPr>
              <w:pStyle w:val="TableText"/>
              <w:tabs>
                <w:tab w:val="decimal" w:pos="1247"/>
              </w:tabs>
            </w:pPr>
            <w:r w:rsidRPr="00181EF3">
              <w:t>164 (4.3%)</w:t>
            </w:r>
          </w:p>
        </w:tc>
        <w:tc>
          <w:tcPr>
            <w:tcW w:w="2694" w:type="dxa"/>
            <w:tcBorders>
              <w:top w:val="single" w:sz="4" w:space="0" w:color="A6A6A6" w:themeColor="background1" w:themeShade="A6"/>
              <w:bottom w:val="single" w:sz="4" w:space="0" w:color="A6A6A6" w:themeColor="background1" w:themeShade="A6"/>
            </w:tcBorders>
          </w:tcPr>
          <w:p w14:paraId="35C9EBEC" w14:textId="77777777" w:rsidR="00B66973" w:rsidRPr="00181EF3" w:rsidRDefault="00B66973" w:rsidP="00B66973">
            <w:pPr>
              <w:pStyle w:val="TableText"/>
              <w:tabs>
                <w:tab w:val="decimal" w:pos="1247"/>
              </w:tabs>
            </w:pPr>
            <w:r w:rsidRPr="00181EF3">
              <w:t>3,658 (95.7%)</w:t>
            </w:r>
          </w:p>
        </w:tc>
      </w:tr>
      <w:tr w:rsidR="00B66973" w:rsidRPr="00181EF3" w14:paraId="15DED2DB"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47189FB1" w14:textId="77777777" w:rsidR="00B66973" w:rsidRPr="00181EF3" w:rsidRDefault="00B66973" w:rsidP="00B66973">
            <w:pPr>
              <w:pStyle w:val="TableText"/>
              <w:jc w:val="center"/>
            </w:pPr>
            <w:r w:rsidRPr="00181EF3">
              <w:t>2016</w:t>
            </w:r>
          </w:p>
        </w:tc>
        <w:tc>
          <w:tcPr>
            <w:tcW w:w="2693" w:type="dxa"/>
            <w:tcBorders>
              <w:top w:val="single" w:sz="4" w:space="0" w:color="A6A6A6" w:themeColor="background1" w:themeShade="A6"/>
              <w:bottom w:val="single" w:sz="4" w:space="0" w:color="A6A6A6" w:themeColor="background1" w:themeShade="A6"/>
            </w:tcBorders>
          </w:tcPr>
          <w:p w14:paraId="16B3331A" w14:textId="77777777" w:rsidR="00B66973" w:rsidRPr="00181EF3" w:rsidRDefault="00B66973" w:rsidP="00B66973">
            <w:pPr>
              <w:pStyle w:val="TableText"/>
              <w:tabs>
                <w:tab w:val="decimal" w:pos="1247"/>
              </w:tabs>
            </w:pPr>
            <w:r w:rsidRPr="00181EF3">
              <w:t>183 (4.6%)</w:t>
            </w:r>
          </w:p>
        </w:tc>
        <w:tc>
          <w:tcPr>
            <w:tcW w:w="2694" w:type="dxa"/>
            <w:tcBorders>
              <w:top w:val="single" w:sz="4" w:space="0" w:color="A6A6A6" w:themeColor="background1" w:themeShade="A6"/>
              <w:bottom w:val="single" w:sz="4" w:space="0" w:color="A6A6A6" w:themeColor="background1" w:themeShade="A6"/>
            </w:tcBorders>
          </w:tcPr>
          <w:p w14:paraId="73BC3233" w14:textId="77777777" w:rsidR="00B66973" w:rsidRPr="00181EF3" w:rsidRDefault="00B66973" w:rsidP="00B66973">
            <w:pPr>
              <w:pStyle w:val="TableText"/>
              <w:tabs>
                <w:tab w:val="decimal" w:pos="1247"/>
              </w:tabs>
            </w:pPr>
            <w:r w:rsidRPr="00181EF3">
              <w:t>3,764 (95.4%)</w:t>
            </w:r>
          </w:p>
        </w:tc>
      </w:tr>
      <w:tr w:rsidR="00B66973" w:rsidRPr="00181EF3" w14:paraId="506F3811"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204BC6A5" w14:textId="77777777" w:rsidR="00B66973" w:rsidRPr="00181EF3" w:rsidRDefault="00B66973" w:rsidP="00B66973">
            <w:pPr>
              <w:pStyle w:val="TableText"/>
              <w:jc w:val="center"/>
            </w:pPr>
            <w:r w:rsidRPr="00181EF3">
              <w:t>2017</w:t>
            </w:r>
          </w:p>
        </w:tc>
        <w:tc>
          <w:tcPr>
            <w:tcW w:w="2693" w:type="dxa"/>
            <w:tcBorders>
              <w:top w:val="single" w:sz="4" w:space="0" w:color="A6A6A6" w:themeColor="background1" w:themeShade="A6"/>
              <w:bottom w:val="single" w:sz="4" w:space="0" w:color="A6A6A6" w:themeColor="background1" w:themeShade="A6"/>
            </w:tcBorders>
          </w:tcPr>
          <w:p w14:paraId="16106C6E" w14:textId="77777777" w:rsidR="00B66973" w:rsidRPr="00181EF3" w:rsidRDefault="00B66973" w:rsidP="00B66973">
            <w:pPr>
              <w:pStyle w:val="TableText"/>
              <w:tabs>
                <w:tab w:val="decimal" w:pos="1247"/>
              </w:tabs>
            </w:pPr>
            <w:r w:rsidRPr="00181EF3">
              <w:t>171 (4.2%)</w:t>
            </w:r>
          </w:p>
        </w:tc>
        <w:tc>
          <w:tcPr>
            <w:tcW w:w="2694" w:type="dxa"/>
            <w:tcBorders>
              <w:top w:val="single" w:sz="4" w:space="0" w:color="A6A6A6" w:themeColor="background1" w:themeShade="A6"/>
              <w:bottom w:val="single" w:sz="4" w:space="0" w:color="A6A6A6" w:themeColor="background1" w:themeShade="A6"/>
            </w:tcBorders>
          </w:tcPr>
          <w:p w14:paraId="0F1C6C30" w14:textId="77777777" w:rsidR="00B66973" w:rsidRPr="00181EF3" w:rsidRDefault="00B66973" w:rsidP="00B66973">
            <w:pPr>
              <w:pStyle w:val="TableText"/>
              <w:tabs>
                <w:tab w:val="decimal" w:pos="1247"/>
              </w:tabs>
            </w:pPr>
            <w:r w:rsidRPr="00181EF3">
              <w:t>3,853 (95.8%)</w:t>
            </w:r>
          </w:p>
        </w:tc>
      </w:tr>
    </w:tbl>
    <w:p w14:paraId="55C6BAB8" w14:textId="77777777" w:rsidR="00B66973" w:rsidRPr="00181EF3" w:rsidRDefault="00B66973" w:rsidP="00B66973">
      <w:pPr>
        <w:pStyle w:val="Source"/>
      </w:pPr>
      <w:r w:rsidRPr="00181EF3">
        <w:t>Source: Dental Council of New Zealand, 2006–2008 and 2015–2017.</w:t>
      </w:r>
    </w:p>
    <w:p w14:paraId="43F5F6D1" w14:textId="77777777" w:rsidR="00B66973" w:rsidRPr="00181EF3" w:rsidRDefault="00B66973" w:rsidP="00B66973"/>
    <w:p w14:paraId="4E0A7ED3" w14:textId="3947C0CF" w:rsidR="00B16E84" w:rsidRPr="00181EF3" w:rsidRDefault="00B16E84" w:rsidP="00B16E84">
      <w:r w:rsidRPr="00181EF3">
        <w:t xml:space="preserve">Table </w:t>
      </w:r>
      <w:r>
        <w:t>39</w:t>
      </w:r>
      <w:r w:rsidRPr="00181EF3">
        <w:t xml:space="preserve"> shows the estimated number and percentage of Māori and </w:t>
      </w:r>
      <w:r w:rsidR="00EC03A3">
        <w:t>non</w:t>
      </w:r>
      <w:r w:rsidR="00EC03A3">
        <w:noBreakHyphen/>
        <w:t>M</w:t>
      </w:r>
      <w:r w:rsidRPr="00181EF3">
        <w:t>āori in the oral health workforce – a summation of dentists, hygienists, technologists and therapists, from 2006 to 2008 and 2015 to 2017.</w:t>
      </w:r>
    </w:p>
    <w:p w14:paraId="03B048C3" w14:textId="77777777" w:rsidR="00B16E84" w:rsidRPr="00181EF3" w:rsidRDefault="00B16E84" w:rsidP="00B16E84"/>
    <w:p w14:paraId="1CE407BB" w14:textId="09753631" w:rsidR="00B16E84" w:rsidRDefault="00B16E84" w:rsidP="00B16E84">
      <w:r w:rsidRPr="00181EF3">
        <w:t xml:space="preserve">Despite the number of Māori in the oral health workforce increasing over time, the percentage of Māori in the workforce did not change much – the average percentage of Māori in the oral health workforce from 2006 to 2008 and 2015 to 2017 was 4.1 percent (average of 106 Māori oral health workers, compared </w:t>
      </w:r>
      <w:r w:rsidR="00FF1892">
        <w:t>with</w:t>
      </w:r>
      <w:r w:rsidR="00FF1892" w:rsidRPr="00181EF3">
        <w:t xml:space="preserve"> </w:t>
      </w:r>
      <w:r w:rsidRPr="00181EF3">
        <w:t xml:space="preserve">an average of 3,434 </w:t>
      </w:r>
      <w:r w:rsidR="00EC03A3">
        <w:t>non</w:t>
      </w:r>
      <w:r w:rsidR="00EC03A3">
        <w:noBreakHyphen/>
        <w:t>M</w:t>
      </w:r>
      <w:r w:rsidRPr="00181EF3">
        <w:t xml:space="preserve">āori). The oral health workforce does not reflect the ethnic population distribution in New Zealand (14.9 percent Māori, 85.1 percent </w:t>
      </w:r>
      <w:r w:rsidR="00EC03A3">
        <w:t>non</w:t>
      </w:r>
      <w:r w:rsidR="00EC03A3">
        <w:noBreakHyphen/>
        <w:t>M</w:t>
      </w:r>
      <w:r w:rsidRPr="00181EF3">
        <w:t>āori).</w:t>
      </w:r>
      <w:r w:rsidRPr="001338CA">
        <w:rPr>
          <w:rStyle w:val="FootnoteReference"/>
        </w:rPr>
        <w:footnoteReference w:id="14"/>
      </w:r>
    </w:p>
    <w:p w14:paraId="206F2AF7" w14:textId="77777777" w:rsidR="001338CA" w:rsidRPr="00181EF3" w:rsidRDefault="001338CA" w:rsidP="001338CA"/>
    <w:p w14:paraId="4721CFD7" w14:textId="77777777" w:rsidR="00B66973" w:rsidRPr="00181EF3" w:rsidRDefault="00B66973" w:rsidP="001338CA">
      <w:pPr>
        <w:pStyle w:val="Heading2"/>
        <w:pageBreakBefore/>
        <w:spacing w:before="0"/>
      </w:pPr>
      <w:bookmarkStart w:id="418" w:name="_Toc19102456"/>
      <w:r w:rsidRPr="00181EF3">
        <w:lastRenderedPageBreak/>
        <w:t>New Zealand Physiotherapists Board – physiotherapists</w:t>
      </w:r>
      <w:bookmarkEnd w:id="418"/>
    </w:p>
    <w:p w14:paraId="6BCB05B4" w14:textId="2A5FC08B" w:rsidR="00B66973" w:rsidRPr="00181EF3" w:rsidRDefault="00B66973" w:rsidP="00B66973">
      <w:pPr>
        <w:pStyle w:val="Table"/>
      </w:pPr>
      <w:bookmarkStart w:id="419" w:name="_Toc18594780"/>
      <w:r w:rsidRPr="00181EF3">
        <w:t xml:space="preserve">Table </w:t>
      </w:r>
      <w:r>
        <w:t>40</w:t>
      </w:r>
      <w:r w:rsidRPr="00181EF3">
        <w:t xml:space="preserve">: Estimated number (percentage in workforce) of Māori and </w:t>
      </w:r>
      <w:r w:rsidR="00EC03A3">
        <w:t>non</w:t>
      </w:r>
      <w:r w:rsidR="00EC03A3">
        <w:noBreakHyphen/>
        <w:t>M</w:t>
      </w:r>
      <w:r w:rsidRPr="00181EF3">
        <w:t>āori in the physiotherapy workforce, 2005</w:t>
      </w:r>
      <w:r>
        <w:t>, 2007</w:t>
      </w:r>
      <w:r w:rsidRPr="00181EF3">
        <w:t>–2010 and 2014–2018</w:t>
      </w:r>
      <w:bookmarkEnd w:id="419"/>
    </w:p>
    <w:tbl>
      <w:tblPr>
        <w:tblW w:w="0" w:type="auto"/>
        <w:tblInd w:w="57" w:type="dxa"/>
        <w:tblLayout w:type="fixed"/>
        <w:tblCellMar>
          <w:left w:w="57" w:type="dxa"/>
          <w:right w:w="57" w:type="dxa"/>
        </w:tblCellMar>
        <w:tblLook w:val="04A0" w:firstRow="1" w:lastRow="0" w:firstColumn="1" w:lastColumn="0" w:noHBand="0" w:noVBand="1"/>
      </w:tblPr>
      <w:tblGrid>
        <w:gridCol w:w="2693"/>
        <w:gridCol w:w="2693"/>
        <w:gridCol w:w="2694"/>
      </w:tblGrid>
      <w:tr w:rsidR="00B66973" w:rsidRPr="00181EF3" w14:paraId="265E0A7D" w14:textId="77777777" w:rsidTr="00B66973">
        <w:trPr>
          <w:cantSplit/>
        </w:trPr>
        <w:tc>
          <w:tcPr>
            <w:tcW w:w="8080" w:type="dxa"/>
            <w:gridSpan w:val="3"/>
            <w:shd w:val="clear" w:color="auto" w:fill="D9D9D9" w:themeFill="background1" w:themeFillShade="D9"/>
          </w:tcPr>
          <w:p w14:paraId="66A6C199" w14:textId="77777777" w:rsidR="00B66973" w:rsidRPr="00181EF3" w:rsidRDefault="00B66973" w:rsidP="00B66973">
            <w:pPr>
              <w:pStyle w:val="TableText"/>
              <w:jc w:val="center"/>
              <w:rPr>
                <w:b/>
              </w:rPr>
            </w:pPr>
            <w:r w:rsidRPr="00181EF3">
              <w:rPr>
                <w:b/>
              </w:rPr>
              <w:t>Physiotherapy (2005–2010 and 2014–2018)</w:t>
            </w:r>
          </w:p>
        </w:tc>
      </w:tr>
      <w:tr w:rsidR="00B66973" w:rsidRPr="00181EF3" w14:paraId="448EA9D2" w14:textId="77777777" w:rsidTr="00B66973">
        <w:trPr>
          <w:cantSplit/>
        </w:trPr>
        <w:tc>
          <w:tcPr>
            <w:tcW w:w="2693" w:type="dxa"/>
            <w:shd w:val="clear" w:color="auto" w:fill="F2F2F2" w:themeFill="background1" w:themeFillShade="F2"/>
          </w:tcPr>
          <w:p w14:paraId="00C51336" w14:textId="77777777" w:rsidR="00B66973" w:rsidRPr="00181EF3" w:rsidRDefault="00B66973" w:rsidP="00B66973">
            <w:pPr>
              <w:pStyle w:val="TableText"/>
              <w:jc w:val="center"/>
              <w:rPr>
                <w:b/>
              </w:rPr>
            </w:pPr>
            <w:r w:rsidRPr="00181EF3">
              <w:rPr>
                <w:b/>
              </w:rPr>
              <w:t>Year</w:t>
            </w:r>
          </w:p>
        </w:tc>
        <w:tc>
          <w:tcPr>
            <w:tcW w:w="2693" w:type="dxa"/>
            <w:shd w:val="clear" w:color="auto" w:fill="F2F2F2" w:themeFill="background1" w:themeFillShade="F2"/>
          </w:tcPr>
          <w:p w14:paraId="237EC221" w14:textId="77777777" w:rsidR="00B66973" w:rsidRPr="00181EF3" w:rsidRDefault="00B66973" w:rsidP="00B66973">
            <w:pPr>
              <w:pStyle w:val="TableText"/>
              <w:jc w:val="center"/>
              <w:rPr>
                <w:b/>
              </w:rPr>
            </w:pPr>
            <w:r w:rsidRPr="00181EF3">
              <w:rPr>
                <w:b/>
              </w:rPr>
              <w:t>Māori</w:t>
            </w:r>
          </w:p>
        </w:tc>
        <w:tc>
          <w:tcPr>
            <w:tcW w:w="2694" w:type="dxa"/>
            <w:shd w:val="clear" w:color="auto" w:fill="F2F2F2" w:themeFill="background1" w:themeFillShade="F2"/>
          </w:tcPr>
          <w:p w14:paraId="50EA38B7" w14:textId="36E8A448" w:rsidR="00B66973" w:rsidRPr="00181EF3" w:rsidRDefault="00EC03A3" w:rsidP="00B66973">
            <w:pPr>
              <w:pStyle w:val="TableText"/>
              <w:jc w:val="center"/>
              <w:rPr>
                <w:b/>
              </w:rPr>
            </w:pPr>
            <w:r>
              <w:rPr>
                <w:b/>
              </w:rPr>
              <w:t>Non</w:t>
            </w:r>
            <w:r>
              <w:rPr>
                <w:b/>
              </w:rPr>
              <w:noBreakHyphen/>
              <w:t>M</w:t>
            </w:r>
            <w:r w:rsidR="00B66973" w:rsidRPr="00181EF3">
              <w:rPr>
                <w:b/>
              </w:rPr>
              <w:t>āori</w:t>
            </w:r>
          </w:p>
        </w:tc>
      </w:tr>
      <w:tr w:rsidR="00B66973" w:rsidRPr="00181EF3" w14:paraId="58CDD8E2" w14:textId="77777777" w:rsidTr="00B66973">
        <w:trPr>
          <w:cantSplit/>
        </w:trPr>
        <w:tc>
          <w:tcPr>
            <w:tcW w:w="2693" w:type="dxa"/>
            <w:tcBorders>
              <w:bottom w:val="single" w:sz="4" w:space="0" w:color="A6A6A6" w:themeColor="background1" w:themeShade="A6"/>
            </w:tcBorders>
          </w:tcPr>
          <w:p w14:paraId="3015BDA6" w14:textId="77777777" w:rsidR="00B66973" w:rsidRPr="00181EF3" w:rsidRDefault="00B66973" w:rsidP="00B66973">
            <w:pPr>
              <w:pStyle w:val="TableText"/>
              <w:jc w:val="center"/>
            </w:pPr>
            <w:r w:rsidRPr="00181EF3">
              <w:t>2005</w:t>
            </w:r>
          </w:p>
        </w:tc>
        <w:tc>
          <w:tcPr>
            <w:tcW w:w="2693" w:type="dxa"/>
            <w:tcBorders>
              <w:bottom w:val="single" w:sz="4" w:space="0" w:color="A6A6A6" w:themeColor="background1" w:themeShade="A6"/>
            </w:tcBorders>
          </w:tcPr>
          <w:p w14:paraId="4D195369" w14:textId="77777777" w:rsidR="00B66973" w:rsidRPr="00181EF3" w:rsidRDefault="00B66973" w:rsidP="00B66973">
            <w:pPr>
              <w:pStyle w:val="TableText"/>
              <w:tabs>
                <w:tab w:val="decimal" w:pos="1191"/>
              </w:tabs>
              <w:jc w:val="both"/>
            </w:pPr>
            <w:r w:rsidRPr="00181EF3">
              <w:t>65 (3.3%)</w:t>
            </w:r>
          </w:p>
        </w:tc>
        <w:tc>
          <w:tcPr>
            <w:tcW w:w="2694" w:type="dxa"/>
            <w:tcBorders>
              <w:bottom w:val="single" w:sz="4" w:space="0" w:color="A6A6A6" w:themeColor="background1" w:themeShade="A6"/>
            </w:tcBorders>
          </w:tcPr>
          <w:p w14:paraId="5FA1AF45" w14:textId="77777777" w:rsidR="00B66973" w:rsidRPr="00181EF3" w:rsidRDefault="00B66973" w:rsidP="00B66973">
            <w:pPr>
              <w:pStyle w:val="TableText"/>
              <w:tabs>
                <w:tab w:val="decimal" w:pos="1191"/>
              </w:tabs>
              <w:jc w:val="both"/>
            </w:pPr>
            <w:r w:rsidRPr="00181EF3">
              <w:t>1,920 (96.7%)</w:t>
            </w:r>
          </w:p>
        </w:tc>
      </w:tr>
      <w:tr w:rsidR="00B66973" w:rsidRPr="00181EF3" w14:paraId="5B12064B"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6C0648BD" w14:textId="77777777" w:rsidR="00B66973" w:rsidRPr="00181EF3" w:rsidRDefault="00B66973" w:rsidP="00B66973">
            <w:pPr>
              <w:pStyle w:val="TableText"/>
              <w:jc w:val="center"/>
            </w:pPr>
            <w:r w:rsidRPr="00181EF3">
              <w:t>2006</w:t>
            </w:r>
          </w:p>
        </w:tc>
        <w:tc>
          <w:tcPr>
            <w:tcW w:w="2693" w:type="dxa"/>
            <w:tcBorders>
              <w:top w:val="single" w:sz="4" w:space="0" w:color="A6A6A6" w:themeColor="background1" w:themeShade="A6"/>
              <w:bottom w:val="single" w:sz="4" w:space="0" w:color="A6A6A6" w:themeColor="background1" w:themeShade="A6"/>
            </w:tcBorders>
          </w:tcPr>
          <w:p w14:paraId="4821776A" w14:textId="77777777" w:rsidR="00B66973" w:rsidRPr="00181EF3" w:rsidRDefault="00B66973" w:rsidP="00B66973">
            <w:pPr>
              <w:pStyle w:val="TableText"/>
              <w:jc w:val="center"/>
            </w:pPr>
            <w:r w:rsidRPr="00181EF3">
              <w:t>–</w:t>
            </w:r>
          </w:p>
        </w:tc>
        <w:tc>
          <w:tcPr>
            <w:tcW w:w="2694" w:type="dxa"/>
            <w:tcBorders>
              <w:top w:val="single" w:sz="4" w:space="0" w:color="A6A6A6" w:themeColor="background1" w:themeShade="A6"/>
              <w:bottom w:val="single" w:sz="4" w:space="0" w:color="A6A6A6" w:themeColor="background1" w:themeShade="A6"/>
            </w:tcBorders>
          </w:tcPr>
          <w:p w14:paraId="46EF07FB" w14:textId="77777777" w:rsidR="00B66973" w:rsidRPr="00181EF3" w:rsidRDefault="00B66973" w:rsidP="00B66973">
            <w:pPr>
              <w:pStyle w:val="TableText"/>
              <w:jc w:val="center"/>
            </w:pPr>
            <w:r w:rsidRPr="00181EF3">
              <w:t>–</w:t>
            </w:r>
          </w:p>
        </w:tc>
      </w:tr>
      <w:tr w:rsidR="00B66973" w:rsidRPr="00181EF3" w14:paraId="066853A2"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5D884A7A" w14:textId="77777777" w:rsidR="00B66973" w:rsidRPr="00181EF3" w:rsidRDefault="00B66973" w:rsidP="00B66973">
            <w:pPr>
              <w:pStyle w:val="TableText"/>
              <w:jc w:val="center"/>
            </w:pPr>
            <w:r w:rsidRPr="00181EF3">
              <w:t>2007</w:t>
            </w:r>
          </w:p>
        </w:tc>
        <w:tc>
          <w:tcPr>
            <w:tcW w:w="2693" w:type="dxa"/>
            <w:tcBorders>
              <w:top w:val="single" w:sz="4" w:space="0" w:color="A6A6A6" w:themeColor="background1" w:themeShade="A6"/>
              <w:bottom w:val="single" w:sz="4" w:space="0" w:color="A6A6A6" w:themeColor="background1" w:themeShade="A6"/>
            </w:tcBorders>
          </w:tcPr>
          <w:p w14:paraId="509E255A" w14:textId="77777777" w:rsidR="00B66973" w:rsidRPr="00181EF3" w:rsidRDefault="00B66973" w:rsidP="00B66973">
            <w:pPr>
              <w:pStyle w:val="TableText"/>
              <w:tabs>
                <w:tab w:val="decimal" w:pos="1191"/>
              </w:tabs>
              <w:jc w:val="both"/>
            </w:pPr>
            <w:r w:rsidRPr="00181EF3">
              <w:t>65 (4.0%)</w:t>
            </w:r>
          </w:p>
        </w:tc>
        <w:tc>
          <w:tcPr>
            <w:tcW w:w="2694" w:type="dxa"/>
            <w:tcBorders>
              <w:top w:val="single" w:sz="4" w:space="0" w:color="A6A6A6" w:themeColor="background1" w:themeShade="A6"/>
              <w:bottom w:val="single" w:sz="4" w:space="0" w:color="A6A6A6" w:themeColor="background1" w:themeShade="A6"/>
            </w:tcBorders>
          </w:tcPr>
          <w:p w14:paraId="5E0BD146" w14:textId="77777777" w:rsidR="00B66973" w:rsidRPr="00181EF3" w:rsidRDefault="00B66973" w:rsidP="00B66973">
            <w:pPr>
              <w:pStyle w:val="TableText"/>
              <w:tabs>
                <w:tab w:val="decimal" w:pos="1191"/>
              </w:tabs>
              <w:jc w:val="both"/>
            </w:pPr>
            <w:r w:rsidRPr="00181EF3">
              <w:t>1,561 (96.0%)</w:t>
            </w:r>
          </w:p>
        </w:tc>
      </w:tr>
      <w:tr w:rsidR="00B66973" w:rsidRPr="00181EF3" w14:paraId="40DE047E"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6B5D2239" w14:textId="77777777" w:rsidR="00B66973" w:rsidRPr="00181EF3" w:rsidRDefault="00B66973" w:rsidP="00B66973">
            <w:pPr>
              <w:pStyle w:val="TableText"/>
              <w:jc w:val="center"/>
            </w:pPr>
            <w:r w:rsidRPr="00181EF3">
              <w:t>2008</w:t>
            </w:r>
          </w:p>
        </w:tc>
        <w:tc>
          <w:tcPr>
            <w:tcW w:w="2693" w:type="dxa"/>
            <w:tcBorders>
              <w:top w:val="single" w:sz="4" w:space="0" w:color="A6A6A6" w:themeColor="background1" w:themeShade="A6"/>
              <w:bottom w:val="single" w:sz="4" w:space="0" w:color="A6A6A6" w:themeColor="background1" w:themeShade="A6"/>
            </w:tcBorders>
          </w:tcPr>
          <w:p w14:paraId="6EF6E3A2" w14:textId="77777777" w:rsidR="00B66973" w:rsidRPr="00181EF3" w:rsidRDefault="00B66973" w:rsidP="00B66973">
            <w:pPr>
              <w:pStyle w:val="TableText"/>
              <w:tabs>
                <w:tab w:val="decimal" w:pos="1191"/>
              </w:tabs>
              <w:jc w:val="both"/>
            </w:pPr>
            <w:r w:rsidRPr="00181EF3">
              <w:t>106 (4.5%)</w:t>
            </w:r>
          </w:p>
        </w:tc>
        <w:tc>
          <w:tcPr>
            <w:tcW w:w="2694" w:type="dxa"/>
            <w:tcBorders>
              <w:top w:val="single" w:sz="4" w:space="0" w:color="A6A6A6" w:themeColor="background1" w:themeShade="A6"/>
              <w:bottom w:val="single" w:sz="4" w:space="0" w:color="A6A6A6" w:themeColor="background1" w:themeShade="A6"/>
            </w:tcBorders>
          </w:tcPr>
          <w:p w14:paraId="1087B2AB" w14:textId="77777777" w:rsidR="00B66973" w:rsidRPr="00181EF3" w:rsidRDefault="00B66973" w:rsidP="00B66973">
            <w:pPr>
              <w:pStyle w:val="TableText"/>
              <w:tabs>
                <w:tab w:val="decimal" w:pos="1191"/>
              </w:tabs>
              <w:jc w:val="both"/>
            </w:pPr>
            <w:r w:rsidRPr="00181EF3">
              <w:t>2,275 (95.5%)</w:t>
            </w:r>
          </w:p>
        </w:tc>
      </w:tr>
      <w:tr w:rsidR="00B66973" w:rsidRPr="00181EF3" w14:paraId="20064D8F"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205F1C5C" w14:textId="77777777" w:rsidR="00B66973" w:rsidRPr="00181EF3" w:rsidRDefault="00B66973" w:rsidP="00B66973">
            <w:pPr>
              <w:pStyle w:val="TableText"/>
              <w:jc w:val="center"/>
            </w:pPr>
            <w:r w:rsidRPr="00181EF3">
              <w:t>2009</w:t>
            </w:r>
          </w:p>
        </w:tc>
        <w:tc>
          <w:tcPr>
            <w:tcW w:w="2693" w:type="dxa"/>
            <w:tcBorders>
              <w:top w:val="single" w:sz="4" w:space="0" w:color="A6A6A6" w:themeColor="background1" w:themeShade="A6"/>
              <w:bottom w:val="single" w:sz="4" w:space="0" w:color="A6A6A6" w:themeColor="background1" w:themeShade="A6"/>
            </w:tcBorders>
          </w:tcPr>
          <w:p w14:paraId="7BCFACF1" w14:textId="77777777" w:rsidR="00B66973" w:rsidRPr="00181EF3" w:rsidRDefault="00B66973" w:rsidP="00B66973">
            <w:pPr>
              <w:pStyle w:val="TableText"/>
              <w:tabs>
                <w:tab w:val="decimal" w:pos="1191"/>
              </w:tabs>
              <w:jc w:val="both"/>
            </w:pPr>
            <w:r w:rsidRPr="00181EF3">
              <w:t>97 (3.9%)</w:t>
            </w:r>
          </w:p>
        </w:tc>
        <w:tc>
          <w:tcPr>
            <w:tcW w:w="2694" w:type="dxa"/>
            <w:tcBorders>
              <w:top w:val="single" w:sz="4" w:space="0" w:color="A6A6A6" w:themeColor="background1" w:themeShade="A6"/>
              <w:bottom w:val="single" w:sz="4" w:space="0" w:color="A6A6A6" w:themeColor="background1" w:themeShade="A6"/>
            </w:tcBorders>
          </w:tcPr>
          <w:p w14:paraId="692A8A3E" w14:textId="77777777" w:rsidR="00B66973" w:rsidRPr="00181EF3" w:rsidRDefault="00B66973" w:rsidP="00B66973">
            <w:pPr>
              <w:pStyle w:val="TableText"/>
              <w:tabs>
                <w:tab w:val="decimal" w:pos="1191"/>
              </w:tabs>
              <w:jc w:val="both"/>
            </w:pPr>
            <w:r w:rsidRPr="00181EF3">
              <w:t>2,359 (96.1%)</w:t>
            </w:r>
          </w:p>
        </w:tc>
      </w:tr>
      <w:tr w:rsidR="00B66973" w:rsidRPr="00181EF3" w14:paraId="7A33EF0B"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2CDA230B" w14:textId="77777777" w:rsidR="00B66973" w:rsidRPr="00181EF3" w:rsidRDefault="00B66973" w:rsidP="00B66973">
            <w:pPr>
              <w:pStyle w:val="TableText"/>
              <w:jc w:val="center"/>
            </w:pPr>
            <w:r w:rsidRPr="00181EF3">
              <w:t>2010</w:t>
            </w:r>
          </w:p>
        </w:tc>
        <w:tc>
          <w:tcPr>
            <w:tcW w:w="2693" w:type="dxa"/>
            <w:tcBorders>
              <w:top w:val="single" w:sz="4" w:space="0" w:color="A6A6A6" w:themeColor="background1" w:themeShade="A6"/>
              <w:bottom w:val="single" w:sz="4" w:space="0" w:color="A6A6A6" w:themeColor="background1" w:themeShade="A6"/>
            </w:tcBorders>
          </w:tcPr>
          <w:p w14:paraId="477F2A66" w14:textId="77777777" w:rsidR="00B66973" w:rsidRPr="00181EF3" w:rsidRDefault="00B66973" w:rsidP="00B66973">
            <w:pPr>
              <w:pStyle w:val="TableText"/>
              <w:tabs>
                <w:tab w:val="decimal" w:pos="1191"/>
              </w:tabs>
              <w:jc w:val="both"/>
            </w:pPr>
            <w:r w:rsidRPr="00181EF3">
              <w:t>107 (4.3%)</w:t>
            </w:r>
          </w:p>
        </w:tc>
        <w:tc>
          <w:tcPr>
            <w:tcW w:w="2694" w:type="dxa"/>
            <w:tcBorders>
              <w:top w:val="single" w:sz="4" w:space="0" w:color="A6A6A6" w:themeColor="background1" w:themeShade="A6"/>
              <w:bottom w:val="single" w:sz="4" w:space="0" w:color="A6A6A6" w:themeColor="background1" w:themeShade="A6"/>
            </w:tcBorders>
          </w:tcPr>
          <w:p w14:paraId="748A56E1" w14:textId="77777777" w:rsidR="00B66973" w:rsidRPr="00181EF3" w:rsidRDefault="00B66973" w:rsidP="00B66973">
            <w:pPr>
              <w:pStyle w:val="TableText"/>
              <w:tabs>
                <w:tab w:val="decimal" w:pos="1191"/>
              </w:tabs>
              <w:jc w:val="both"/>
            </w:pPr>
            <w:r w:rsidRPr="00181EF3">
              <w:t>2,378 (95.7%)</w:t>
            </w:r>
          </w:p>
        </w:tc>
      </w:tr>
      <w:tr w:rsidR="00B66973" w:rsidRPr="00181EF3" w14:paraId="2B196399"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35667C32" w14:textId="77777777" w:rsidR="00B66973" w:rsidRPr="00181EF3" w:rsidRDefault="00B66973" w:rsidP="00B66973">
            <w:pPr>
              <w:pStyle w:val="TableText"/>
              <w:jc w:val="center"/>
            </w:pPr>
            <w:r w:rsidRPr="00181EF3">
              <w:t>2011</w:t>
            </w:r>
          </w:p>
        </w:tc>
        <w:tc>
          <w:tcPr>
            <w:tcW w:w="2693" w:type="dxa"/>
            <w:tcBorders>
              <w:top w:val="single" w:sz="4" w:space="0" w:color="A6A6A6" w:themeColor="background1" w:themeShade="A6"/>
              <w:bottom w:val="single" w:sz="4" w:space="0" w:color="A6A6A6" w:themeColor="background1" w:themeShade="A6"/>
            </w:tcBorders>
          </w:tcPr>
          <w:p w14:paraId="37B7661A" w14:textId="77777777" w:rsidR="00B66973" w:rsidRPr="00181EF3" w:rsidRDefault="00B66973" w:rsidP="00B66973">
            <w:pPr>
              <w:pStyle w:val="TableText"/>
              <w:jc w:val="center"/>
            </w:pPr>
            <w:r w:rsidRPr="00181EF3">
              <w:t>–</w:t>
            </w:r>
          </w:p>
        </w:tc>
        <w:tc>
          <w:tcPr>
            <w:tcW w:w="2694" w:type="dxa"/>
            <w:tcBorders>
              <w:top w:val="single" w:sz="4" w:space="0" w:color="A6A6A6" w:themeColor="background1" w:themeShade="A6"/>
              <w:bottom w:val="single" w:sz="4" w:space="0" w:color="A6A6A6" w:themeColor="background1" w:themeShade="A6"/>
            </w:tcBorders>
          </w:tcPr>
          <w:p w14:paraId="11D4C86B" w14:textId="77777777" w:rsidR="00B66973" w:rsidRPr="00181EF3" w:rsidRDefault="00B66973" w:rsidP="00B66973">
            <w:pPr>
              <w:pStyle w:val="TableText"/>
              <w:jc w:val="center"/>
            </w:pPr>
            <w:r w:rsidRPr="00181EF3">
              <w:t>–</w:t>
            </w:r>
          </w:p>
        </w:tc>
      </w:tr>
      <w:tr w:rsidR="00B66973" w:rsidRPr="00181EF3" w14:paraId="54C6A0AB"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080EBD4D" w14:textId="77777777" w:rsidR="00B66973" w:rsidRPr="00181EF3" w:rsidRDefault="00B66973" w:rsidP="00B66973">
            <w:pPr>
              <w:pStyle w:val="TableText"/>
              <w:jc w:val="center"/>
            </w:pPr>
            <w:r w:rsidRPr="00181EF3">
              <w:t>2012</w:t>
            </w:r>
          </w:p>
        </w:tc>
        <w:tc>
          <w:tcPr>
            <w:tcW w:w="2693" w:type="dxa"/>
            <w:tcBorders>
              <w:top w:val="single" w:sz="4" w:space="0" w:color="A6A6A6" w:themeColor="background1" w:themeShade="A6"/>
              <w:bottom w:val="single" w:sz="4" w:space="0" w:color="A6A6A6" w:themeColor="background1" w:themeShade="A6"/>
            </w:tcBorders>
          </w:tcPr>
          <w:p w14:paraId="3880E8D9" w14:textId="77777777" w:rsidR="00B66973" w:rsidRPr="00181EF3" w:rsidRDefault="00B66973" w:rsidP="00B66973">
            <w:pPr>
              <w:pStyle w:val="TableText"/>
              <w:jc w:val="center"/>
            </w:pPr>
            <w:r w:rsidRPr="00181EF3">
              <w:t>–</w:t>
            </w:r>
          </w:p>
        </w:tc>
        <w:tc>
          <w:tcPr>
            <w:tcW w:w="2694" w:type="dxa"/>
            <w:tcBorders>
              <w:top w:val="single" w:sz="4" w:space="0" w:color="A6A6A6" w:themeColor="background1" w:themeShade="A6"/>
              <w:bottom w:val="single" w:sz="4" w:space="0" w:color="A6A6A6" w:themeColor="background1" w:themeShade="A6"/>
            </w:tcBorders>
          </w:tcPr>
          <w:p w14:paraId="44719750" w14:textId="77777777" w:rsidR="00B66973" w:rsidRPr="00181EF3" w:rsidRDefault="00B66973" w:rsidP="00B66973">
            <w:pPr>
              <w:pStyle w:val="TableText"/>
              <w:jc w:val="center"/>
            </w:pPr>
            <w:r w:rsidRPr="00181EF3">
              <w:t>–</w:t>
            </w:r>
          </w:p>
        </w:tc>
      </w:tr>
      <w:tr w:rsidR="00B66973" w:rsidRPr="00181EF3" w14:paraId="2BFDFE6C"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630E9A55" w14:textId="77777777" w:rsidR="00B66973" w:rsidRPr="00181EF3" w:rsidRDefault="00B66973" w:rsidP="00B66973">
            <w:pPr>
              <w:pStyle w:val="TableText"/>
              <w:jc w:val="center"/>
            </w:pPr>
            <w:r w:rsidRPr="00181EF3">
              <w:t>2013</w:t>
            </w:r>
          </w:p>
        </w:tc>
        <w:tc>
          <w:tcPr>
            <w:tcW w:w="2693" w:type="dxa"/>
            <w:tcBorders>
              <w:top w:val="single" w:sz="4" w:space="0" w:color="A6A6A6" w:themeColor="background1" w:themeShade="A6"/>
              <w:bottom w:val="single" w:sz="4" w:space="0" w:color="A6A6A6" w:themeColor="background1" w:themeShade="A6"/>
            </w:tcBorders>
          </w:tcPr>
          <w:p w14:paraId="4243A365" w14:textId="77777777" w:rsidR="00B66973" w:rsidRPr="00181EF3" w:rsidRDefault="00B66973" w:rsidP="00B66973">
            <w:pPr>
              <w:pStyle w:val="TableText"/>
              <w:jc w:val="center"/>
            </w:pPr>
            <w:r w:rsidRPr="00181EF3">
              <w:t>–</w:t>
            </w:r>
          </w:p>
        </w:tc>
        <w:tc>
          <w:tcPr>
            <w:tcW w:w="2694" w:type="dxa"/>
            <w:tcBorders>
              <w:top w:val="single" w:sz="4" w:space="0" w:color="A6A6A6" w:themeColor="background1" w:themeShade="A6"/>
              <w:bottom w:val="single" w:sz="4" w:space="0" w:color="A6A6A6" w:themeColor="background1" w:themeShade="A6"/>
            </w:tcBorders>
          </w:tcPr>
          <w:p w14:paraId="37E01E7A" w14:textId="77777777" w:rsidR="00B66973" w:rsidRPr="00181EF3" w:rsidRDefault="00B66973" w:rsidP="00B66973">
            <w:pPr>
              <w:pStyle w:val="TableText"/>
              <w:jc w:val="center"/>
            </w:pPr>
            <w:r w:rsidRPr="00181EF3">
              <w:t>–</w:t>
            </w:r>
          </w:p>
        </w:tc>
      </w:tr>
      <w:tr w:rsidR="00B66973" w:rsidRPr="00181EF3" w14:paraId="53F41933"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4A162F61" w14:textId="77777777" w:rsidR="00B66973" w:rsidRPr="00181EF3" w:rsidRDefault="00B66973" w:rsidP="00B66973">
            <w:pPr>
              <w:pStyle w:val="TableText"/>
              <w:jc w:val="center"/>
            </w:pPr>
            <w:r w:rsidRPr="00181EF3">
              <w:t>2014</w:t>
            </w:r>
          </w:p>
        </w:tc>
        <w:tc>
          <w:tcPr>
            <w:tcW w:w="2693" w:type="dxa"/>
            <w:tcBorders>
              <w:top w:val="single" w:sz="4" w:space="0" w:color="A6A6A6" w:themeColor="background1" w:themeShade="A6"/>
              <w:bottom w:val="single" w:sz="4" w:space="0" w:color="A6A6A6" w:themeColor="background1" w:themeShade="A6"/>
            </w:tcBorders>
            <w:vAlign w:val="center"/>
          </w:tcPr>
          <w:p w14:paraId="50247447" w14:textId="6DC5ABCB" w:rsidR="00B66973" w:rsidRPr="00181EF3" w:rsidRDefault="001338CA" w:rsidP="00B66973">
            <w:pPr>
              <w:pStyle w:val="TableText"/>
              <w:tabs>
                <w:tab w:val="decimal" w:pos="1191"/>
              </w:tabs>
              <w:jc w:val="both"/>
            </w:pPr>
            <w:r>
              <w:t xml:space="preserve">– </w:t>
            </w:r>
            <w:r w:rsidR="00B66973" w:rsidRPr="00181EF3">
              <w:t>(5.0%)</w:t>
            </w:r>
          </w:p>
        </w:tc>
        <w:tc>
          <w:tcPr>
            <w:tcW w:w="2694" w:type="dxa"/>
            <w:tcBorders>
              <w:top w:val="single" w:sz="4" w:space="0" w:color="A6A6A6" w:themeColor="background1" w:themeShade="A6"/>
              <w:bottom w:val="single" w:sz="4" w:space="0" w:color="A6A6A6" w:themeColor="background1" w:themeShade="A6"/>
            </w:tcBorders>
          </w:tcPr>
          <w:p w14:paraId="218DB20B" w14:textId="1E5CF445" w:rsidR="00B66973" w:rsidRPr="00181EF3" w:rsidRDefault="001338CA" w:rsidP="00B66973">
            <w:pPr>
              <w:pStyle w:val="TableText"/>
              <w:tabs>
                <w:tab w:val="decimal" w:pos="1191"/>
              </w:tabs>
              <w:jc w:val="both"/>
            </w:pPr>
            <w:r>
              <w:t xml:space="preserve">– </w:t>
            </w:r>
            <w:r w:rsidR="00B66973" w:rsidRPr="00181EF3">
              <w:t>(95.0%)</w:t>
            </w:r>
          </w:p>
        </w:tc>
      </w:tr>
      <w:tr w:rsidR="00B66973" w:rsidRPr="00181EF3" w14:paraId="5DC4CC7D"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5677A520" w14:textId="77777777" w:rsidR="00B66973" w:rsidRPr="00181EF3" w:rsidRDefault="00B66973" w:rsidP="00B66973">
            <w:pPr>
              <w:pStyle w:val="TableText"/>
              <w:jc w:val="center"/>
            </w:pPr>
            <w:r w:rsidRPr="00181EF3">
              <w:t>2015</w:t>
            </w:r>
          </w:p>
        </w:tc>
        <w:tc>
          <w:tcPr>
            <w:tcW w:w="2693" w:type="dxa"/>
            <w:tcBorders>
              <w:top w:val="single" w:sz="4" w:space="0" w:color="A6A6A6" w:themeColor="background1" w:themeShade="A6"/>
              <w:bottom w:val="single" w:sz="4" w:space="0" w:color="A6A6A6" w:themeColor="background1" w:themeShade="A6"/>
            </w:tcBorders>
            <w:vAlign w:val="center"/>
          </w:tcPr>
          <w:p w14:paraId="4706902C" w14:textId="64D3515C" w:rsidR="00B66973" w:rsidRPr="00181EF3" w:rsidRDefault="001338CA" w:rsidP="00B66973">
            <w:pPr>
              <w:pStyle w:val="TableText"/>
              <w:tabs>
                <w:tab w:val="decimal" w:pos="1191"/>
              </w:tabs>
              <w:jc w:val="both"/>
            </w:pPr>
            <w:r>
              <w:t xml:space="preserve">– </w:t>
            </w:r>
            <w:r w:rsidR="00B66973" w:rsidRPr="00181EF3">
              <w:t>(5.0%)</w:t>
            </w:r>
          </w:p>
        </w:tc>
        <w:tc>
          <w:tcPr>
            <w:tcW w:w="2694" w:type="dxa"/>
            <w:tcBorders>
              <w:top w:val="single" w:sz="4" w:space="0" w:color="A6A6A6" w:themeColor="background1" w:themeShade="A6"/>
              <w:bottom w:val="single" w:sz="4" w:space="0" w:color="A6A6A6" w:themeColor="background1" w:themeShade="A6"/>
            </w:tcBorders>
          </w:tcPr>
          <w:p w14:paraId="61D5AFC4" w14:textId="062BCF4E" w:rsidR="00B66973" w:rsidRPr="00181EF3" w:rsidRDefault="001338CA" w:rsidP="00B66973">
            <w:pPr>
              <w:pStyle w:val="TableText"/>
              <w:tabs>
                <w:tab w:val="decimal" w:pos="1191"/>
              </w:tabs>
              <w:jc w:val="both"/>
            </w:pPr>
            <w:r>
              <w:t xml:space="preserve">– </w:t>
            </w:r>
            <w:r w:rsidR="00B66973" w:rsidRPr="00181EF3">
              <w:t>(95.0%)</w:t>
            </w:r>
          </w:p>
        </w:tc>
      </w:tr>
      <w:tr w:rsidR="00B66973" w:rsidRPr="00181EF3" w14:paraId="12BC5CE5"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61E5D2E4" w14:textId="77777777" w:rsidR="00B66973" w:rsidRPr="00181EF3" w:rsidRDefault="00B66973" w:rsidP="00B66973">
            <w:pPr>
              <w:pStyle w:val="TableText"/>
              <w:jc w:val="center"/>
            </w:pPr>
            <w:r w:rsidRPr="00181EF3">
              <w:t>2016</w:t>
            </w:r>
          </w:p>
        </w:tc>
        <w:tc>
          <w:tcPr>
            <w:tcW w:w="2693" w:type="dxa"/>
            <w:tcBorders>
              <w:top w:val="single" w:sz="4" w:space="0" w:color="A6A6A6" w:themeColor="background1" w:themeShade="A6"/>
              <w:bottom w:val="single" w:sz="4" w:space="0" w:color="A6A6A6" w:themeColor="background1" w:themeShade="A6"/>
            </w:tcBorders>
            <w:vAlign w:val="center"/>
          </w:tcPr>
          <w:p w14:paraId="48D85BDB" w14:textId="33C171ED" w:rsidR="00B66973" w:rsidRPr="00181EF3" w:rsidRDefault="001338CA" w:rsidP="00B66973">
            <w:pPr>
              <w:pStyle w:val="TableText"/>
              <w:tabs>
                <w:tab w:val="decimal" w:pos="1191"/>
              </w:tabs>
              <w:jc w:val="both"/>
            </w:pPr>
            <w:r>
              <w:t xml:space="preserve">– </w:t>
            </w:r>
            <w:r w:rsidR="00B66973" w:rsidRPr="00181EF3">
              <w:t>(4.4%)</w:t>
            </w:r>
          </w:p>
        </w:tc>
        <w:tc>
          <w:tcPr>
            <w:tcW w:w="2694" w:type="dxa"/>
            <w:tcBorders>
              <w:top w:val="single" w:sz="4" w:space="0" w:color="A6A6A6" w:themeColor="background1" w:themeShade="A6"/>
              <w:bottom w:val="single" w:sz="4" w:space="0" w:color="A6A6A6" w:themeColor="background1" w:themeShade="A6"/>
            </w:tcBorders>
          </w:tcPr>
          <w:p w14:paraId="2F48B108" w14:textId="67953C42" w:rsidR="00B66973" w:rsidRPr="00181EF3" w:rsidRDefault="001338CA" w:rsidP="00B66973">
            <w:pPr>
              <w:pStyle w:val="TableText"/>
              <w:tabs>
                <w:tab w:val="decimal" w:pos="1191"/>
              </w:tabs>
              <w:jc w:val="both"/>
            </w:pPr>
            <w:r>
              <w:t xml:space="preserve">– </w:t>
            </w:r>
            <w:r w:rsidR="00B66973" w:rsidRPr="00181EF3">
              <w:t>(95.6%)</w:t>
            </w:r>
          </w:p>
        </w:tc>
      </w:tr>
      <w:tr w:rsidR="00B66973" w:rsidRPr="00181EF3" w14:paraId="49F8C221"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5F4480A0" w14:textId="77777777" w:rsidR="00B66973" w:rsidRPr="00181EF3" w:rsidRDefault="00B66973" w:rsidP="00B66973">
            <w:pPr>
              <w:pStyle w:val="TableText"/>
              <w:jc w:val="center"/>
            </w:pPr>
            <w:r w:rsidRPr="00181EF3">
              <w:t>2017</w:t>
            </w:r>
          </w:p>
        </w:tc>
        <w:tc>
          <w:tcPr>
            <w:tcW w:w="2693" w:type="dxa"/>
            <w:tcBorders>
              <w:top w:val="single" w:sz="4" w:space="0" w:color="A6A6A6" w:themeColor="background1" w:themeShade="A6"/>
              <w:bottom w:val="single" w:sz="4" w:space="0" w:color="A6A6A6" w:themeColor="background1" w:themeShade="A6"/>
            </w:tcBorders>
            <w:vAlign w:val="center"/>
          </w:tcPr>
          <w:p w14:paraId="6207663F" w14:textId="1DD724D5" w:rsidR="00B66973" w:rsidRPr="00181EF3" w:rsidRDefault="001338CA" w:rsidP="00B66973">
            <w:pPr>
              <w:pStyle w:val="TableText"/>
              <w:tabs>
                <w:tab w:val="decimal" w:pos="1191"/>
              </w:tabs>
              <w:jc w:val="both"/>
            </w:pPr>
            <w:r>
              <w:t xml:space="preserve">– </w:t>
            </w:r>
            <w:r w:rsidR="00B66973" w:rsidRPr="00181EF3">
              <w:t>(4.5%)</w:t>
            </w:r>
          </w:p>
        </w:tc>
        <w:tc>
          <w:tcPr>
            <w:tcW w:w="2694" w:type="dxa"/>
            <w:tcBorders>
              <w:top w:val="single" w:sz="4" w:space="0" w:color="A6A6A6" w:themeColor="background1" w:themeShade="A6"/>
              <w:bottom w:val="single" w:sz="4" w:space="0" w:color="A6A6A6" w:themeColor="background1" w:themeShade="A6"/>
            </w:tcBorders>
          </w:tcPr>
          <w:p w14:paraId="50EA5CD9" w14:textId="3D5B5EEF" w:rsidR="00B66973" w:rsidRPr="00181EF3" w:rsidRDefault="001338CA" w:rsidP="00B66973">
            <w:pPr>
              <w:pStyle w:val="TableText"/>
              <w:tabs>
                <w:tab w:val="decimal" w:pos="1191"/>
              </w:tabs>
              <w:jc w:val="both"/>
            </w:pPr>
            <w:r>
              <w:t xml:space="preserve">– </w:t>
            </w:r>
            <w:r w:rsidR="00B66973" w:rsidRPr="00181EF3">
              <w:t>(95.5%)</w:t>
            </w:r>
          </w:p>
        </w:tc>
      </w:tr>
      <w:tr w:rsidR="00B66973" w:rsidRPr="00181EF3" w14:paraId="75DD110D"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673C48E6" w14:textId="77777777" w:rsidR="00B66973" w:rsidRPr="00181EF3" w:rsidRDefault="00B66973" w:rsidP="00B66973">
            <w:pPr>
              <w:pStyle w:val="TableText"/>
              <w:jc w:val="center"/>
            </w:pPr>
            <w:r w:rsidRPr="00181EF3">
              <w:t>2018</w:t>
            </w:r>
          </w:p>
        </w:tc>
        <w:tc>
          <w:tcPr>
            <w:tcW w:w="2693" w:type="dxa"/>
            <w:tcBorders>
              <w:top w:val="single" w:sz="4" w:space="0" w:color="A6A6A6" w:themeColor="background1" w:themeShade="A6"/>
              <w:bottom w:val="single" w:sz="4" w:space="0" w:color="A6A6A6" w:themeColor="background1" w:themeShade="A6"/>
            </w:tcBorders>
            <w:vAlign w:val="center"/>
          </w:tcPr>
          <w:p w14:paraId="0EC58263" w14:textId="7580FA77" w:rsidR="00B66973" w:rsidRPr="00181EF3" w:rsidRDefault="001338CA" w:rsidP="00B66973">
            <w:pPr>
              <w:pStyle w:val="TableText"/>
              <w:tabs>
                <w:tab w:val="decimal" w:pos="1191"/>
              </w:tabs>
              <w:jc w:val="both"/>
            </w:pPr>
            <w:r>
              <w:t xml:space="preserve">– </w:t>
            </w:r>
            <w:r w:rsidR="00B66973" w:rsidRPr="00181EF3">
              <w:t>(4.9%)</w:t>
            </w:r>
          </w:p>
        </w:tc>
        <w:tc>
          <w:tcPr>
            <w:tcW w:w="2694" w:type="dxa"/>
            <w:tcBorders>
              <w:top w:val="single" w:sz="4" w:space="0" w:color="A6A6A6" w:themeColor="background1" w:themeShade="A6"/>
              <w:bottom w:val="single" w:sz="4" w:space="0" w:color="A6A6A6" w:themeColor="background1" w:themeShade="A6"/>
            </w:tcBorders>
          </w:tcPr>
          <w:p w14:paraId="4A27D9D8" w14:textId="0871EE56" w:rsidR="00B66973" w:rsidRPr="00181EF3" w:rsidRDefault="001338CA" w:rsidP="00B66973">
            <w:pPr>
              <w:pStyle w:val="TableText"/>
              <w:tabs>
                <w:tab w:val="decimal" w:pos="1191"/>
              </w:tabs>
              <w:jc w:val="both"/>
            </w:pPr>
            <w:r>
              <w:t xml:space="preserve">– </w:t>
            </w:r>
            <w:r w:rsidR="00B66973" w:rsidRPr="00181EF3">
              <w:t>(95.1%)</w:t>
            </w:r>
          </w:p>
        </w:tc>
      </w:tr>
    </w:tbl>
    <w:p w14:paraId="3CE41AE8" w14:textId="77777777" w:rsidR="00B66973" w:rsidRPr="00181EF3" w:rsidRDefault="00B66973" w:rsidP="00B66973">
      <w:pPr>
        <w:pStyle w:val="Source"/>
      </w:pPr>
      <w:r w:rsidRPr="00181EF3">
        <w:t>Source: Physiotherapy Board of New Zealand, 2005, 2007–2010 and 2014–2018.</w:t>
      </w:r>
    </w:p>
    <w:p w14:paraId="15E90170" w14:textId="77777777" w:rsidR="00B66973" w:rsidRPr="00181EF3" w:rsidRDefault="00B66973" w:rsidP="00B66973"/>
    <w:p w14:paraId="26E8E049" w14:textId="2C512854" w:rsidR="00B16E84" w:rsidRPr="00181EF3" w:rsidRDefault="00B16E84" w:rsidP="001338CA">
      <w:r w:rsidRPr="00181EF3">
        <w:t xml:space="preserve">Table </w:t>
      </w:r>
      <w:r>
        <w:t>40</w:t>
      </w:r>
      <w:r w:rsidRPr="00181EF3">
        <w:t xml:space="preserve"> shows the estimated number and percentage of Māori and </w:t>
      </w:r>
      <w:r w:rsidR="00EC03A3">
        <w:t>non</w:t>
      </w:r>
      <w:r w:rsidR="00EC03A3">
        <w:noBreakHyphen/>
        <w:t>M</w:t>
      </w:r>
      <w:r w:rsidRPr="00181EF3">
        <w:t>āori in the physiotherapy workforce from 2005 to 2010 (excluding 2006) and 2014 to 2018.</w:t>
      </w:r>
    </w:p>
    <w:p w14:paraId="4EF105A5" w14:textId="77777777" w:rsidR="00B16E84" w:rsidRPr="00181EF3" w:rsidRDefault="00B16E84" w:rsidP="00B16E84"/>
    <w:p w14:paraId="0F725C77" w14:textId="1CE10F36" w:rsidR="00B16E84" w:rsidRDefault="00B16E84" w:rsidP="00B16E84">
      <w:r w:rsidRPr="00181EF3">
        <w:t xml:space="preserve">Despite the number of Māori in the </w:t>
      </w:r>
      <w:r w:rsidR="0078298C">
        <w:t>p</w:t>
      </w:r>
      <w:r w:rsidRPr="00181EF3">
        <w:t xml:space="preserve">hysiotherapy workforce increasing over time, the percentage of Māori in the workforce did not change much – the average percentage of Māori in the physiotherapy workforce from 2005 to 2010 (excluding 2006) and 2014 to 2018 was 4.4 percent. The physiotherapy workforce does not reflect the ethnic population distribution in New Zealand (14.9 percent Māori, 85.1 percent </w:t>
      </w:r>
      <w:r w:rsidR="00EC03A3">
        <w:t>non</w:t>
      </w:r>
      <w:r w:rsidR="00EC03A3">
        <w:noBreakHyphen/>
        <w:t>M</w:t>
      </w:r>
      <w:r w:rsidRPr="00181EF3">
        <w:t>āori).</w:t>
      </w:r>
      <w:r w:rsidRPr="001338CA">
        <w:rPr>
          <w:rStyle w:val="FootnoteReference"/>
        </w:rPr>
        <w:footnoteReference w:id="15"/>
      </w:r>
    </w:p>
    <w:p w14:paraId="15D106E0" w14:textId="77777777" w:rsidR="001338CA" w:rsidRPr="00181EF3" w:rsidRDefault="001338CA" w:rsidP="001338CA"/>
    <w:p w14:paraId="33BD6C0B" w14:textId="77777777" w:rsidR="00B66973" w:rsidRPr="00181EF3" w:rsidRDefault="00B66973" w:rsidP="001338CA">
      <w:pPr>
        <w:pStyle w:val="Heading2"/>
        <w:pageBreakBefore/>
        <w:spacing w:before="0"/>
      </w:pPr>
      <w:bookmarkStart w:id="420" w:name="_Toc19102457"/>
      <w:r w:rsidRPr="00181EF3">
        <w:lastRenderedPageBreak/>
        <w:t>New Zealand Psychologists Board – psychologists</w:t>
      </w:r>
      <w:bookmarkEnd w:id="420"/>
    </w:p>
    <w:p w14:paraId="2087AC06" w14:textId="0E3FE81E" w:rsidR="00B66973" w:rsidRPr="00181EF3" w:rsidRDefault="00B66973" w:rsidP="00B66973">
      <w:pPr>
        <w:pStyle w:val="Table"/>
      </w:pPr>
      <w:bookmarkStart w:id="421" w:name="_Toc18594781"/>
      <w:r w:rsidRPr="00181EF3">
        <w:t xml:space="preserve">Table </w:t>
      </w:r>
      <w:r>
        <w:t>41</w:t>
      </w:r>
      <w:r w:rsidRPr="00181EF3">
        <w:t xml:space="preserve">: Estimated number (percentage in workforce) of Māori and </w:t>
      </w:r>
      <w:r w:rsidR="00EC03A3">
        <w:t>non</w:t>
      </w:r>
      <w:r w:rsidR="00EC03A3">
        <w:noBreakHyphen/>
        <w:t>M</w:t>
      </w:r>
      <w:r w:rsidRPr="00181EF3">
        <w:t xml:space="preserve">āori in the </w:t>
      </w:r>
      <w:r w:rsidR="0078298C">
        <w:t>p</w:t>
      </w:r>
      <w:r w:rsidRPr="00181EF3">
        <w:t>sychology workforce, 2005–2010 and 2018</w:t>
      </w:r>
      <w:bookmarkEnd w:id="421"/>
    </w:p>
    <w:tbl>
      <w:tblPr>
        <w:tblW w:w="0" w:type="auto"/>
        <w:tblInd w:w="57" w:type="dxa"/>
        <w:tblLayout w:type="fixed"/>
        <w:tblCellMar>
          <w:left w:w="57" w:type="dxa"/>
          <w:right w:w="57" w:type="dxa"/>
        </w:tblCellMar>
        <w:tblLook w:val="04A0" w:firstRow="1" w:lastRow="0" w:firstColumn="1" w:lastColumn="0" w:noHBand="0" w:noVBand="1"/>
      </w:tblPr>
      <w:tblGrid>
        <w:gridCol w:w="2693"/>
        <w:gridCol w:w="2693"/>
        <w:gridCol w:w="2694"/>
      </w:tblGrid>
      <w:tr w:rsidR="00B66973" w:rsidRPr="00181EF3" w14:paraId="7DCA0EA1" w14:textId="77777777" w:rsidTr="00B66973">
        <w:trPr>
          <w:cantSplit/>
        </w:trPr>
        <w:tc>
          <w:tcPr>
            <w:tcW w:w="8080" w:type="dxa"/>
            <w:gridSpan w:val="3"/>
            <w:shd w:val="clear" w:color="auto" w:fill="D9D9D9" w:themeFill="background1" w:themeFillShade="D9"/>
          </w:tcPr>
          <w:p w14:paraId="0FDF1F8D" w14:textId="77777777" w:rsidR="00B66973" w:rsidRPr="00181EF3" w:rsidRDefault="00B66973" w:rsidP="00B66973">
            <w:pPr>
              <w:pStyle w:val="TableText"/>
              <w:jc w:val="center"/>
              <w:rPr>
                <w:b/>
              </w:rPr>
            </w:pPr>
            <w:r w:rsidRPr="00181EF3">
              <w:rPr>
                <w:b/>
              </w:rPr>
              <w:t>Psychology (2005–2010, 2018)</w:t>
            </w:r>
          </w:p>
        </w:tc>
      </w:tr>
      <w:tr w:rsidR="00B66973" w:rsidRPr="00181EF3" w14:paraId="05FB4B15" w14:textId="77777777" w:rsidTr="00B66973">
        <w:trPr>
          <w:cantSplit/>
        </w:trPr>
        <w:tc>
          <w:tcPr>
            <w:tcW w:w="2693" w:type="dxa"/>
            <w:shd w:val="clear" w:color="auto" w:fill="F2F2F2" w:themeFill="background1" w:themeFillShade="F2"/>
          </w:tcPr>
          <w:p w14:paraId="4BA02F59" w14:textId="77777777" w:rsidR="00B66973" w:rsidRPr="00181EF3" w:rsidRDefault="00B66973" w:rsidP="00B66973">
            <w:pPr>
              <w:pStyle w:val="TableText"/>
              <w:jc w:val="center"/>
              <w:rPr>
                <w:b/>
              </w:rPr>
            </w:pPr>
            <w:r w:rsidRPr="00181EF3">
              <w:rPr>
                <w:b/>
              </w:rPr>
              <w:t>Year</w:t>
            </w:r>
          </w:p>
        </w:tc>
        <w:tc>
          <w:tcPr>
            <w:tcW w:w="2693" w:type="dxa"/>
            <w:shd w:val="clear" w:color="auto" w:fill="F2F2F2" w:themeFill="background1" w:themeFillShade="F2"/>
          </w:tcPr>
          <w:p w14:paraId="5B4542B8" w14:textId="77777777" w:rsidR="00B66973" w:rsidRPr="00181EF3" w:rsidRDefault="00B66973" w:rsidP="00B66973">
            <w:pPr>
              <w:pStyle w:val="TableText"/>
              <w:jc w:val="center"/>
              <w:rPr>
                <w:b/>
              </w:rPr>
            </w:pPr>
            <w:r w:rsidRPr="00181EF3">
              <w:rPr>
                <w:b/>
              </w:rPr>
              <w:t>Māori</w:t>
            </w:r>
          </w:p>
        </w:tc>
        <w:tc>
          <w:tcPr>
            <w:tcW w:w="2694" w:type="dxa"/>
            <w:shd w:val="clear" w:color="auto" w:fill="F2F2F2" w:themeFill="background1" w:themeFillShade="F2"/>
          </w:tcPr>
          <w:p w14:paraId="0B1D8170" w14:textId="77777777" w:rsidR="00B66973" w:rsidRPr="00181EF3" w:rsidRDefault="00B66973" w:rsidP="00B66973">
            <w:pPr>
              <w:pStyle w:val="TableText"/>
              <w:jc w:val="center"/>
              <w:rPr>
                <w:b/>
              </w:rPr>
            </w:pPr>
            <w:r w:rsidRPr="00181EF3">
              <w:rPr>
                <w:b/>
              </w:rPr>
              <w:t>Non–Māori</w:t>
            </w:r>
          </w:p>
        </w:tc>
      </w:tr>
      <w:tr w:rsidR="00B66973" w:rsidRPr="00181EF3" w14:paraId="6F89D69D" w14:textId="77777777" w:rsidTr="00B66973">
        <w:trPr>
          <w:cantSplit/>
        </w:trPr>
        <w:tc>
          <w:tcPr>
            <w:tcW w:w="2693" w:type="dxa"/>
            <w:tcBorders>
              <w:bottom w:val="single" w:sz="4" w:space="0" w:color="A6A6A6" w:themeColor="background1" w:themeShade="A6"/>
            </w:tcBorders>
          </w:tcPr>
          <w:p w14:paraId="147C0A3F" w14:textId="77777777" w:rsidR="00B66973" w:rsidRPr="00181EF3" w:rsidRDefault="00B66973" w:rsidP="00B66973">
            <w:pPr>
              <w:pStyle w:val="TableText"/>
              <w:jc w:val="center"/>
            </w:pPr>
            <w:r w:rsidRPr="00181EF3">
              <w:t>2005</w:t>
            </w:r>
          </w:p>
        </w:tc>
        <w:tc>
          <w:tcPr>
            <w:tcW w:w="2693" w:type="dxa"/>
            <w:tcBorders>
              <w:bottom w:val="single" w:sz="4" w:space="0" w:color="A6A6A6" w:themeColor="background1" w:themeShade="A6"/>
            </w:tcBorders>
          </w:tcPr>
          <w:p w14:paraId="75A1CD67" w14:textId="77777777" w:rsidR="00B66973" w:rsidRPr="00181EF3" w:rsidRDefault="00B66973" w:rsidP="00B66973">
            <w:pPr>
              <w:pStyle w:val="TableText"/>
              <w:tabs>
                <w:tab w:val="decimal" w:pos="1191"/>
              </w:tabs>
            </w:pPr>
            <w:r w:rsidRPr="00181EF3">
              <w:t>38 (3.8%)</w:t>
            </w:r>
          </w:p>
        </w:tc>
        <w:tc>
          <w:tcPr>
            <w:tcW w:w="2694" w:type="dxa"/>
            <w:tcBorders>
              <w:bottom w:val="single" w:sz="4" w:space="0" w:color="A6A6A6" w:themeColor="background1" w:themeShade="A6"/>
            </w:tcBorders>
          </w:tcPr>
          <w:p w14:paraId="5B51E34D" w14:textId="77777777" w:rsidR="00B66973" w:rsidRPr="00181EF3" w:rsidRDefault="00B66973" w:rsidP="00B66973">
            <w:pPr>
              <w:pStyle w:val="TableText"/>
              <w:tabs>
                <w:tab w:val="decimal" w:pos="1191"/>
              </w:tabs>
            </w:pPr>
            <w:r w:rsidRPr="00181EF3">
              <w:t>962 (96.2%)</w:t>
            </w:r>
          </w:p>
        </w:tc>
      </w:tr>
      <w:tr w:rsidR="00B66973" w:rsidRPr="00181EF3" w14:paraId="524759A1"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15FB367B" w14:textId="77777777" w:rsidR="00B66973" w:rsidRPr="00181EF3" w:rsidRDefault="00B66973" w:rsidP="00B66973">
            <w:pPr>
              <w:pStyle w:val="TableText"/>
              <w:jc w:val="center"/>
            </w:pPr>
            <w:r w:rsidRPr="00181EF3">
              <w:t>2006</w:t>
            </w:r>
          </w:p>
        </w:tc>
        <w:tc>
          <w:tcPr>
            <w:tcW w:w="2693" w:type="dxa"/>
            <w:tcBorders>
              <w:top w:val="single" w:sz="4" w:space="0" w:color="A6A6A6" w:themeColor="background1" w:themeShade="A6"/>
              <w:bottom w:val="single" w:sz="4" w:space="0" w:color="A6A6A6" w:themeColor="background1" w:themeShade="A6"/>
            </w:tcBorders>
          </w:tcPr>
          <w:p w14:paraId="6165C075" w14:textId="77777777" w:rsidR="00B66973" w:rsidRPr="00181EF3" w:rsidRDefault="00B66973" w:rsidP="00B66973">
            <w:pPr>
              <w:pStyle w:val="TableText"/>
              <w:tabs>
                <w:tab w:val="decimal" w:pos="1191"/>
              </w:tabs>
            </w:pPr>
            <w:r w:rsidRPr="00181EF3">
              <w:t>33 (3.0%)</w:t>
            </w:r>
          </w:p>
        </w:tc>
        <w:tc>
          <w:tcPr>
            <w:tcW w:w="2694" w:type="dxa"/>
            <w:tcBorders>
              <w:top w:val="single" w:sz="4" w:space="0" w:color="A6A6A6" w:themeColor="background1" w:themeShade="A6"/>
              <w:bottom w:val="single" w:sz="4" w:space="0" w:color="A6A6A6" w:themeColor="background1" w:themeShade="A6"/>
            </w:tcBorders>
          </w:tcPr>
          <w:p w14:paraId="1795360D" w14:textId="77777777" w:rsidR="00B66973" w:rsidRPr="00181EF3" w:rsidRDefault="00B66973" w:rsidP="00B66973">
            <w:pPr>
              <w:pStyle w:val="TableText"/>
              <w:tabs>
                <w:tab w:val="decimal" w:pos="1191"/>
              </w:tabs>
            </w:pPr>
            <w:r w:rsidRPr="00181EF3">
              <w:t>1,080 (97.0%)</w:t>
            </w:r>
          </w:p>
        </w:tc>
      </w:tr>
      <w:tr w:rsidR="00B66973" w:rsidRPr="00181EF3" w14:paraId="48841CDE"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16464537" w14:textId="77777777" w:rsidR="00B66973" w:rsidRPr="00181EF3" w:rsidRDefault="00B66973" w:rsidP="00B66973">
            <w:pPr>
              <w:pStyle w:val="TableText"/>
              <w:jc w:val="center"/>
            </w:pPr>
            <w:r w:rsidRPr="00181EF3">
              <w:t>2007</w:t>
            </w:r>
          </w:p>
        </w:tc>
        <w:tc>
          <w:tcPr>
            <w:tcW w:w="2693" w:type="dxa"/>
            <w:tcBorders>
              <w:top w:val="single" w:sz="4" w:space="0" w:color="A6A6A6" w:themeColor="background1" w:themeShade="A6"/>
              <w:bottom w:val="single" w:sz="4" w:space="0" w:color="A6A6A6" w:themeColor="background1" w:themeShade="A6"/>
            </w:tcBorders>
          </w:tcPr>
          <w:p w14:paraId="20DA0CA6" w14:textId="77777777" w:rsidR="00B66973" w:rsidRPr="00181EF3" w:rsidRDefault="00B66973" w:rsidP="00B66973">
            <w:pPr>
              <w:pStyle w:val="TableText"/>
              <w:tabs>
                <w:tab w:val="decimal" w:pos="1191"/>
              </w:tabs>
            </w:pPr>
            <w:r w:rsidRPr="00181EF3">
              <w:t>42 (3.8%)</w:t>
            </w:r>
          </w:p>
        </w:tc>
        <w:tc>
          <w:tcPr>
            <w:tcW w:w="2694" w:type="dxa"/>
            <w:tcBorders>
              <w:top w:val="single" w:sz="4" w:space="0" w:color="A6A6A6" w:themeColor="background1" w:themeShade="A6"/>
              <w:bottom w:val="single" w:sz="4" w:space="0" w:color="A6A6A6" w:themeColor="background1" w:themeShade="A6"/>
            </w:tcBorders>
          </w:tcPr>
          <w:p w14:paraId="68240296" w14:textId="77777777" w:rsidR="00B66973" w:rsidRPr="00181EF3" w:rsidRDefault="00B66973" w:rsidP="00B66973">
            <w:pPr>
              <w:pStyle w:val="TableText"/>
              <w:tabs>
                <w:tab w:val="decimal" w:pos="1191"/>
              </w:tabs>
            </w:pPr>
            <w:r w:rsidRPr="00181EF3">
              <w:t>1,067 (96.2%)</w:t>
            </w:r>
          </w:p>
        </w:tc>
      </w:tr>
      <w:tr w:rsidR="00B66973" w:rsidRPr="00181EF3" w14:paraId="68EB6AAD"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0F544B77" w14:textId="77777777" w:rsidR="00B66973" w:rsidRPr="00181EF3" w:rsidRDefault="00B66973" w:rsidP="00B66973">
            <w:pPr>
              <w:pStyle w:val="TableText"/>
              <w:jc w:val="center"/>
            </w:pPr>
            <w:r w:rsidRPr="00181EF3">
              <w:t>2008</w:t>
            </w:r>
          </w:p>
        </w:tc>
        <w:tc>
          <w:tcPr>
            <w:tcW w:w="2693" w:type="dxa"/>
            <w:tcBorders>
              <w:top w:val="single" w:sz="4" w:space="0" w:color="A6A6A6" w:themeColor="background1" w:themeShade="A6"/>
              <w:bottom w:val="single" w:sz="4" w:space="0" w:color="A6A6A6" w:themeColor="background1" w:themeShade="A6"/>
            </w:tcBorders>
          </w:tcPr>
          <w:p w14:paraId="2FDFCD67" w14:textId="77777777" w:rsidR="00B66973" w:rsidRPr="00181EF3" w:rsidRDefault="00B66973" w:rsidP="00B66973">
            <w:pPr>
              <w:pStyle w:val="TableText"/>
              <w:tabs>
                <w:tab w:val="decimal" w:pos="1191"/>
              </w:tabs>
            </w:pPr>
            <w:r w:rsidRPr="00181EF3">
              <w:t>47 (3.9%)</w:t>
            </w:r>
          </w:p>
        </w:tc>
        <w:tc>
          <w:tcPr>
            <w:tcW w:w="2694" w:type="dxa"/>
            <w:tcBorders>
              <w:top w:val="single" w:sz="4" w:space="0" w:color="A6A6A6" w:themeColor="background1" w:themeShade="A6"/>
              <w:bottom w:val="single" w:sz="4" w:space="0" w:color="A6A6A6" w:themeColor="background1" w:themeShade="A6"/>
            </w:tcBorders>
          </w:tcPr>
          <w:p w14:paraId="37D7B299" w14:textId="77777777" w:rsidR="00B66973" w:rsidRPr="00181EF3" w:rsidRDefault="00B66973" w:rsidP="00B66973">
            <w:pPr>
              <w:pStyle w:val="TableText"/>
              <w:tabs>
                <w:tab w:val="decimal" w:pos="1191"/>
              </w:tabs>
            </w:pPr>
            <w:r w:rsidRPr="00181EF3">
              <w:t>1,166 (96.1%)</w:t>
            </w:r>
          </w:p>
        </w:tc>
      </w:tr>
      <w:tr w:rsidR="00B66973" w:rsidRPr="00181EF3" w14:paraId="3222A4AA"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2A68598C" w14:textId="77777777" w:rsidR="00B66973" w:rsidRPr="00181EF3" w:rsidRDefault="00B66973" w:rsidP="00B66973">
            <w:pPr>
              <w:pStyle w:val="TableText"/>
              <w:jc w:val="center"/>
            </w:pPr>
            <w:r w:rsidRPr="00181EF3">
              <w:t>2009</w:t>
            </w:r>
          </w:p>
        </w:tc>
        <w:tc>
          <w:tcPr>
            <w:tcW w:w="2693" w:type="dxa"/>
            <w:tcBorders>
              <w:top w:val="single" w:sz="4" w:space="0" w:color="A6A6A6" w:themeColor="background1" w:themeShade="A6"/>
              <w:bottom w:val="single" w:sz="4" w:space="0" w:color="A6A6A6" w:themeColor="background1" w:themeShade="A6"/>
            </w:tcBorders>
          </w:tcPr>
          <w:p w14:paraId="00401C84" w14:textId="77777777" w:rsidR="00B66973" w:rsidRPr="00181EF3" w:rsidRDefault="00B66973" w:rsidP="00B66973">
            <w:pPr>
              <w:pStyle w:val="TableText"/>
              <w:tabs>
                <w:tab w:val="decimal" w:pos="1191"/>
              </w:tabs>
            </w:pPr>
            <w:r w:rsidRPr="00181EF3">
              <w:t>65 (5.3%)</w:t>
            </w:r>
          </w:p>
        </w:tc>
        <w:tc>
          <w:tcPr>
            <w:tcW w:w="2694" w:type="dxa"/>
            <w:tcBorders>
              <w:top w:val="single" w:sz="4" w:space="0" w:color="A6A6A6" w:themeColor="background1" w:themeShade="A6"/>
              <w:bottom w:val="single" w:sz="4" w:space="0" w:color="A6A6A6" w:themeColor="background1" w:themeShade="A6"/>
            </w:tcBorders>
          </w:tcPr>
          <w:p w14:paraId="3692A076" w14:textId="77777777" w:rsidR="00B66973" w:rsidRPr="00181EF3" w:rsidRDefault="00B66973" w:rsidP="00B66973">
            <w:pPr>
              <w:pStyle w:val="TableText"/>
              <w:tabs>
                <w:tab w:val="decimal" w:pos="1191"/>
              </w:tabs>
            </w:pPr>
            <w:r w:rsidRPr="00181EF3">
              <w:t>1,160 (94.7%)</w:t>
            </w:r>
          </w:p>
        </w:tc>
      </w:tr>
      <w:tr w:rsidR="00B66973" w:rsidRPr="00181EF3" w14:paraId="7CF2766A"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7613CECB" w14:textId="77777777" w:rsidR="00B66973" w:rsidRPr="00181EF3" w:rsidRDefault="00B66973" w:rsidP="00B66973">
            <w:pPr>
              <w:pStyle w:val="TableText"/>
              <w:jc w:val="center"/>
            </w:pPr>
            <w:r w:rsidRPr="00181EF3">
              <w:t>2010</w:t>
            </w:r>
          </w:p>
        </w:tc>
        <w:tc>
          <w:tcPr>
            <w:tcW w:w="2693" w:type="dxa"/>
            <w:tcBorders>
              <w:top w:val="single" w:sz="4" w:space="0" w:color="A6A6A6" w:themeColor="background1" w:themeShade="A6"/>
              <w:bottom w:val="single" w:sz="4" w:space="0" w:color="A6A6A6" w:themeColor="background1" w:themeShade="A6"/>
            </w:tcBorders>
          </w:tcPr>
          <w:p w14:paraId="70F1350F" w14:textId="77777777" w:rsidR="00B66973" w:rsidRPr="00181EF3" w:rsidRDefault="00B66973" w:rsidP="00B66973">
            <w:pPr>
              <w:pStyle w:val="TableText"/>
              <w:tabs>
                <w:tab w:val="decimal" w:pos="1191"/>
              </w:tabs>
            </w:pPr>
            <w:r w:rsidRPr="00181EF3">
              <w:t>60 (4.5%)</w:t>
            </w:r>
          </w:p>
        </w:tc>
        <w:tc>
          <w:tcPr>
            <w:tcW w:w="2694" w:type="dxa"/>
            <w:tcBorders>
              <w:top w:val="single" w:sz="4" w:space="0" w:color="A6A6A6" w:themeColor="background1" w:themeShade="A6"/>
              <w:bottom w:val="single" w:sz="4" w:space="0" w:color="A6A6A6" w:themeColor="background1" w:themeShade="A6"/>
            </w:tcBorders>
          </w:tcPr>
          <w:p w14:paraId="708D6F44" w14:textId="77777777" w:rsidR="00B66973" w:rsidRPr="00181EF3" w:rsidRDefault="00B66973" w:rsidP="00B66973">
            <w:pPr>
              <w:pStyle w:val="TableText"/>
              <w:tabs>
                <w:tab w:val="decimal" w:pos="1191"/>
              </w:tabs>
            </w:pPr>
            <w:r w:rsidRPr="00181EF3">
              <w:t>1,286 (95.5%)</w:t>
            </w:r>
          </w:p>
        </w:tc>
      </w:tr>
      <w:tr w:rsidR="00B66973" w:rsidRPr="00181EF3" w14:paraId="2EE282A6"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7CB5C44E" w14:textId="77777777" w:rsidR="00B66973" w:rsidRPr="00181EF3" w:rsidRDefault="00B66973" w:rsidP="00B66973">
            <w:pPr>
              <w:pStyle w:val="TableText"/>
              <w:jc w:val="center"/>
            </w:pPr>
            <w:r w:rsidRPr="00181EF3">
              <w:t>2011</w:t>
            </w:r>
          </w:p>
        </w:tc>
        <w:tc>
          <w:tcPr>
            <w:tcW w:w="2693" w:type="dxa"/>
            <w:tcBorders>
              <w:top w:val="single" w:sz="4" w:space="0" w:color="A6A6A6" w:themeColor="background1" w:themeShade="A6"/>
              <w:bottom w:val="single" w:sz="4" w:space="0" w:color="A6A6A6" w:themeColor="background1" w:themeShade="A6"/>
            </w:tcBorders>
          </w:tcPr>
          <w:p w14:paraId="6438D1A8" w14:textId="77777777" w:rsidR="00B66973" w:rsidRPr="00181EF3" w:rsidRDefault="00B66973" w:rsidP="00B66973">
            <w:pPr>
              <w:pStyle w:val="TableText"/>
              <w:jc w:val="center"/>
            </w:pPr>
            <w:r w:rsidRPr="00181EF3">
              <w:t>–</w:t>
            </w:r>
          </w:p>
        </w:tc>
        <w:tc>
          <w:tcPr>
            <w:tcW w:w="2694" w:type="dxa"/>
            <w:tcBorders>
              <w:top w:val="single" w:sz="4" w:space="0" w:color="A6A6A6" w:themeColor="background1" w:themeShade="A6"/>
              <w:bottom w:val="single" w:sz="4" w:space="0" w:color="A6A6A6" w:themeColor="background1" w:themeShade="A6"/>
            </w:tcBorders>
          </w:tcPr>
          <w:p w14:paraId="72CFF478" w14:textId="77777777" w:rsidR="00B66973" w:rsidRPr="00181EF3" w:rsidRDefault="00B66973" w:rsidP="00B66973">
            <w:pPr>
              <w:pStyle w:val="TableText"/>
              <w:jc w:val="center"/>
            </w:pPr>
            <w:r w:rsidRPr="00181EF3">
              <w:t>–</w:t>
            </w:r>
          </w:p>
        </w:tc>
      </w:tr>
      <w:tr w:rsidR="00B66973" w:rsidRPr="00181EF3" w14:paraId="0955361D"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42BAF93D" w14:textId="77777777" w:rsidR="00B66973" w:rsidRPr="00181EF3" w:rsidRDefault="00B66973" w:rsidP="00B66973">
            <w:pPr>
              <w:pStyle w:val="TableText"/>
              <w:jc w:val="center"/>
            </w:pPr>
            <w:r w:rsidRPr="00181EF3">
              <w:t>2012</w:t>
            </w:r>
          </w:p>
        </w:tc>
        <w:tc>
          <w:tcPr>
            <w:tcW w:w="2693" w:type="dxa"/>
            <w:tcBorders>
              <w:top w:val="single" w:sz="4" w:space="0" w:color="A6A6A6" w:themeColor="background1" w:themeShade="A6"/>
              <w:bottom w:val="single" w:sz="4" w:space="0" w:color="A6A6A6" w:themeColor="background1" w:themeShade="A6"/>
            </w:tcBorders>
          </w:tcPr>
          <w:p w14:paraId="19F87852" w14:textId="77777777" w:rsidR="00B66973" w:rsidRPr="00181EF3" w:rsidRDefault="00B66973" w:rsidP="00B66973">
            <w:pPr>
              <w:pStyle w:val="TableText"/>
              <w:jc w:val="center"/>
            </w:pPr>
            <w:r w:rsidRPr="00181EF3">
              <w:t>–</w:t>
            </w:r>
          </w:p>
        </w:tc>
        <w:tc>
          <w:tcPr>
            <w:tcW w:w="2694" w:type="dxa"/>
            <w:tcBorders>
              <w:top w:val="single" w:sz="4" w:space="0" w:color="A6A6A6" w:themeColor="background1" w:themeShade="A6"/>
              <w:bottom w:val="single" w:sz="4" w:space="0" w:color="A6A6A6" w:themeColor="background1" w:themeShade="A6"/>
            </w:tcBorders>
          </w:tcPr>
          <w:p w14:paraId="6C2CAF7D" w14:textId="77777777" w:rsidR="00B66973" w:rsidRPr="00181EF3" w:rsidRDefault="00B66973" w:rsidP="00B66973">
            <w:pPr>
              <w:pStyle w:val="TableText"/>
              <w:jc w:val="center"/>
            </w:pPr>
            <w:r w:rsidRPr="00181EF3">
              <w:t>–</w:t>
            </w:r>
          </w:p>
        </w:tc>
      </w:tr>
      <w:tr w:rsidR="00B66973" w:rsidRPr="00181EF3" w14:paraId="74478E36"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2509B900" w14:textId="77777777" w:rsidR="00B66973" w:rsidRPr="00181EF3" w:rsidRDefault="00B66973" w:rsidP="00B66973">
            <w:pPr>
              <w:pStyle w:val="TableText"/>
              <w:jc w:val="center"/>
            </w:pPr>
            <w:r w:rsidRPr="00181EF3">
              <w:t>2013</w:t>
            </w:r>
          </w:p>
        </w:tc>
        <w:tc>
          <w:tcPr>
            <w:tcW w:w="2693" w:type="dxa"/>
            <w:tcBorders>
              <w:top w:val="single" w:sz="4" w:space="0" w:color="A6A6A6" w:themeColor="background1" w:themeShade="A6"/>
              <w:bottom w:val="single" w:sz="4" w:space="0" w:color="A6A6A6" w:themeColor="background1" w:themeShade="A6"/>
            </w:tcBorders>
          </w:tcPr>
          <w:p w14:paraId="010AECE7" w14:textId="77777777" w:rsidR="00B66973" w:rsidRPr="00181EF3" w:rsidRDefault="00B66973" w:rsidP="00B66973">
            <w:pPr>
              <w:pStyle w:val="TableText"/>
              <w:jc w:val="center"/>
            </w:pPr>
            <w:r w:rsidRPr="00181EF3">
              <w:t>–</w:t>
            </w:r>
          </w:p>
        </w:tc>
        <w:tc>
          <w:tcPr>
            <w:tcW w:w="2694" w:type="dxa"/>
            <w:tcBorders>
              <w:top w:val="single" w:sz="4" w:space="0" w:color="A6A6A6" w:themeColor="background1" w:themeShade="A6"/>
              <w:bottom w:val="single" w:sz="4" w:space="0" w:color="A6A6A6" w:themeColor="background1" w:themeShade="A6"/>
            </w:tcBorders>
          </w:tcPr>
          <w:p w14:paraId="1B2EFA5D" w14:textId="77777777" w:rsidR="00B66973" w:rsidRPr="00181EF3" w:rsidRDefault="00B66973" w:rsidP="00B66973">
            <w:pPr>
              <w:pStyle w:val="TableText"/>
              <w:jc w:val="center"/>
            </w:pPr>
            <w:r w:rsidRPr="00181EF3">
              <w:t>–</w:t>
            </w:r>
          </w:p>
        </w:tc>
      </w:tr>
      <w:tr w:rsidR="00B66973" w:rsidRPr="00181EF3" w14:paraId="5F9FBB1A"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78279D72" w14:textId="77777777" w:rsidR="00B66973" w:rsidRPr="00181EF3" w:rsidRDefault="00B66973" w:rsidP="00B66973">
            <w:pPr>
              <w:pStyle w:val="TableText"/>
              <w:jc w:val="center"/>
            </w:pPr>
            <w:r w:rsidRPr="00181EF3">
              <w:t>2014</w:t>
            </w:r>
          </w:p>
        </w:tc>
        <w:tc>
          <w:tcPr>
            <w:tcW w:w="2693" w:type="dxa"/>
            <w:tcBorders>
              <w:top w:val="single" w:sz="4" w:space="0" w:color="A6A6A6" w:themeColor="background1" w:themeShade="A6"/>
              <w:bottom w:val="single" w:sz="4" w:space="0" w:color="A6A6A6" w:themeColor="background1" w:themeShade="A6"/>
            </w:tcBorders>
          </w:tcPr>
          <w:p w14:paraId="22D00F55" w14:textId="77777777" w:rsidR="00B66973" w:rsidRPr="00181EF3" w:rsidRDefault="00B66973" w:rsidP="00B66973">
            <w:pPr>
              <w:pStyle w:val="TableText"/>
              <w:jc w:val="center"/>
            </w:pPr>
            <w:r w:rsidRPr="00181EF3">
              <w:t>–</w:t>
            </w:r>
          </w:p>
        </w:tc>
        <w:tc>
          <w:tcPr>
            <w:tcW w:w="2694" w:type="dxa"/>
            <w:tcBorders>
              <w:top w:val="single" w:sz="4" w:space="0" w:color="A6A6A6" w:themeColor="background1" w:themeShade="A6"/>
              <w:bottom w:val="single" w:sz="4" w:space="0" w:color="A6A6A6" w:themeColor="background1" w:themeShade="A6"/>
            </w:tcBorders>
          </w:tcPr>
          <w:p w14:paraId="22E8FF88" w14:textId="77777777" w:rsidR="00B66973" w:rsidRPr="00181EF3" w:rsidRDefault="00B66973" w:rsidP="00B66973">
            <w:pPr>
              <w:pStyle w:val="TableText"/>
              <w:jc w:val="center"/>
            </w:pPr>
            <w:r w:rsidRPr="00181EF3">
              <w:t>–</w:t>
            </w:r>
          </w:p>
        </w:tc>
      </w:tr>
      <w:tr w:rsidR="00B66973" w:rsidRPr="00181EF3" w14:paraId="2EF98926"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0DD9C537" w14:textId="77777777" w:rsidR="00B66973" w:rsidRPr="00181EF3" w:rsidRDefault="00B66973" w:rsidP="00B66973">
            <w:pPr>
              <w:pStyle w:val="TableText"/>
              <w:jc w:val="center"/>
            </w:pPr>
            <w:r w:rsidRPr="00181EF3">
              <w:t>2015</w:t>
            </w:r>
          </w:p>
        </w:tc>
        <w:tc>
          <w:tcPr>
            <w:tcW w:w="2693" w:type="dxa"/>
            <w:tcBorders>
              <w:top w:val="single" w:sz="4" w:space="0" w:color="A6A6A6" w:themeColor="background1" w:themeShade="A6"/>
              <w:bottom w:val="single" w:sz="4" w:space="0" w:color="A6A6A6" w:themeColor="background1" w:themeShade="A6"/>
            </w:tcBorders>
          </w:tcPr>
          <w:p w14:paraId="766F909D" w14:textId="77777777" w:rsidR="00B66973" w:rsidRPr="00181EF3" w:rsidRDefault="00B66973" w:rsidP="00B66973">
            <w:pPr>
              <w:pStyle w:val="TableText"/>
              <w:jc w:val="center"/>
            </w:pPr>
            <w:r w:rsidRPr="00181EF3">
              <w:t>–</w:t>
            </w:r>
          </w:p>
        </w:tc>
        <w:tc>
          <w:tcPr>
            <w:tcW w:w="2694" w:type="dxa"/>
            <w:tcBorders>
              <w:top w:val="single" w:sz="4" w:space="0" w:color="A6A6A6" w:themeColor="background1" w:themeShade="A6"/>
              <w:bottom w:val="single" w:sz="4" w:space="0" w:color="A6A6A6" w:themeColor="background1" w:themeShade="A6"/>
            </w:tcBorders>
          </w:tcPr>
          <w:p w14:paraId="310BDBBC" w14:textId="77777777" w:rsidR="00B66973" w:rsidRPr="00181EF3" w:rsidRDefault="00B66973" w:rsidP="00B66973">
            <w:pPr>
              <w:pStyle w:val="TableText"/>
              <w:jc w:val="center"/>
            </w:pPr>
            <w:r w:rsidRPr="00181EF3">
              <w:t>–</w:t>
            </w:r>
          </w:p>
        </w:tc>
      </w:tr>
      <w:tr w:rsidR="00B66973" w:rsidRPr="00181EF3" w14:paraId="3E718A3C"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360F4614" w14:textId="77777777" w:rsidR="00B66973" w:rsidRPr="00181EF3" w:rsidRDefault="00B66973" w:rsidP="00B66973">
            <w:pPr>
              <w:pStyle w:val="TableText"/>
              <w:jc w:val="center"/>
            </w:pPr>
            <w:r w:rsidRPr="00181EF3">
              <w:t>2016</w:t>
            </w:r>
          </w:p>
        </w:tc>
        <w:tc>
          <w:tcPr>
            <w:tcW w:w="2693" w:type="dxa"/>
            <w:tcBorders>
              <w:top w:val="single" w:sz="4" w:space="0" w:color="A6A6A6" w:themeColor="background1" w:themeShade="A6"/>
              <w:bottom w:val="single" w:sz="4" w:space="0" w:color="A6A6A6" w:themeColor="background1" w:themeShade="A6"/>
            </w:tcBorders>
          </w:tcPr>
          <w:p w14:paraId="03004DDA" w14:textId="77777777" w:rsidR="00B66973" w:rsidRPr="00181EF3" w:rsidRDefault="00B66973" w:rsidP="00B66973">
            <w:pPr>
              <w:pStyle w:val="TableText"/>
              <w:jc w:val="center"/>
            </w:pPr>
            <w:r w:rsidRPr="00181EF3">
              <w:t>–</w:t>
            </w:r>
          </w:p>
        </w:tc>
        <w:tc>
          <w:tcPr>
            <w:tcW w:w="2694" w:type="dxa"/>
            <w:tcBorders>
              <w:top w:val="single" w:sz="4" w:space="0" w:color="A6A6A6" w:themeColor="background1" w:themeShade="A6"/>
              <w:bottom w:val="single" w:sz="4" w:space="0" w:color="A6A6A6" w:themeColor="background1" w:themeShade="A6"/>
            </w:tcBorders>
          </w:tcPr>
          <w:p w14:paraId="3DB75CD7" w14:textId="77777777" w:rsidR="00B66973" w:rsidRPr="00181EF3" w:rsidRDefault="00B66973" w:rsidP="00B66973">
            <w:pPr>
              <w:pStyle w:val="TableText"/>
              <w:jc w:val="center"/>
            </w:pPr>
            <w:r w:rsidRPr="00181EF3">
              <w:t>–</w:t>
            </w:r>
          </w:p>
        </w:tc>
      </w:tr>
      <w:tr w:rsidR="00B66973" w:rsidRPr="00181EF3" w14:paraId="5F76A608"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24D10062" w14:textId="77777777" w:rsidR="00B66973" w:rsidRPr="00181EF3" w:rsidRDefault="00B66973" w:rsidP="00B66973">
            <w:pPr>
              <w:pStyle w:val="TableText"/>
              <w:jc w:val="center"/>
            </w:pPr>
            <w:r w:rsidRPr="00181EF3">
              <w:t>2017</w:t>
            </w:r>
          </w:p>
        </w:tc>
        <w:tc>
          <w:tcPr>
            <w:tcW w:w="2693" w:type="dxa"/>
            <w:tcBorders>
              <w:top w:val="single" w:sz="4" w:space="0" w:color="A6A6A6" w:themeColor="background1" w:themeShade="A6"/>
              <w:bottom w:val="single" w:sz="4" w:space="0" w:color="A6A6A6" w:themeColor="background1" w:themeShade="A6"/>
            </w:tcBorders>
          </w:tcPr>
          <w:p w14:paraId="01086840" w14:textId="77777777" w:rsidR="00B66973" w:rsidRPr="00181EF3" w:rsidRDefault="00B66973" w:rsidP="00B66973">
            <w:pPr>
              <w:pStyle w:val="TableText"/>
              <w:jc w:val="center"/>
            </w:pPr>
            <w:r w:rsidRPr="00181EF3">
              <w:t>–</w:t>
            </w:r>
          </w:p>
        </w:tc>
        <w:tc>
          <w:tcPr>
            <w:tcW w:w="2694" w:type="dxa"/>
            <w:tcBorders>
              <w:top w:val="single" w:sz="4" w:space="0" w:color="A6A6A6" w:themeColor="background1" w:themeShade="A6"/>
              <w:bottom w:val="single" w:sz="4" w:space="0" w:color="A6A6A6" w:themeColor="background1" w:themeShade="A6"/>
            </w:tcBorders>
          </w:tcPr>
          <w:p w14:paraId="3A941F04" w14:textId="77777777" w:rsidR="00B66973" w:rsidRPr="00181EF3" w:rsidRDefault="00B66973" w:rsidP="00B66973">
            <w:pPr>
              <w:pStyle w:val="TableText"/>
              <w:jc w:val="center"/>
            </w:pPr>
            <w:r w:rsidRPr="00181EF3">
              <w:t>–</w:t>
            </w:r>
          </w:p>
        </w:tc>
      </w:tr>
      <w:tr w:rsidR="00B66973" w:rsidRPr="00181EF3" w14:paraId="24BCAEE2"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65CC7472" w14:textId="77777777" w:rsidR="00B66973" w:rsidRPr="00181EF3" w:rsidRDefault="00B66973" w:rsidP="00B66973">
            <w:pPr>
              <w:pStyle w:val="TableText"/>
              <w:jc w:val="center"/>
            </w:pPr>
            <w:r w:rsidRPr="00181EF3">
              <w:t>2018</w:t>
            </w:r>
          </w:p>
        </w:tc>
        <w:tc>
          <w:tcPr>
            <w:tcW w:w="2693" w:type="dxa"/>
            <w:tcBorders>
              <w:top w:val="single" w:sz="4" w:space="0" w:color="A6A6A6" w:themeColor="background1" w:themeShade="A6"/>
              <w:bottom w:val="single" w:sz="4" w:space="0" w:color="A6A6A6" w:themeColor="background1" w:themeShade="A6"/>
            </w:tcBorders>
          </w:tcPr>
          <w:p w14:paraId="6F9C16B2" w14:textId="77777777" w:rsidR="00B66973" w:rsidRPr="00181EF3" w:rsidRDefault="00B66973" w:rsidP="00B66973">
            <w:pPr>
              <w:pStyle w:val="TableText"/>
              <w:tabs>
                <w:tab w:val="decimal" w:pos="1191"/>
              </w:tabs>
            </w:pPr>
            <w:r w:rsidRPr="00181EF3">
              <w:t>144 (5.3%)</w:t>
            </w:r>
          </w:p>
        </w:tc>
        <w:tc>
          <w:tcPr>
            <w:tcW w:w="2694" w:type="dxa"/>
            <w:tcBorders>
              <w:top w:val="single" w:sz="4" w:space="0" w:color="A6A6A6" w:themeColor="background1" w:themeShade="A6"/>
              <w:bottom w:val="single" w:sz="4" w:space="0" w:color="A6A6A6" w:themeColor="background1" w:themeShade="A6"/>
            </w:tcBorders>
          </w:tcPr>
          <w:p w14:paraId="521FB056" w14:textId="77777777" w:rsidR="00B66973" w:rsidRPr="00181EF3" w:rsidRDefault="00B66973" w:rsidP="00B66973">
            <w:pPr>
              <w:pStyle w:val="TableText"/>
              <w:tabs>
                <w:tab w:val="decimal" w:pos="1191"/>
              </w:tabs>
            </w:pPr>
            <w:r w:rsidRPr="00181EF3">
              <w:t>2,579 (94.7%)</w:t>
            </w:r>
          </w:p>
        </w:tc>
      </w:tr>
    </w:tbl>
    <w:p w14:paraId="758DCD32" w14:textId="77777777" w:rsidR="00B66973" w:rsidRPr="00181EF3" w:rsidRDefault="00B66973" w:rsidP="00B66973">
      <w:pPr>
        <w:pStyle w:val="Source"/>
      </w:pPr>
      <w:r w:rsidRPr="00181EF3">
        <w:t>Source: New Zealand Psychologists Board, 2005–2010 and 2018.</w:t>
      </w:r>
    </w:p>
    <w:p w14:paraId="5C05E0BD" w14:textId="77777777" w:rsidR="00B66973" w:rsidRPr="00181EF3" w:rsidRDefault="00B66973" w:rsidP="00B66973"/>
    <w:p w14:paraId="688B89F3" w14:textId="76F146EB" w:rsidR="00B16E84" w:rsidRPr="00181EF3" w:rsidRDefault="00B16E84" w:rsidP="001338CA">
      <w:r w:rsidRPr="00181EF3">
        <w:t xml:space="preserve">Table </w:t>
      </w:r>
      <w:r>
        <w:t>41</w:t>
      </w:r>
      <w:r w:rsidRPr="00181EF3">
        <w:t xml:space="preserve"> shows the estimated number and percentage of Māori and </w:t>
      </w:r>
      <w:r w:rsidR="00EC03A3">
        <w:t>non</w:t>
      </w:r>
      <w:r w:rsidR="00EC03A3">
        <w:noBreakHyphen/>
        <w:t>M</w:t>
      </w:r>
      <w:r w:rsidRPr="00181EF3">
        <w:t>āori in the psychology workforce from 2005 to 2010 and 2018.</w:t>
      </w:r>
    </w:p>
    <w:p w14:paraId="4C382092" w14:textId="77777777" w:rsidR="00B16E84" w:rsidRPr="00181EF3" w:rsidRDefault="00B16E84" w:rsidP="00B16E84"/>
    <w:p w14:paraId="20464D18" w14:textId="62F73E40" w:rsidR="00B16E84" w:rsidRDefault="00B16E84" w:rsidP="00B16E84">
      <w:r w:rsidRPr="00181EF3">
        <w:t xml:space="preserve">Despite the number of Māori in the psychology workforce increasing over time, the percentage of Māori in the workforce did not change much – the average percentage of Māori in the psychology workforce from 2005 to 2010 and 2018 was 4.2 percent. The </w:t>
      </w:r>
      <w:r w:rsidR="001338CA">
        <w:t>p</w:t>
      </w:r>
      <w:r w:rsidRPr="00181EF3">
        <w:t xml:space="preserve">sychology workforce does not reflect the ethnic population distribution in New Zealand (14.9 percent Māori, 85.1 percent </w:t>
      </w:r>
      <w:r w:rsidR="00EC03A3">
        <w:t>non</w:t>
      </w:r>
      <w:r w:rsidR="00EC03A3">
        <w:noBreakHyphen/>
        <w:t>M</w:t>
      </w:r>
      <w:r w:rsidRPr="00181EF3">
        <w:t>āori).</w:t>
      </w:r>
      <w:r w:rsidRPr="001338CA">
        <w:rPr>
          <w:rStyle w:val="FootnoteReference"/>
        </w:rPr>
        <w:footnoteReference w:id="16"/>
      </w:r>
    </w:p>
    <w:p w14:paraId="62D83A2A" w14:textId="77777777" w:rsidR="001338CA" w:rsidRPr="00181EF3" w:rsidRDefault="001338CA" w:rsidP="00B16E84"/>
    <w:p w14:paraId="44085335" w14:textId="77777777" w:rsidR="00B66973" w:rsidRPr="00181EF3" w:rsidRDefault="00B66973" w:rsidP="001338CA">
      <w:pPr>
        <w:pStyle w:val="Heading2"/>
        <w:pageBreakBefore/>
        <w:spacing w:before="0"/>
      </w:pPr>
      <w:bookmarkStart w:id="422" w:name="_Toc19102458"/>
      <w:r w:rsidRPr="00181EF3">
        <w:lastRenderedPageBreak/>
        <w:t>New Zealand Medical Radiation Technologists Board – medical radiologists</w:t>
      </w:r>
      <w:bookmarkEnd w:id="422"/>
    </w:p>
    <w:p w14:paraId="032624B1" w14:textId="47898C04" w:rsidR="00B66973" w:rsidRPr="00181EF3" w:rsidRDefault="00B66973" w:rsidP="00B66973">
      <w:pPr>
        <w:pStyle w:val="Table"/>
      </w:pPr>
      <w:bookmarkStart w:id="423" w:name="_Toc18594782"/>
      <w:r w:rsidRPr="00181EF3">
        <w:t xml:space="preserve">Table </w:t>
      </w:r>
      <w:r>
        <w:t>42</w:t>
      </w:r>
      <w:r w:rsidRPr="00181EF3">
        <w:t xml:space="preserve">: Estimated number (percentage in workforce) of Māori and </w:t>
      </w:r>
      <w:r w:rsidR="00EC03A3">
        <w:t>non</w:t>
      </w:r>
      <w:r w:rsidR="00EC03A3">
        <w:noBreakHyphen/>
        <w:t>M</w:t>
      </w:r>
      <w:r w:rsidRPr="00181EF3">
        <w:t>āori in the medical radiology workforce, 2005–2010</w:t>
      </w:r>
      <w:bookmarkEnd w:id="423"/>
    </w:p>
    <w:tbl>
      <w:tblPr>
        <w:tblW w:w="0" w:type="auto"/>
        <w:tblInd w:w="57" w:type="dxa"/>
        <w:tblLayout w:type="fixed"/>
        <w:tblCellMar>
          <w:left w:w="57" w:type="dxa"/>
          <w:right w:w="57" w:type="dxa"/>
        </w:tblCellMar>
        <w:tblLook w:val="04A0" w:firstRow="1" w:lastRow="0" w:firstColumn="1" w:lastColumn="0" w:noHBand="0" w:noVBand="1"/>
      </w:tblPr>
      <w:tblGrid>
        <w:gridCol w:w="2693"/>
        <w:gridCol w:w="2693"/>
        <w:gridCol w:w="2694"/>
      </w:tblGrid>
      <w:tr w:rsidR="00B66973" w:rsidRPr="00181EF3" w14:paraId="45A93C86" w14:textId="77777777" w:rsidTr="00B66973">
        <w:trPr>
          <w:cantSplit/>
        </w:trPr>
        <w:tc>
          <w:tcPr>
            <w:tcW w:w="8080" w:type="dxa"/>
            <w:gridSpan w:val="3"/>
            <w:shd w:val="clear" w:color="auto" w:fill="D9D9D9" w:themeFill="background1" w:themeFillShade="D9"/>
          </w:tcPr>
          <w:p w14:paraId="695A3B7E" w14:textId="77777777" w:rsidR="00B66973" w:rsidRPr="00181EF3" w:rsidRDefault="00B66973" w:rsidP="00B66973">
            <w:pPr>
              <w:pStyle w:val="TableText"/>
              <w:jc w:val="center"/>
              <w:rPr>
                <w:b/>
              </w:rPr>
            </w:pPr>
            <w:r w:rsidRPr="00181EF3">
              <w:rPr>
                <w:b/>
              </w:rPr>
              <w:t>Medical radiology (2005–2010)</w:t>
            </w:r>
          </w:p>
        </w:tc>
      </w:tr>
      <w:tr w:rsidR="00B66973" w:rsidRPr="00181EF3" w14:paraId="0E628351" w14:textId="77777777" w:rsidTr="00B66973">
        <w:trPr>
          <w:cantSplit/>
        </w:trPr>
        <w:tc>
          <w:tcPr>
            <w:tcW w:w="2693" w:type="dxa"/>
            <w:shd w:val="clear" w:color="auto" w:fill="F2F2F2" w:themeFill="background1" w:themeFillShade="F2"/>
          </w:tcPr>
          <w:p w14:paraId="0883B2CE" w14:textId="77777777" w:rsidR="00B66973" w:rsidRPr="00181EF3" w:rsidRDefault="00B66973" w:rsidP="00B66973">
            <w:pPr>
              <w:pStyle w:val="TableText"/>
              <w:jc w:val="center"/>
              <w:rPr>
                <w:b/>
              </w:rPr>
            </w:pPr>
            <w:r w:rsidRPr="00181EF3">
              <w:rPr>
                <w:b/>
              </w:rPr>
              <w:t>Year</w:t>
            </w:r>
          </w:p>
        </w:tc>
        <w:tc>
          <w:tcPr>
            <w:tcW w:w="2693" w:type="dxa"/>
            <w:shd w:val="clear" w:color="auto" w:fill="F2F2F2" w:themeFill="background1" w:themeFillShade="F2"/>
          </w:tcPr>
          <w:p w14:paraId="3F6F3F4F" w14:textId="77777777" w:rsidR="00B66973" w:rsidRPr="00181EF3" w:rsidRDefault="00B66973" w:rsidP="00B66973">
            <w:pPr>
              <w:pStyle w:val="TableText"/>
              <w:jc w:val="center"/>
              <w:rPr>
                <w:b/>
              </w:rPr>
            </w:pPr>
            <w:r w:rsidRPr="00181EF3">
              <w:rPr>
                <w:b/>
              </w:rPr>
              <w:t>Māori</w:t>
            </w:r>
          </w:p>
        </w:tc>
        <w:tc>
          <w:tcPr>
            <w:tcW w:w="2694" w:type="dxa"/>
            <w:shd w:val="clear" w:color="auto" w:fill="F2F2F2" w:themeFill="background1" w:themeFillShade="F2"/>
          </w:tcPr>
          <w:p w14:paraId="29DC9590" w14:textId="2C877C87" w:rsidR="00B66973" w:rsidRPr="00181EF3" w:rsidRDefault="00EC03A3" w:rsidP="00B66973">
            <w:pPr>
              <w:pStyle w:val="TableText"/>
              <w:jc w:val="center"/>
              <w:rPr>
                <w:b/>
              </w:rPr>
            </w:pPr>
            <w:r>
              <w:rPr>
                <w:b/>
              </w:rPr>
              <w:t>Non</w:t>
            </w:r>
            <w:r>
              <w:rPr>
                <w:b/>
              </w:rPr>
              <w:noBreakHyphen/>
              <w:t>M</w:t>
            </w:r>
            <w:r w:rsidR="00B66973" w:rsidRPr="00181EF3">
              <w:rPr>
                <w:b/>
              </w:rPr>
              <w:t>āori</w:t>
            </w:r>
          </w:p>
        </w:tc>
      </w:tr>
      <w:tr w:rsidR="00B66973" w:rsidRPr="00181EF3" w14:paraId="0F81D21C" w14:textId="77777777" w:rsidTr="00B66973">
        <w:trPr>
          <w:cantSplit/>
        </w:trPr>
        <w:tc>
          <w:tcPr>
            <w:tcW w:w="2693" w:type="dxa"/>
            <w:tcBorders>
              <w:bottom w:val="single" w:sz="4" w:space="0" w:color="A6A6A6" w:themeColor="background1" w:themeShade="A6"/>
            </w:tcBorders>
          </w:tcPr>
          <w:p w14:paraId="74547145" w14:textId="77777777" w:rsidR="00B66973" w:rsidRPr="00181EF3" w:rsidRDefault="00B66973" w:rsidP="00B66973">
            <w:pPr>
              <w:pStyle w:val="TableText"/>
              <w:jc w:val="center"/>
            </w:pPr>
            <w:r w:rsidRPr="00181EF3">
              <w:t>2005</w:t>
            </w:r>
          </w:p>
        </w:tc>
        <w:tc>
          <w:tcPr>
            <w:tcW w:w="2693" w:type="dxa"/>
            <w:tcBorders>
              <w:bottom w:val="single" w:sz="4" w:space="0" w:color="A6A6A6" w:themeColor="background1" w:themeShade="A6"/>
            </w:tcBorders>
          </w:tcPr>
          <w:p w14:paraId="668A62C5" w14:textId="77777777" w:rsidR="00B66973" w:rsidRPr="00181EF3" w:rsidRDefault="00B66973" w:rsidP="00B66973">
            <w:pPr>
              <w:pStyle w:val="TableText"/>
              <w:jc w:val="center"/>
            </w:pPr>
            <w:r w:rsidRPr="00181EF3">
              <w:t>34 (2.7%)</w:t>
            </w:r>
          </w:p>
        </w:tc>
        <w:tc>
          <w:tcPr>
            <w:tcW w:w="2694" w:type="dxa"/>
            <w:tcBorders>
              <w:bottom w:val="single" w:sz="4" w:space="0" w:color="A6A6A6" w:themeColor="background1" w:themeShade="A6"/>
            </w:tcBorders>
          </w:tcPr>
          <w:p w14:paraId="65FBFF66" w14:textId="77777777" w:rsidR="00B66973" w:rsidRPr="00181EF3" w:rsidRDefault="00B66973" w:rsidP="00B66973">
            <w:pPr>
              <w:pStyle w:val="TableText"/>
              <w:jc w:val="center"/>
            </w:pPr>
            <w:r w:rsidRPr="00181EF3">
              <w:t>1,214 (97.3%)</w:t>
            </w:r>
          </w:p>
        </w:tc>
      </w:tr>
      <w:tr w:rsidR="00B66973" w:rsidRPr="00181EF3" w14:paraId="5F6F39CD"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02663ECA" w14:textId="77777777" w:rsidR="00B66973" w:rsidRPr="00181EF3" w:rsidRDefault="00B66973" w:rsidP="00B66973">
            <w:pPr>
              <w:pStyle w:val="TableText"/>
              <w:jc w:val="center"/>
            </w:pPr>
            <w:r w:rsidRPr="00181EF3">
              <w:t>2006</w:t>
            </w:r>
          </w:p>
        </w:tc>
        <w:tc>
          <w:tcPr>
            <w:tcW w:w="2693" w:type="dxa"/>
            <w:tcBorders>
              <w:top w:val="single" w:sz="4" w:space="0" w:color="A6A6A6" w:themeColor="background1" w:themeShade="A6"/>
              <w:bottom w:val="single" w:sz="4" w:space="0" w:color="A6A6A6" w:themeColor="background1" w:themeShade="A6"/>
            </w:tcBorders>
          </w:tcPr>
          <w:p w14:paraId="27836ADB" w14:textId="77777777" w:rsidR="00B66973" w:rsidRPr="00181EF3" w:rsidRDefault="00B66973" w:rsidP="00B66973">
            <w:pPr>
              <w:pStyle w:val="TableText"/>
              <w:jc w:val="center"/>
            </w:pPr>
            <w:r w:rsidRPr="00181EF3">
              <w:t>39 (2.9%)</w:t>
            </w:r>
          </w:p>
        </w:tc>
        <w:tc>
          <w:tcPr>
            <w:tcW w:w="2694" w:type="dxa"/>
            <w:tcBorders>
              <w:top w:val="single" w:sz="4" w:space="0" w:color="A6A6A6" w:themeColor="background1" w:themeShade="A6"/>
              <w:bottom w:val="single" w:sz="4" w:space="0" w:color="A6A6A6" w:themeColor="background1" w:themeShade="A6"/>
            </w:tcBorders>
          </w:tcPr>
          <w:p w14:paraId="77A7121F" w14:textId="77777777" w:rsidR="00B66973" w:rsidRPr="00181EF3" w:rsidRDefault="00B66973" w:rsidP="00B66973">
            <w:pPr>
              <w:pStyle w:val="TableText"/>
              <w:jc w:val="center"/>
            </w:pPr>
            <w:r w:rsidRPr="00181EF3">
              <w:t>1,303 (97.1%)</w:t>
            </w:r>
          </w:p>
        </w:tc>
      </w:tr>
      <w:tr w:rsidR="00B66973" w:rsidRPr="00181EF3" w14:paraId="2E9358FA"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49096821" w14:textId="77777777" w:rsidR="00B66973" w:rsidRPr="00181EF3" w:rsidRDefault="00B66973" w:rsidP="00B66973">
            <w:pPr>
              <w:pStyle w:val="TableText"/>
              <w:jc w:val="center"/>
            </w:pPr>
            <w:r w:rsidRPr="00181EF3">
              <w:t>2007</w:t>
            </w:r>
          </w:p>
        </w:tc>
        <w:tc>
          <w:tcPr>
            <w:tcW w:w="2693" w:type="dxa"/>
            <w:tcBorders>
              <w:top w:val="single" w:sz="4" w:space="0" w:color="A6A6A6" w:themeColor="background1" w:themeShade="A6"/>
              <w:bottom w:val="single" w:sz="4" w:space="0" w:color="A6A6A6" w:themeColor="background1" w:themeShade="A6"/>
            </w:tcBorders>
          </w:tcPr>
          <w:p w14:paraId="08ECA118" w14:textId="77777777" w:rsidR="00B66973" w:rsidRPr="00181EF3" w:rsidRDefault="00B66973" w:rsidP="00B66973">
            <w:pPr>
              <w:pStyle w:val="TableText"/>
              <w:jc w:val="center"/>
            </w:pPr>
            <w:r w:rsidRPr="00181EF3">
              <w:t>36 (3.2%)</w:t>
            </w:r>
          </w:p>
        </w:tc>
        <w:tc>
          <w:tcPr>
            <w:tcW w:w="2694" w:type="dxa"/>
            <w:tcBorders>
              <w:top w:val="single" w:sz="4" w:space="0" w:color="A6A6A6" w:themeColor="background1" w:themeShade="A6"/>
              <w:bottom w:val="single" w:sz="4" w:space="0" w:color="A6A6A6" w:themeColor="background1" w:themeShade="A6"/>
            </w:tcBorders>
          </w:tcPr>
          <w:p w14:paraId="78ECC6CB" w14:textId="77777777" w:rsidR="00B66973" w:rsidRPr="00181EF3" w:rsidRDefault="00B66973" w:rsidP="00B66973">
            <w:pPr>
              <w:pStyle w:val="TableText"/>
              <w:jc w:val="center"/>
            </w:pPr>
            <w:r w:rsidRPr="00181EF3">
              <w:t>1,092 (96.8%)</w:t>
            </w:r>
          </w:p>
        </w:tc>
      </w:tr>
      <w:tr w:rsidR="00B66973" w:rsidRPr="00181EF3" w14:paraId="201F33C5"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65C932C7" w14:textId="77777777" w:rsidR="00B66973" w:rsidRPr="00181EF3" w:rsidRDefault="00B66973" w:rsidP="00B66973">
            <w:pPr>
              <w:pStyle w:val="TableText"/>
              <w:jc w:val="center"/>
            </w:pPr>
            <w:r w:rsidRPr="00181EF3">
              <w:t>2008</w:t>
            </w:r>
          </w:p>
        </w:tc>
        <w:tc>
          <w:tcPr>
            <w:tcW w:w="2693" w:type="dxa"/>
            <w:tcBorders>
              <w:top w:val="single" w:sz="4" w:space="0" w:color="A6A6A6" w:themeColor="background1" w:themeShade="A6"/>
              <w:bottom w:val="single" w:sz="4" w:space="0" w:color="A6A6A6" w:themeColor="background1" w:themeShade="A6"/>
            </w:tcBorders>
          </w:tcPr>
          <w:p w14:paraId="72ADF2D4" w14:textId="77777777" w:rsidR="00B66973" w:rsidRPr="00181EF3" w:rsidRDefault="00B66973" w:rsidP="00B66973">
            <w:pPr>
              <w:pStyle w:val="TableText"/>
              <w:jc w:val="center"/>
            </w:pPr>
            <w:r w:rsidRPr="00181EF3">
              <w:t>48 (3.0%)</w:t>
            </w:r>
          </w:p>
        </w:tc>
        <w:tc>
          <w:tcPr>
            <w:tcW w:w="2694" w:type="dxa"/>
            <w:tcBorders>
              <w:top w:val="single" w:sz="4" w:space="0" w:color="A6A6A6" w:themeColor="background1" w:themeShade="A6"/>
              <w:bottom w:val="single" w:sz="4" w:space="0" w:color="A6A6A6" w:themeColor="background1" w:themeShade="A6"/>
            </w:tcBorders>
          </w:tcPr>
          <w:p w14:paraId="1649967F" w14:textId="77777777" w:rsidR="00B66973" w:rsidRPr="00181EF3" w:rsidRDefault="00B66973" w:rsidP="00B66973">
            <w:pPr>
              <w:pStyle w:val="TableText"/>
              <w:jc w:val="center"/>
            </w:pPr>
            <w:r w:rsidRPr="00181EF3">
              <w:t>1,528 (97.0%)</w:t>
            </w:r>
          </w:p>
        </w:tc>
      </w:tr>
      <w:tr w:rsidR="00B66973" w:rsidRPr="00181EF3" w14:paraId="1F1EE418"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6811D7CB" w14:textId="77777777" w:rsidR="00B66973" w:rsidRPr="00181EF3" w:rsidRDefault="00B66973" w:rsidP="00B66973">
            <w:pPr>
              <w:pStyle w:val="TableText"/>
              <w:jc w:val="center"/>
            </w:pPr>
            <w:r w:rsidRPr="00181EF3">
              <w:t>2009</w:t>
            </w:r>
          </w:p>
        </w:tc>
        <w:tc>
          <w:tcPr>
            <w:tcW w:w="2693" w:type="dxa"/>
            <w:tcBorders>
              <w:top w:val="single" w:sz="4" w:space="0" w:color="A6A6A6" w:themeColor="background1" w:themeShade="A6"/>
              <w:bottom w:val="single" w:sz="4" w:space="0" w:color="A6A6A6" w:themeColor="background1" w:themeShade="A6"/>
            </w:tcBorders>
          </w:tcPr>
          <w:p w14:paraId="0F906EAD" w14:textId="77777777" w:rsidR="00B66973" w:rsidRPr="00181EF3" w:rsidRDefault="00B66973" w:rsidP="00B66973">
            <w:pPr>
              <w:pStyle w:val="TableText"/>
              <w:jc w:val="center"/>
            </w:pPr>
            <w:r w:rsidRPr="00181EF3">
              <w:t>59 (3.5%)</w:t>
            </w:r>
          </w:p>
        </w:tc>
        <w:tc>
          <w:tcPr>
            <w:tcW w:w="2694" w:type="dxa"/>
            <w:tcBorders>
              <w:top w:val="single" w:sz="4" w:space="0" w:color="A6A6A6" w:themeColor="background1" w:themeShade="A6"/>
              <w:bottom w:val="single" w:sz="4" w:space="0" w:color="A6A6A6" w:themeColor="background1" w:themeShade="A6"/>
            </w:tcBorders>
          </w:tcPr>
          <w:p w14:paraId="32F293DA" w14:textId="77777777" w:rsidR="00B66973" w:rsidRPr="00181EF3" w:rsidRDefault="00B66973" w:rsidP="00B66973">
            <w:pPr>
              <w:pStyle w:val="TableText"/>
              <w:jc w:val="center"/>
            </w:pPr>
            <w:r w:rsidRPr="00181EF3">
              <w:t>1,604 (96.5%)</w:t>
            </w:r>
          </w:p>
        </w:tc>
      </w:tr>
      <w:tr w:rsidR="00B66973" w:rsidRPr="00181EF3" w14:paraId="189453CE"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7F2134A5" w14:textId="77777777" w:rsidR="00B66973" w:rsidRPr="00181EF3" w:rsidRDefault="00B66973" w:rsidP="00B66973">
            <w:pPr>
              <w:pStyle w:val="TableText"/>
              <w:jc w:val="center"/>
            </w:pPr>
            <w:r w:rsidRPr="00181EF3">
              <w:t>2010</w:t>
            </w:r>
          </w:p>
        </w:tc>
        <w:tc>
          <w:tcPr>
            <w:tcW w:w="2693" w:type="dxa"/>
            <w:tcBorders>
              <w:top w:val="single" w:sz="4" w:space="0" w:color="A6A6A6" w:themeColor="background1" w:themeShade="A6"/>
              <w:bottom w:val="single" w:sz="4" w:space="0" w:color="A6A6A6" w:themeColor="background1" w:themeShade="A6"/>
            </w:tcBorders>
          </w:tcPr>
          <w:p w14:paraId="37EDAC88" w14:textId="77777777" w:rsidR="00B66973" w:rsidRPr="00181EF3" w:rsidRDefault="00B66973" w:rsidP="00B66973">
            <w:pPr>
              <w:pStyle w:val="TableText"/>
              <w:jc w:val="center"/>
            </w:pPr>
            <w:r w:rsidRPr="00181EF3">
              <w:t>54 (3.1%)</w:t>
            </w:r>
          </w:p>
        </w:tc>
        <w:tc>
          <w:tcPr>
            <w:tcW w:w="2694" w:type="dxa"/>
            <w:tcBorders>
              <w:top w:val="single" w:sz="4" w:space="0" w:color="A6A6A6" w:themeColor="background1" w:themeShade="A6"/>
              <w:bottom w:val="single" w:sz="4" w:space="0" w:color="A6A6A6" w:themeColor="background1" w:themeShade="A6"/>
            </w:tcBorders>
          </w:tcPr>
          <w:p w14:paraId="3400AA5C" w14:textId="77777777" w:rsidR="00B66973" w:rsidRPr="00181EF3" w:rsidRDefault="00B66973" w:rsidP="00B66973">
            <w:pPr>
              <w:pStyle w:val="TableText"/>
              <w:jc w:val="center"/>
            </w:pPr>
            <w:r w:rsidRPr="00181EF3">
              <w:t>1,667 (96.9%)</w:t>
            </w:r>
          </w:p>
        </w:tc>
      </w:tr>
    </w:tbl>
    <w:p w14:paraId="0D5FCB26" w14:textId="77777777" w:rsidR="00B66973" w:rsidRPr="00181EF3" w:rsidRDefault="00B66973" w:rsidP="00B66973">
      <w:pPr>
        <w:pStyle w:val="Source"/>
      </w:pPr>
      <w:r w:rsidRPr="00181EF3">
        <w:t>Source: New Zealand Medical Radiation Technologists Board, 2005–2010.</w:t>
      </w:r>
    </w:p>
    <w:p w14:paraId="2F0124F5" w14:textId="77777777" w:rsidR="00B66973" w:rsidRPr="00181EF3" w:rsidRDefault="00B66973" w:rsidP="00B66973"/>
    <w:p w14:paraId="59F38EAA" w14:textId="1A8A14DC" w:rsidR="00B16E84" w:rsidRPr="00181EF3" w:rsidRDefault="00B16E84" w:rsidP="00B16E84">
      <w:r w:rsidRPr="00181EF3">
        <w:t xml:space="preserve">Table </w:t>
      </w:r>
      <w:r>
        <w:t>42</w:t>
      </w:r>
      <w:r w:rsidRPr="00181EF3">
        <w:t xml:space="preserve"> shows the estimated number and percentage of Māori and </w:t>
      </w:r>
      <w:r w:rsidR="00EC03A3">
        <w:t>non</w:t>
      </w:r>
      <w:r w:rsidR="00EC03A3">
        <w:noBreakHyphen/>
        <w:t>M</w:t>
      </w:r>
      <w:r w:rsidRPr="00181EF3">
        <w:t>āori in the medical radiology workforce from 2005 to 2010.</w:t>
      </w:r>
    </w:p>
    <w:p w14:paraId="6FB4EA6B" w14:textId="77777777" w:rsidR="00B16E84" w:rsidRPr="00181EF3" w:rsidRDefault="00B16E84" w:rsidP="00B16E84"/>
    <w:p w14:paraId="0A9202D6" w14:textId="7A6CD37E" w:rsidR="00B16E84" w:rsidRDefault="00B16E84" w:rsidP="00B16E84">
      <w:r w:rsidRPr="00181EF3">
        <w:t xml:space="preserve">Despite the number of Māori in the medical radiology workforce increasing over time, the percentage of Māori in the workforce did not change much – the average percentage of Māori in the medical radiology workforce between 2005 and 2010 was 3.1 percent (average of 45 Māori medical radiologists, compared </w:t>
      </w:r>
      <w:r w:rsidR="00FF1892">
        <w:t>with</w:t>
      </w:r>
      <w:r w:rsidR="00FF1892" w:rsidRPr="00181EF3">
        <w:t xml:space="preserve"> </w:t>
      </w:r>
      <w:r w:rsidRPr="00181EF3">
        <w:t xml:space="preserve">an average of 1,401 </w:t>
      </w:r>
      <w:r w:rsidR="00EC03A3">
        <w:t>non</w:t>
      </w:r>
      <w:r w:rsidR="00EC03A3">
        <w:noBreakHyphen/>
        <w:t>M</w:t>
      </w:r>
      <w:r w:rsidRPr="00181EF3">
        <w:t xml:space="preserve">āori). The medical radiology workforce does not reflect the ethnic population distribution in New Zealand (14.9 percent Māori, 85.1 percent </w:t>
      </w:r>
      <w:r w:rsidR="00EC03A3">
        <w:t>non</w:t>
      </w:r>
      <w:r w:rsidR="00EC03A3">
        <w:noBreakHyphen/>
        <w:t>M</w:t>
      </w:r>
      <w:r w:rsidRPr="00181EF3">
        <w:t>āori).</w:t>
      </w:r>
      <w:r w:rsidRPr="00181EF3">
        <w:rPr>
          <w:rStyle w:val="FootnoteReference"/>
        </w:rPr>
        <w:footnoteReference w:id="17"/>
      </w:r>
    </w:p>
    <w:p w14:paraId="62F02E1F" w14:textId="77777777" w:rsidR="001338CA" w:rsidRPr="00181EF3" w:rsidRDefault="001338CA" w:rsidP="00B16E84"/>
    <w:p w14:paraId="349AA5B1" w14:textId="77777777" w:rsidR="00B66973" w:rsidRPr="00181EF3" w:rsidRDefault="00B66973" w:rsidP="001338CA">
      <w:pPr>
        <w:pStyle w:val="Heading2"/>
        <w:pageBreakBefore/>
        <w:spacing w:before="0"/>
      </w:pPr>
      <w:bookmarkStart w:id="424" w:name="_Toc19102459"/>
      <w:r w:rsidRPr="00181EF3">
        <w:lastRenderedPageBreak/>
        <w:t>New Zealand Dietitians Board – dietitians</w:t>
      </w:r>
      <w:bookmarkEnd w:id="424"/>
    </w:p>
    <w:p w14:paraId="2BD33E8F" w14:textId="1717BCF7" w:rsidR="00B66973" w:rsidRPr="00181EF3" w:rsidRDefault="00B66973" w:rsidP="00B66973">
      <w:pPr>
        <w:pStyle w:val="Table"/>
      </w:pPr>
      <w:bookmarkStart w:id="425" w:name="_Toc18594783"/>
      <w:r w:rsidRPr="00181EF3">
        <w:t xml:space="preserve">Table </w:t>
      </w:r>
      <w:r>
        <w:t>43</w:t>
      </w:r>
      <w:r w:rsidRPr="00181EF3">
        <w:t xml:space="preserve">: Estimated number (percentage in workforce) of Māori and </w:t>
      </w:r>
      <w:r w:rsidR="00EC03A3">
        <w:t>non</w:t>
      </w:r>
      <w:r w:rsidR="00EC03A3">
        <w:noBreakHyphen/>
        <w:t>M</w:t>
      </w:r>
      <w:r w:rsidRPr="00181EF3">
        <w:t>āori in the dietitian workforce, 2005–2010</w:t>
      </w:r>
      <w:bookmarkEnd w:id="425"/>
    </w:p>
    <w:tbl>
      <w:tblPr>
        <w:tblW w:w="0" w:type="auto"/>
        <w:tblInd w:w="57" w:type="dxa"/>
        <w:tblLayout w:type="fixed"/>
        <w:tblCellMar>
          <w:left w:w="57" w:type="dxa"/>
          <w:right w:w="57" w:type="dxa"/>
        </w:tblCellMar>
        <w:tblLook w:val="04A0" w:firstRow="1" w:lastRow="0" w:firstColumn="1" w:lastColumn="0" w:noHBand="0" w:noVBand="1"/>
      </w:tblPr>
      <w:tblGrid>
        <w:gridCol w:w="2693"/>
        <w:gridCol w:w="2693"/>
        <w:gridCol w:w="2694"/>
      </w:tblGrid>
      <w:tr w:rsidR="00B66973" w:rsidRPr="00181EF3" w14:paraId="2B4C4142" w14:textId="77777777" w:rsidTr="00B66973">
        <w:trPr>
          <w:cantSplit/>
        </w:trPr>
        <w:tc>
          <w:tcPr>
            <w:tcW w:w="8080" w:type="dxa"/>
            <w:gridSpan w:val="3"/>
            <w:shd w:val="clear" w:color="auto" w:fill="D9D9D9" w:themeFill="background1" w:themeFillShade="D9"/>
          </w:tcPr>
          <w:p w14:paraId="6213C3D2" w14:textId="77777777" w:rsidR="00B66973" w:rsidRPr="00181EF3" w:rsidRDefault="00B66973" w:rsidP="00B66973">
            <w:pPr>
              <w:pStyle w:val="TableText"/>
              <w:jc w:val="center"/>
              <w:rPr>
                <w:b/>
              </w:rPr>
            </w:pPr>
            <w:r w:rsidRPr="00181EF3">
              <w:rPr>
                <w:b/>
              </w:rPr>
              <w:t>Dietitian (2005–2010)</w:t>
            </w:r>
          </w:p>
        </w:tc>
      </w:tr>
      <w:tr w:rsidR="00B66973" w:rsidRPr="00181EF3" w14:paraId="40FD0E75" w14:textId="77777777" w:rsidTr="00B66973">
        <w:trPr>
          <w:cantSplit/>
        </w:trPr>
        <w:tc>
          <w:tcPr>
            <w:tcW w:w="2693" w:type="dxa"/>
            <w:shd w:val="clear" w:color="auto" w:fill="F2F2F2" w:themeFill="background1" w:themeFillShade="F2"/>
          </w:tcPr>
          <w:p w14:paraId="27703F05" w14:textId="77777777" w:rsidR="00B66973" w:rsidRPr="00181EF3" w:rsidRDefault="00B66973" w:rsidP="00B66973">
            <w:pPr>
              <w:pStyle w:val="TableText"/>
              <w:jc w:val="center"/>
              <w:rPr>
                <w:b/>
              </w:rPr>
            </w:pPr>
            <w:r w:rsidRPr="00181EF3">
              <w:rPr>
                <w:b/>
              </w:rPr>
              <w:t>Year</w:t>
            </w:r>
          </w:p>
        </w:tc>
        <w:tc>
          <w:tcPr>
            <w:tcW w:w="2693" w:type="dxa"/>
            <w:shd w:val="clear" w:color="auto" w:fill="F2F2F2" w:themeFill="background1" w:themeFillShade="F2"/>
          </w:tcPr>
          <w:p w14:paraId="182E6595" w14:textId="77777777" w:rsidR="00B66973" w:rsidRPr="00181EF3" w:rsidRDefault="00B66973" w:rsidP="00B66973">
            <w:pPr>
              <w:pStyle w:val="TableText"/>
              <w:jc w:val="center"/>
              <w:rPr>
                <w:b/>
              </w:rPr>
            </w:pPr>
            <w:r w:rsidRPr="00181EF3">
              <w:rPr>
                <w:b/>
              </w:rPr>
              <w:t>Māori</w:t>
            </w:r>
          </w:p>
        </w:tc>
        <w:tc>
          <w:tcPr>
            <w:tcW w:w="2694" w:type="dxa"/>
            <w:shd w:val="clear" w:color="auto" w:fill="F2F2F2" w:themeFill="background1" w:themeFillShade="F2"/>
          </w:tcPr>
          <w:p w14:paraId="46FBB289" w14:textId="5FB8740A" w:rsidR="00B66973" w:rsidRPr="00181EF3" w:rsidRDefault="00EC03A3" w:rsidP="00B66973">
            <w:pPr>
              <w:pStyle w:val="TableText"/>
              <w:jc w:val="center"/>
              <w:rPr>
                <w:b/>
              </w:rPr>
            </w:pPr>
            <w:r>
              <w:rPr>
                <w:b/>
              </w:rPr>
              <w:t>Non</w:t>
            </w:r>
            <w:r>
              <w:rPr>
                <w:b/>
              </w:rPr>
              <w:noBreakHyphen/>
              <w:t>M</w:t>
            </w:r>
            <w:r w:rsidR="00B66973" w:rsidRPr="00181EF3">
              <w:rPr>
                <w:b/>
              </w:rPr>
              <w:t>āori</w:t>
            </w:r>
          </w:p>
        </w:tc>
      </w:tr>
      <w:tr w:rsidR="00B66973" w:rsidRPr="00181EF3" w14:paraId="5BF68514" w14:textId="77777777" w:rsidTr="00B66973">
        <w:trPr>
          <w:cantSplit/>
        </w:trPr>
        <w:tc>
          <w:tcPr>
            <w:tcW w:w="2693" w:type="dxa"/>
            <w:tcBorders>
              <w:bottom w:val="single" w:sz="4" w:space="0" w:color="A6A6A6" w:themeColor="background1" w:themeShade="A6"/>
            </w:tcBorders>
          </w:tcPr>
          <w:p w14:paraId="47206C6E" w14:textId="77777777" w:rsidR="00B66973" w:rsidRPr="00181EF3" w:rsidRDefault="00B66973" w:rsidP="00B66973">
            <w:pPr>
              <w:pStyle w:val="TableText"/>
              <w:jc w:val="center"/>
            </w:pPr>
            <w:r w:rsidRPr="00181EF3">
              <w:t>2005</w:t>
            </w:r>
          </w:p>
        </w:tc>
        <w:tc>
          <w:tcPr>
            <w:tcW w:w="2693" w:type="dxa"/>
            <w:tcBorders>
              <w:bottom w:val="single" w:sz="4" w:space="0" w:color="A6A6A6" w:themeColor="background1" w:themeShade="A6"/>
            </w:tcBorders>
          </w:tcPr>
          <w:p w14:paraId="41EC8E34" w14:textId="77777777" w:rsidR="00B66973" w:rsidRPr="00181EF3" w:rsidRDefault="00B66973" w:rsidP="00B66973">
            <w:pPr>
              <w:pStyle w:val="TableText"/>
              <w:tabs>
                <w:tab w:val="decimal" w:pos="1162"/>
              </w:tabs>
            </w:pPr>
            <w:r w:rsidRPr="00181EF3">
              <w:t>11 (3.1%)</w:t>
            </w:r>
          </w:p>
        </w:tc>
        <w:tc>
          <w:tcPr>
            <w:tcW w:w="2694" w:type="dxa"/>
            <w:tcBorders>
              <w:bottom w:val="single" w:sz="4" w:space="0" w:color="A6A6A6" w:themeColor="background1" w:themeShade="A6"/>
            </w:tcBorders>
          </w:tcPr>
          <w:p w14:paraId="2B183D5B" w14:textId="77777777" w:rsidR="00B66973" w:rsidRPr="00181EF3" w:rsidRDefault="00B66973" w:rsidP="00B66973">
            <w:pPr>
              <w:pStyle w:val="TableText"/>
              <w:jc w:val="center"/>
            </w:pPr>
            <w:r w:rsidRPr="00181EF3">
              <w:t>342 (96.9%)</w:t>
            </w:r>
          </w:p>
        </w:tc>
      </w:tr>
      <w:tr w:rsidR="00B66973" w:rsidRPr="00181EF3" w14:paraId="5A00CDDA"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1B5C32E0" w14:textId="77777777" w:rsidR="00B66973" w:rsidRPr="00181EF3" w:rsidRDefault="00B66973" w:rsidP="00B66973">
            <w:pPr>
              <w:pStyle w:val="TableText"/>
              <w:jc w:val="center"/>
            </w:pPr>
            <w:r w:rsidRPr="00181EF3">
              <w:t>2006</w:t>
            </w:r>
          </w:p>
        </w:tc>
        <w:tc>
          <w:tcPr>
            <w:tcW w:w="2693" w:type="dxa"/>
            <w:tcBorders>
              <w:top w:val="single" w:sz="4" w:space="0" w:color="A6A6A6" w:themeColor="background1" w:themeShade="A6"/>
              <w:bottom w:val="single" w:sz="4" w:space="0" w:color="A6A6A6" w:themeColor="background1" w:themeShade="A6"/>
            </w:tcBorders>
          </w:tcPr>
          <w:p w14:paraId="3B18705A" w14:textId="77777777" w:rsidR="00B66973" w:rsidRPr="00181EF3" w:rsidRDefault="00B66973" w:rsidP="00B66973">
            <w:pPr>
              <w:pStyle w:val="TableText"/>
              <w:tabs>
                <w:tab w:val="decimal" w:pos="1162"/>
              </w:tabs>
            </w:pPr>
            <w:r w:rsidRPr="00181EF3">
              <w:t>10 (2.8%)</w:t>
            </w:r>
          </w:p>
        </w:tc>
        <w:tc>
          <w:tcPr>
            <w:tcW w:w="2694" w:type="dxa"/>
            <w:tcBorders>
              <w:top w:val="single" w:sz="4" w:space="0" w:color="A6A6A6" w:themeColor="background1" w:themeShade="A6"/>
              <w:bottom w:val="single" w:sz="4" w:space="0" w:color="A6A6A6" w:themeColor="background1" w:themeShade="A6"/>
            </w:tcBorders>
          </w:tcPr>
          <w:p w14:paraId="339AF048" w14:textId="77777777" w:rsidR="00B66973" w:rsidRPr="00181EF3" w:rsidRDefault="00B66973" w:rsidP="00B66973">
            <w:pPr>
              <w:pStyle w:val="TableText"/>
              <w:jc w:val="center"/>
            </w:pPr>
            <w:r w:rsidRPr="00181EF3">
              <w:t>342 (97.2%)</w:t>
            </w:r>
          </w:p>
        </w:tc>
      </w:tr>
      <w:tr w:rsidR="00B66973" w:rsidRPr="00181EF3" w14:paraId="382ADE92"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6BE5F9E9" w14:textId="77777777" w:rsidR="00B66973" w:rsidRPr="00181EF3" w:rsidRDefault="00B66973" w:rsidP="00B66973">
            <w:pPr>
              <w:pStyle w:val="TableText"/>
              <w:jc w:val="center"/>
            </w:pPr>
            <w:r w:rsidRPr="00181EF3">
              <w:t>2007</w:t>
            </w:r>
          </w:p>
        </w:tc>
        <w:tc>
          <w:tcPr>
            <w:tcW w:w="2693" w:type="dxa"/>
            <w:tcBorders>
              <w:top w:val="single" w:sz="4" w:space="0" w:color="A6A6A6" w:themeColor="background1" w:themeShade="A6"/>
              <w:bottom w:val="single" w:sz="4" w:space="0" w:color="A6A6A6" w:themeColor="background1" w:themeShade="A6"/>
            </w:tcBorders>
          </w:tcPr>
          <w:p w14:paraId="70B1580D" w14:textId="77777777" w:rsidR="00B66973" w:rsidRPr="00181EF3" w:rsidRDefault="00B66973" w:rsidP="00B66973">
            <w:pPr>
              <w:pStyle w:val="TableText"/>
              <w:tabs>
                <w:tab w:val="decimal" w:pos="1162"/>
              </w:tabs>
            </w:pPr>
            <w:r w:rsidRPr="00181EF3">
              <w:t>9 (2.4%)</w:t>
            </w:r>
          </w:p>
        </w:tc>
        <w:tc>
          <w:tcPr>
            <w:tcW w:w="2694" w:type="dxa"/>
            <w:tcBorders>
              <w:top w:val="single" w:sz="4" w:space="0" w:color="A6A6A6" w:themeColor="background1" w:themeShade="A6"/>
              <w:bottom w:val="single" w:sz="4" w:space="0" w:color="A6A6A6" w:themeColor="background1" w:themeShade="A6"/>
            </w:tcBorders>
          </w:tcPr>
          <w:p w14:paraId="5E8BE707" w14:textId="77777777" w:rsidR="00B66973" w:rsidRPr="00181EF3" w:rsidRDefault="00B66973" w:rsidP="00B66973">
            <w:pPr>
              <w:pStyle w:val="TableText"/>
              <w:jc w:val="center"/>
            </w:pPr>
            <w:r w:rsidRPr="00181EF3">
              <w:t>360 (97.6%)</w:t>
            </w:r>
          </w:p>
        </w:tc>
      </w:tr>
      <w:tr w:rsidR="00B66973" w:rsidRPr="00181EF3" w14:paraId="515BBEA6"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5FA95783" w14:textId="77777777" w:rsidR="00B66973" w:rsidRPr="00181EF3" w:rsidRDefault="00B66973" w:rsidP="00B66973">
            <w:pPr>
              <w:pStyle w:val="TableText"/>
              <w:jc w:val="center"/>
            </w:pPr>
            <w:r w:rsidRPr="00181EF3">
              <w:t>2008</w:t>
            </w:r>
          </w:p>
        </w:tc>
        <w:tc>
          <w:tcPr>
            <w:tcW w:w="2693" w:type="dxa"/>
            <w:tcBorders>
              <w:top w:val="single" w:sz="4" w:space="0" w:color="A6A6A6" w:themeColor="background1" w:themeShade="A6"/>
              <w:bottom w:val="single" w:sz="4" w:space="0" w:color="A6A6A6" w:themeColor="background1" w:themeShade="A6"/>
            </w:tcBorders>
          </w:tcPr>
          <w:p w14:paraId="7E8F1993" w14:textId="77777777" w:rsidR="00B66973" w:rsidRPr="00181EF3" w:rsidRDefault="00B66973" w:rsidP="00B66973">
            <w:pPr>
              <w:pStyle w:val="TableText"/>
              <w:tabs>
                <w:tab w:val="decimal" w:pos="1162"/>
              </w:tabs>
            </w:pPr>
            <w:r w:rsidRPr="00181EF3">
              <w:t>10 (2.4%)</w:t>
            </w:r>
          </w:p>
        </w:tc>
        <w:tc>
          <w:tcPr>
            <w:tcW w:w="2694" w:type="dxa"/>
            <w:tcBorders>
              <w:top w:val="single" w:sz="4" w:space="0" w:color="A6A6A6" w:themeColor="background1" w:themeShade="A6"/>
              <w:bottom w:val="single" w:sz="4" w:space="0" w:color="A6A6A6" w:themeColor="background1" w:themeShade="A6"/>
            </w:tcBorders>
          </w:tcPr>
          <w:p w14:paraId="52D50633" w14:textId="77777777" w:rsidR="00B66973" w:rsidRPr="00181EF3" w:rsidRDefault="00B66973" w:rsidP="00B66973">
            <w:pPr>
              <w:pStyle w:val="TableText"/>
              <w:jc w:val="center"/>
            </w:pPr>
            <w:r w:rsidRPr="00181EF3">
              <w:t>404 (97.6%)</w:t>
            </w:r>
          </w:p>
        </w:tc>
      </w:tr>
      <w:tr w:rsidR="00B66973" w:rsidRPr="00181EF3" w14:paraId="4A931F7A"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47ADC444" w14:textId="77777777" w:rsidR="00B66973" w:rsidRPr="00181EF3" w:rsidRDefault="00B66973" w:rsidP="00B66973">
            <w:pPr>
              <w:pStyle w:val="TableText"/>
              <w:jc w:val="center"/>
            </w:pPr>
            <w:r w:rsidRPr="00181EF3">
              <w:t>2009</w:t>
            </w:r>
          </w:p>
        </w:tc>
        <w:tc>
          <w:tcPr>
            <w:tcW w:w="2693" w:type="dxa"/>
            <w:tcBorders>
              <w:top w:val="single" w:sz="4" w:space="0" w:color="A6A6A6" w:themeColor="background1" w:themeShade="A6"/>
              <w:bottom w:val="single" w:sz="4" w:space="0" w:color="A6A6A6" w:themeColor="background1" w:themeShade="A6"/>
            </w:tcBorders>
          </w:tcPr>
          <w:p w14:paraId="704F35FF" w14:textId="77777777" w:rsidR="00B66973" w:rsidRPr="00181EF3" w:rsidRDefault="00B66973" w:rsidP="00B66973">
            <w:pPr>
              <w:pStyle w:val="TableText"/>
              <w:tabs>
                <w:tab w:val="decimal" w:pos="1162"/>
              </w:tabs>
            </w:pPr>
            <w:r w:rsidRPr="00181EF3">
              <w:t>15 (3.4%)</w:t>
            </w:r>
          </w:p>
        </w:tc>
        <w:tc>
          <w:tcPr>
            <w:tcW w:w="2694" w:type="dxa"/>
            <w:tcBorders>
              <w:top w:val="single" w:sz="4" w:space="0" w:color="A6A6A6" w:themeColor="background1" w:themeShade="A6"/>
              <w:bottom w:val="single" w:sz="4" w:space="0" w:color="A6A6A6" w:themeColor="background1" w:themeShade="A6"/>
            </w:tcBorders>
          </w:tcPr>
          <w:p w14:paraId="29D77AEA" w14:textId="77777777" w:rsidR="00B66973" w:rsidRPr="00181EF3" w:rsidRDefault="00B66973" w:rsidP="00B66973">
            <w:pPr>
              <w:pStyle w:val="TableText"/>
              <w:jc w:val="center"/>
            </w:pPr>
            <w:r w:rsidRPr="00181EF3">
              <w:t>425 (96.6%)</w:t>
            </w:r>
          </w:p>
        </w:tc>
      </w:tr>
      <w:tr w:rsidR="00B66973" w:rsidRPr="00181EF3" w14:paraId="795A8235"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092B5534" w14:textId="77777777" w:rsidR="00B66973" w:rsidRPr="00181EF3" w:rsidRDefault="00B66973" w:rsidP="00B66973">
            <w:pPr>
              <w:pStyle w:val="TableText"/>
              <w:jc w:val="center"/>
            </w:pPr>
            <w:r w:rsidRPr="00181EF3">
              <w:t>2010</w:t>
            </w:r>
          </w:p>
        </w:tc>
        <w:tc>
          <w:tcPr>
            <w:tcW w:w="2693" w:type="dxa"/>
            <w:tcBorders>
              <w:top w:val="single" w:sz="4" w:space="0" w:color="A6A6A6" w:themeColor="background1" w:themeShade="A6"/>
              <w:bottom w:val="single" w:sz="4" w:space="0" w:color="A6A6A6" w:themeColor="background1" w:themeShade="A6"/>
            </w:tcBorders>
          </w:tcPr>
          <w:p w14:paraId="5E70631C" w14:textId="77777777" w:rsidR="00B66973" w:rsidRPr="00181EF3" w:rsidRDefault="00B66973" w:rsidP="00B66973">
            <w:pPr>
              <w:pStyle w:val="TableText"/>
              <w:tabs>
                <w:tab w:val="decimal" w:pos="1162"/>
              </w:tabs>
            </w:pPr>
            <w:r w:rsidRPr="00181EF3">
              <w:t>16 (3.6%)</w:t>
            </w:r>
          </w:p>
        </w:tc>
        <w:tc>
          <w:tcPr>
            <w:tcW w:w="2694" w:type="dxa"/>
            <w:tcBorders>
              <w:top w:val="single" w:sz="4" w:space="0" w:color="A6A6A6" w:themeColor="background1" w:themeShade="A6"/>
              <w:bottom w:val="single" w:sz="4" w:space="0" w:color="A6A6A6" w:themeColor="background1" w:themeShade="A6"/>
            </w:tcBorders>
          </w:tcPr>
          <w:p w14:paraId="1897245B" w14:textId="77777777" w:rsidR="00B66973" w:rsidRPr="00181EF3" w:rsidRDefault="00B66973" w:rsidP="00B66973">
            <w:pPr>
              <w:pStyle w:val="TableText"/>
              <w:jc w:val="center"/>
            </w:pPr>
            <w:r w:rsidRPr="00181EF3">
              <w:t>432 (96.4%)</w:t>
            </w:r>
          </w:p>
        </w:tc>
      </w:tr>
    </w:tbl>
    <w:p w14:paraId="20423294" w14:textId="77777777" w:rsidR="00B66973" w:rsidRPr="00181EF3" w:rsidRDefault="00B66973" w:rsidP="00B66973">
      <w:pPr>
        <w:pStyle w:val="Source"/>
      </w:pPr>
      <w:r w:rsidRPr="00181EF3">
        <w:t>Source: Dietitians Board of New Zealand, 2005–2010.</w:t>
      </w:r>
    </w:p>
    <w:p w14:paraId="269B0D0B" w14:textId="77777777" w:rsidR="00B66973" w:rsidRPr="00181EF3" w:rsidRDefault="00B66973" w:rsidP="00B66973"/>
    <w:p w14:paraId="25501818" w14:textId="4D26871A" w:rsidR="00B16E84" w:rsidRPr="00181EF3" w:rsidRDefault="00B16E84" w:rsidP="001338CA">
      <w:r w:rsidRPr="00181EF3">
        <w:t xml:space="preserve">Table </w:t>
      </w:r>
      <w:r>
        <w:t>43</w:t>
      </w:r>
      <w:r w:rsidRPr="00181EF3">
        <w:t xml:space="preserve"> shows the estimated number and percentage of Māori and </w:t>
      </w:r>
      <w:r w:rsidR="00EC03A3">
        <w:t>non</w:t>
      </w:r>
      <w:r w:rsidR="00EC03A3">
        <w:noBreakHyphen/>
        <w:t>M</w:t>
      </w:r>
      <w:r w:rsidRPr="00181EF3">
        <w:t>āori in the dietitian workforce from 2005 to 2010.</w:t>
      </w:r>
    </w:p>
    <w:p w14:paraId="0CB913EF" w14:textId="77777777" w:rsidR="00B16E84" w:rsidRPr="00181EF3" w:rsidRDefault="00B16E84" w:rsidP="001338CA"/>
    <w:p w14:paraId="333E68AE" w14:textId="63018F4D" w:rsidR="00B16E84" w:rsidRPr="00181EF3" w:rsidRDefault="00B16E84" w:rsidP="001338CA">
      <w:r w:rsidRPr="00181EF3">
        <w:t xml:space="preserve">Despite the number of Māori in the dietitian workforce increasing, the percentage of Māori in the workforce did not change much – the average percentage of Māori in the dietitian workforce between 2005 and 2010 was 3.0 percent (average of 12 Māori dietitians, compared </w:t>
      </w:r>
      <w:r w:rsidR="00FF1892">
        <w:t>with</w:t>
      </w:r>
      <w:r w:rsidR="00FF1892" w:rsidRPr="00181EF3">
        <w:t xml:space="preserve"> </w:t>
      </w:r>
      <w:r w:rsidRPr="00181EF3">
        <w:t xml:space="preserve">an average of 384 </w:t>
      </w:r>
      <w:r w:rsidR="00EC03A3">
        <w:t>non</w:t>
      </w:r>
      <w:r w:rsidR="00EC03A3">
        <w:noBreakHyphen/>
        <w:t>M</w:t>
      </w:r>
      <w:r w:rsidRPr="00181EF3">
        <w:t xml:space="preserve">āori). The dietitian workforce does not reflect the ethnic population distribution in New Zealand (14.9 percent Māori, 85.1 percent </w:t>
      </w:r>
      <w:r w:rsidR="00EC03A3">
        <w:t>non</w:t>
      </w:r>
      <w:r w:rsidR="00EC03A3">
        <w:noBreakHyphen/>
        <w:t>M</w:t>
      </w:r>
      <w:r w:rsidRPr="00181EF3">
        <w:t>āori).</w:t>
      </w:r>
      <w:r w:rsidRPr="00181EF3">
        <w:rPr>
          <w:rStyle w:val="FootnoteReference"/>
        </w:rPr>
        <w:footnoteReference w:id="18"/>
      </w:r>
    </w:p>
    <w:p w14:paraId="7C429F2B" w14:textId="77777777" w:rsidR="00B16E84" w:rsidRPr="00181EF3" w:rsidRDefault="00B16E84" w:rsidP="00B16E84"/>
    <w:p w14:paraId="33418528" w14:textId="77777777" w:rsidR="00B66973" w:rsidRPr="00181EF3" w:rsidRDefault="00B66973" w:rsidP="001338CA">
      <w:pPr>
        <w:pStyle w:val="Heading2"/>
        <w:pageBreakBefore/>
        <w:spacing w:before="0"/>
      </w:pPr>
      <w:bookmarkStart w:id="426" w:name="_Toc19102460"/>
      <w:r w:rsidRPr="00181EF3">
        <w:lastRenderedPageBreak/>
        <w:t>Medical Sciences Council of New Zealand – medical laboratory scientist</w:t>
      </w:r>
      <w:bookmarkEnd w:id="426"/>
    </w:p>
    <w:p w14:paraId="16D98559" w14:textId="27AB4289" w:rsidR="00B66973" w:rsidRPr="00181EF3" w:rsidRDefault="00B66973" w:rsidP="00B66973">
      <w:pPr>
        <w:pStyle w:val="Table"/>
      </w:pPr>
      <w:bookmarkStart w:id="427" w:name="_Toc18594784"/>
      <w:r w:rsidRPr="00181EF3">
        <w:t xml:space="preserve">Table </w:t>
      </w:r>
      <w:r>
        <w:t>44</w:t>
      </w:r>
      <w:r w:rsidRPr="00181EF3">
        <w:t xml:space="preserve">: Estimated number (percentage in workforce) of Māori and </w:t>
      </w:r>
      <w:r w:rsidR="00EC03A3">
        <w:t>non</w:t>
      </w:r>
      <w:r w:rsidR="00EC03A3">
        <w:noBreakHyphen/>
        <w:t>M</w:t>
      </w:r>
      <w:r w:rsidRPr="00181EF3">
        <w:t>āori in the medical laboratory scientist workforce, 2005–2010</w:t>
      </w:r>
      <w:bookmarkEnd w:id="427"/>
    </w:p>
    <w:tbl>
      <w:tblPr>
        <w:tblW w:w="0" w:type="auto"/>
        <w:tblInd w:w="57" w:type="dxa"/>
        <w:tblLayout w:type="fixed"/>
        <w:tblCellMar>
          <w:left w:w="57" w:type="dxa"/>
          <w:right w:w="57" w:type="dxa"/>
        </w:tblCellMar>
        <w:tblLook w:val="04A0" w:firstRow="1" w:lastRow="0" w:firstColumn="1" w:lastColumn="0" w:noHBand="0" w:noVBand="1"/>
      </w:tblPr>
      <w:tblGrid>
        <w:gridCol w:w="2693"/>
        <w:gridCol w:w="2693"/>
        <w:gridCol w:w="2694"/>
      </w:tblGrid>
      <w:tr w:rsidR="00B66973" w:rsidRPr="00181EF3" w14:paraId="16CBA806" w14:textId="77777777" w:rsidTr="00B66973">
        <w:trPr>
          <w:cantSplit/>
        </w:trPr>
        <w:tc>
          <w:tcPr>
            <w:tcW w:w="8080" w:type="dxa"/>
            <w:gridSpan w:val="3"/>
            <w:shd w:val="clear" w:color="auto" w:fill="D9D9D9" w:themeFill="background1" w:themeFillShade="D9"/>
          </w:tcPr>
          <w:p w14:paraId="31DD6DD7" w14:textId="77777777" w:rsidR="00B66973" w:rsidRPr="00181EF3" w:rsidRDefault="00B66973" w:rsidP="00B66973">
            <w:pPr>
              <w:pStyle w:val="TableText"/>
              <w:jc w:val="center"/>
              <w:rPr>
                <w:b/>
              </w:rPr>
            </w:pPr>
            <w:r w:rsidRPr="00181EF3">
              <w:rPr>
                <w:b/>
              </w:rPr>
              <w:t>Medical laboratory scientist (2005–2010)</w:t>
            </w:r>
          </w:p>
        </w:tc>
      </w:tr>
      <w:tr w:rsidR="00B66973" w:rsidRPr="00181EF3" w14:paraId="33216CE1" w14:textId="77777777" w:rsidTr="00B66973">
        <w:trPr>
          <w:cantSplit/>
        </w:trPr>
        <w:tc>
          <w:tcPr>
            <w:tcW w:w="2693" w:type="dxa"/>
            <w:shd w:val="clear" w:color="auto" w:fill="F2F2F2" w:themeFill="background1" w:themeFillShade="F2"/>
          </w:tcPr>
          <w:p w14:paraId="1DF9BCA2" w14:textId="77777777" w:rsidR="00B66973" w:rsidRPr="00181EF3" w:rsidRDefault="00B66973" w:rsidP="00B66973">
            <w:pPr>
              <w:pStyle w:val="TableText"/>
              <w:jc w:val="center"/>
              <w:rPr>
                <w:b/>
              </w:rPr>
            </w:pPr>
            <w:r w:rsidRPr="00181EF3">
              <w:rPr>
                <w:b/>
              </w:rPr>
              <w:t>Year</w:t>
            </w:r>
          </w:p>
        </w:tc>
        <w:tc>
          <w:tcPr>
            <w:tcW w:w="2693" w:type="dxa"/>
            <w:shd w:val="clear" w:color="auto" w:fill="F2F2F2" w:themeFill="background1" w:themeFillShade="F2"/>
          </w:tcPr>
          <w:p w14:paraId="10C64D26" w14:textId="77777777" w:rsidR="00B66973" w:rsidRPr="00181EF3" w:rsidRDefault="00B66973" w:rsidP="00B66973">
            <w:pPr>
              <w:pStyle w:val="TableText"/>
              <w:jc w:val="center"/>
              <w:rPr>
                <w:b/>
              </w:rPr>
            </w:pPr>
            <w:r w:rsidRPr="00181EF3">
              <w:rPr>
                <w:b/>
              </w:rPr>
              <w:t>Māori</w:t>
            </w:r>
          </w:p>
        </w:tc>
        <w:tc>
          <w:tcPr>
            <w:tcW w:w="2694" w:type="dxa"/>
            <w:shd w:val="clear" w:color="auto" w:fill="F2F2F2" w:themeFill="background1" w:themeFillShade="F2"/>
          </w:tcPr>
          <w:p w14:paraId="228A6A6C" w14:textId="75131952" w:rsidR="00B66973" w:rsidRPr="00181EF3" w:rsidRDefault="00EC03A3" w:rsidP="00B66973">
            <w:pPr>
              <w:pStyle w:val="TableText"/>
              <w:jc w:val="center"/>
              <w:rPr>
                <w:b/>
              </w:rPr>
            </w:pPr>
            <w:r>
              <w:rPr>
                <w:b/>
              </w:rPr>
              <w:t>Non</w:t>
            </w:r>
            <w:r>
              <w:rPr>
                <w:b/>
              </w:rPr>
              <w:noBreakHyphen/>
              <w:t>M</w:t>
            </w:r>
            <w:r w:rsidR="00B66973" w:rsidRPr="00181EF3">
              <w:rPr>
                <w:b/>
              </w:rPr>
              <w:t>āori</w:t>
            </w:r>
          </w:p>
        </w:tc>
      </w:tr>
      <w:tr w:rsidR="00B66973" w:rsidRPr="00181EF3" w14:paraId="22587482" w14:textId="77777777" w:rsidTr="00B66973">
        <w:trPr>
          <w:cantSplit/>
        </w:trPr>
        <w:tc>
          <w:tcPr>
            <w:tcW w:w="2693" w:type="dxa"/>
            <w:tcBorders>
              <w:bottom w:val="single" w:sz="4" w:space="0" w:color="A6A6A6" w:themeColor="background1" w:themeShade="A6"/>
            </w:tcBorders>
          </w:tcPr>
          <w:p w14:paraId="245ABDB2" w14:textId="77777777" w:rsidR="00B66973" w:rsidRPr="00181EF3" w:rsidRDefault="00B66973" w:rsidP="00B66973">
            <w:pPr>
              <w:pStyle w:val="TableText"/>
              <w:jc w:val="center"/>
            </w:pPr>
            <w:r w:rsidRPr="00181EF3">
              <w:t>2005</w:t>
            </w:r>
          </w:p>
        </w:tc>
        <w:tc>
          <w:tcPr>
            <w:tcW w:w="2693" w:type="dxa"/>
            <w:tcBorders>
              <w:bottom w:val="single" w:sz="4" w:space="0" w:color="A6A6A6" w:themeColor="background1" w:themeShade="A6"/>
            </w:tcBorders>
          </w:tcPr>
          <w:p w14:paraId="482C13DB" w14:textId="77777777" w:rsidR="00B66973" w:rsidRPr="00181EF3" w:rsidRDefault="00B66973" w:rsidP="00B66973">
            <w:pPr>
              <w:pStyle w:val="TableText"/>
              <w:jc w:val="center"/>
            </w:pPr>
            <w:r w:rsidRPr="00181EF3">
              <w:t>13 (1.3%)</w:t>
            </w:r>
          </w:p>
        </w:tc>
        <w:tc>
          <w:tcPr>
            <w:tcW w:w="2694" w:type="dxa"/>
            <w:tcBorders>
              <w:bottom w:val="single" w:sz="4" w:space="0" w:color="A6A6A6" w:themeColor="background1" w:themeShade="A6"/>
            </w:tcBorders>
          </w:tcPr>
          <w:p w14:paraId="5E028941" w14:textId="77777777" w:rsidR="00B66973" w:rsidRPr="00181EF3" w:rsidRDefault="00B66973" w:rsidP="00B66973">
            <w:pPr>
              <w:pStyle w:val="TableText"/>
              <w:jc w:val="center"/>
            </w:pPr>
            <w:r w:rsidRPr="00181EF3">
              <w:t>1,020 (98.7%)</w:t>
            </w:r>
          </w:p>
        </w:tc>
      </w:tr>
      <w:tr w:rsidR="00B66973" w:rsidRPr="00181EF3" w14:paraId="2FD882DA"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367A564D" w14:textId="77777777" w:rsidR="00B66973" w:rsidRPr="00181EF3" w:rsidRDefault="00B66973" w:rsidP="00B66973">
            <w:pPr>
              <w:pStyle w:val="TableText"/>
              <w:jc w:val="center"/>
            </w:pPr>
            <w:r w:rsidRPr="00181EF3">
              <w:t>2006</w:t>
            </w:r>
          </w:p>
        </w:tc>
        <w:tc>
          <w:tcPr>
            <w:tcW w:w="2693" w:type="dxa"/>
            <w:tcBorders>
              <w:top w:val="single" w:sz="4" w:space="0" w:color="A6A6A6" w:themeColor="background1" w:themeShade="A6"/>
              <w:bottom w:val="single" w:sz="4" w:space="0" w:color="A6A6A6" w:themeColor="background1" w:themeShade="A6"/>
            </w:tcBorders>
          </w:tcPr>
          <w:p w14:paraId="0E4D8EDC" w14:textId="77777777" w:rsidR="00B66973" w:rsidRPr="00181EF3" w:rsidRDefault="00B66973" w:rsidP="00B66973">
            <w:pPr>
              <w:pStyle w:val="TableText"/>
              <w:jc w:val="center"/>
            </w:pPr>
            <w:r w:rsidRPr="00181EF3">
              <w:t>14 (1.3%)</w:t>
            </w:r>
          </w:p>
        </w:tc>
        <w:tc>
          <w:tcPr>
            <w:tcW w:w="2694" w:type="dxa"/>
            <w:tcBorders>
              <w:top w:val="single" w:sz="4" w:space="0" w:color="A6A6A6" w:themeColor="background1" w:themeShade="A6"/>
              <w:bottom w:val="single" w:sz="4" w:space="0" w:color="A6A6A6" w:themeColor="background1" w:themeShade="A6"/>
            </w:tcBorders>
          </w:tcPr>
          <w:p w14:paraId="506E3AF4" w14:textId="77777777" w:rsidR="00B66973" w:rsidRPr="00181EF3" w:rsidRDefault="00B66973" w:rsidP="00B66973">
            <w:pPr>
              <w:pStyle w:val="TableText"/>
              <w:jc w:val="center"/>
            </w:pPr>
            <w:r w:rsidRPr="00181EF3">
              <w:t>1,099 (98.7%)</w:t>
            </w:r>
          </w:p>
        </w:tc>
      </w:tr>
      <w:tr w:rsidR="00B66973" w:rsidRPr="00181EF3" w14:paraId="526EEE7B"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2020A15D" w14:textId="77777777" w:rsidR="00B66973" w:rsidRPr="00181EF3" w:rsidRDefault="00B66973" w:rsidP="00B66973">
            <w:pPr>
              <w:pStyle w:val="TableText"/>
              <w:jc w:val="center"/>
            </w:pPr>
            <w:r w:rsidRPr="00181EF3">
              <w:t>2007</w:t>
            </w:r>
          </w:p>
        </w:tc>
        <w:tc>
          <w:tcPr>
            <w:tcW w:w="2693" w:type="dxa"/>
            <w:tcBorders>
              <w:top w:val="single" w:sz="4" w:space="0" w:color="A6A6A6" w:themeColor="background1" w:themeShade="A6"/>
              <w:bottom w:val="single" w:sz="4" w:space="0" w:color="A6A6A6" w:themeColor="background1" w:themeShade="A6"/>
            </w:tcBorders>
          </w:tcPr>
          <w:p w14:paraId="1EDB4128" w14:textId="77777777" w:rsidR="00B66973" w:rsidRPr="00181EF3" w:rsidRDefault="00B66973" w:rsidP="00B66973">
            <w:pPr>
              <w:pStyle w:val="TableText"/>
              <w:jc w:val="center"/>
            </w:pPr>
            <w:r w:rsidRPr="00181EF3">
              <w:t>18 (1.5%)</w:t>
            </w:r>
          </w:p>
        </w:tc>
        <w:tc>
          <w:tcPr>
            <w:tcW w:w="2694" w:type="dxa"/>
            <w:tcBorders>
              <w:top w:val="single" w:sz="4" w:space="0" w:color="A6A6A6" w:themeColor="background1" w:themeShade="A6"/>
              <w:bottom w:val="single" w:sz="4" w:space="0" w:color="A6A6A6" w:themeColor="background1" w:themeShade="A6"/>
            </w:tcBorders>
          </w:tcPr>
          <w:p w14:paraId="5C5F633C" w14:textId="77777777" w:rsidR="00B66973" w:rsidRPr="00181EF3" w:rsidRDefault="00B66973" w:rsidP="00B66973">
            <w:pPr>
              <w:pStyle w:val="TableText"/>
              <w:jc w:val="center"/>
            </w:pPr>
            <w:r w:rsidRPr="00181EF3">
              <w:t>1,186 (98.5%)</w:t>
            </w:r>
          </w:p>
        </w:tc>
      </w:tr>
      <w:tr w:rsidR="00B66973" w:rsidRPr="00181EF3" w14:paraId="70D42298"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04BFBDED" w14:textId="77777777" w:rsidR="00B66973" w:rsidRPr="00181EF3" w:rsidRDefault="00B66973" w:rsidP="00B66973">
            <w:pPr>
              <w:pStyle w:val="TableText"/>
              <w:jc w:val="center"/>
            </w:pPr>
            <w:r w:rsidRPr="00181EF3">
              <w:t>2008</w:t>
            </w:r>
          </w:p>
        </w:tc>
        <w:tc>
          <w:tcPr>
            <w:tcW w:w="2693" w:type="dxa"/>
            <w:tcBorders>
              <w:top w:val="single" w:sz="4" w:space="0" w:color="A6A6A6" w:themeColor="background1" w:themeShade="A6"/>
              <w:bottom w:val="single" w:sz="4" w:space="0" w:color="A6A6A6" w:themeColor="background1" w:themeShade="A6"/>
            </w:tcBorders>
          </w:tcPr>
          <w:p w14:paraId="4AE5ED63" w14:textId="77777777" w:rsidR="00B66973" w:rsidRPr="00181EF3" w:rsidRDefault="00B66973" w:rsidP="00B66973">
            <w:pPr>
              <w:pStyle w:val="TableText"/>
              <w:jc w:val="center"/>
            </w:pPr>
            <w:r w:rsidRPr="00181EF3">
              <w:t>37 (3.3%)</w:t>
            </w:r>
          </w:p>
        </w:tc>
        <w:tc>
          <w:tcPr>
            <w:tcW w:w="2694" w:type="dxa"/>
            <w:tcBorders>
              <w:top w:val="single" w:sz="4" w:space="0" w:color="A6A6A6" w:themeColor="background1" w:themeShade="A6"/>
              <w:bottom w:val="single" w:sz="4" w:space="0" w:color="A6A6A6" w:themeColor="background1" w:themeShade="A6"/>
            </w:tcBorders>
          </w:tcPr>
          <w:p w14:paraId="71D0C2F5" w14:textId="77777777" w:rsidR="00B66973" w:rsidRPr="00181EF3" w:rsidRDefault="00B66973" w:rsidP="00B66973">
            <w:pPr>
              <w:pStyle w:val="TableText"/>
              <w:jc w:val="center"/>
            </w:pPr>
            <w:r w:rsidRPr="00181EF3">
              <w:t>1,068 (96.7%)</w:t>
            </w:r>
          </w:p>
        </w:tc>
      </w:tr>
      <w:tr w:rsidR="00B66973" w:rsidRPr="00181EF3" w14:paraId="383F2AE8"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15400926" w14:textId="77777777" w:rsidR="00B66973" w:rsidRPr="00181EF3" w:rsidRDefault="00B66973" w:rsidP="00B66973">
            <w:pPr>
              <w:pStyle w:val="TableText"/>
              <w:jc w:val="center"/>
            </w:pPr>
            <w:r w:rsidRPr="00181EF3">
              <w:t>2009</w:t>
            </w:r>
          </w:p>
        </w:tc>
        <w:tc>
          <w:tcPr>
            <w:tcW w:w="2693" w:type="dxa"/>
            <w:tcBorders>
              <w:top w:val="single" w:sz="4" w:space="0" w:color="A6A6A6" w:themeColor="background1" w:themeShade="A6"/>
              <w:bottom w:val="single" w:sz="4" w:space="0" w:color="A6A6A6" w:themeColor="background1" w:themeShade="A6"/>
            </w:tcBorders>
          </w:tcPr>
          <w:p w14:paraId="54ABA7E2" w14:textId="77777777" w:rsidR="00B66973" w:rsidRPr="00181EF3" w:rsidRDefault="00B66973" w:rsidP="00B66973">
            <w:pPr>
              <w:pStyle w:val="TableText"/>
              <w:jc w:val="center"/>
            </w:pPr>
            <w:r w:rsidRPr="00181EF3">
              <w:t>21 (1.8%)</w:t>
            </w:r>
          </w:p>
        </w:tc>
        <w:tc>
          <w:tcPr>
            <w:tcW w:w="2694" w:type="dxa"/>
            <w:tcBorders>
              <w:top w:val="single" w:sz="4" w:space="0" w:color="A6A6A6" w:themeColor="background1" w:themeShade="A6"/>
              <w:bottom w:val="single" w:sz="4" w:space="0" w:color="A6A6A6" w:themeColor="background1" w:themeShade="A6"/>
            </w:tcBorders>
          </w:tcPr>
          <w:p w14:paraId="585461F7" w14:textId="77777777" w:rsidR="00B66973" w:rsidRPr="00181EF3" w:rsidRDefault="00B66973" w:rsidP="00B66973">
            <w:pPr>
              <w:pStyle w:val="TableText"/>
              <w:jc w:val="center"/>
            </w:pPr>
            <w:r w:rsidRPr="00181EF3">
              <w:t>1,158 (98.2%)</w:t>
            </w:r>
          </w:p>
        </w:tc>
      </w:tr>
      <w:tr w:rsidR="00B66973" w:rsidRPr="00181EF3" w14:paraId="5FC12455"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6A5DC884" w14:textId="77777777" w:rsidR="00B66973" w:rsidRPr="00181EF3" w:rsidRDefault="00B66973" w:rsidP="00B66973">
            <w:pPr>
              <w:pStyle w:val="TableText"/>
              <w:jc w:val="center"/>
            </w:pPr>
            <w:r w:rsidRPr="00181EF3">
              <w:t>2010</w:t>
            </w:r>
          </w:p>
        </w:tc>
        <w:tc>
          <w:tcPr>
            <w:tcW w:w="2693" w:type="dxa"/>
            <w:tcBorders>
              <w:top w:val="single" w:sz="4" w:space="0" w:color="A6A6A6" w:themeColor="background1" w:themeShade="A6"/>
              <w:bottom w:val="single" w:sz="4" w:space="0" w:color="A6A6A6" w:themeColor="background1" w:themeShade="A6"/>
            </w:tcBorders>
          </w:tcPr>
          <w:p w14:paraId="2AE25FAC" w14:textId="77777777" w:rsidR="00B66973" w:rsidRPr="00181EF3" w:rsidRDefault="00B66973" w:rsidP="00B66973">
            <w:pPr>
              <w:pStyle w:val="TableText"/>
              <w:jc w:val="center"/>
            </w:pPr>
            <w:r w:rsidRPr="00181EF3">
              <w:t>22 (1.7%)</w:t>
            </w:r>
          </w:p>
        </w:tc>
        <w:tc>
          <w:tcPr>
            <w:tcW w:w="2694" w:type="dxa"/>
            <w:tcBorders>
              <w:top w:val="single" w:sz="4" w:space="0" w:color="A6A6A6" w:themeColor="background1" w:themeShade="A6"/>
              <w:bottom w:val="single" w:sz="4" w:space="0" w:color="A6A6A6" w:themeColor="background1" w:themeShade="A6"/>
            </w:tcBorders>
          </w:tcPr>
          <w:p w14:paraId="497D1CA8" w14:textId="77777777" w:rsidR="00B66973" w:rsidRPr="00181EF3" w:rsidRDefault="00B66973" w:rsidP="00B66973">
            <w:pPr>
              <w:pStyle w:val="TableText"/>
              <w:jc w:val="center"/>
            </w:pPr>
            <w:r w:rsidRPr="00181EF3">
              <w:t>1,290 (98.3%)</w:t>
            </w:r>
          </w:p>
        </w:tc>
      </w:tr>
    </w:tbl>
    <w:p w14:paraId="0F9BBFC7" w14:textId="77777777" w:rsidR="00B66973" w:rsidRPr="00181EF3" w:rsidRDefault="00B66973" w:rsidP="00B66973">
      <w:pPr>
        <w:pStyle w:val="Source"/>
      </w:pPr>
      <w:r w:rsidRPr="00181EF3">
        <w:t>Source: Medical Sciences Council of New Zealand, 2005–2010.</w:t>
      </w:r>
    </w:p>
    <w:p w14:paraId="6518E22C" w14:textId="77777777" w:rsidR="00B66973" w:rsidRPr="00181EF3" w:rsidRDefault="00B66973" w:rsidP="00B66973"/>
    <w:p w14:paraId="06A9AA9F" w14:textId="3AD04464" w:rsidR="00B16E84" w:rsidRPr="00181EF3" w:rsidRDefault="00B16E84" w:rsidP="001338CA">
      <w:r w:rsidRPr="00181EF3">
        <w:t xml:space="preserve">Table </w:t>
      </w:r>
      <w:r>
        <w:t>44</w:t>
      </w:r>
      <w:r w:rsidRPr="00181EF3">
        <w:t xml:space="preserve"> shows the estimated number and percentage of Māori and </w:t>
      </w:r>
      <w:r w:rsidR="00EC03A3">
        <w:t>non</w:t>
      </w:r>
      <w:r w:rsidR="00EC03A3">
        <w:noBreakHyphen/>
        <w:t>M</w:t>
      </w:r>
      <w:r w:rsidRPr="00181EF3">
        <w:t>āori in the medical laboratory scientist workforce from 2005 to 2010.</w:t>
      </w:r>
    </w:p>
    <w:p w14:paraId="36035A2C" w14:textId="77777777" w:rsidR="00B16E84" w:rsidRPr="00181EF3" w:rsidRDefault="00B16E84" w:rsidP="001338CA"/>
    <w:p w14:paraId="39A71D9B" w14:textId="215ED0FC" w:rsidR="00B16E84" w:rsidRDefault="00B16E84" w:rsidP="001338CA">
      <w:r w:rsidRPr="00181EF3">
        <w:t xml:space="preserve">Despite the number of Māori in the medical laboratory scientist workforce increasing over time, the percentage of Māori in the workforce did not change much – the average percentage of Māori in the medical laboratory scientist workforce between 2005 and 2010 was 1.8 percent (average of 21 Māori medical laboratory scientists, compared </w:t>
      </w:r>
      <w:r w:rsidR="00FF1892">
        <w:t>with</w:t>
      </w:r>
      <w:r w:rsidR="00FF1892" w:rsidRPr="00181EF3">
        <w:t xml:space="preserve"> </w:t>
      </w:r>
      <w:r w:rsidRPr="00181EF3">
        <w:t xml:space="preserve">an average of 1,137 </w:t>
      </w:r>
      <w:r w:rsidR="00EC03A3">
        <w:t>non</w:t>
      </w:r>
      <w:r w:rsidR="00EC03A3">
        <w:noBreakHyphen/>
        <w:t>M</w:t>
      </w:r>
      <w:r w:rsidRPr="00181EF3">
        <w:t xml:space="preserve">āori). The medical laboratory scientist workforce does not reflect the ethnic population distribution in New Zealand (14.9 percent Māori, 85.1 percent </w:t>
      </w:r>
      <w:r w:rsidR="00EC03A3">
        <w:t>non</w:t>
      </w:r>
      <w:r w:rsidR="00EC03A3">
        <w:noBreakHyphen/>
        <w:t>M</w:t>
      </w:r>
      <w:r w:rsidRPr="00181EF3">
        <w:t>āori).</w:t>
      </w:r>
      <w:r w:rsidRPr="00181EF3">
        <w:rPr>
          <w:rStyle w:val="FootnoteReference"/>
        </w:rPr>
        <w:footnoteReference w:id="19"/>
      </w:r>
    </w:p>
    <w:p w14:paraId="452A1F10" w14:textId="77777777" w:rsidR="001338CA" w:rsidRPr="00181EF3" w:rsidRDefault="001338CA" w:rsidP="001338CA"/>
    <w:p w14:paraId="181B1F9F" w14:textId="77777777" w:rsidR="00B66973" w:rsidRPr="00181EF3" w:rsidRDefault="00B66973" w:rsidP="001338CA">
      <w:pPr>
        <w:pStyle w:val="Heading2"/>
        <w:pageBreakBefore/>
        <w:spacing w:before="0"/>
      </w:pPr>
      <w:bookmarkStart w:id="428" w:name="_Toc19102461"/>
      <w:r w:rsidRPr="00181EF3">
        <w:lastRenderedPageBreak/>
        <w:t>Medical Sciences Council of New Zealand – medical laboratory technician</w:t>
      </w:r>
      <w:bookmarkEnd w:id="428"/>
    </w:p>
    <w:p w14:paraId="76EC9F54" w14:textId="61FF09F2" w:rsidR="00B66973" w:rsidRPr="00181EF3" w:rsidRDefault="00B66973" w:rsidP="00B66973">
      <w:pPr>
        <w:pStyle w:val="Table"/>
      </w:pPr>
      <w:bookmarkStart w:id="429" w:name="_Toc18594785"/>
      <w:r w:rsidRPr="00181EF3">
        <w:t xml:space="preserve">Table </w:t>
      </w:r>
      <w:r>
        <w:t>45</w:t>
      </w:r>
      <w:r w:rsidRPr="00181EF3">
        <w:t xml:space="preserve">: Estimated number (percentage in workforce) of Māori and </w:t>
      </w:r>
      <w:r w:rsidR="00EC03A3">
        <w:t>non</w:t>
      </w:r>
      <w:r w:rsidR="00EC03A3">
        <w:noBreakHyphen/>
        <w:t>M</w:t>
      </w:r>
      <w:r w:rsidRPr="00181EF3">
        <w:t>āori in the medical laboratory technician workforce, 2005 to 2010</w:t>
      </w:r>
      <w:bookmarkEnd w:id="429"/>
    </w:p>
    <w:tbl>
      <w:tblPr>
        <w:tblW w:w="0" w:type="auto"/>
        <w:tblInd w:w="57" w:type="dxa"/>
        <w:tblLayout w:type="fixed"/>
        <w:tblCellMar>
          <w:left w:w="57" w:type="dxa"/>
          <w:right w:w="57" w:type="dxa"/>
        </w:tblCellMar>
        <w:tblLook w:val="04A0" w:firstRow="1" w:lastRow="0" w:firstColumn="1" w:lastColumn="0" w:noHBand="0" w:noVBand="1"/>
      </w:tblPr>
      <w:tblGrid>
        <w:gridCol w:w="2693"/>
        <w:gridCol w:w="2693"/>
        <w:gridCol w:w="2694"/>
      </w:tblGrid>
      <w:tr w:rsidR="00B66973" w:rsidRPr="00181EF3" w14:paraId="7325AB1A" w14:textId="77777777" w:rsidTr="00B66973">
        <w:trPr>
          <w:cantSplit/>
        </w:trPr>
        <w:tc>
          <w:tcPr>
            <w:tcW w:w="8080" w:type="dxa"/>
            <w:gridSpan w:val="3"/>
            <w:shd w:val="clear" w:color="auto" w:fill="D9D9D9" w:themeFill="background1" w:themeFillShade="D9"/>
          </w:tcPr>
          <w:p w14:paraId="6EA9621B" w14:textId="77777777" w:rsidR="00B66973" w:rsidRPr="00181EF3" w:rsidRDefault="00B66973" w:rsidP="00B66973">
            <w:pPr>
              <w:pStyle w:val="TableText"/>
              <w:jc w:val="center"/>
              <w:rPr>
                <w:b/>
              </w:rPr>
            </w:pPr>
            <w:r w:rsidRPr="00181EF3">
              <w:rPr>
                <w:b/>
              </w:rPr>
              <w:t>Medical laboratory technician (2005–2010)</w:t>
            </w:r>
          </w:p>
        </w:tc>
      </w:tr>
      <w:tr w:rsidR="00B66973" w:rsidRPr="00181EF3" w14:paraId="0607FB56" w14:textId="77777777" w:rsidTr="00B66973">
        <w:trPr>
          <w:cantSplit/>
        </w:trPr>
        <w:tc>
          <w:tcPr>
            <w:tcW w:w="2693" w:type="dxa"/>
            <w:shd w:val="clear" w:color="auto" w:fill="F2F2F2" w:themeFill="background1" w:themeFillShade="F2"/>
          </w:tcPr>
          <w:p w14:paraId="07220A0C" w14:textId="77777777" w:rsidR="00B66973" w:rsidRPr="00181EF3" w:rsidRDefault="00B66973" w:rsidP="00B66973">
            <w:pPr>
              <w:pStyle w:val="TableText"/>
              <w:jc w:val="center"/>
              <w:rPr>
                <w:b/>
              </w:rPr>
            </w:pPr>
            <w:r w:rsidRPr="00181EF3">
              <w:rPr>
                <w:b/>
              </w:rPr>
              <w:t>Year</w:t>
            </w:r>
          </w:p>
        </w:tc>
        <w:tc>
          <w:tcPr>
            <w:tcW w:w="2693" w:type="dxa"/>
            <w:shd w:val="clear" w:color="auto" w:fill="F2F2F2" w:themeFill="background1" w:themeFillShade="F2"/>
          </w:tcPr>
          <w:p w14:paraId="3FE81CBE" w14:textId="77777777" w:rsidR="00B66973" w:rsidRPr="00181EF3" w:rsidRDefault="00B66973" w:rsidP="00B66973">
            <w:pPr>
              <w:pStyle w:val="TableText"/>
              <w:jc w:val="center"/>
              <w:rPr>
                <w:b/>
              </w:rPr>
            </w:pPr>
            <w:r w:rsidRPr="00181EF3">
              <w:rPr>
                <w:b/>
              </w:rPr>
              <w:t>Māori</w:t>
            </w:r>
          </w:p>
        </w:tc>
        <w:tc>
          <w:tcPr>
            <w:tcW w:w="2694" w:type="dxa"/>
            <w:shd w:val="clear" w:color="auto" w:fill="F2F2F2" w:themeFill="background1" w:themeFillShade="F2"/>
          </w:tcPr>
          <w:p w14:paraId="46A36935" w14:textId="5EBABE51" w:rsidR="00B66973" w:rsidRPr="00181EF3" w:rsidRDefault="00EC03A3" w:rsidP="00B66973">
            <w:pPr>
              <w:pStyle w:val="TableText"/>
              <w:jc w:val="center"/>
              <w:rPr>
                <w:b/>
              </w:rPr>
            </w:pPr>
            <w:r>
              <w:rPr>
                <w:b/>
              </w:rPr>
              <w:t>Non</w:t>
            </w:r>
            <w:r>
              <w:rPr>
                <w:b/>
              </w:rPr>
              <w:noBreakHyphen/>
              <w:t>M</w:t>
            </w:r>
            <w:r w:rsidR="00B66973" w:rsidRPr="00181EF3">
              <w:rPr>
                <w:b/>
              </w:rPr>
              <w:t>āori</w:t>
            </w:r>
          </w:p>
        </w:tc>
      </w:tr>
      <w:tr w:rsidR="00B66973" w:rsidRPr="00181EF3" w14:paraId="6FAA0B82" w14:textId="77777777" w:rsidTr="00B66973">
        <w:trPr>
          <w:cantSplit/>
        </w:trPr>
        <w:tc>
          <w:tcPr>
            <w:tcW w:w="2693" w:type="dxa"/>
            <w:tcBorders>
              <w:bottom w:val="single" w:sz="4" w:space="0" w:color="A6A6A6" w:themeColor="background1" w:themeShade="A6"/>
            </w:tcBorders>
          </w:tcPr>
          <w:p w14:paraId="7B41C6FD" w14:textId="77777777" w:rsidR="00B66973" w:rsidRPr="00181EF3" w:rsidRDefault="00B66973" w:rsidP="00B66973">
            <w:pPr>
              <w:pStyle w:val="TableText"/>
              <w:jc w:val="center"/>
            </w:pPr>
            <w:r w:rsidRPr="00181EF3">
              <w:t>2005</w:t>
            </w:r>
          </w:p>
        </w:tc>
        <w:tc>
          <w:tcPr>
            <w:tcW w:w="2693" w:type="dxa"/>
            <w:tcBorders>
              <w:bottom w:val="single" w:sz="4" w:space="0" w:color="A6A6A6" w:themeColor="background1" w:themeShade="A6"/>
            </w:tcBorders>
          </w:tcPr>
          <w:p w14:paraId="257BD352" w14:textId="77777777" w:rsidR="00B66973" w:rsidRPr="00181EF3" w:rsidRDefault="00B66973" w:rsidP="00B66973">
            <w:pPr>
              <w:pStyle w:val="TableText"/>
              <w:jc w:val="center"/>
            </w:pPr>
            <w:r w:rsidRPr="00181EF3">
              <w:t>12 (2.4%)</w:t>
            </w:r>
          </w:p>
        </w:tc>
        <w:tc>
          <w:tcPr>
            <w:tcW w:w="2694" w:type="dxa"/>
            <w:tcBorders>
              <w:bottom w:val="single" w:sz="4" w:space="0" w:color="A6A6A6" w:themeColor="background1" w:themeShade="A6"/>
            </w:tcBorders>
          </w:tcPr>
          <w:p w14:paraId="1A66AA90" w14:textId="77777777" w:rsidR="00B66973" w:rsidRPr="00181EF3" w:rsidRDefault="00B66973" w:rsidP="00B66973">
            <w:pPr>
              <w:pStyle w:val="TableText"/>
              <w:tabs>
                <w:tab w:val="decimal" w:pos="1191"/>
              </w:tabs>
            </w:pPr>
            <w:r w:rsidRPr="00181EF3">
              <w:t>482 (97.6%)</w:t>
            </w:r>
          </w:p>
        </w:tc>
      </w:tr>
      <w:tr w:rsidR="00B66973" w:rsidRPr="00181EF3" w14:paraId="491055FD"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69887914" w14:textId="77777777" w:rsidR="00B66973" w:rsidRPr="00181EF3" w:rsidRDefault="00B66973" w:rsidP="00B66973">
            <w:pPr>
              <w:pStyle w:val="TableText"/>
              <w:jc w:val="center"/>
            </w:pPr>
            <w:r w:rsidRPr="00181EF3">
              <w:t>2006</w:t>
            </w:r>
          </w:p>
        </w:tc>
        <w:tc>
          <w:tcPr>
            <w:tcW w:w="2693" w:type="dxa"/>
            <w:tcBorders>
              <w:top w:val="single" w:sz="4" w:space="0" w:color="A6A6A6" w:themeColor="background1" w:themeShade="A6"/>
              <w:bottom w:val="single" w:sz="4" w:space="0" w:color="A6A6A6" w:themeColor="background1" w:themeShade="A6"/>
            </w:tcBorders>
          </w:tcPr>
          <w:p w14:paraId="3399E209" w14:textId="77777777" w:rsidR="00B66973" w:rsidRPr="00181EF3" w:rsidRDefault="00B66973" w:rsidP="00B66973">
            <w:pPr>
              <w:pStyle w:val="TableText"/>
              <w:jc w:val="center"/>
            </w:pPr>
            <w:r w:rsidRPr="00181EF3">
              <w:t>43 (4.7%)</w:t>
            </w:r>
          </w:p>
        </w:tc>
        <w:tc>
          <w:tcPr>
            <w:tcW w:w="2694" w:type="dxa"/>
            <w:tcBorders>
              <w:top w:val="single" w:sz="4" w:space="0" w:color="A6A6A6" w:themeColor="background1" w:themeShade="A6"/>
              <w:bottom w:val="single" w:sz="4" w:space="0" w:color="A6A6A6" w:themeColor="background1" w:themeShade="A6"/>
            </w:tcBorders>
          </w:tcPr>
          <w:p w14:paraId="31815115" w14:textId="77777777" w:rsidR="00B66973" w:rsidRPr="00181EF3" w:rsidRDefault="00B66973" w:rsidP="00B66973">
            <w:pPr>
              <w:pStyle w:val="TableText"/>
              <w:tabs>
                <w:tab w:val="decimal" w:pos="1191"/>
              </w:tabs>
            </w:pPr>
            <w:r w:rsidRPr="00181EF3">
              <w:t>866 (95.3%)</w:t>
            </w:r>
          </w:p>
        </w:tc>
      </w:tr>
      <w:tr w:rsidR="00B66973" w:rsidRPr="00181EF3" w14:paraId="28E4C1F8"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12BFB011" w14:textId="77777777" w:rsidR="00B66973" w:rsidRPr="00181EF3" w:rsidRDefault="00B66973" w:rsidP="00B66973">
            <w:pPr>
              <w:pStyle w:val="TableText"/>
              <w:jc w:val="center"/>
            </w:pPr>
            <w:r w:rsidRPr="00181EF3">
              <w:t>2007</w:t>
            </w:r>
          </w:p>
        </w:tc>
        <w:tc>
          <w:tcPr>
            <w:tcW w:w="2693" w:type="dxa"/>
            <w:tcBorders>
              <w:top w:val="single" w:sz="4" w:space="0" w:color="A6A6A6" w:themeColor="background1" w:themeShade="A6"/>
              <w:bottom w:val="single" w:sz="4" w:space="0" w:color="A6A6A6" w:themeColor="background1" w:themeShade="A6"/>
            </w:tcBorders>
          </w:tcPr>
          <w:p w14:paraId="5ED237E4" w14:textId="77777777" w:rsidR="00B66973" w:rsidRPr="00181EF3" w:rsidRDefault="00B66973" w:rsidP="00B66973">
            <w:pPr>
              <w:pStyle w:val="TableText"/>
              <w:jc w:val="center"/>
            </w:pPr>
            <w:r w:rsidRPr="00181EF3">
              <w:t>50 (4.9%)</w:t>
            </w:r>
          </w:p>
        </w:tc>
        <w:tc>
          <w:tcPr>
            <w:tcW w:w="2694" w:type="dxa"/>
            <w:tcBorders>
              <w:top w:val="single" w:sz="4" w:space="0" w:color="A6A6A6" w:themeColor="background1" w:themeShade="A6"/>
              <w:bottom w:val="single" w:sz="4" w:space="0" w:color="A6A6A6" w:themeColor="background1" w:themeShade="A6"/>
            </w:tcBorders>
          </w:tcPr>
          <w:p w14:paraId="41B71D1D" w14:textId="77777777" w:rsidR="00B66973" w:rsidRPr="00181EF3" w:rsidRDefault="00B66973" w:rsidP="00B66973">
            <w:pPr>
              <w:pStyle w:val="TableText"/>
              <w:tabs>
                <w:tab w:val="decimal" w:pos="1191"/>
              </w:tabs>
            </w:pPr>
            <w:r w:rsidRPr="00181EF3">
              <w:t>974 (95.1%)</w:t>
            </w:r>
          </w:p>
        </w:tc>
      </w:tr>
      <w:tr w:rsidR="00B66973" w:rsidRPr="00181EF3" w14:paraId="6DC1D06A"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6AF2182A" w14:textId="77777777" w:rsidR="00B66973" w:rsidRPr="00181EF3" w:rsidRDefault="00B66973" w:rsidP="00B66973">
            <w:pPr>
              <w:pStyle w:val="TableText"/>
              <w:jc w:val="center"/>
            </w:pPr>
            <w:r w:rsidRPr="00181EF3">
              <w:t>2008</w:t>
            </w:r>
          </w:p>
        </w:tc>
        <w:tc>
          <w:tcPr>
            <w:tcW w:w="2693" w:type="dxa"/>
            <w:tcBorders>
              <w:top w:val="single" w:sz="4" w:space="0" w:color="A6A6A6" w:themeColor="background1" w:themeShade="A6"/>
              <w:bottom w:val="single" w:sz="4" w:space="0" w:color="A6A6A6" w:themeColor="background1" w:themeShade="A6"/>
            </w:tcBorders>
          </w:tcPr>
          <w:p w14:paraId="6495F1A0" w14:textId="77777777" w:rsidR="00B66973" w:rsidRPr="00181EF3" w:rsidRDefault="00B66973" w:rsidP="00B66973">
            <w:pPr>
              <w:pStyle w:val="TableText"/>
              <w:jc w:val="center"/>
            </w:pPr>
            <w:r w:rsidRPr="00181EF3">
              <w:t>23 (2.0%)</w:t>
            </w:r>
          </w:p>
        </w:tc>
        <w:tc>
          <w:tcPr>
            <w:tcW w:w="2694" w:type="dxa"/>
            <w:tcBorders>
              <w:top w:val="single" w:sz="4" w:space="0" w:color="A6A6A6" w:themeColor="background1" w:themeShade="A6"/>
              <w:bottom w:val="single" w:sz="4" w:space="0" w:color="A6A6A6" w:themeColor="background1" w:themeShade="A6"/>
            </w:tcBorders>
          </w:tcPr>
          <w:p w14:paraId="67637664" w14:textId="77777777" w:rsidR="00B66973" w:rsidRPr="00181EF3" w:rsidRDefault="00B66973" w:rsidP="00B66973">
            <w:pPr>
              <w:pStyle w:val="TableText"/>
              <w:tabs>
                <w:tab w:val="decimal" w:pos="1191"/>
              </w:tabs>
            </w:pPr>
            <w:r w:rsidRPr="00181EF3">
              <w:t>1,144 (98.0%)</w:t>
            </w:r>
          </w:p>
        </w:tc>
      </w:tr>
      <w:tr w:rsidR="00B66973" w:rsidRPr="00181EF3" w14:paraId="7EF946CD"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3F65568A" w14:textId="77777777" w:rsidR="00B66973" w:rsidRPr="00181EF3" w:rsidRDefault="00B66973" w:rsidP="00B66973">
            <w:pPr>
              <w:pStyle w:val="TableText"/>
              <w:jc w:val="center"/>
            </w:pPr>
            <w:r w:rsidRPr="00181EF3">
              <w:t>2009</w:t>
            </w:r>
          </w:p>
        </w:tc>
        <w:tc>
          <w:tcPr>
            <w:tcW w:w="2693" w:type="dxa"/>
            <w:tcBorders>
              <w:top w:val="single" w:sz="4" w:space="0" w:color="A6A6A6" w:themeColor="background1" w:themeShade="A6"/>
              <w:bottom w:val="single" w:sz="4" w:space="0" w:color="A6A6A6" w:themeColor="background1" w:themeShade="A6"/>
            </w:tcBorders>
          </w:tcPr>
          <w:p w14:paraId="2DB5B27E" w14:textId="77777777" w:rsidR="00B66973" w:rsidRPr="00181EF3" w:rsidRDefault="00B66973" w:rsidP="00B66973">
            <w:pPr>
              <w:pStyle w:val="TableText"/>
              <w:jc w:val="center"/>
            </w:pPr>
            <w:r w:rsidRPr="00181EF3">
              <w:t>49 (4.5%)</w:t>
            </w:r>
          </w:p>
        </w:tc>
        <w:tc>
          <w:tcPr>
            <w:tcW w:w="2694" w:type="dxa"/>
            <w:tcBorders>
              <w:top w:val="single" w:sz="4" w:space="0" w:color="A6A6A6" w:themeColor="background1" w:themeShade="A6"/>
              <w:bottom w:val="single" w:sz="4" w:space="0" w:color="A6A6A6" w:themeColor="background1" w:themeShade="A6"/>
            </w:tcBorders>
          </w:tcPr>
          <w:p w14:paraId="2E8D54C1" w14:textId="77777777" w:rsidR="00B66973" w:rsidRPr="00181EF3" w:rsidRDefault="00B66973" w:rsidP="00B66973">
            <w:pPr>
              <w:pStyle w:val="TableText"/>
              <w:tabs>
                <w:tab w:val="decimal" w:pos="1191"/>
              </w:tabs>
            </w:pPr>
            <w:r w:rsidRPr="00181EF3">
              <w:t>1,039 (95.5%)</w:t>
            </w:r>
          </w:p>
        </w:tc>
      </w:tr>
      <w:tr w:rsidR="00B66973" w:rsidRPr="00181EF3" w14:paraId="18B7858E"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3C1E2CBF" w14:textId="77777777" w:rsidR="00B66973" w:rsidRPr="00181EF3" w:rsidRDefault="00B66973" w:rsidP="00B66973">
            <w:pPr>
              <w:pStyle w:val="TableText"/>
              <w:jc w:val="center"/>
            </w:pPr>
            <w:r w:rsidRPr="00181EF3">
              <w:t>2010</w:t>
            </w:r>
          </w:p>
        </w:tc>
        <w:tc>
          <w:tcPr>
            <w:tcW w:w="2693" w:type="dxa"/>
            <w:tcBorders>
              <w:top w:val="single" w:sz="4" w:space="0" w:color="A6A6A6" w:themeColor="background1" w:themeShade="A6"/>
              <w:bottom w:val="single" w:sz="4" w:space="0" w:color="A6A6A6" w:themeColor="background1" w:themeShade="A6"/>
            </w:tcBorders>
          </w:tcPr>
          <w:p w14:paraId="6CA7620B" w14:textId="77777777" w:rsidR="00B66973" w:rsidRPr="00181EF3" w:rsidRDefault="00B66973" w:rsidP="00B66973">
            <w:pPr>
              <w:pStyle w:val="TableText"/>
              <w:jc w:val="center"/>
            </w:pPr>
            <w:r w:rsidRPr="00181EF3">
              <w:t>53 (4.7%)</w:t>
            </w:r>
          </w:p>
        </w:tc>
        <w:tc>
          <w:tcPr>
            <w:tcW w:w="2694" w:type="dxa"/>
            <w:tcBorders>
              <w:top w:val="single" w:sz="4" w:space="0" w:color="A6A6A6" w:themeColor="background1" w:themeShade="A6"/>
              <w:bottom w:val="single" w:sz="4" w:space="0" w:color="A6A6A6" w:themeColor="background1" w:themeShade="A6"/>
            </w:tcBorders>
          </w:tcPr>
          <w:p w14:paraId="6C6924D9" w14:textId="77777777" w:rsidR="00B66973" w:rsidRPr="00181EF3" w:rsidRDefault="00B66973" w:rsidP="00B66973">
            <w:pPr>
              <w:pStyle w:val="TableText"/>
              <w:tabs>
                <w:tab w:val="decimal" w:pos="1191"/>
              </w:tabs>
            </w:pPr>
            <w:r w:rsidRPr="00181EF3">
              <w:t>1,070 (95.3%)</w:t>
            </w:r>
          </w:p>
        </w:tc>
      </w:tr>
    </w:tbl>
    <w:p w14:paraId="538B61A4" w14:textId="77777777" w:rsidR="00B66973" w:rsidRPr="00181EF3" w:rsidRDefault="00B66973" w:rsidP="00B66973">
      <w:pPr>
        <w:pStyle w:val="Source"/>
      </w:pPr>
      <w:r w:rsidRPr="00181EF3">
        <w:t>Source: Medical Sciences Council of New Zealand, 2005–2010.</w:t>
      </w:r>
    </w:p>
    <w:p w14:paraId="252DAE3E" w14:textId="77777777" w:rsidR="00B66973" w:rsidRPr="00181EF3" w:rsidRDefault="00B66973" w:rsidP="00B66973"/>
    <w:p w14:paraId="648235F2" w14:textId="3C59E7EF" w:rsidR="00B16E84" w:rsidRPr="00181EF3" w:rsidRDefault="00B16E84" w:rsidP="001338CA">
      <w:r w:rsidRPr="00181EF3">
        <w:t xml:space="preserve">Table </w:t>
      </w:r>
      <w:r>
        <w:t>45</w:t>
      </w:r>
      <w:r w:rsidRPr="00181EF3">
        <w:t xml:space="preserve"> shows the estimated number and percentage of Māori and </w:t>
      </w:r>
      <w:r w:rsidR="00EC03A3">
        <w:t>non</w:t>
      </w:r>
      <w:r w:rsidR="00EC03A3">
        <w:noBreakHyphen/>
        <w:t>M</w:t>
      </w:r>
      <w:r w:rsidRPr="00181EF3">
        <w:t>āori in the medical laboratory technician workforce from 2005 to 2010.</w:t>
      </w:r>
    </w:p>
    <w:p w14:paraId="725C724E" w14:textId="77777777" w:rsidR="00B16E84" w:rsidRPr="00181EF3" w:rsidRDefault="00B16E84" w:rsidP="001338CA"/>
    <w:p w14:paraId="5F9A2208" w14:textId="6FE0D110" w:rsidR="00B16E84" w:rsidRDefault="00B16E84" w:rsidP="001338CA">
      <w:r w:rsidRPr="00181EF3">
        <w:t xml:space="preserve">Despite the number of Māori in the medical laboratory technician workforce increasing over time, the percentage of Māori in the workforce did not change much – the average percentage of Māori in the medical laboratory technician workforce between 2005 and 2010 was 3.9 percent (average of 38 Māori medical laboratory technicians, compared </w:t>
      </w:r>
      <w:r w:rsidR="00FF1892">
        <w:t>with</w:t>
      </w:r>
      <w:r w:rsidR="00FF1892" w:rsidRPr="00181EF3">
        <w:t xml:space="preserve"> </w:t>
      </w:r>
      <w:r w:rsidRPr="00181EF3">
        <w:t xml:space="preserve">an average of 929 </w:t>
      </w:r>
      <w:r w:rsidR="00EC03A3">
        <w:t>non</w:t>
      </w:r>
      <w:r w:rsidR="00EC03A3">
        <w:noBreakHyphen/>
        <w:t>M</w:t>
      </w:r>
      <w:r w:rsidRPr="00181EF3">
        <w:t xml:space="preserve">āori). The medical laboratory technician workforce does not reflect the ethnic population distribution in New Zealand (14.9 percent Māori, 85.1 percent </w:t>
      </w:r>
      <w:r w:rsidR="00EC03A3">
        <w:t>non</w:t>
      </w:r>
      <w:r w:rsidR="00EC03A3">
        <w:noBreakHyphen/>
        <w:t>M</w:t>
      </w:r>
      <w:r w:rsidRPr="00181EF3">
        <w:t>āori).</w:t>
      </w:r>
      <w:r w:rsidRPr="00181EF3">
        <w:rPr>
          <w:rStyle w:val="FootnoteReference"/>
        </w:rPr>
        <w:footnoteReference w:id="20"/>
      </w:r>
    </w:p>
    <w:p w14:paraId="43331B42" w14:textId="77777777" w:rsidR="001338CA" w:rsidRPr="00181EF3" w:rsidRDefault="001338CA" w:rsidP="001338CA"/>
    <w:p w14:paraId="3DE5822A" w14:textId="77777777" w:rsidR="00B66973" w:rsidRPr="00181EF3" w:rsidRDefault="00B66973" w:rsidP="001338CA">
      <w:pPr>
        <w:pStyle w:val="Heading2"/>
        <w:pageBreakBefore/>
        <w:spacing w:before="0"/>
      </w:pPr>
      <w:bookmarkStart w:id="430" w:name="_Toc19102462"/>
      <w:r w:rsidRPr="00181EF3">
        <w:lastRenderedPageBreak/>
        <w:t>Pharmacy Council of New Zealand – pharmacists</w:t>
      </w:r>
      <w:bookmarkEnd w:id="430"/>
    </w:p>
    <w:p w14:paraId="4E31F077" w14:textId="754AC3DC" w:rsidR="00B66973" w:rsidRPr="00181EF3" w:rsidRDefault="00B66973" w:rsidP="00B66973">
      <w:pPr>
        <w:pStyle w:val="Table"/>
      </w:pPr>
      <w:bookmarkStart w:id="431" w:name="_Toc18594786"/>
      <w:r w:rsidRPr="00181EF3">
        <w:t xml:space="preserve">Table </w:t>
      </w:r>
      <w:r>
        <w:t>46</w:t>
      </w:r>
      <w:r w:rsidRPr="00181EF3">
        <w:t xml:space="preserve">: Estimated number (percentage in workforce) of Māori and </w:t>
      </w:r>
      <w:r w:rsidR="00EC03A3">
        <w:t>non</w:t>
      </w:r>
      <w:r w:rsidR="00EC03A3">
        <w:noBreakHyphen/>
        <w:t>M</w:t>
      </w:r>
      <w:r w:rsidRPr="00181EF3">
        <w:t>āori in the pharmacy workforce, 2005–2018</w:t>
      </w:r>
      <w:bookmarkEnd w:id="431"/>
    </w:p>
    <w:tbl>
      <w:tblPr>
        <w:tblW w:w="0" w:type="auto"/>
        <w:tblInd w:w="57" w:type="dxa"/>
        <w:tblLayout w:type="fixed"/>
        <w:tblCellMar>
          <w:left w:w="57" w:type="dxa"/>
          <w:right w:w="57" w:type="dxa"/>
        </w:tblCellMar>
        <w:tblLook w:val="04A0" w:firstRow="1" w:lastRow="0" w:firstColumn="1" w:lastColumn="0" w:noHBand="0" w:noVBand="1"/>
      </w:tblPr>
      <w:tblGrid>
        <w:gridCol w:w="2693"/>
        <w:gridCol w:w="2693"/>
        <w:gridCol w:w="2694"/>
      </w:tblGrid>
      <w:tr w:rsidR="00B66973" w:rsidRPr="00181EF3" w14:paraId="55A31213" w14:textId="77777777" w:rsidTr="00B66973">
        <w:trPr>
          <w:cantSplit/>
        </w:trPr>
        <w:tc>
          <w:tcPr>
            <w:tcW w:w="8080" w:type="dxa"/>
            <w:gridSpan w:val="3"/>
            <w:shd w:val="clear" w:color="auto" w:fill="D9D9D9" w:themeFill="background1" w:themeFillShade="D9"/>
          </w:tcPr>
          <w:p w14:paraId="6CE2D8C6" w14:textId="77777777" w:rsidR="00B66973" w:rsidRPr="00181EF3" w:rsidRDefault="00B66973" w:rsidP="00B66973">
            <w:pPr>
              <w:pStyle w:val="TableText"/>
              <w:jc w:val="center"/>
              <w:rPr>
                <w:b/>
              </w:rPr>
            </w:pPr>
            <w:r w:rsidRPr="00181EF3">
              <w:rPr>
                <w:b/>
              </w:rPr>
              <w:t>Pharmacists (2005–2018)</w:t>
            </w:r>
          </w:p>
        </w:tc>
      </w:tr>
      <w:tr w:rsidR="00B66973" w:rsidRPr="00181EF3" w14:paraId="3C821CAD" w14:textId="77777777" w:rsidTr="00B66973">
        <w:trPr>
          <w:cantSplit/>
        </w:trPr>
        <w:tc>
          <w:tcPr>
            <w:tcW w:w="2693" w:type="dxa"/>
            <w:shd w:val="clear" w:color="auto" w:fill="F2F2F2" w:themeFill="background1" w:themeFillShade="F2"/>
          </w:tcPr>
          <w:p w14:paraId="6BF93D57" w14:textId="77777777" w:rsidR="00B66973" w:rsidRPr="00181EF3" w:rsidRDefault="00B66973" w:rsidP="00B66973">
            <w:pPr>
              <w:pStyle w:val="TableText"/>
              <w:jc w:val="center"/>
              <w:rPr>
                <w:b/>
              </w:rPr>
            </w:pPr>
            <w:r w:rsidRPr="00181EF3">
              <w:rPr>
                <w:b/>
              </w:rPr>
              <w:t>Year</w:t>
            </w:r>
          </w:p>
        </w:tc>
        <w:tc>
          <w:tcPr>
            <w:tcW w:w="2693" w:type="dxa"/>
            <w:shd w:val="clear" w:color="auto" w:fill="F2F2F2" w:themeFill="background1" w:themeFillShade="F2"/>
          </w:tcPr>
          <w:p w14:paraId="53B315A9" w14:textId="77777777" w:rsidR="00B66973" w:rsidRPr="00181EF3" w:rsidRDefault="00B66973" w:rsidP="00B66973">
            <w:pPr>
              <w:pStyle w:val="TableText"/>
              <w:jc w:val="center"/>
              <w:rPr>
                <w:b/>
              </w:rPr>
            </w:pPr>
            <w:r w:rsidRPr="00181EF3">
              <w:rPr>
                <w:b/>
              </w:rPr>
              <w:t>Māori</w:t>
            </w:r>
          </w:p>
        </w:tc>
        <w:tc>
          <w:tcPr>
            <w:tcW w:w="2694" w:type="dxa"/>
            <w:shd w:val="clear" w:color="auto" w:fill="F2F2F2" w:themeFill="background1" w:themeFillShade="F2"/>
          </w:tcPr>
          <w:p w14:paraId="1852D355" w14:textId="2CEB335B" w:rsidR="00B66973" w:rsidRPr="00181EF3" w:rsidRDefault="00EC03A3" w:rsidP="00B66973">
            <w:pPr>
              <w:pStyle w:val="TableText"/>
              <w:jc w:val="center"/>
              <w:rPr>
                <w:b/>
              </w:rPr>
            </w:pPr>
            <w:r>
              <w:rPr>
                <w:b/>
              </w:rPr>
              <w:t>Non</w:t>
            </w:r>
            <w:r>
              <w:rPr>
                <w:b/>
              </w:rPr>
              <w:noBreakHyphen/>
              <w:t>M</w:t>
            </w:r>
            <w:r w:rsidR="00B66973" w:rsidRPr="00181EF3">
              <w:rPr>
                <w:b/>
              </w:rPr>
              <w:t>āori</w:t>
            </w:r>
          </w:p>
        </w:tc>
      </w:tr>
      <w:tr w:rsidR="00B66973" w:rsidRPr="00181EF3" w14:paraId="556AB830" w14:textId="77777777" w:rsidTr="00B66973">
        <w:trPr>
          <w:cantSplit/>
        </w:trPr>
        <w:tc>
          <w:tcPr>
            <w:tcW w:w="2693" w:type="dxa"/>
            <w:tcBorders>
              <w:bottom w:val="single" w:sz="4" w:space="0" w:color="A6A6A6" w:themeColor="background1" w:themeShade="A6"/>
            </w:tcBorders>
          </w:tcPr>
          <w:p w14:paraId="6692E68C" w14:textId="77777777" w:rsidR="00B66973" w:rsidRPr="00181EF3" w:rsidRDefault="00B66973" w:rsidP="00B66973">
            <w:pPr>
              <w:pStyle w:val="TableText"/>
              <w:jc w:val="center"/>
            </w:pPr>
            <w:r w:rsidRPr="00181EF3">
              <w:t>2005</w:t>
            </w:r>
          </w:p>
        </w:tc>
        <w:tc>
          <w:tcPr>
            <w:tcW w:w="2693" w:type="dxa"/>
            <w:tcBorders>
              <w:bottom w:val="single" w:sz="4" w:space="0" w:color="A6A6A6" w:themeColor="background1" w:themeShade="A6"/>
            </w:tcBorders>
          </w:tcPr>
          <w:p w14:paraId="2CA37090" w14:textId="77777777" w:rsidR="00B66973" w:rsidRPr="00181EF3" w:rsidRDefault="00B66973" w:rsidP="00B66973">
            <w:pPr>
              <w:pStyle w:val="TableText"/>
              <w:jc w:val="center"/>
            </w:pPr>
            <w:r w:rsidRPr="00181EF3">
              <w:t>41 (1.5%)</w:t>
            </w:r>
          </w:p>
        </w:tc>
        <w:tc>
          <w:tcPr>
            <w:tcW w:w="2694" w:type="dxa"/>
            <w:tcBorders>
              <w:bottom w:val="single" w:sz="4" w:space="0" w:color="A6A6A6" w:themeColor="background1" w:themeShade="A6"/>
            </w:tcBorders>
          </w:tcPr>
          <w:p w14:paraId="152206C7" w14:textId="77777777" w:rsidR="00B66973" w:rsidRPr="00181EF3" w:rsidRDefault="00B66973" w:rsidP="00B66973">
            <w:pPr>
              <w:pStyle w:val="TableText"/>
              <w:jc w:val="center"/>
            </w:pPr>
            <w:r w:rsidRPr="00181EF3">
              <w:t>2,704 (98.5%)</w:t>
            </w:r>
          </w:p>
        </w:tc>
      </w:tr>
      <w:tr w:rsidR="00B66973" w:rsidRPr="00181EF3" w14:paraId="24F6F84D"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7A28F69B" w14:textId="77777777" w:rsidR="00B66973" w:rsidRPr="00181EF3" w:rsidRDefault="00B66973" w:rsidP="00B66973">
            <w:pPr>
              <w:pStyle w:val="TableText"/>
              <w:jc w:val="center"/>
            </w:pPr>
            <w:r w:rsidRPr="00181EF3">
              <w:t>2006</w:t>
            </w:r>
          </w:p>
        </w:tc>
        <w:tc>
          <w:tcPr>
            <w:tcW w:w="2693" w:type="dxa"/>
            <w:tcBorders>
              <w:top w:val="single" w:sz="4" w:space="0" w:color="A6A6A6" w:themeColor="background1" w:themeShade="A6"/>
              <w:bottom w:val="single" w:sz="4" w:space="0" w:color="A6A6A6" w:themeColor="background1" w:themeShade="A6"/>
            </w:tcBorders>
          </w:tcPr>
          <w:p w14:paraId="10898B1A" w14:textId="77777777" w:rsidR="00B66973" w:rsidRPr="00181EF3" w:rsidRDefault="00B66973" w:rsidP="00B66973">
            <w:pPr>
              <w:pStyle w:val="TableText"/>
              <w:jc w:val="center"/>
            </w:pPr>
            <w:r w:rsidRPr="00181EF3">
              <w:t>45 (1.6%)</w:t>
            </w:r>
          </w:p>
        </w:tc>
        <w:tc>
          <w:tcPr>
            <w:tcW w:w="2694" w:type="dxa"/>
            <w:tcBorders>
              <w:top w:val="single" w:sz="4" w:space="0" w:color="A6A6A6" w:themeColor="background1" w:themeShade="A6"/>
              <w:bottom w:val="single" w:sz="4" w:space="0" w:color="A6A6A6" w:themeColor="background1" w:themeShade="A6"/>
            </w:tcBorders>
          </w:tcPr>
          <w:p w14:paraId="07AA226A" w14:textId="77777777" w:rsidR="00B66973" w:rsidRPr="00181EF3" w:rsidRDefault="00B66973" w:rsidP="00B66973">
            <w:pPr>
              <w:pStyle w:val="TableText"/>
              <w:jc w:val="center"/>
            </w:pPr>
            <w:r w:rsidRPr="00181EF3">
              <w:t>2,756 (98.4%)</w:t>
            </w:r>
          </w:p>
        </w:tc>
      </w:tr>
      <w:tr w:rsidR="00B66973" w:rsidRPr="00181EF3" w14:paraId="25BA0178"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31A079DD" w14:textId="77777777" w:rsidR="00B66973" w:rsidRPr="00181EF3" w:rsidRDefault="00B66973" w:rsidP="00B66973">
            <w:pPr>
              <w:pStyle w:val="TableText"/>
              <w:jc w:val="center"/>
            </w:pPr>
            <w:r w:rsidRPr="00181EF3">
              <w:t>2007</w:t>
            </w:r>
          </w:p>
        </w:tc>
        <w:tc>
          <w:tcPr>
            <w:tcW w:w="2693" w:type="dxa"/>
            <w:tcBorders>
              <w:top w:val="single" w:sz="4" w:space="0" w:color="A6A6A6" w:themeColor="background1" w:themeShade="A6"/>
              <w:bottom w:val="single" w:sz="4" w:space="0" w:color="A6A6A6" w:themeColor="background1" w:themeShade="A6"/>
            </w:tcBorders>
          </w:tcPr>
          <w:p w14:paraId="746FEF98" w14:textId="77777777" w:rsidR="00B66973" w:rsidRPr="00181EF3" w:rsidRDefault="00B66973" w:rsidP="00B66973">
            <w:pPr>
              <w:pStyle w:val="TableText"/>
              <w:jc w:val="center"/>
            </w:pPr>
            <w:r w:rsidRPr="00181EF3">
              <w:t>48 (1.7%)</w:t>
            </w:r>
          </w:p>
        </w:tc>
        <w:tc>
          <w:tcPr>
            <w:tcW w:w="2694" w:type="dxa"/>
            <w:tcBorders>
              <w:top w:val="single" w:sz="4" w:space="0" w:color="A6A6A6" w:themeColor="background1" w:themeShade="A6"/>
              <w:bottom w:val="single" w:sz="4" w:space="0" w:color="A6A6A6" w:themeColor="background1" w:themeShade="A6"/>
            </w:tcBorders>
          </w:tcPr>
          <w:p w14:paraId="05479208" w14:textId="77777777" w:rsidR="00B66973" w:rsidRPr="00181EF3" w:rsidRDefault="00B66973" w:rsidP="00B66973">
            <w:pPr>
              <w:pStyle w:val="TableText"/>
              <w:jc w:val="center"/>
            </w:pPr>
            <w:r w:rsidRPr="00181EF3">
              <w:t>2,841 (98.3%)</w:t>
            </w:r>
          </w:p>
        </w:tc>
      </w:tr>
      <w:tr w:rsidR="00B66973" w:rsidRPr="00181EF3" w14:paraId="115BACB6"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6BD713C9" w14:textId="77777777" w:rsidR="00B66973" w:rsidRPr="00181EF3" w:rsidRDefault="00B66973" w:rsidP="00B66973">
            <w:pPr>
              <w:pStyle w:val="TableText"/>
              <w:jc w:val="center"/>
            </w:pPr>
            <w:r w:rsidRPr="00181EF3">
              <w:t>2008</w:t>
            </w:r>
          </w:p>
        </w:tc>
        <w:tc>
          <w:tcPr>
            <w:tcW w:w="2693" w:type="dxa"/>
            <w:tcBorders>
              <w:top w:val="single" w:sz="4" w:space="0" w:color="A6A6A6" w:themeColor="background1" w:themeShade="A6"/>
              <w:bottom w:val="single" w:sz="4" w:space="0" w:color="A6A6A6" w:themeColor="background1" w:themeShade="A6"/>
            </w:tcBorders>
          </w:tcPr>
          <w:p w14:paraId="351EF2E4" w14:textId="77777777" w:rsidR="00B66973" w:rsidRPr="00181EF3" w:rsidRDefault="00B66973" w:rsidP="00B66973">
            <w:pPr>
              <w:pStyle w:val="TableText"/>
              <w:jc w:val="center"/>
            </w:pPr>
            <w:r w:rsidRPr="00181EF3">
              <w:t>49 (1.6%)</w:t>
            </w:r>
          </w:p>
        </w:tc>
        <w:tc>
          <w:tcPr>
            <w:tcW w:w="2694" w:type="dxa"/>
            <w:tcBorders>
              <w:top w:val="single" w:sz="4" w:space="0" w:color="A6A6A6" w:themeColor="background1" w:themeShade="A6"/>
              <w:bottom w:val="single" w:sz="4" w:space="0" w:color="A6A6A6" w:themeColor="background1" w:themeShade="A6"/>
            </w:tcBorders>
          </w:tcPr>
          <w:p w14:paraId="7F58EBD1" w14:textId="77777777" w:rsidR="00B66973" w:rsidRPr="00181EF3" w:rsidRDefault="00B66973" w:rsidP="00B66973">
            <w:pPr>
              <w:pStyle w:val="TableText"/>
              <w:jc w:val="center"/>
            </w:pPr>
            <w:r w:rsidRPr="00181EF3">
              <w:t>2,929 (98.4%)</w:t>
            </w:r>
          </w:p>
        </w:tc>
      </w:tr>
      <w:tr w:rsidR="00B66973" w:rsidRPr="00181EF3" w14:paraId="76028EDE"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04FD784B" w14:textId="77777777" w:rsidR="00B66973" w:rsidRPr="00181EF3" w:rsidRDefault="00B66973" w:rsidP="00B66973">
            <w:pPr>
              <w:pStyle w:val="TableText"/>
              <w:jc w:val="center"/>
            </w:pPr>
            <w:r w:rsidRPr="00181EF3">
              <w:t>2009</w:t>
            </w:r>
          </w:p>
        </w:tc>
        <w:tc>
          <w:tcPr>
            <w:tcW w:w="2693" w:type="dxa"/>
            <w:tcBorders>
              <w:top w:val="single" w:sz="4" w:space="0" w:color="A6A6A6" w:themeColor="background1" w:themeShade="A6"/>
              <w:bottom w:val="single" w:sz="4" w:space="0" w:color="A6A6A6" w:themeColor="background1" w:themeShade="A6"/>
            </w:tcBorders>
          </w:tcPr>
          <w:p w14:paraId="0AFC953D" w14:textId="77777777" w:rsidR="00B66973" w:rsidRPr="00181EF3" w:rsidRDefault="00B66973" w:rsidP="00B66973">
            <w:pPr>
              <w:pStyle w:val="TableText"/>
              <w:jc w:val="center"/>
            </w:pPr>
            <w:r w:rsidRPr="00181EF3">
              <w:t>46 (1.5%)</w:t>
            </w:r>
          </w:p>
        </w:tc>
        <w:tc>
          <w:tcPr>
            <w:tcW w:w="2694" w:type="dxa"/>
            <w:tcBorders>
              <w:top w:val="single" w:sz="4" w:space="0" w:color="A6A6A6" w:themeColor="background1" w:themeShade="A6"/>
              <w:bottom w:val="single" w:sz="4" w:space="0" w:color="A6A6A6" w:themeColor="background1" w:themeShade="A6"/>
            </w:tcBorders>
          </w:tcPr>
          <w:p w14:paraId="16F5FD49" w14:textId="77777777" w:rsidR="00B66973" w:rsidRPr="00181EF3" w:rsidRDefault="00B66973" w:rsidP="00B66973">
            <w:pPr>
              <w:pStyle w:val="TableText"/>
              <w:jc w:val="center"/>
            </w:pPr>
            <w:r w:rsidRPr="00181EF3">
              <w:t>3,030 (98.5%)</w:t>
            </w:r>
          </w:p>
        </w:tc>
      </w:tr>
      <w:tr w:rsidR="00B66973" w:rsidRPr="00181EF3" w14:paraId="1A7F7600"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5B2FC113" w14:textId="77777777" w:rsidR="00B66973" w:rsidRPr="00181EF3" w:rsidRDefault="00B66973" w:rsidP="00B66973">
            <w:pPr>
              <w:pStyle w:val="TableText"/>
              <w:jc w:val="center"/>
            </w:pPr>
            <w:r w:rsidRPr="00181EF3">
              <w:t>2010</w:t>
            </w:r>
          </w:p>
        </w:tc>
        <w:tc>
          <w:tcPr>
            <w:tcW w:w="2693" w:type="dxa"/>
            <w:tcBorders>
              <w:top w:val="single" w:sz="4" w:space="0" w:color="A6A6A6" w:themeColor="background1" w:themeShade="A6"/>
              <w:bottom w:val="single" w:sz="4" w:space="0" w:color="A6A6A6" w:themeColor="background1" w:themeShade="A6"/>
            </w:tcBorders>
          </w:tcPr>
          <w:p w14:paraId="520EDB6E" w14:textId="77777777" w:rsidR="00B66973" w:rsidRPr="00181EF3" w:rsidRDefault="00B66973" w:rsidP="00B66973">
            <w:pPr>
              <w:pStyle w:val="TableText"/>
              <w:jc w:val="center"/>
            </w:pPr>
            <w:r w:rsidRPr="00181EF3">
              <w:t>45 (1.4%)</w:t>
            </w:r>
          </w:p>
        </w:tc>
        <w:tc>
          <w:tcPr>
            <w:tcW w:w="2694" w:type="dxa"/>
            <w:tcBorders>
              <w:top w:val="single" w:sz="4" w:space="0" w:color="A6A6A6" w:themeColor="background1" w:themeShade="A6"/>
              <w:bottom w:val="single" w:sz="4" w:space="0" w:color="A6A6A6" w:themeColor="background1" w:themeShade="A6"/>
            </w:tcBorders>
          </w:tcPr>
          <w:p w14:paraId="1F04E986" w14:textId="77777777" w:rsidR="00B66973" w:rsidRPr="00181EF3" w:rsidRDefault="00B66973" w:rsidP="00B66973">
            <w:pPr>
              <w:pStyle w:val="TableText"/>
              <w:jc w:val="center"/>
            </w:pPr>
            <w:r w:rsidRPr="00181EF3">
              <w:t>3,135 (98.6%)</w:t>
            </w:r>
          </w:p>
        </w:tc>
      </w:tr>
      <w:tr w:rsidR="00B66973" w:rsidRPr="00181EF3" w14:paraId="0E6AC9E6"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26DE99F2" w14:textId="77777777" w:rsidR="00B66973" w:rsidRPr="00181EF3" w:rsidRDefault="00B66973" w:rsidP="00B66973">
            <w:pPr>
              <w:pStyle w:val="TableText"/>
              <w:jc w:val="center"/>
            </w:pPr>
            <w:r w:rsidRPr="00181EF3">
              <w:t>2011</w:t>
            </w:r>
          </w:p>
        </w:tc>
        <w:tc>
          <w:tcPr>
            <w:tcW w:w="2693" w:type="dxa"/>
            <w:tcBorders>
              <w:top w:val="single" w:sz="4" w:space="0" w:color="A6A6A6" w:themeColor="background1" w:themeShade="A6"/>
              <w:bottom w:val="single" w:sz="4" w:space="0" w:color="A6A6A6" w:themeColor="background1" w:themeShade="A6"/>
            </w:tcBorders>
          </w:tcPr>
          <w:p w14:paraId="44C49861" w14:textId="77777777" w:rsidR="00B66973" w:rsidRPr="00181EF3" w:rsidRDefault="00B66973" w:rsidP="00B66973">
            <w:pPr>
              <w:pStyle w:val="TableText"/>
              <w:jc w:val="center"/>
            </w:pPr>
            <w:r w:rsidRPr="00181EF3">
              <w:t>79 (2.4%)</w:t>
            </w:r>
          </w:p>
        </w:tc>
        <w:tc>
          <w:tcPr>
            <w:tcW w:w="2694" w:type="dxa"/>
            <w:tcBorders>
              <w:top w:val="single" w:sz="4" w:space="0" w:color="A6A6A6" w:themeColor="background1" w:themeShade="A6"/>
              <w:bottom w:val="single" w:sz="4" w:space="0" w:color="A6A6A6" w:themeColor="background1" w:themeShade="A6"/>
            </w:tcBorders>
          </w:tcPr>
          <w:p w14:paraId="4516954F" w14:textId="77777777" w:rsidR="00B66973" w:rsidRPr="00181EF3" w:rsidRDefault="00B66973" w:rsidP="00B66973">
            <w:pPr>
              <w:pStyle w:val="TableText"/>
              <w:jc w:val="center"/>
            </w:pPr>
            <w:r w:rsidRPr="00181EF3">
              <w:t>3,146 (97.6%)</w:t>
            </w:r>
          </w:p>
        </w:tc>
      </w:tr>
      <w:tr w:rsidR="00B66973" w:rsidRPr="00181EF3" w14:paraId="220216BA"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31D039FF" w14:textId="77777777" w:rsidR="00B66973" w:rsidRPr="00181EF3" w:rsidRDefault="00B66973" w:rsidP="00B66973">
            <w:pPr>
              <w:pStyle w:val="TableText"/>
              <w:jc w:val="center"/>
            </w:pPr>
            <w:r w:rsidRPr="00181EF3">
              <w:t>2012</w:t>
            </w:r>
          </w:p>
        </w:tc>
        <w:tc>
          <w:tcPr>
            <w:tcW w:w="2693" w:type="dxa"/>
            <w:tcBorders>
              <w:top w:val="single" w:sz="4" w:space="0" w:color="A6A6A6" w:themeColor="background1" w:themeShade="A6"/>
              <w:bottom w:val="single" w:sz="4" w:space="0" w:color="A6A6A6" w:themeColor="background1" w:themeShade="A6"/>
            </w:tcBorders>
          </w:tcPr>
          <w:p w14:paraId="1C4DC361" w14:textId="77777777" w:rsidR="00B66973" w:rsidRPr="00181EF3" w:rsidRDefault="00B66973" w:rsidP="00B66973">
            <w:pPr>
              <w:pStyle w:val="TableText"/>
              <w:jc w:val="center"/>
            </w:pPr>
            <w:r w:rsidRPr="00181EF3">
              <w:t>80 (2.4%)</w:t>
            </w:r>
          </w:p>
        </w:tc>
        <w:tc>
          <w:tcPr>
            <w:tcW w:w="2694" w:type="dxa"/>
            <w:tcBorders>
              <w:top w:val="single" w:sz="4" w:space="0" w:color="A6A6A6" w:themeColor="background1" w:themeShade="A6"/>
              <w:bottom w:val="single" w:sz="4" w:space="0" w:color="A6A6A6" w:themeColor="background1" w:themeShade="A6"/>
            </w:tcBorders>
          </w:tcPr>
          <w:p w14:paraId="6E4D2E9C" w14:textId="77777777" w:rsidR="00B66973" w:rsidRPr="00181EF3" w:rsidRDefault="00B66973" w:rsidP="00B66973">
            <w:pPr>
              <w:pStyle w:val="TableText"/>
              <w:jc w:val="center"/>
            </w:pPr>
            <w:r w:rsidRPr="00181EF3">
              <w:t>3,224 (97.6%)</w:t>
            </w:r>
          </w:p>
        </w:tc>
      </w:tr>
      <w:tr w:rsidR="00B66973" w:rsidRPr="00181EF3" w14:paraId="7D47BD09"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452EA161" w14:textId="77777777" w:rsidR="00B66973" w:rsidRPr="00181EF3" w:rsidRDefault="00B66973" w:rsidP="00B66973">
            <w:pPr>
              <w:pStyle w:val="TableText"/>
              <w:jc w:val="center"/>
            </w:pPr>
            <w:r w:rsidRPr="00181EF3">
              <w:t>2013</w:t>
            </w:r>
          </w:p>
        </w:tc>
        <w:tc>
          <w:tcPr>
            <w:tcW w:w="2693" w:type="dxa"/>
            <w:tcBorders>
              <w:top w:val="single" w:sz="4" w:space="0" w:color="A6A6A6" w:themeColor="background1" w:themeShade="A6"/>
              <w:bottom w:val="single" w:sz="4" w:space="0" w:color="A6A6A6" w:themeColor="background1" w:themeShade="A6"/>
            </w:tcBorders>
          </w:tcPr>
          <w:p w14:paraId="28F1EED7" w14:textId="77777777" w:rsidR="00B66973" w:rsidRPr="00181EF3" w:rsidRDefault="00B66973" w:rsidP="00B66973">
            <w:pPr>
              <w:pStyle w:val="TableText"/>
              <w:jc w:val="center"/>
            </w:pPr>
            <w:r w:rsidRPr="00181EF3">
              <w:t>79 (2.4%)</w:t>
            </w:r>
          </w:p>
        </w:tc>
        <w:tc>
          <w:tcPr>
            <w:tcW w:w="2694" w:type="dxa"/>
            <w:tcBorders>
              <w:top w:val="single" w:sz="4" w:space="0" w:color="A6A6A6" w:themeColor="background1" w:themeShade="A6"/>
              <w:bottom w:val="single" w:sz="4" w:space="0" w:color="A6A6A6" w:themeColor="background1" w:themeShade="A6"/>
            </w:tcBorders>
          </w:tcPr>
          <w:p w14:paraId="64647775" w14:textId="77777777" w:rsidR="00B66973" w:rsidRPr="00181EF3" w:rsidRDefault="00B66973" w:rsidP="00B66973">
            <w:pPr>
              <w:pStyle w:val="TableText"/>
              <w:jc w:val="center"/>
            </w:pPr>
            <w:r w:rsidRPr="00181EF3">
              <w:t>3,274 (97.6%)</w:t>
            </w:r>
          </w:p>
        </w:tc>
      </w:tr>
      <w:tr w:rsidR="00B66973" w:rsidRPr="00181EF3" w14:paraId="31247285"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442BF3F0" w14:textId="77777777" w:rsidR="00B66973" w:rsidRPr="00181EF3" w:rsidRDefault="00B66973" w:rsidP="00B66973">
            <w:pPr>
              <w:pStyle w:val="TableText"/>
              <w:jc w:val="center"/>
            </w:pPr>
            <w:r w:rsidRPr="00181EF3">
              <w:t>2014</w:t>
            </w:r>
          </w:p>
        </w:tc>
        <w:tc>
          <w:tcPr>
            <w:tcW w:w="2693" w:type="dxa"/>
            <w:tcBorders>
              <w:top w:val="single" w:sz="4" w:space="0" w:color="A6A6A6" w:themeColor="background1" w:themeShade="A6"/>
              <w:bottom w:val="single" w:sz="4" w:space="0" w:color="A6A6A6" w:themeColor="background1" w:themeShade="A6"/>
            </w:tcBorders>
          </w:tcPr>
          <w:p w14:paraId="653A06CB" w14:textId="77777777" w:rsidR="00B66973" w:rsidRPr="00181EF3" w:rsidRDefault="00B66973" w:rsidP="00B66973">
            <w:pPr>
              <w:pStyle w:val="TableText"/>
              <w:jc w:val="center"/>
            </w:pPr>
            <w:r w:rsidRPr="00181EF3">
              <w:t>82 (2.4%)</w:t>
            </w:r>
          </w:p>
        </w:tc>
        <w:tc>
          <w:tcPr>
            <w:tcW w:w="2694" w:type="dxa"/>
            <w:tcBorders>
              <w:top w:val="single" w:sz="4" w:space="0" w:color="A6A6A6" w:themeColor="background1" w:themeShade="A6"/>
              <w:bottom w:val="single" w:sz="4" w:space="0" w:color="A6A6A6" w:themeColor="background1" w:themeShade="A6"/>
            </w:tcBorders>
          </w:tcPr>
          <w:p w14:paraId="7E2373F5" w14:textId="77777777" w:rsidR="00B66973" w:rsidRPr="00181EF3" w:rsidRDefault="00B66973" w:rsidP="00B66973">
            <w:pPr>
              <w:pStyle w:val="TableText"/>
              <w:jc w:val="center"/>
            </w:pPr>
            <w:r w:rsidRPr="00181EF3">
              <w:t>3,324 (97.6%)</w:t>
            </w:r>
          </w:p>
        </w:tc>
      </w:tr>
      <w:tr w:rsidR="00B66973" w:rsidRPr="00181EF3" w14:paraId="404FBD9B"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5E4A1D2D" w14:textId="77777777" w:rsidR="00B66973" w:rsidRPr="00181EF3" w:rsidRDefault="00B66973" w:rsidP="00B66973">
            <w:pPr>
              <w:pStyle w:val="TableText"/>
              <w:jc w:val="center"/>
            </w:pPr>
            <w:r w:rsidRPr="00181EF3">
              <w:t>2015</w:t>
            </w:r>
          </w:p>
        </w:tc>
        <w:tc>
          <w:tcPr>
            <w:tcW w:w="2693" w:type="dxa"/>
            <w:tcBorders>
              <w:top w:val="single" w:sz="4" w:space="0" w:color="A6A6A6" w:themeColor="background1" w:themeShade="A6"/>
              <w:bottom w:val="single" w:sz="4" w:space="0" w:color="A6A6A6" w:themeColor="background1" w:themeShade="A6"/>
            </w:tcBorders>
          </w:tcPr>
          <w:p w14:paraId="5C4E1E6A" w14:textId="77777777" w:rsidR="00B66973" w:rsidRPr="00181EF3" w:rsidRDefault="00B66973" w:rsidP="00B66973">
            <w:pPr>
              <w:pStyle w:val="TableText"/>
              <w:jc w:val="center"/>
            </w:pPr>
            <w:r w:rsidRPr="00181EF3">
              <w:t>80 (2.3%)</w:t>
            </w:r>
          </w:p>
        </w:tc>
        <w:tc>
          <w:tcPr>
            <w:tcW w:w="2694" w:type="dxa"/>
            <w:tcBorders>
              <w:top w:val="single" w:sz="4" w:space="0" w:color="A6A6A6" w:themeColor="background1" w:themeShade="A6"/>
              <w:bottom w:val="single" w:sz="4" w:space="0" w:color="A6A6A6" w:themeColor="background1" w:themeShade="A6"/>
            </w:tcBorders>
          </w:tcPr>
          <w:p w14:paraId="3BF1A4E5" w14:textId="77777777" w:rsidR="00B66973" w:rsidRPr="00181EF3" w:rsidRDefault="00B66973" w:rsidP="00B66973">
            <w:pPr>
              <w:pStyle w:val="TableText"/>
              <w:jc w:val="center"/>
            </w:pPr>
            <w:r w:rsidRPr="00181EF3">
              <w:t>3,426 (97.7%)</w:t>
            </w:r>
          </w:p>
        </w:tc>
      </w:tr>
      <w:tr w:rsidR="00B66973" w:rsidRPr="00181EF3" w14:paraId="5E5B8037"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4E29CA09" w14:textId="77777777" w:rsidR="00B66973" w:rsidRPr="00181EF3" w:rsidRDefault="00B66973" w:rsidP="00B66973">
            <w:pPr>
              <w:pStyle w:val="TableText"/>
              <w:jc w:val="center"/>
            </w:pPr>
            <w:r w:rsidRPr="00181EF3">
              <w:t>2016</w:t>
            </w:r>
          </w:p>
        </w:tc>
        <w:tc>
          <w:tcPr>
            <w:tcW w:w="2693" w:type="dxa"/>
            <w:tcBorders>
              <w:top w:val="single" w:sz="4" w:space="0" w:color="A6A6A6" w:themeColor="background1" w:themeShade="A6"/>
              <w:bottom w:val="single" w:sz="4" w:space="0" w:color="A6A6A6" w:themeColor="background1" w:themeShade="A6"/>
            </w:tcBorders>
          </w:tcPr>
          <w:p w14:paraId="3438963C" w14:textId="77777777" w:rsidR="00B66973" w:rsidRPr="00181EF3" w:rsidRDefault="00B66973" w:rsidP="00B66973">
            <w:pPr>
              <w:pStyle w:val="TableText"/>
              <w:jc w:val="center"/>
            </w:pPr>
            <w:r w:rsidRPr="00181EF3">
              <w:t>83 (2.3%)</w:t>
            </w:r>
          </w:p>
        </w:tc>
        <w:tc>
          <w:tcPr>
            <w:tcW w:w="2694" w:type="dxa"/>
            <w:tcBorders>
              <w:top w:val="single" w:sz="4" w:space="0" w:color="A6A6A6" w:themeColor="background1" w:themeShade="A6"/>
              <w:bottom w:val="single" w:sz="4" w:space="0" w:color="A6A6A6" w:themeColor="background1" w:themeShade="A6"/>
            </w:tcBorders>
          </w:tcPr>
          <w:p w14:paraId="79E842E7" w14:textId="77777777" w:rsidR="00B66973" w:rsidRPr="00181EF3" w:rsidRDefault="00B66973" w:rsidP="00B66973">
            <w:pPr>
              <w:pStyle w:val="TableText"/>
              <w:jc w:val="center"/>
            </w:pPr>
            <w:r w:rsidRPr="00181EF3">
              <w:t>3,494 (97.7%)</w:t>
            </w:r>
          </w:p>
        </w:tc>
      </w:tr>
      <w:tr w:rsidR="00B66973" w:rsidRPr="00181EF3" w14:paraId="3C495A0A"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7752B82F" w14:textId="77777777" w:rsidR="00B66973" w:rsidRPr="00181EF3" w:rsidRDefault="00B66973" w:rsidP="00B66973">
            <w:pPr>
              <w:pStyle w:val="TableText"/>
              <w:jc w:val="center"/>
            </w:pPr>
            <w:r w:rsidRPr="00181EF3">
              <w:t>2017</w:t>
            </w:r>
          </w:p>
        </w:tc>
        <w:tc>
          <w:tcPr>
            <w:tcW w:w="2693" w:type="dxa"/>
            <w:tcBorders>
              <w:top w:val="single" w:sz="4" w:space="0" w:color="A6A6A6" w:themeColor="background1" w:themeShade="A6"/>
              <w:bottom w:val="single" w:sz="4" w:space="0" w:color="A6A6A6" w:themeColor="background1" w:themeShade="A6"/>
            </w:tcBorders>
          </w:tcPr>
          <w:p w14:paraId="3B70ED18" w14:textId="77777777" w:rsidR="00B66973" w:rsidRPr="00181EF3" w:rsidRDefault="00B66973" w:rsidP="00B66973">
            <w:pPr>
              <w:pStyle w:val="TableText"/>
              <w:jc w:val="center"/>
            </w:pPr>
            <w:r w:rsidRPr="00181EF3">
              <w:t>87 (2.4%)</w:t>
            </w:r>
          </w:p>
        </w:tc>
        <w:tc>
          <w:tcPr>
            <w:tcW w:w="2694" w:type="dxa"/>
            <w:tcBorders>
              <w:top w:val="single" w:sz="4" w:space="0" w:color="A6A6A6" w:themeColor="background1" w:themeShade="A6"/>
              <w:bottom w:val="single" w:sz="4" w:space="0" w:color="A6A6A6" w:themeColor="background1" w:themeShade="A6"/>
            </w:tcBorders>
          </w:tcPr>
          <w:p w14:paraId="76447BAC" w14:textId="77777777" w:rsidR="00B66973" w:rsidRPr="00181EF3" w:rsidRDefault="00B66973" w:rsidP="00B66973">
            <w:pPr>
              <w:pStyle w:val="TableText"/>
              <w:jc w:val="center"/>
            </w:pPr>
            <w:r w:rsidRPr="00181EF3">
              <w:t>3,533 (97.6%)</w:t>
            </w:r>
          </w:p>
        </w:tc>
      </w:tr>
      <w:tr w:rsidR="00B66973" w:rsidRPr="00181EF3" w14:paraId="6D6964A1"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6510027A" w14:textId="77777777" w:rsidR="00B66973" w:rsidRPr="00181EF3" w:rsidRDefault="00B66973" w:rsidP="00B66973">
            <w:pPr>
              <w:pStyle w:val="TableText"/>
              <w:jc w:val="center"/>
            </w:pPr>
            <w:r w:rsidRPr="00181EF3">
              <w:t>2018</w:t>
            </w:r>
          </w:p>
        </w:tc>
        <w:tc>
          <w:tcPr>
            <w:tcW w:w="2693" w:type="dxa"/>
            <w:tcBorders>
              <w:top w:val="single" w:sz="4" w:space="0" w:color="A6A6A6" w:themeColor="background1" w:themeShade="A6"/>
              <w:bottom w:val="single" w:sz="4" w:space="0" w:color="A6A6A6" w:themeColor="background1" w:themeShade="A6"/>
            </w:tcBorders>
          </w:tcPr>
          <w:p w14:paraId="323C0226" w14:textId="77777777" w:rsidR="00B66973" w:rsidRPr="00181EF3" w:rsidRDefault="00B66973" w:rsidP="00B66973">
            <w:pPr>
              <w:pStyle w:val="TableText"/>
              <w:jc w:val="center"/>
            </w:pPr>
            <w:r w:rsidRPr="00181EF3">
              <w:t>91 (2.5%)</w:t>
            </w:r>
          </w:p>
        </w:tc>
        <w:tc>
          <w:tcPr>
            <w:tcW w:w="2694" w:type="dxa"/>
            <w:tcBorders>
              <w:top w:val="single" w:sz="4" w:space="0" w:color="A6A6A6" w:themeColor="background1" w:themeShade="A6"/>
              <w:bottom w:val="single" w:sz="4" w:space="0" w:color="A6A6A6" w:themeColor="background1" w:themeShade="A6"/>
            </w:tcBorders>
          </w:tcPr>
          <w:p w14:paraId="432B4100" w14:textId="77777777" w:rsidR="00B66973" w:rsidRPr="00181EF3" w:rsidRDefault="00B66973" w:rsidP="00B66973">
            <w:pPr>
              <w:pStyle w:val="TableText"/>
              <w:jc w:val="center"/>
            </w:pPr>
            <w:r w:rsidRPr="00181EF3">
              <w:t>3,575 (97.5%)</w:t>
            </w:r>
          </w:p>
        </w:tc>
      </w:tr>
    </w:tbl>
    <w:p w14:paraId="7F466733" w14:textId="77777777" w:rsidR="00B66973" w:rsidRPr="00181EF3" w:rsidRDefault="00B66973" w:rsidP="001338CA">
      <w:pPr>
        <w:pStyle w:val="Note"/>
        <w:ind w:left="0" w:firstLine="0"/>
      </w:pPr>
      <w:r w:rsidRPr="00181EF3">
        <w:t>Note: These values may differ from data in Annual Reports as the data was extracted on different dates and some pharmacists did not specify their ethnicity.</w:t>
      </w:r>
    </w:p>
    <w:p w14:paraId="4AF21353" w14:textId="77777777" w:rsidR="00B66973" w:rsidRPr="00181EF3" w:rsidRDefault="00B66973" w:rsidP="00B66973">
      <w:pPr>
        <w:pStyle w:val="Source"/>
      </w:pPr>
      <w:r w:rsidRPr="00181EF3">
        <w:t>Source: Pharmacy Council of New Zealand, 2005–2018.</w:t>
      </w:r>
    </w:p>
    <w:p w14:paraId="43DC4479" w14:textId="77777777" w:rsidR="00B66973" w:rsidRPr="00181EF3" w:rsidRDefault="00B66973" w:rsidP="00B66973"/>
    <w:p w14:paraId="743BB051" w14:textId="10E916B6" w:rsidR="00B16E84" w:rsidRPr="00181EF3" w:rsidRDefault="00B16E84" w:rsidP="001338CA">
      <w:r w:rsidRPr="00181EF3">
        <w:t xml:space="preserve">Table </w:t>
      </w:r>
      <w:r>
        <w:t>46</w:t>
      </w:r>
      <w:r w:rsidRPr="00181EF3">
        <w:t xml:space="preserve"> shows the estimated number and percentage of Māori and </w:t>
      </w:r>
      <w:r w:rsidR="00EC03A3">
        <w:t>non</w:t>
      </w:r>
      <w:r w:rsidR="00EC03A3">
        <w:noBreakHyphen/>
        <w:t>M</w:t>
      </w:r>
      <w:r w:rsidRPr="00181EF3">
        <w:t>āori in the pharmacy workforce from 2005 to 2018.</w:t>
      </w:r>
    </w:p>
    <w:p w14:paraId="30E815E1" w14:textId="77777777" w:rsidR="00B16E84" w:rsidRPr="00181EF3" w:rsidRDefault="00B16E84" w:rsidP="001338CA"/>
    <w:p w14:paraId="529C155B" w14:textId="11FB966B" w:rsidR="00B16E84" w:rsidRDefault="00B16E84" w:rsidP="001338CA">
      <w:r w:rsidRPr="00181EF3">
        <w:t xml:space="preserve">Despite the number of Māori in the pharmacy workforce increasing over time, the percentage of Māori in the workforce did not change much – the average percentage of Māori in the pharmacy workforce between 2005 and 2018 was 2.0 percent (average of 67 Māori pharmacists, compared </w:t>
      </w:r>
      <w:r w:rsidR="00FF1892">
        <w:t>with</w:t>
      </w:r>
      <w:r w:rsidR="00FF1892" w:rsidRPr="00181EF3">
        <w:t xml:space="preserve"> </w:t>
      </w:r>
      <w:r w:rsidRPr="00181EF3">
        <w:t xml:space="preserve">an average of 3,171 </w:t>
      </w:r>
      <w:r w:rsidR="00EC03A3">
        <w:t>non</w:t>
      </w:r>
      <w:r w:rsidR="00EC03A3">
        <w:noBreakHyphen/>
        <w:t>M</w:t>
      </w:r>
      <w:r w:rsidRPr="00181EF3">
        <w:t xml:space="preserve">āori). The pharmacy workforce does not reflect the ethnic population distribution in New Zealand (14.9 percent Māori, 85.1 percent </w:t>
      </w:r>
      <w:r w:rsidR="00EC03A3">
        <w:t>non</w:t>
      </w:r>
      <w:r w:rsidR="00EC03A3">
        <w:noBreakHyphen/>
        <w:t>M</w:t>
      </w:r>
      <w:r w:rsidRPr="00181EF3">
        <w:t>āori).</w:t>
      </w:r>
      <w:r w:rsidRPr="00181EF3">
        <w:rPr>
          <w:rStyle w:val="FootnoteReference"/>
        </w:rPr>
        <w:footnoteReference w:id="21"/>
      </w:r>
    </w:p>
    <w:p w14:paraId="02C761A9" w14:textId="77777777" w:rsidR="001338CA" w:rsidRPr="00181EF3" w:rsidRDefault="001338CA" w:rsidP="001338CA"/>
    <w:p w14:paraId="48EC1BE0" w14:textId="77777777" w:rsidR="00B66973" w:rsidRPr="00181EF3" w:rsidRDefault="00B66973" w:rsidP="001338CA">
      <w:pPr>
        <w:pStyle w:val="Heading2"/>
        <w:pageBreakBefore/>
        <w:spacing w:before="0"/>
      </w:pPr>
      <w:bookmarkStart w:id="432" w:name="_Toc19102463"/>
      <w:r w:rsidRPr="00181EF3">
        <w:lastRenderedPageBreak/>
        <w:t>New Zealand Optometrists and Dispensing Opticians Board – optometrists</w:t>
      </w:r>
      <w:bookmarkEnd w:id="432"/>
    </w:p>
    <w:p w14:paraId="1477A96A" w14:textId="02A46CE0" w:rsidR="00B66973" w:rsidRPr="00181EF3" w:rsidRDefault="00B66973" w:rsidP="00B66973">
      <w:pPr>
        <w:pStyle w:val="Table"/>
      </w:pPr>
      <w:bookmarkStart w:id="433" w:name="_Toc18594787"/>
      <w:r w:rsidRPr="00181EF3">
        <w:t xml:space="preserve">Table </w:t>
      </w:r>
      <w:r>
        <w:t>47</w:t>
      </w:r>
      <w:r w:rsidRPr="00181EF3">
        <w:t xml:space="preserve">: Estimated number (percentage in workforce) of Māori and </w:t>
      </w:r>
      <w:r w:rsidR="00EC03A3">
        <w:t>non</w:t>
      </w:r>
      <w:r w:rsidR="00EC03A3">
        <w:noBreakHyphen/>
        <w:t>M</w:t>
      </w:r>
      <w:r w:rsidRPr="00181EF3">
        <w:t>āori in the optometry workforce, 2005–2010</w:t>
      </w:r>
      <w:bookmarkEnd w:id="433"/>
    </w:p>
    <w:tbl>
      <w:tblPr>
        <w:tblW w:w="0" w:type="auto"/>
        <w:tblInd w:w="57" w:type="dxa"/>
        <w:tblLayout w:type="fixed"/>
        <w:tblCellMar>
          <w:left w:w="57" w:type="dxa"/>
          <w:right w:w="57" w:type="dxa"/>
        </w:tblCellMar>
        <w:tblLook w:val="04A0" w:firstRow="1" w:lastRow="0" w:firstColumn="1" w:lastColumn="0" w:noHBand="0" w:noVBand="1"/>
      </w:tblPr>
      <w:tblGrid>
        <w:gridCol w:w="2693"/>
        <w:gridCol w:w="2693"/>
        <w:gridCol w:w="2694"/>
      </w:tblGrid>
      <w:tr w:rsidR="00B66973" w:rsidRPr="00181EF3" w14:paraId="35E98A82" w14:textId="77777777" w:rsidTr="00B66973">
        <w:trPr>
          <w:cantSplit/>
        </w:trPr>
        <w:tc>
          <w:tcPr>
            <w:tcW w:w="8080" w:type="dxa"/>
            <w:gridSpan w:val="3"/>
            <w:shd w:val="clear" w:color="auto" w:fill="D9D9D9" w:themeFill="background1" w:themeFillShade="D9"/>
          </w:tcPr>
          <w:p w14:paraId="4DAB0B9E" w14:textId="77777777" w:rsidR="00B66973" w:rsidRPr="00181EF3" w:rsidRDefault="00B66973" w:rsidP="00B66973">
            <w:pPr>
              <w:pStyle w:val="TableText"/>
              <w:jc w:val="center"/>
              <w:rPr>
                <w:b/>
              </w:rPr>
            </w:pPr>
            <w:r w:rsidRPr="00181EF3">
              <w:rPr>
                <w:b/>
              </w:rPr>
              <w:t>Optometrists (2005–2010)</w:t>
            </w:r>
          </w:p>
        </w:tc>
      </w:tr>
      <w:tr w:rsidR="00B66973" w:rsidRPr="00181EF3" w14:paraId="30ED659C" w14:textId="77777777" w:rsidTr="00B66973">
        <w:trPr>
          <w:cantSplit/>
        </w:trPr>
        <w:tc>
          <w:tcPr>
            <w:tcW w:w="2693" w:type="dxa"/>
            <w:shd w:val="clear" w:color="auto" w:fill="F2F2F2" w:themeFill="background1" w:themeFillShade="F2"/>
          </w:tcPr>
          <w:p w14:paraId="5B737C76" w14:textId="77777777" w:rsidR="00B66973" w:rsidRPr="00181EF3" w:rsidRDefault="00B66973" w:rsidP="00B66973">
            <w:pPr>
              <w:pStyle w:val="TableText"/>
              <w:jc w:val="center"/>
              <w:rPr>
                <w:b/>
              </w:rPr>
            </w:pPr>
            <w:r w:rsidRPr="00181EF3">
              <w:rPr>
                <w:b/>
              </w:rPr>
              <w:t>Year</w:t>
            </w:r>
          </w:p>
        </w:tc>
        <w:tc>
          <w:tcPr>
            <w:tcW w:w="2693" w:type="dxa"/>
            <w:shd w:val="clear" w:color="auto" w:fill="F2F2F2" w:themeFill="background1" w:themeFillShade="F2"/>
          </w:tcPr>
          <w:p w14:paraId="787A8F88" w14:textId="77777777" w:rsidR="00B66973" w:rsidRPr="00181EF3" w:rsidRDefault="00B66973" w:rsidP="00B66973">
            <w:pPr>
              <w:pStyle w:val="TableText"/>
              <w:jc w:val="center"/>
              <w:rPr>
                <w:b/>
              </w:rPr>
            </w:pPr>
            <w:r w:rsidRPr="00181EF3">
              <w:rPr>
                <w:b/>
              </w:rPr>
              <w:t>Māori</w:t>
            </w:r>
          </w:p>
        </w:tc>
        <w:tc>
          <w:tcPr>
            <w:tcW w:w="2694" w:type="dxa"/>
            <w:shd w:val="clear" w:color="auto" w:fill="F2F2F2" w:themeFill="background1" w:themeFillShade="F2"/>
          </w:tcPr>
          <w:p w14:paraId="10E15E5A" w14:textId="551E878A" w:rsidR="00B66973" w:rsidRPr="00181EF3" w:rsidRDefault="00EC03A3" w:rsidP="00B66973">
            <w:pPr>
              <w:pStyle w:val="TableText"/>
              <w:jc w:val="center"/>
              <w:rPr>
                <w:b/>
              </w:rPr>
            </w:pPr>
            <w:r>
              <w:rPr>
                <w:b/>
              </w:rPr>
              <w:t>Non</w:t>
            </w:r>
            <w:r>
              <w:rPr>
                <w:b/>
              </w:rPr>
              <w:noBreakHyphen/>
              <w:t>M</w:t>
            </w:r>
            <w:r w:rsidR="00B66973" w:rsidRPr="00181EF3">
              <w:rPr>
                <w:b/>
              </w:rPr>
              <w:t>āori</w:t>
            </w:r>
          </w:p>
        </w:tc>
      </w:tr>
      <w:tr w:rsidR="00B66973" w:rsidRPr="00181EF3" w14:paraId="60B0AAA2" w14:textId="77777777" w:rsidTr="00B66973">
        <w:trPr>
          <w:cantSplit/>
        </w:trPr>
        <w:tc>
          <w:tcPr>
            <w:tcW w:w="2693" w:type="dxa"/>
            <w:tcBorders>
              <w:bottom w:val="single" w:sz="4" w:space="0" w:color="A6A6A6" w:themeColor="background1" w:themeShade="A6"/>
            </w:tcBorders>
          </w:tcPr>
          <w:p w14:paraId="1E5FCD04" w14:textId="77777777" w:rsidR="00B66973" w:rsidRPr="00181EF3" w:rsidRDefault="00B66973" w:rsidP="00B66973">
            <w:pPr>
              <w:pStyle w:val="TableText"/>
              <w:jc w:val="center"/>
            </w:pPr>
            <w:r w:rsidRPr="00181EF3">
              <w:t>2005</w:t>
            </w:r>
          </w:p>
        </w:tc>
        <w:tc>
          <w:tcPr>
            <w:tcW w:w="2693" w:type="dxa"/>
            <w:tcBorders>
              <w:bottom w:val="single" w:sz="4" w:space="0" w:color="A6A6A6" w:themeColor="background1" w:themeShade="A6"/>
            </w:tcBorders>
          </w:tcPr>
          <w:p w14:paraId="5C48E6E5" w14:textId="77777777" w:rsidR="00B66973" w:rsidRPr="00181EF3" w:rsidRDefault="00B66973" w:rsidP="00B66973">
            <w:pPr>
              <w:pStyle w:val="TableText"/>
              <w:tabs>
                <w:tab w:val="decimal" w:pos="1191"/>
              </w:tabs>
            </w:pPr>
            <w:r w:rsidRPr="00181EF3">
              <w:t>5 (1.1</w:t>
            </w:r>
            <w:r>
              <w:t>%</w:t>
            </w:r>
            <w:r w:rsidRPr="00181EF3">
              <w:t>)</w:t>
            </w:r>
          </w:p>
        </w:tc>
        <w:tc>
          <w:tcPr>
            <w:tcW w:w="2694" w:type="dxa"/>
            <w:tcBorders>
              <w:bottom w:val="single" w:sz="4" w:space="0" w:color="A6A6A6" w:themeColor="background1" w:themeShade="A6"/>
            </w:tcBorders>
          </w:tcPr>
          <w:p w14:paraId="73CED43A" w14:textId="77777777" w:rsidR="00B66973" w:rsidRPr="00181EF3" w:rsidRDefault="00B66973" w:rsidP="00B66973">
            <w:pPr>
              <w:pStyle w:val="TableText"/>
              <w:jc w:val="center"/>
            </w:pPr>
            <w:r w:rsidRPr="00181EF3">
              <w:t>457 (98.9</w:t>
            </w:r>
            <w:r>
              <w:t>%</w:t>
            </w:r>
            <w:r w:rsidRPr="00181EF3">
              <w:t>)</w:t>
            </w:r>
          </w:p>
        </w:tc>
      </w:tr>
      <w:tr w:rsidR="00B66973" w:rsidRPr="00181EF3" w14:paraId="5B5C50A6"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748EE28A" w14:textId="77777777" w:rsidR="00B66973" w:rsidRPr="00181EF3" w:rsidRDefault="00B66973" w:rsidP="00B66973">
            <w:pPr>
              <w:pStyle w:val="TableText"/>
              <w:jc w:val="center"/>
            </w:pPr>
            <w:r w:rsidRPr="00181EF3">
              <w:t>2006</w:t>
            </w:r>
          </w:p>
        </w:tc>
        <w:tc>
          <w:tcPr>
            <w:tcW w:w="2693" w:type="dxa"/>
            <w:tcBorders>
              <w:top w:val="single" w:sz="4" w:space="0" w:color="A6A6A6" w:themeColor="background1" w:themeShade="A6"/>
              <w:bottom w:val="single" w:sz="4" w:space="0" w:color="A6A6A6" w:themeColor="background1" w:themeShade="A6"/>
            </w:tcBorders>
          </w:tcPr>
          <w:p w14:paraId="2895B23C" w14:textId="77777777" w:rsidR="00B66973" w:rsidRPr="00181EF3" w:rsidRDefault="00B66973" w:rsidP="00B66973">
            <w:pPr>
              <w:pStyle w:val="TableText"/>
              <w:tabs>
                <w:tab w:val="decimal" w:pos="1191"/>
              </w:tabs>
            </w:pPr>
            <w:r w:rsidRPr="00181EF3">
              <w:t>8 (1.8</w:t>
            </w:r>
            <w:r>
              <w:t>%</w:t>
            </w:r>
            <w:r w:rsidRPr="00181EF3">
              <w:t>)</w:t>
            </w:r>
          </w:p>
        </w:tc>
        <w:tc>
          <w:tcPr>
            <w:tcW w:w="2694" w:type="dxa"/>
            <w:tcBorders>
              <w:top w:val="single" w:sz="4" w:space="0" w:color="A6A6A6" w:themeColor="background1" w:themeShade="A6"/>
              <w:bottom w:val="single" w:sz="4" w:space="0" w:color="A6A6A6" w:themeColor="background1" w:themeShade="A6"/>
            </w:tcBorders>
          </w:tcPr>
          <w:p w14:paraId="11E36311" w14:textId="77777777" w:rsidR="00B66973" w:rsidRPr="00181EF3" w:rsidRDefault="00B66973" w:rsidP="00B66973">
            <w:pPr>
              <w:pStyle w:val="TableText"/>
              <w:jc w:val="center"/>
            </w:pPr>
            <w:r w:rsidRPr="00181EF3">
              <w:t>444 (98.2</w:t>
            </w:r>
            <w:r>
              <w:t>%</w:t>
            </w:r>
            <w:r w:rsidRPr="00181EF3">
              <w:t>)</w:t>
            </w:r>
          </w:p>
        </w:tc>
      </w:tr>
      <w:tr w:rsidR="00B66973" w:rsidRPr="00181EF3" w14:paraId="1CFE0B15"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7F8EE976" w14:textId="77777777" w:rsidR="00B66973" w:rsidRPr="00181EF3" w:rsidRDefault="00B66973" w:rsidP="00B66973">
            <w:pPr>
              <w:pStyle w:val="TableText"/>
              <w:jc w:val="center"/>
            </w:pPr>
            <w:r w:rsidRPr="00181EF3">
              <w:t>2007</w:t>
            </w:r>
          </w:p>
        </w:tc>
        <w:tc>
          <w:tcPr>
            <w:tcW w:w="2693" w:type="dxa"/>
            <w:tcBorders>
              <w:top w:val="single" w:sz="4" w:space="0" w:color="A6A6A6" w:themeColor="background1" w:themeShade="A6"/>
              <w:bottom w:val="single" w:sz="4" w:space="0" w:color="A6A6A6" w:themeColor="background1" w:themeShade="A6"/>
            </w:tcBorders>
          </w:tcPr>
          <w:p w14:paraId="289F490F" w14:textId="77777777" w:rsidR="00B66973" w:rsidRPr="00181EF3" w:rsidRDefault="00B66973" w:rsidP="00B66973">
            <w:pPr>
              <w:pStyle w:val="TableText"/>
              <w:tabs>
                <w:tab w:val="decimal" w:pos="1191"/>
              </w:tabs>
            </w:pPr>
            <w:r w:rsidRPr="00181EF3">
              <w:t>9 (1.8</w:t>
            </w:r>
            <w:r>
              <w:t>%</w:t>
            </w:r>
            <w:r w:rsidRPr="00181EF3">
              <w:t>)</w:t>
            </w:r>
          </w:p>
        </w:tc>
        <w:tc>
          <w:tcPr>
            <w:tcW w:w="2694" w:type="dxa"/>
            <w:tcBorders>
              <w:top w:val="single" w:sz="4" w:space="0" w:color="A6A6A6" w:themeColor="background1" w:themeShade="A6"/>
              <w:bottom w:val="single" w:sz="4" w:space="0" w:color="A6A6A6" w:themeColor="background1" w:themeShade="A6"/>
            </w:tcBorders>
          </w:tcPr>
          <w:p w14:paraId="01C27B3A" w14:textId="77777777" w:rsidR="00B66973" w:rsidRPr="00181EF3" w:rsidRDefault="00B66973" w:rsidP="00B66973">
            <w:pPr>
              <w:pStyle w:val="TableText"/>
              <w:jc w:val="center"/>
            </w:pPr>
            <w:r w:rsidRPr="00181EF3">
              <w:t>498 (98.2</w:t>
            </w:r>
            <w:r>
              <w:t>%</w:t>
            </w:r>
            <w:r w:rsidRPr="00181EF3">
              <w:t>)</w:t>
            </w:r>
          </w:p>
        </w:tc>
      </w:tr>
      <w:tr w:rsidR="00B66973" w:rsidRPr="00181EF3" w14:paraId="2E9183BC"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58FBE225" w14:textId="77777777" w:rsidR="00B66973" w:rsidRPr="00181EF3" w:rsidRDefault="00B66973" w:rsidP="00B66973">
            <w:pPr>
              <w:pStyle w:val="TableText"/>
              <w:jc w:val="center"/>
            </w:pPr>
            <w:r w:rsidRPr="00181EF3">
              <w:t>2008</w:t>
            </w:r>
          </w:p>
        </w:tc>
        <w:tc>
          <w:tcPr>
            <w:tcW w:w="2693" w:type="dxa"/>
            <w:tcBorders>
              <w:top w:val="single" w:sz="4" w:space="0" w:color="A6A6A6" w:themeColor="background1" w:themeShade="A6"/>
              <w:bottom w:val="single" w:sz="4" w:space="0" w:color="A6A6A6" w:themeColor="background1" w:themeShade="A6"/>
            </w:tcBorders>
          </w:tcPr>
          <w:p w14:paraId="521F9B27" w14:textId="77777777" w:rsidR="00B66973" w:rsidRPr="00181EF3" w:rsidRDefault="00B66973" w:rsidP="00B66973">
            <w:pPr>
              <w:pStyle w:val="TableText"/>
              <w:tabs>
                <w:tab w:val="decimal" w:pos="1191"/>
              </w:tabs>
            </w:pPr>
            <w:r w:rsidRPr="00181EF3">
              <w:t>9 (1.7</w:t>
            </w:r>
            <w:r>
              <w:t>%</w:t>
            </w:r>
            <w:r w:rsidRPr="00181EF3">
              <w:t>)</w:t>
            </w:r>
          </w:p>
        </w:tc>
        <w:tc>
          <w:tcPr>
            <w:tcW w:w="2694" w:type="dxa"/>
            <w:tcBorders>
              <w:top w:val="single" w:sz="4" w:space="0" w:color="A6A6A6" w:themeColor="background1" w:themeShade="A6"/>
              <w:bottom w:val="single" w:sz="4" w:space="0" w:color="A6A6A6" w:themeColor="background1" w:themeShade="A6"/>
            </w:tcBorders>
          </w:tcPr>
          <w:p w14:paraId="21900EB9" w14:textId="77777777" w:rsidR="00B66973" w:rsidRPr="00181EF3" w:rsidRDefault="00B66973" w:rsidP="00B66973">
            <w:pPr>
              <w:pStyle w:val="TableText"/>
              <w:jc w:val="center"/>
            </w:pPr>
            <w:r w:rsidRPr="00181EF3">
              <w:t>510 (98.3</w:t>
            </w:r>
            <w:r>
              <w:t>%</w:t>
            </w:r>
            <w:r w:rsidRPr="00181EF3">
              <w:t>)</w:t>
            </w:r>
          </w:p>
        </w:tc>
      </w:tr>
      <w:tr w:rsidR="00B66973" w:rsidRPr="00181EF3" w14:paraId="22E02FBD"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1F778370" w14:textId="77777777" w:rsidR="00B66973" w:rsidRPr="00181EF3" w:rsidRDefault="00B66973" w:rsidP="00B66973">
            <w:pPr>
              <w:pStyle w:val="TableText"/>
              <w:jc w:val="center"/>
            </w:pPr>
            <w:r w:rsidRPr="00181EF3">
              <w:t>2009</w:t>
            </w:r>
          </w:p>
        </w:tc>
        <w:tc>
          <w:tcPr>
            <w:tcW w:w="2693" w:type="dxa"/>
            <w:tcBorders>
              <w:top w:val="single" w:sz="4" w:space="0" w:color="A6A6A6" w:themeColor="background1" w:themeShade="A6"/>
              <w:bottom w:val="single" w:sz="4" w:space="0" w:color="A6A6A6" w:themeColor="background1" w:themeShade="A6"/>
            </w:tcBorders>
          </w:tcPr>
          <w:p w14:paraId="46FA25BF" w14:textId="77777777" w:rsidR="00B66973" w:rsidRPr="00181EF3" w:rsidRDefault="00B66973" w:rsidP="00B66973">
            <w:pPr>
              <w:pStyle w:val="TableText"/>
              <w:tabs>
                <w:tab w:val="decimal" w:pos="1191"/>
              </w:tabs>
            </w:pPr>
            <w:r w:rsidRPr="00181EF3">
              <w:t>12 (2.2</w:t>
            </w:r>
            <w:r>
              <w:t>%</w:t>
            </w:r>
            <w:r w:rsidRPr="00181EF3">
              <w:t>)</w:t>
            </w:r>
          </w:p>
        </w:tc>
        <w:tc>
          <w:tcPr>
            <w:tcW w:w="2694" w:type="dxa"/>
            <w:tcBorders>
              <w:top w:val="single" w:sz="4" w:space="0" w:color="A6A6A6" w:themeColor="background1" w:themeShade="A6"/>
              <w:bottom w:val="single" w:sz="4" w:space="0" w:color="A6A6A6" w:themeColor="background1" w:themeShade="A6"/>
            </w:tcBorders>
          </w:tcPr>
          <w:p w14:paraId="0586E3DC" w14:textId="77777777" w:rsidR="00B66973" w:rsidRPr="00181EF3" w:rsidRDefault="00B66973" w:rsidP="00B66973">
            <w:pPr>
              <w:pStyle w:val="TableText"/>
              <w:jc w:val="center"/>
            </w:pPr>
            <w:r w:rsidRPr="00181EF3">
              <w:t>529 (97.8</w:t>
            </w:r>
            <w:r>
              <w:t>%</w:t>
            </w:r>
            <w:r w:rsidRPr="00181EF3">
              <w:t>)</w:t>
            </w:r>
          </w:p>
        </w:tc>
      </w:tr>
      <w:tr w:rsidR="00B66973" w:rsidRPr="00181EF3" w14:paraId="72BD2DA6"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0D941DB6" w14:textId="77777777" w:rsidR="00B66973" w:rsidRPr="00181EF3" w:rsidRDefault="00B66973" w:rsidP="00B66973">
            <w:pPr>
              <w:pStyle w:val="TableText"/>
              <w:jc w:val="center"/>
            </w:pPr>
            <w:r w:rsidRPr="00181EF3">
              <w:t>2010</w:t>
            </w:r>
          </w:p>
        </w:tc>
        <w:tc>
          <w:tcPr>
            <w:tcW w:w="2693" w:type="dxa"/>
            <w:tcBorders>
              <w:top w:val="single" w:sz="4" w:space="0" w:color="A6A6A6" w:themeColor="background1" w:themeShade="A6"/>
              <w:bottom w:val="single" w:sz="4" w:space="0" w:color="A6A6A6" w:themeColor="background1" w:themeShade="A6"/>
            </w:tcBorders>
          </w:tcPr>
          <w:p w14:paraId="06447D80" w14:textId="77777777" w:rsidR="00B66973" w:rsidRPr="00181EF3" w:rsidRDefault="00B66973" w:rsidP="00B66973">
            <w:pPr>
              <w:pStyle w:val="TableText"/>
              <w:tabs>
                <w:tab w:val="decimal" w:pos="1191"/>
              </w:tabs>
            </w:pPr>
            <w:r w:rsidRPr="00181EF3">
              <w:t>10 (1.8</w:t>
            </w:r>
            <w:r>
              <w:t>%</w:t>
            </w:r>
            <w:r w:rsidRPr="00181EF3">
              <w:t>)</w:t>
            </w:r>
          </w:p>
        </w:tc>
        <w:tc>
          <w:tcPr>
            <w:tcW w:w="2694" w:type="dxa"/>
            <w:tcBorders>
              <w:top w:val="single" w:sz="4" w:space="0" w:color="A6A6A6" w:themeColor="background1" w:themeShade="A6"/>
              <w:bottom w:val="single" w:sz="4" w:space="0" w:color="A6A6A6" w:themeColor="background1" w:themeShade="A6"/>
            </w:tcBorders>
          </w:tcPr>
          <w:p w14:paraId="0C8F5BB0" w14:textId="77777777" w:rsidR="00B66973" w:rsidRPr="00181EF3" w:rsidRDefault="00B66973" w:rsidP="00B66973">
            <w:pPr>
              <w:pStyle w:val="TableText"/>
              <w:jc w:val="center"/>
            </w:pPr>
            <w:r w:rsidRPr="00181EF3">
              <w:t>532 (98.2</w:t>
            </w:r>
            <w:r>
              <w:t>%</w:t>
            </w:r>
            <w:r w:rsidRPr="00181EF3">
              <w:t>)</w:t>
            </w:r>
          </w:p>
        </w:tc>
      </w:tr>
    </w:tbl>
    <w:p w14:paraId="5E8D3AC7" w14:textId="77777777" w:rsidR="00B66973" w:rsidRPr="00181EF3" w:rsidRDefault="00B66973" w:rsidP="00B66973">
      <w:pPr>
        <w:pStyle w:val="Source"/>
      </w:pPr>
      <w:r w:rsidRPr="00181EF3">
        <w:t>Source: New Zealand Optometrists and Dispensing Opticians Board, 2005–2010.</w:t>
      </w:r>
    </w:p>
    <w:p w14:paraId="6B14DFB3" w14:textId="77777777" w:rsidR="00B16E84" w:rsidRDefault="00B16E84" w:rsidP="00B16E84"/>
    <w:p w14:paraId="3A143EBD" w14:textId="61091DFA" w:rsidR="00B16E84" w:rsidRPr="00181EF3" w:rsidRDefault="00B16E84" w:rsidP="00B16E84">
      <w:r w:rsidRPr="00181EF3">
        <w:t xml:space="preserve">Table </w:t>
      </w:r>
      <w:r>
        <w:t>47</w:t>
      </w:r>
      <w:r w:rsidRPr="00181EF3">
        <w:t xml:space="preserve"> shows the estimated number and percentage of Māori and </w:t>
      </w:r>
      <w:r w:rsidR="00EC03A3">
        <w:t>non</w:t>
      </w:r>
      <w:r w:rsidR="00EC03A3">
        <w:noBreakHyphen/>
        <w:t>M</w:t>
      </w:r>
      <w:r w:rsidRPr="00181EF3">
        <w:t>āori in the optometry workforce from 2005 to 2010.</w:t>
      </w:r>
    </w:p>
    <w:p w14:paraId="35B79CD9" w14:textId="77777777" w:rsidR="00B16E84" w:rsidRPr="00181EF3" w:rsidRDefault="00B16E84" w:rsidP="00B16E84"/>
    <w:p w14:paraId="6008EF8C" w14:textId="28B14CD4" w:rsidR="00B16E84" w:rsidRPr="00181EF3" w:rsidRDefault="00B16E84" w:rsidP="00B16E84">
      <w:r w:rsidRPr="00181EF3">
        <w:t xml:space="preserve">Despite the number of Māori in the optometry workforce increasing over time, the percentage of Māori in the workforce did not change much – the average percentage of Māori in the optometry workforce between 2005 and 2010 was 1.7 percent (average of 9 Māori optometrists, compared </w:t>
      </w:r>
      <w:r w:rsidR="00FF1892">
        <w:t>with</w:t>
      </w:r>
      <w:r w:rsidR="00FF1892" w:rsidRPr="00181EF3">
        <w:t xml:space="preserve"> </w:t>
      </w:r>
      <w:r w:rsidRPr="00181EF3">
        <w:t xml:space="preserve">an average of 495 </w:t>
      </w:r>
      <w:r w:rsidR="00EC03A3">
        <w:t>non</w:t>
      </w:r>
      <w:r w:rsidR="00EC03A3">
        <w:noBreakHyphen/>
        <w:t>M</w:t>
      </w:r>
      <w:r w:rsidRPr="00181EF3">
        <w:t xml:space="preserve">āori). The optometry workforce does not reflect the ethnic population distribution in New Zealand (14.9 percent Māori, 85.1 percent </w:t>
      </w:r>
      <w:r w:rsidR="00EC03A3">
        <w:t>non</w:t>
      </w:r>
      <w:r w:rsidR="00EC03A3">
        <w:noBreakHyphen/>
        <w:t>M</w:t>
      </w:r>
      <w:r w:rsidRPr="00181EF3">
        <w:t>āori).</w:t>
      </w:r>
      <w:r w:rsidRPr="00181EF3">
        <w:rPr>
          <w:rStyle w:val="FootnoteReference"/>
        </w:rPr>
        <w:footnoteReference w:id="22"/>
      </w:r>
    </w:p>
    <w:p w14:paraId="51DAA8F9" w14:textId="77777777" w:rsidR="00B66973" w:rsidRPr="00181EF3" w:rsidRDefault="00B66973" w:rsidP="00B66973"/>
    <w:p w14:paraId="788B678E" w14:textId="77777777" w:rsidR="00B66973" w:rsidRPr="00181EF3" w:rsidRDefault="00B66973" w:rsidP="001338CA">
      <w:pPr>
        <w:pStyle w:val="Heading2"/>
        <w:pageBreakBefore/>
        <w:spacing w:before="0"/>
      </w:pPr>
      <w:bookmarkStart w:id="434" w:name="_Toc19102464"/>
      <w:r w:rsidRPr="00181EF3">
        <w:lastRenderedPageBreak/>
        <w:t>New Zealand Optometrists and Dispensing Opticians Board – dispensing optician</w:t>
      </w:r>
      <w:bookmarkEnd w:id="434"/>
    </w:p>
    <w:p w14:paraId="75DE8A2E" w14:textId="21848AA5" w:rsidR="00B66973" w:rsidRPr="00181EF3" w:rsidRDefault="00B66973" w:rsidP="00B66973">
      <w:pPr>
        <w:pStyle w:val="Table"/>
      </w:pPr>
      <w:bookmarkStart w:id="435" w:name="_Toc18594788"/>
      <w:r w:rsidRPr="00181EF3">
        <w:t xml:space="preserve">Table </w:t>
      </w:r>
      <w:r>
        <w:t>48</w:t>
      </w:r>
      <w:r w:rsidRPr="00181EF3">
        <w:t xml:space="preserve">: Estimated number (percentage in workforce) of Māori and </w:t>
      </w:r>
      <w:r w:rsidR="00EC03A3">
        <w:t>non</w:t>
      </w:r>
      <w:r w:rsidR="00EC03A3">
        <w:noBreakHyphen/>
        <w:t>M</w:t>
      </w:r>
      <w:r w:rsidRPr="00181EF3">
        <w:t>āori in the dispensing optician workforce, 2005–2010</w:t>
      </w:r>
      <w:bookmarkEnd w:id="435"/>
    </w:p>
    <w:tbl>
      <w:tblPr>
        <w:tblW w:w="0" w:type="auto"/>
        <w:tblInd w:w="57" w:type="dxa"/>
        <w:tblLayout w:type="fixed"/>
        <w:tblCellMar>
          <w:left w:w="57" w:type="dxa"/>
          <w:right w:w="57" w:type="dxa"/>
        </w:tblCellMar>
        <w:tblLook w:val="04A0" w:firstRow="1" w:lastRow="0" w:firstColumn="1" w:lastColumn="0" w:noHBand="0" w:noVBand="1"/>
      </w:tblPr>
      <w:tblGrid>
        <w:gridCol w:w="2693"/>
        <w:gridCol w:w="2693"/>
        <w:gridCol w:w="2694"/>
      </w:tblGrid>
      <w:tr w:rsidR="00B66973" w:rsidRPr="00181EF3" w14:paraId="3115053E" w14:textId="77777777" w:rsidTr="00B66973">
        <w:trPr>
          <w:cantSplit/>
        </w:trPr>
        <w:tc>
          <w:tcPr>
            <w:tcW w:w="8080" w:type="dxa"/>
            <w:gridSpan w:val="3"/>
            <w:shd w:val="clear" w:color="auto" w:fill="D9D9D9" w:themeFill="background1" w:themeFillShade="D9"/>
          </w:tcPr>
          <w:p w14:paraId="7567FAFF" w14:textId="77777777" w:rsidR="00B66973" w:rsidRPr="00181EF3" w:rsidRDefault="00B66973" w:rsidP="00B66973">
            <w:pPr>
              <w:pStyle w:val="TableText"/>
              <w:jc w:val="center"/>
              <w:rPr>
                <w:b/>
              </w:rPr>
            </w:pPr>
            <w:r w:rsidRPr="00181EF3">
              <w:rPr>
                <w:b/>
              </w:rPr>
              <w:t>Dispensing optician (2005–2010)</w:t>
            </w:r>
          </w:p>
        </w:tc>
      </w:tr>
      <w:tr w:rsidR="00B66973" w:rsidRPr="00181EF3" w14:paraId="1C92F5B8" w14:textId="77777777" w:rsidTr="00B66973">
        <w:trPr>
          <w:cantSplit/>
        </w:trPr>
        <w:tc>
          <w:tcPr>
            <w:tcW w:w="2693" w:type="dxa"/>
            <w:shd w:val="clear" w:color="auto" w:fill="F2F2F2" w:themeFill="background1" w:themeFillShade="F2"/>
          </w:tcPr>
          <w:p w14:paraId="0E76F810" w14:textId="77777777" w:rsidR="00B66973" w:rsidRPr="00181EF3" w:rsidRDefault="00B66973" w:rsidP="00B66973">
            <w:pPr>
              <w:pStyle w:val="TableText"/>
              <w:jc w:val="center"/>
              <w:rPr>
                <w:b/>
              </w:rPr>
            </w:pPr>
            <w:r w:rsidRPr="00181EF3">
              <w:rPr>
                <w:b/>
              </w:rPr>
              <w:t>Year</w:t>
            </w:r>
          </w:p>
        </w:tc>
        <w:tc>
          <w:tcPr>
            <w:tcW w:w="2693" w:type="dxa"/>
            <w:shd w:val="clear" w:color="auto" w:fill="F2F2F2" w:themeFill="background1" w:themeFillShade="F2"/>
          </w:tcPr>
          <w:p w14:paraId="05173DCE" w14:textId="77777777" w:rsidR="00B66973" w:rsidRPr="00181EF3" w:rsidRDefault="00B66973" w:rsidP="00B66973">
            <w:pPr>
              <w:pStyle w:val="TableText"/>
              <w:jc w:val="center"/>
              <w:rPr>
                <w:b/>
              </w:rPr>
            </w:pPr>
            <w:r w:rsidRPr="00181EF3">
              <w:rPr>
                <w:b/>
              </w:rPr>
              <w:t>Māori</w:t>
            </w:r>
          </w:p>
        </w:tc>
        <w:tc>
          <w:tcPr>
            <w:tcW w:w="2694" w:type="dxa"/>
            <w:shd w:val="clear" w:color="auto" w:fill="F2F2F2" w:themeFill="background1" w:themeFillShade="F2"/>
          </w:tcPr>
          <w:p w14:paraId="67AABFF5" w14:textId="0BC1C174" w:rsidR="00B66973" w:rsidRPr="00181EF3" w:rsidRDefault="00EC03A3" w:rsidP="00B66973">
            <w:pPr>
              <w:pStyle w:val="TableText"/>
              <w:jc w:val="center"/>
              <w:rPr>
                <w:b/>
              </w:rPr>
            </w:pPr>
            <w:r>
              <w:rPr>
                <w:b/>
              </w:rPr>
              <w:t>Non</w:t>
            </w:r>
            <w:r>
              <w:rPr>
                <w:b/>
              </w:rPr>
              <w:noBreakHyphen/>
              <w:t>M</w:t>
            </w:r>
            <w:r w:rsidR="00B66973" w:rsidRPr="00181EF3">
              <w:rPr>
                <w:b/>
              </w:rPr>
              <w:t>āori</w:t>
            </w:r>
          </w:p>
        </w:tc>
      </w:tr>
      <w:tr w:rsidR="00B66973" w:rsidRPr="00181EF3" w14:paraId="611E5244" w14:textId="77777777" w:rsidTr="00B66973">
        <w:trPr>
          <w:cantSplit/>
        </w:trPr>
        <w:tc>
          <w:tcPr>
            <w:tcW w:w="2693" w:type="dxa"/>
            <w:tcBorders>
              <w:bottom w:val="single" w:sz="4" w:space="0" w:color="A6A6A6" w:themeColor="background1" w:themeShade="A6"/>
            </w:tcBorders>
          </w:tcPr>
          <w:p w14:paraId="4CE953E8" w14:textId="77777777" w:rsidR="00B66973" w:rsidRPr="00181EF3" w:rsidRDefault="00B66973" w:rsidP="00B66973">
            <w:pPr>
              <w:pStyle w:val="TableText"/>
              <w:jc w:val="center"/>
            </w:pPr>
            <w:r w:rsidRPr="00181EF3">
              <w:t>2005</w:t>
            </w:r>
          </w:p>
        </w:tc>
        <w:tc>
          <w:tcPr>
            <w:tcW w:w="2693" w:type="dxa"/>
            <w:tcBorders>
              <w:bottom w:val="single" w:sz="4" w:space="0" w:color="A6A6A6" w:themeColor="background1" w:themeShade="A6"/>
            </w:tcBorders>
          </w:tcPr>
          <w:p w14:paraId="2E44D0BC" w14:textId="77777777" w:rsidR="00B66973" w:rsidRPr="00181EF3" w:rsidRDefault="00B66973" w:rsidP="00B66973">
            <w:pPr>
              <w:pStyle w:val="TableText"/>
              <w:jc w:val="center"/>
            </w:pPr>
            <w:r w:rsidRPr="00181EF3">
              <w:t>1 (1.1</w:t>
            </w:r>
            <w:r>
              <w:t>%</w:t>
            </w:r>
            <w:r w:rsidRPr="00181EF3">
              <w:t>)</w:t>
            </w:r>
          </w:p>
        </w:tc>
        <w:tc>
          <w:tcPr>
            <w:tcW w:w="2694" w:type="dxa"/>
            <w:tcBorders>
              <w:bottom w:val="single" w:sz="4" w:space="0" w:color="A6A6A6" w:themeColor="background1" w:themeShade="A6"/>
            </w:tcBorders>
          </w:tcPr>
          <w:p w14:paraId="210893E4" w14:textId="77777777" w:rsidR="00B66973" w:rsidRPr="00181EF3" w:rsidRDefault="00B66973" w:rsidP="00B66973">
            <w:pPr>
              <w:pStyle w:val="TableText"/>
              <w:tabs>
                <w:tab w:val="decimal" w:pos="1191"/>
              </w:tabs>
            </w:pPr>
            <w:r w:rsidRPr="00181EF3">
              <w:t>86 (98.9</w:t>
            </w:r>
            <w:r>
              <w:t>%</w:t>
            </w:r>
            <w:r w:rsidRPr="00181EF3">
              <w:t>)</w:t>
            </w:r>
          </w:p>
        </w:tc>
      </w:tr>
      <w:tr w:rsidR="00B66973" w:rsidRPr="00181EF3" w14:paraId="335ED037"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6346DCA2" w14:textId="77777777" w:rsidR="00B66973" w:rsidRPr="00181EF3" w:rsidRDefault="00B66973" w:rsidP="00B66973">
            <w:pPr>
              <w:pStyle w:val="TableText"/>
              <w:jc w:val="center"/>
            </w:pPr>
            <w:r w:rsidRPr="00181EF3">
              <w:t>2006</w:t>
            </w:r>
          </w:p>
        </w:tc>
        <w:tc>
          <w:tcPr>
            <w:tcW w:w="2693" w:type="dxa"/>
            <w:tcBorders>
              <w:top w:val="single" w:sz="4" w:space="0" w:color="A6A6A6" w:themeColor="background1" w:themeShade="A6"/>
              <w:bottom w:val="single" w:sz="4" w:space="0" w:color="A6A6A6" w:themeColor="background1" w:themeShade="A6"/>
            </w:tcBorders>
          </w:tcPr>
          <w:p w14:paraId="308B1C34" w14:textId="77777777" w:rsidR="00B66973" w:rsidRPr="00181EF3" w:rsidRDefault="00B66973" w:rsidP="00B66973">
            <w:pPr>
              <w:pStyle w:val="TableText"/>
              <w:jc w:val="center"/>
            </w:pPr>
            <w:r w:rsidRPr="00181EF3">
              <w:t>1 (1.0</w:t>
            </w:r>
            <w:r>
              <w:t>%</w:t>
            </w:r>
            <w:r w:rsidRPr="00181EF3">
              <w:t>)</w:t>
            </w:r>
          </w:p>
        </w:tc>
        <w:tc>
          <w:tcPr>
            <w:tcW w:w="2694" w:type="dxa"/>
            <w:tcBorders>
              <w:top w:val="single" w:sz="4" w:space="0" w:color="A6A6A6" w:themeColor="background1" w:themeShade="A6"/>
              <w:bottom w:val="single" w:sz="4" w:space="0" w:color="A6A6A6" w:themeColor="background1" w:themeShade="A6"/>
            </w:tcBorders>
          </w:tcPr>
          <w:p w14:paraId="63C5B933" w14:textId="77777777" w:rsidR="00B66973" w:rsidRPr="00181EF3" w:rsidRDefault="00B66973" w:rsidP="00B66973">
            <w:pPr>
              <w:pStyle w:val="TableText"/>
              <w:tabs>
                <w:tab w:val="decimal" w:pos="1191"/>
              </w:tabs>
            </w:pPr>
            <w:r w:rsidRPr="00181EF3">
              <w:t>104 (99.0</w:t>
            </w:r>
            <w:r>
              <w:t>%</w:t>
            </w:r>
            <w:r w:rsidRPr="00181EF3">
              <w:t>)</w:t>
            </w:r>
          </w:p>
        </w:tc>
      </w:tr>
      <w:tr w:rsidR="00B66973" w:rsidRPr="00181EF3" w14:paraId="0D737582"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57669D07" w14:textId="77777777" w:rsidR="00B66973" w:rsidRPr="00181EF3" w:rsidRDefault="00B66973" w:rsidP="00B66973">
            <w:pPr>
              <w:pStyle w:val="TableText"/>
              <w:jc w:val="center"/>
            </w:pPr>
            <w:r w:rsidRPr="00181EF3">
              <w:t>2007</w:t>
            </w:r>
          </w:p>
        </w:tc>
        <w:tc>
          <w:tcPr>
            <w:tcW w:w="2693" w:type="dxa"/>
            <w:tcBorders>
              <w:top w:val="single" w:sz="4" w:space="0" w:color="A6A6A6" w:themeColor="background1" w:themeShade="A6"/>
              <w:bottom w:val="single" w:sz="4" w:space="0" w:color="A6A6A6" w:themeColor="background1" w:themeShade="A6"/>
            </w:tcBorders>
          </w:tcPr>
          <w:p w14:paraId="16A30796" w14:textId="77777777" w:rsidR="00B66973" w:rsidRPr="00181EF3" w:rsidRDefault="00B66973" w:rsidP="00B66973">
            <w:pPr>
              <w:pStyle w:val="TableText"/>
              <w:jc w:val="center"/>
            </w:pPr>
            <w:r w:rsidRPr="00181EF3">
              <w:t>1 (0.9</w:t>
            </w:r>
            <w:r>
              <w:t>%</w:t>
            </w:r>
            <w:r w:rsidRPr="00181EF3">
              <w:t>)</w:t>
            </w:r>
          </w:p>
        </w:tc>
        <w:tc>
          <w:tcPr>
            <w:tcW w:w="2694" w:type="dxa"/>
            <w:tcBorders>
              <w:top w:val="single" w:sz="4" w:space="0" w:color="A6A6A6" w:themeColor="background1" w:themeShade="A6"/>
              <w:bottom w:val="single" w:sz="4" w:space="0" w:color="A6A6A6" w:themeColor="background1" w:themeShade="A6"/>
            </w:tcBorders>
          </w:tcPr>
          <w:p w14:paraId="0766CA81" w14:textId="77777777" w:rsidR="00B66973" w:rsidRPr="00181EF3" w:rsidRDefault="00B66973" w:rsidP="00B66973">
            <w:pPr>
              <w:pStyle w:val="TableText"/>
              <w:tabs>
                <w:tab w:val="decimal" w:pos="1191"/>
              </w:tabs>
            </w:pPr>
            <w:r w:rsidRPr="00181EF3">
              <w:t>107 (99.1</w:t>
            </w:r>
            <w:r>
              <w:t>%</w:t>
            </w:r>
            <w:r w:rsidRPr="00181EF3">
              <w:t>)</w:t>
            </w:r>
          </w:p>
        </w:tc>
      </w:tr>
      <w:tr w:rsidR="00B66973" w:rsidRPr="00181EF3" w14:paraId="05547AB6"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216FAA03" w14:textId="77777777" w:rsidR="00B66973" w:rsidRPr="00181EF3" w:rsidRDefault="00B66973" w:rsidP="00B66973">
            <w:pPr>
              <w:pStyle w:val="TableText"/>
              <w:jc w:val="center"/>
            </w:pPr>
            <w:r w:rsidRPr="00181EF3">
              <w:t>2008</w:t>
            </w:r>
          </w:p>
        </w:tc>
        <w:tc>
          <w:tcPr>
            <w:tcW w:w="2693" w:type="dxa"/>
            <w:tcBorders>
              <w:top w:val="single" w:sz="4" w:space="0" w:color="A6A6A6" w:themeColor="background1" w:themeShade="A6"/>
              <w:bottom w:val="single" w:sz="4" w:space="0" w:color="A6A6A6" w:themeColor="background1" w:themeShade="A6"/>
            </w:tcBorders>
          </w:tcPr>
          <w:p w14:paraId="53D9E7E4" w14:textId="77777777" w:rsidR="00B66973" w:rsidRPr="00181EF3" w:rsidRDefault="00B66973" w:rsidP="00B66973">
            <w:pPr>
              <w:pStyle w:val="TableText"/>
              <w:jc w:val="center"/>
            </w:pPr>
            <w:r w:rsidRPr="00181EF3">
              <w:t>1 (0.8</w:t>
            </w:r>
            <w:r>
              <w:t>%</w:t>
            </w:r>
            <w:r w:rsidRPr="00181EF3">
              <w:t>)</w:t>
            </w:r>
          </w:p>
        </w:tc>
        <w:tc>
          <w:tcPr>
            <w:tcW w:w="2694" w:type="dxa"/>
            <w:tcBorders>
              <w:top w:val="single" w:sz="4" w:space="0" w:color="A6A6A6" w:themeColor="background1" w:themeShade="A6"/>
              <w:bottom w:val="single" w:sz="4" w:space="0" w:color="A6A6A6" w:themeColor="background1" w:themeShade="A6"/>
            </w:tcBorders>
          </w:tcPr>
          <w:p w14:paraId="69A1F582" w14:textId="77777777" w:rsidR="00B66973" w:rsidRPr="00181EF3" w:rsidRDefault="00B66973" w:rsidP="00B66973">
            <w:pPr>
              <w:pStyle w:val="TableText"/>
              <w:tabs>
                <w:tab w:val="decimal" w:pos="1191"/>
              </w:tabs>
            </w:pPr>
            <w:r w:rsidRPr="00181EF3">
              <w:t>121 (99.2</w:t>
            </w:r>
            <w:r>
              <w:t>%</w:t>
            </w:r>
            <w:r w:rsidRPr="00181EF3">
              <w:t>)</w:t>
            </w:r>
          </w:p>
        </w:tc>
      </w:tr>
      <w:tr w:rsidR="00B66973" w:rsidRPr="00181EF3" w14:paraId="74AACD16"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14F43C9C" w14:textId="77777777" w:rsidR="00B66973" w:rsidRPr="00181EF3" w:rsidRDefault="00B66973" w:rsidP="00B66973">
            <w:pPr>
              <w:pStyle w:val="TableText"/>
              <w:jc w:val="center"/>
            </w:pPr>
            <w:r w:rsidRPr="00181EF3">
              <w:t>2009</w:t>
            </w:r>
          </w:p>
        </w:tc>
        <w:tc>
          <w:tcPr>
            <w:tcW w:w="2693" w:type="dxa"/>
            <w:tcBorders>
              <w:top w:val="single" w:sz="4" w:space="0" w:color="A6A6A6" w:themeColor="background1" w:themeShade="A6"/>
              <w:bottom w:val="single" w:sz="4" w:space="0" w:color="A6A6A6" w:themeColor="background1" w:themeShade="A6"/>
            </w:tcBorders>
          </w:tcPr>
          <w:p w14:paraId="78C5F1C1" w14:textId="77777777" w:rsidR="00B66973" w:rsidRPr="00181EF3" w:rsidRDefault="00B66973" w:rsidP="00B66973">
            <w:pPr>
              <w:pStyle w:val="TableText"/>
              <w:jc w:val="center"/>
            </w:pPr>
            <w:r w:rsidRPr="00181EF3">
              <w:t>2 (1.4</w:t>
            </w:r>
            <w:r>
              <w:t>%</w:t>
            </w:r>
            <w:r w:rsidRPr="00181EF3">
              <w:t>)</w:t>
            </w:r>
          </w:p>
        </w:tc>
        <w:tc>
          <w:tcPr>
            <w:tcW w:w="2694" w:type="dxa"/>
            <w:tcBorders>
              <w:top w:val="single" w:sz="4" w:space="0" w:color="A6A6A6" w:themeColor="background1" w:themeShade="A6"/>
              <w:bottom w:val="single" w:sz="4" w:space="0" w:color="A6A6A6" w:themeColor="background1" w:themeShade="A6"/>
            </w:tcBorders>
          </w:tcPr>
          <w:p w14:paraId="5CD86515" w14:textId="77777777" w:rsidR="00B66973" w:rsidRPr="00181EF3" w:rsidRDefault="00B66973" w:rsidP="00B66973">
            <w:pPr>
              <w:pStyle w:val="TableText"/>
              <w:tabs>
                <w:tab w:val="decimal" w:pos="1191"/>
              </w:tabs>
            </w:pPr>
            <w:r w:rsidRPr="00181EF3">
              <w:t>145 (98.6</w:t>
            </w:r>
            <w:r>
              <w:t>%</w:t>
            </w:r>
            <w:r w:rsidRPr="00181EF3">
              <w:t>)</w:t>
            </w:r>
          </w:p>
        </w:tc>
      </w:tr>
      <w:tr w:rsidR="00B66973" w:rsidRPr="00181EF3" w14:paraId="7BB0079F"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578ACBDD" w14:textId="77777777" w:rsidR="00B66973" w:rsidRPr="00181EF3" w:rsidRDefault="00B66973" w:rsidP="00B66973">
            <w:pPr>
              <w:pStyle w:val="TableText"/>
              <w:jc w:val="center"/>
            </w:pPr>
            <w:r w:rsidRPr="00181EF3">
              <w:t>2010</w:t>
            </w:r>
          </w:p>
        </w:tc>
        <w:tc>
          <w:tcPr>
            <w:tcW w:w="2693" w:type="dxa"/>
            <w:tcBorders>
              <w:top w:val="single" w:sz="4" w:space="0" w:color="A6A6A6" w:themeColor="background1" w:themeShade="A6"/>
              <w:bottom w:val="single" w:sz="4" w:space="0" w:color="A6A6A6" w:themeColor="background1" w:themeShade="A6"/>
            </w:tcBorders>
          </w:tcPr>
          <w:p w14:paraId="02BBB554" w14:textId="77777777" w:rsidR="00B66973" w:rsidRPr="00181EF3" w:rsidRDefault="00B66973" w:rsidP="00B66973">
            <w:pPr>
              <w:pStyle w:val="TableText"/>
              <w:jc w:val="center"/>
            </w:pPr>
            <w:r w:rsidRPr="00181EF3">
              <w:t>3 (1.9</w:t>
            </w:r>
            <w:r>
              <w:t>%</w:t>
            </w:r>
            <w:r w:rsidRPr="00181EF3">
              <w:t>)</w:t>
            </w:r>
          </w:p>
        </w:tc>
        <w:tc>
          <w:tcPr>
            <w:tcW w:w="2694" w:type="dxa"/>
            <w:tcBorders>
              <w:top w:val="single" w:sz="4" w:space="0" w:color="A6A6A6" w:themeColor="background1" w:themeShade="A6"/>
              <w:bottom w:val="single" w:sz="4" w:space="0" w:color="A6A6A6" w:themeColor="background1" w:themeShade="A6"/>
            </w:tcBorders>
          </w:tcPr>
          <w:p w14:paraId="76281B66" w14:textId="77777777" w:rsidR="00B66973" w:rsidRPr="00181EF3" w:rsidRDefault="00B66973" w:rsidP="00B66973">
            <w:pPr>
              <w:pStyle w:val="TableText"/>
              <w:tabs>
                <w:tab w:val="decimal" w:pos="1191"/>
              </w:tabs>
            </w:pPr>
            <w:r w:rsidRPr="00181EF3">
              <w:t>154 (98.1</w:t>
            </w:r>
            <w:r>
              <w:t>%</w:t>
            </w:r>
            <w:r w:rsidRPr="00181EF3">
              <w:t>)</w:t>
            </w:r>
          </w:p>
        </w:tc>
      </w:tr>
    </w:tbl>
    <w:p w14:paraId="2B21615D" w14:textId="77777777" w:rsidR="00B66973" w:rsidRPr="00181EF3" w:rsidRDefault="00B66973" w:rsidP="00B66973">
      <w:pPr>
        <w:pStyle w:val="Source"/>
      </w:pPr>
      <w:r w:rsidRPr="00181EF3">
        <w:t>Source: New Zealand Optometrists and Dispensing Opticians Board, 2005–2010.</w:t>
      </w:r>
    </w:p>
    <w:p w14:paraId="3AA0F757" w14:textId="77777777" w:rsidR="00B66973" w:rsidRPr="00181EF3" w:rsidRDefault="00B66973" w:rsidP="00B66973"/>
    <w:p w14:paraId="4C3D942E" w14:textId="28DE1623" w:rsidR="00B16E84" w:rsidRPr="00181EF3" w:rsidRDefault="00B16E84" w:rsidP="001338CA">
      <w:r w:rsidRPr="00181EF3">
        <w:t xml:space="preserve">Table </w:t>
      </w:r>
      <w:r>
        <w:t>48</w:t>
      </w:r>
      <w:r w:rsidRPr="00181EF3">
        <w:t xml:space="preserve"> shows the estimated number and percentage of Māori and </w:t>
      </w:r>
      <w:r w:rsidR="00EC03A3">
        <w:t>non</w:t>
      </w:r>
      <w:r w:rsidR="00EC03A3">
        <w:noBreakHyphen/>
        <w:t>M</w:t>
      </w:r>
      <w:r w:rsidRPr="00181EF3">
        <w:t>āori in the dispensing optician workforce from 2005 to 2010.</w:t>
      </w:r>
    </w:p>
    <w:p w14:paraId="716A7ECD" w14:textId="77777777" w:rsidR="00B16E84" w:rsidRPr="00181EF3" w:rsidRDefault="00B16E84" w:rsidP="001338CA"/>
    <w:p w14:paraId="1D8F735D" w14:textId="60C1ED55" w:rsidR="00B16E84" w:rsidRPr="00181EF3" w:rsidRDefault="00B16E84" w:rsidP="001338CA">
      <w:r w:rsidRPr="00181EF3">
        <w:t xml:space="preserve">The number of Māori in the dispensing optician workforce remained constant over time and the percentage of Māori in the workforce did not change much – the average percentage of Māori in the dispensing optician workforce between 2005 and 2010 was 1.2 percent (average of 2 Māori dispensing opticians, compared </w:t>
      </w:r>
      <w:r w:rsidR="00FF1892">
        <w:t>with</w:t>
      </w:r>
      <w:r w:rsidR="00FF1892" w:rsidRPr="00181EF3">
        <w:t xml:space="preserve"> </w:t>
      </w:r>
      <w:r w:rsidRPr="00181EF3">
        <w:t>an average of 120 </w:t>
      </w:r>
      <w:r w:rsidR="00EC03A3">
        <w:t>non</w:t>
      </w:r>
      <w:r w:rsidR="00EC03A3">
        <w:noBreakHyphen/>
        <w:t>M</w:t>
      </w:r>
      <w:r w:rsidRPr="00181EF3">
        <w:t xml:space="preserve">āori). The dispensing optician workforce does not reflect the ethnic population distribution in New Zealand (14.9 percent Māori, 85.1 percent </w:t>
      </w:r>
      <w:r w:rsidR="00EC03A3">
        <w:t>non</w:t>
      </w:r>
      <w:r w:rsidR="00EC03A3">
        <w:noBreakHyphen/>
        <w:t>M</w:t>
      </w:r>
      <w:r w:rsidRPr="00181EF3">
        <w:t>āori).</w:t>
      </w:r>
      <w:r w:rsidRPr="00181EF3">
        <w:rPr>
          <w:rStyle w:val="FootnoteReference"/>
        </w:rPr>
        <w:footnoteReference w:id="23"/>
      </w:r>
    </w:p>
    <w:p w14:paraId="2349780D" w14:textId="77777777" w:rsidR="00B66973" w:rsidRDefault="00B66973" w:rsidP="001338CA"/>
    <w:p w14:paraId="17858E5D" w14:textId="77777777" w:rsidR="00B66973" w:rsidRPr="00181EF3" w:rsidRDefault="00B66973" w:rsidP="001338CA">
      <w:pPr>
        <w:pStyle w:val="Heading2"/>
        <w:pageBreakBefore/>
        <w:spacing w:before="0"/>
      </w:pPr>
      <w:bookmarkStart w:id="436" w:name="_Toc19102465"/>
      <w:r w:rsidRPr="00181EF3">
        <w:lastRenderedPageBreak/>
        <w:t>New Zealand Podiatrists Board – podiatrist</w:t>
      </w:r>
      <w:bookmarkEnd w:id="436"/>
    </w:p>
    <w:p w14:paraId="6E7FD04A" w14:textId="368C7C2C" w:rsidR="00B66973" w:rsidRPr="00181EF3" w:rsidRDefault="00B66973" w:rsidP="00B66973">
      <w:pPr>
        <w:pStyle w:val="Table"/>
      </w:pPr>
      <w:bookmarkStart w:id="437" w:name="_Toc18594789"/>
      <w:r w:rsidRPr="00181EF3">
        <w:t xml:space="preserve">Table </w:t>
      </w:r>
      <w:r>
        <w:t>49</w:t>
      </w:r>
      <w:r w:rsidRPr="00181EF3">
        <w:t xml:space="preserve">: Estimated number (percentage in workforce) of Māori and </w:t>
      </w:r>
      <w:r w:rsidR="00EC03A3">
        <w:t>non</w:t>
      </w:r>
      <w:r w:rsidR="00EC03A3">
        <w:noBreakHyphen/>
        <w:t>M</w:t>
      </w:r>
      <w:r w:rsidRPr="00181EF3">
        <w:t>āori in the podiatry workforce, 2005–2010</w:t>
      </w:r>
      <w:bookmarkEnd w:id="437"/>
    </w:p>
    <w:tbl>
      <w:tblPr>
        <w:tblW w:w="0" w:type="auto"/>
        <w:tblInd w:w="57" w:type="dxa"/>
        <w:tblLayout w:type="fixed"/>
        <w:tblCellMar>
          <w:left w:w="57" w:type="dxa"/>
          <w:right w:w="57" w:type="dxa"/>
        </w:tblCellMar>
        <w:tblLook w:val="04A0" w:firstRow="1" w:lastRow="0" w:firstColumn="1" w:lastColumn="0" w:noHBand="0" w:noVBand="1"/>
      </w:tblPr>
      <w:tblGrid>
        <w:gridCol w:w="2693"/>
        <w:gridCol w:w="2693"/>
        <w:gridCol w:w="2694"/>
      </w:tblGrid>
      <w:tr w:rsidR="00B66973" w:rsidRPr="00181EF3" w14:paraId="5410D527" w14:textId="77777777" w:rsidTr="00B66973">
        <w:trPr>
          <w:cantSplit/>
        </w:trPr>
        <w:tc>
          <w:tcPr>
            <w:tcW w:w="8080" w:type="dxa"/>
            <w:gridSpan w:val="3"/>
            <w:shd w:val="clear" w:color="auto" w:fill="D9D9D9" w:themeFill="background1" w:themeFillShade="D9"/>
          </w:tcPr>
          <w:p w14:paraId="38669FE5" w14:textId="77777777" w:rsidR="00B66973" w:rsidRPr="00181EF3" w:rsidRDefault="00B66973" w:rsidP="00B66973">
            <w:pPr>
              <w:pStyle w:val="TableText"/>
              <w:jc w:val="center"/>
              <w:rPr>
                <w:b/>
              </w:rPr>
            </w:pPr>
            <w:r w:rsidRPr="00181EF3">
              <w:rPr>
                <w:b/>
              </w:rPr>
              <w:t>Podiatry (2005–2010)</w:t>
            </w:r>
          </w:p>
        </w:tc>
      </w:tr>
      <w:tr w:rsidR="00B66973" w:rsidRPr="00181EF3" w14:paraId="7E548CB8" w14:textId="77777777" w:rsidTr="00B66973">
        <w:trPr>
          <w:cantSplit/>
        </w:trPr>
        <w:tc>
          <w:tcPr>
            <w:tcW w:w="2693" w:type="dxa"/>
            <w:shd w:val="clear" w:color="auto" w:fill="F2F2F2" w:themeFill="background1" w:themeFillShade="F2"/>
          </w:tcPr>
          <w:p w14:paraId="24CE2584" w14:textId="77777777" w:rsidR="00B66973" w:rsidRPr="00181EF3" w:rsidRDefault="00B66973" w:rsidP="00B66973">
            <w:pPr>
              <w:pStyle w:val="TableText"/>
              <w:jc w:val="center"/>
              <w:rPr>
                <w:b/>
              </w:rPr>
            </w:pPr>
            <w:r w:rsidRPr="00181EF3">
              <w:rPr>
                <w:b/>
              </w:rPr>
              <w:t>Year</w:t>
            </w:r>
          </w:p>
        </w:tc>
        <w:tc>
          <w:tcPr>
            <w:tcW w:w="2693" w:type="dxa"/>
            <w:shd w:val="clear" w:color="auto" w:fill="F2F2F2" w:themeFill="background1" w:themeFillShade="F2"/>
          </w:tcPr>
          <w:p w14:paraId="13820575" w14:textId="77777777" w:rsidR="00B66973" w:rsidRPr="00181EF3" w:rsidRDefault="00B66973" w:rsidP="00B66973">
            <w:pPr>
              <w:pStyle w:val="TableText"/>
              <w:jc w:val="center"/>
              <w:rPr>
                <w:b/>
              </w:rPr>
            </w:pPr>
            <w:r w:rsidRPr="00181EF3">
              <w:rPr>
                <w:b/>
              </w:rPr>
              <w:t>Māori</w:t>
            </w:r>
          </w:p>
        </w:tc>
        <w:tc>
          <w:tcPr>
            <w:tcW w:w="2694" w:type="dxa"/>
            <w:shd w:val="clear" w:color="auto" w:fill="F2F2F2" w:themeFill="background1" w:themeFillShade="F2"/>
          </w:tcPr>
          <w:p w14:paraId="7E181E6F" w14:textId="34E70561" w:rsidR="00B66973" w:rsidRPr="00181EF3" w:rsidRDefault="00EC03A3" w:rsidP="00B66973">
            <w:pPr>
              <w:pStyle w:val="TableText"/>
              <w:jc w:val="center"/>
              <w:rPr>
                <w:b/>
              </w:rPr>
            </w:pPr>
            <w:r>
              <w:rPr>
                <w:b/>
              </w:rPr>
              <w:t>Non</w:t>
            </w:r>
            <w:r>
              <w:rPr>
                <w:b/>
              </w:rPr>
              <w:noBreakHyphen/>
              <w:t>M</w:t>
            </w:r>
            <w:r w:rsidR="00B66973" w:rsidRPr="00181EF3">
              <w:rPr>
                <w:b/>
              </w:rPr>
              <w:t>āori</w:t>
            </w:r>
          </w:p>
        </w:tc>
      </w:tr>
      <w:tr w:rsidR="00B66973" w:rsidRPr="00181EF3" w14:paraId="2767ECAC" w14:textId="77777777" w:rsidTr="00B66973">
        <w:trPr>
          <w:cantSplit/>
        </w:trPr>
        <w:tc>
          <w:tcPr>
            <w:tcW w:w="2693" w:type="dxa"/>
            <w:tcBorders>
              <w:bottom w:val="single" w:sz="4" w:space="0" w:color="A6A6A6" w:themeColor="background1" w:themeShade="A6"/>
            </w:tcBorders>
          </w:tcPr>
          <w:p w14:paraId="0CA76D8D" w14:textId="77777777" w:rsidR="00B66973" w:rsidRPr="00181EF3" w:rsidRDefault="00B66973" w:rsidP="00B66973">
            <w:pPr>
              <w:pStyle w:val="TableText"/>
              <w:jc w:val="center"/>
            </w:pPr>
            <w:r w:rsidRPr="00181EF3">
              <w:t>2005</w:t>
            </w:r>
          </w:p>
        </w:tc>
        <w:tc>
          <w:tcPr>
            <w:tcW w:w="2693" w:type="dxa"/>
            <w:tcBorders>
              <w:bottom w:val="single" w:sz="4" w:space="0" w:color="A6A6A6" w:themeColor="background1" w:themeShade="A6"/>
            </w:tcBorders>
          </w:tcPr>
          <w:p w14:paraId="0E2273B2" w14:textId="77777777" w:rsidR="00B66973" w:rsidRPr="00181EF3" w:rsidRDefault="00B66973" w:rsidP="00B66973">
            <w:pPr>
              <w:pStyle w:val="TableText"/>
              <w:tabs>
                <w:tab w:val="decimal" w:pos="1191"/>
              </w:tabs>
            </w:pPr>
            <w:r w:rsidRPr="00181EF3">
              <w:t>8 (4.7</w:t>
            </w:r>
            <w:r>
              <w:t>%</w:t>
            </w:r>
            <w:r w:rsidRPr="00181EF3">
              <w:t>)</w:t>
            </w:r>
          </w:p>
        </w:tc>
        <w:tc>
          <w:tcPr>
            <w:tcW w:w="2694" w:type="dxa"/>
            <w:tcBorders>
              <w:bottom w:val="single" w:sz="4" w:space="0" w:color="A6A6A6" w:themeColor="background1" w:themeShade="A6"/>
            </w:tcBorders>
          </w:tcPr>
          <w:p w14:paraId="5ABD335A" w14:textId="77777777" w:rsidR="00B66973" w:rsidRPr="00181EF3" w:rsidRDefault="00B66973" w:rsidP="00B66973">
            <w:pPr>
              <w:pStyle w:val="TableText"/>
              <w:jc w:val="center"/>
            </w:pPr>
            <w:r w:rsidRPr="00181EF3">
              <w:t>163 (95.3</w:t>
            </w:r>
            <w:r>
              <w:t>%</w:t>
            </w:r>
            <w:r w:rsidRPr="00181EF3">
              <w:t>)</w:t>
            </w:r>
          </w:p>
        </w:tc>
      </w:tr>
      <w:tr w:rsidR="00B66973" w:rsidRPr="00181EF3" w14:paraId="1ECC3B3C"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58EF4851" w14:textId="77777777" w:rsidR="00B66973" w:rsidRPr="00181EF3" w:rsidRDefault="00B66973" w:rsidP="00B66973">
            <w:pPr>
              <w:pStyle w:val="TableText"/>
              <w:jc w:val="center"/>
            </w:pPr>
            <w:r w:rsidRPr="00181EF3">
              <w:t>2006</w:t>
            </w:r>
          </w:p>
        </w:tc>
        <w:tc>
          <w:tcPr>
            <w:tcW w:w="2693" w:type="dxa"/>
            <w:tcBorders>
              <w:top w:val="single" w:sz="4" w:space="0" w:color="A6A6A6" w:themeColor="background1" w:themeShade="A6"/>
              <w:bottom w:val="single" w:sz="4" w:space="0" w:color="A6A6A6" w:themeColor="background1" w:themeShade="A6"/>
            </w:tcBorders>
          </w:tcPr>
          <w:p w14:paraId="6EB6305A" w14:textId="77777777" w:rsidR="00B66973" w:rsidRPr="00181EF3" w:rsidRDefault="00B66973" w:rsidP="00B66973">
            <w:pPr>
              <w:pStyle w:val="TableText"/>
              <w:tabs>
                <w:tab w:val="decimal" w:pos="1191"/>
              </w:tabs>
            </w:pPr>
            <w:r w:rsidRPr="00181EF3">
              <w:t>6 (4.0</w:t>
            </w:r>
            <w:r>
              <w:t>%</w:t>
            </w:r>
            <w:r w:rsidRPr="00181EF3">
              <w:t>)</w:t>
            </w:r>
          </w:p>
        </w:tc>
        <w:tc>
          <w:tcPr>
            <w:tcW w:w="2694" w:type="dxa"/>
            <w:tcBorders>
              <w:top w:val="single" w:sz="4" w:space="0" w:color="A6A6A6" w:themeColor="background1" w:themeShade="A6"/>
              <w:bottom w:val="single" w:sz="4" w:space="0" w:color="A6A6A6" w:themeColor="background1" w:themeShade="A6"/>
            </w:tcBorders>
          </w:tcPr>
          <w:p w14:paraId="5E69E03C" w14:textId="77777777" w:rsidR="00B66973" w:rsidRPr="00181EF3" w:rsidRDefault="00B66973" w:rsidP="00B66973">
            <w:pPr>
              <w:pStyle w:val="TableText"/>
              <w:jc w:val="center"/>
            </w:pPr>
            <w:r w:rsidRPr="00181EF3">
              <w:t>144 (96.0</w:t>
            </w:r>
            <w:r>
              <w:t>%</w:t>
            </w:r>
            <w:r w:rsidRPr="00181EF3">
              <w:t>)</w:t>
            </w:r>
          </w:p>
        </w:tc>
      </w:tr>
      <w:tr w:rsidR="00B66973" w:rsidRPr="00181EF3" w14:paraId="3B78B17C"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1C0933AE" w14:textId="77777777" w:rsidR="00B66973" w:rsidRPr="00181EF3" w:rsidRDefault="00B66973" w:rsidP="00B66973">
            <w:pPr>
              <w:pStyle w:val="TableText"/>
              <w:jc w:val="center"/>
            </w:pPr>
            <w:r w:rsidRPr="00181EF3">
              <w:t>2007</w:t>
            </w:r>
          </w:p>
        </w:tc>
        <w:tc>
          <w:tcPr>
            <w:tcW w:w="2693" w:type="dxa"/>
            <w:tcBorders>
              <w:top w:val="single" w:sz="4" w:space="0" w:color="A6A6A6" w:themeColor="background1" w:themeShade="A6"/>
              <w:bottom w:val="single" w:sz="4" w:space="0" w:color="A6A6A6" w:themeColor="background1" w:themeShade="A6"/>
            </w:tcBorders>
          </w:tcPr>
          <w:p w14:paraId="28106D9C" w14:textId="77777777" w:rsidR="00B66973" w:rsidRPr="00181EF3" w:rsidRDefault="00B66973" w:rsidP="00B66973">
            <w:pPr>
              <w:pStyle w:val="TableText"/>
              <w:tabs>
                <w:tab w:val="decimal" w:pos="1191"/>
              </w:tabs>
            </w:pPr>
            <w:r w:rsidRPr="00181EF3">
              <w:t>7 (4.5</w:t>
            </w:r>
            <w:r>
              <w:t>%</w:t>
            </w:r>
            <w:r w:rsidRPr="00181EF3">
              <w:t>)</w:t>
            </w:r>
          </w:p>
        </w:tc>
        <w:tc>
          <w:tcPr>
            <w:tcW w:w="2694" w:type="dxa"/>
            <w:tcBorders>
              <w:top w:val="single" w:sz="4" w:space="0" w:color="A6A6A6" w:themeColor="background1" w:themeShade="A6"/>
              <w:bottom w:val="single" w:sz="4" w:space="0" w:color="A6A6A6" w:themeColor="background1" w:themeShade="A6"/>
            </w:tcBorders>
          </w:tcPr>
          <w:p w14:paraId="1949B385" w14:textId="77777777" w:rsidR="00B66973" w:rsidRPr="00181EF3" w:rsidRDefault="00B66973" w:rsidP="00B66973">
            <w:pPr>
              <w:pStyle w:val="TableText"/>
              <w:jc w:val="center"/>
            </w:pPr>
            <w:r w:rsidRPr="00181EF3">
              <w:t>150 (95.5</w:t>
            </w:r>
            <w:r>
              <w:t>%</w:t>
            </w:r>
            <w:r w:rsidRPr="00181EF3">
              <w:t>)</w:t>
            </w:r>
          </w:p>
        </w:tc>
      </w:tr>
      <w:tr w:rsidR="00B66973" w:rsidRPr="00181EF3" w14:paraId="4181603B"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203DB66B" w14:textId="77777777" w:rsidR="00B66973" w:rsidRPr="00181EF3" w:rsidRDefault="00B66973" w:rsidP="00B66973">
            <w:pPr>
              <w:pStyle w:val="TableText"/>
              <w:jc w:val="center"/>
            </w:pPr>
            <w:r w:rsidRPr="00181EF3">
              <w:t>2008</w:t>
            </w:r>
          </w:p>
        </w:tc>
        <w:tc>
          <w:tcPr>
            <w:tcW w:w="2693" w:type="dxa"/>
            <w:tcBorders>
              <w:top w:val="single" w:sz="4" w:space="0" w:color="A6A6A6" w:themeColor="background1" w:themeShade="A6"/>
              <w:bottom w:val="single" w:sz="4" w:space="0" w:color="A6A6A6" w:themeColor="background1" w:themeShade="A6"/>
            </w:tcBorders>
          </w:tcPr>
          <w:p w14:paraId="7A8BEE93" w14:textId="77777777" w:rsidR="00B66973" w:rsidRPr="00181EF3" w:rsidRDefault="00B66973" w:rsidP="00B66973">
            <w:pPr>
              <w:pStyle w:val="TableText"/>
              <w:tabs>
                <w:tab w:val="decimal" w:pos="1191"/>
              </w:tabs>
            </w:pPr>
            <w:r w:rsidRPr="00181EF3">
              <w:t>4 (2.3</w:t>
            </w:r>
            <w:r>
              <w:t>%</w:t>
            </w:r>
            <w:r w:rsidRPr="00181EF3">
              <w:t>)</w:t>
            </w:r>
          </w:p>
        </w:tc>
        <w:tc>
          <w:tcPr>
            <w:tcW w:w="2694" w:type="dxa"/>
            <w:tcBorders>
              <w:top w:val="single" w:sz="4" w:space="0" w:color="A6A6A6" w:themeColor="background1" w:themeShade="A6"/>
              <w:bottom w:val="single" w:sz="4" w:space="0" w:color="A6A6A6" w:themeColor="background1" w:themeShade="A6"/>
            </w:tcBorders>
          </w:tcPr>
          <w:p w14:paraId="654C7715" w14:textId="77777777" w:rsidR="00B66973" w:rsidRPr="00181EF3" w:rsidRDefault="00B66973" w:rsidP="00B66973">
            <w:pPr>
              <w:pStyle w:val="TableText"/>
              <w:jc w:val="center"/>
            </w:pPr>
            <w:r w:rsidRPr="00181EF3">
              <w:t>170 (97.7</w:t>
            </w:r>
            <w:r>
              <w:t>%</w:t>
            </w:r>
            <w:r w:rsidRPr="00181EF3">
              <w:t>)</w:t>
            </w:r>
          </w:p>
        </w:tc>
      </w:tr>
      <w:tr w:rsidR="00B66973" w:rsidRPr="00181EF3" w14:paraId="710354A3"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1B559E17" w14:textId="77777777" w:rsidR="00B66973" w:rsidRPr="00181EF3" w:rsidRDefault="00B66973" w:rsidP="00B66973">
            <w:pPr>
              <w:pStyle w:val="TableText"/>
              <w:jc w:val="center"/>
            </w:pPr>
            <w:r w:rsidRPr="00181EF3">
              <w:t>2009</w:t>
            </w:r>
          </w:p>
        </w:tc>
        <w:tc>
          <w:tcPr>
            <w:tcW w:w="2693" w:type="dxa"/>
            <w:tcBorders>
              <w:top w:val="single" w:sz="4" w:space="0" w:color="A6A6A6" w:themeColor="background1" w:themeShade="A6"/>
              <w:bottom w:val="single" w:sz="4" w:space="0" w:color="A6A6A6" w:themeColor="background1" w:themeShade="A6"/>
            </w:tcBorders>
          </w:tcPr>
          <w:p w14:paraId="3E9E85FD" w14:textId="77777777" w:rsidR="00B66973" w:rsidRPr="00181EF3" w:rsidRDefault="00B66973" w:rsidP="00B66973">
            <w:pPr>
              <w:pStyle w:val="TableText"/>
              <w:tabs>
                <w:tab w:val="decimal" w:pos="1191"/>
              </w:tabs>
            </w:pPr>
            <w:r w:rsidRPr="00181EF3">
              <w:t>5 (2.8</w:t>
            </w:r>
            <w:r>
              <w:t>%</w:t>
            </w:r>
            <w:r w:rsidRPr="00181EF3">
              <w:t>)</w:t>
            </w:r>
          </w:p>
        </w:tc>
        <w:tc>
          <w:tcPr>
            <w:tcW w:w="2694" w:type="dxa"/>
            <w:tcBorders>
              <w:top w:val="single" w:sz="4" w:space="0" w:color="A6A6A6" w:themeColor="background1" w:themeShade="A6"/>
              <w:bottom w:val="single" w:sz="4" w:space="0" w:color="A6A6A6" w:themeColor="background1" w:themeShade="A6"/>
            </w:tcBorders>
          </w:tcPr>
          <w:p w14:paraId="62870623" w14:textId="77777777" w:rsidR="00B66973" w:rsidRPr="00181EF3" w:rsidRDefault="00B66973" w:rsidP="00B66973">
            <w:pPr>
              <w:pStyle w:val="TableText"/>
              <w:jc w:val="center"/>
            </w:pPr>
            <w:r w:rsidRPr="00181EF3">
              <w:t>175 (97.2</w:t>
            </w:r>
            <w:r>
              <w:t>%</w:t>
            </w:r>
            <w:r w:rsidRPr="00181EF3">
              <w:t>)</w:t>
            </w:r>
          </w:p>
        </w:tc>
      </w:tr>
      <w:tr w:rsidR="00B66973" w:rsidRPr="00181EF3" w14:paraId="58CF07C7"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27D2EEF2" w14:textId="77777777" w:rsidR="00B66973" w:rsidRPr="00181EF3" w:rsidRDefault="00B66973" w:rsidP="00B66973">
            <w:pPr>
              <w:pStyle w:val="TableText"/>
              <w:jc w:val="center"/>
            </w:pPr>
            <w:r w:rsidRPr="00181EF3">
              <w:t>2010</w:t>
            </w:r>
          </w:p>
        </w:tc>
        <w:tc>
          <w:tcPr>
            <w:tcW w:w="2693" w:type="dxa"/>
            <w:tcBorders>
              <w:top w:val="single" w:sz="4" w:space="0" w:color="A6A6A6" w:themeColor="background1" w:themeShade="A6"/>
              <w:bottom w:val="single" w:sz="4" w:space="0" w:color="A6A6A6" w:themeColor="background1" w:themeShade="A6"/>
            </w:tcBorders>
          </w:tcPr>
          <w:p w14:paraId="62258BF5" w14:textId="77777777" w:rsidR="00B66973" w:rsidRPr="00181EF3" w:rsidRDefault="00B66973" w:rsidP="00B66973">
            <w:pPr>
              <w:pStyle w:val="TableText"/>
              <w:tabs>
                <w:tab w:val="decimal" w:pos="1191"/>
              </w:tabs>
            </w:pPr>
            <w:r w:rsidRPr="00181EF3">
              <w:t>12 (6.9</w:t>
            </w:r>
            <w:r>
              <w:t>%</w:t>
            </w:r>
            <w:r w:rsidRPr="00181EF3">
              <w:t>)</w:t>
            </w:r>
          </w:p>
        </w:tc>
        <w:tc>
          <w:tcPr>
            <w:tcW w:w="2694" w:type="dxa"/>
            <w:tcBorders>
              <w:top w:val="single" w:sz="4" w:space="0" w:color="A6A6A6" w:themeColor="background1" w:themeShade="A6"/>
              <w:bottom w:val="single" w:sz="4" w:space="0" w:color="A6A6A6" w:themeColor="background1" w:themeShade="A6"/>
            </w:tcBorders>
          </w:tcPr>
          <w:p w14:paraId="5577323C" w14:textId="77777777" w:rsidR="00B66973" w:rsidRPr="00181EF3" w:rsidRDefault="00B66973" w:rsidP="00B66973">
            <w:pPr>
              <w:pStyle w:val="TableText"/>
              <w:jc w:val="center"/>
            </w:pPr>
            <w:r w:rsidRPr="00181EF3">
              <w:t>161 (93.1</w:t>
            </w:r>
            <w:r>
              <w:t>%</w:t>
            </w:r>
            <w:r w:rsidRPr="00181EF3">
              <w:t>)</w:t>
            </w:r>
          </w:p>
        </w:tc>
      </w:tr>
    </w:tbl>
    <w:p w14:paraId="196A5149" w14:textId="77777777" w:rsidR="00B66973" w:rsidRPr="00181EF3" w:rsidRDefault="00B66973" w:rsidP="00B66973">
      <w:pPr>
        <w:pStyle w:val="Source"/>
      </w:pPr>
      <w:r w:rsidRPr="00181EF3">
        <w:t>Source: New Zealand Podiatrists Board, 2005–2010.</w:t>
      </w:r>
    </w:p>
    <w:p w14:paraId="1EBD17E4" w14:textId="77777777" w:rsidR="00B66973" w:rsidRPr="00181EF3" w:rsidRDefault="00B66973" w:rsidP="00B66973"/>
    <w:p w14:paraId="574A4C69" w14:textId="630722E4" w:rsidR="00B16E84" w:rsidRPr="00181EF3" w:rsidRDefault="00B16E84" w:rsidP="001338CA">
      <w:r w:rsidRPr="00181EF3">
        <w:t xml:space="preserve">Table </w:t>
      </w:r>
      <w:r>
        <w:t>49</w:t>
      </w:r>
      <w:r w:rsidRPr="00181EF3">
        <w:t xml:space="preserve"> shows the estimated number and percentage of Māori and </w:t>
      </w:r>
      <w:r w:rsidR="00EC03A3">
        <w:t>non</w:t>
      </w:r>
      <w:r w:rsidR="00EC03A3">
        <w:noBreakHyphen/>
        <w:t>M</w:t>
      </w:r>
      <w:r w:rsidRPr="00181EF3">
        <w:t>āori in the podiatry workforce from 2005 to 2010.</w:t>
      </w:r>
    </w:p>
    <w:p w14:paraId="58623607" w14:textId="77777777" w:rsidR="00B16E84" w:rsidRPr="00181EF3" w:rsidRDefault="00B16E84" w:rsidP="001338CA"/>
    <w:p w14:paraId="4ABF9B3C" w14:textId="079AB769" w:rsidR="00B16E84" w:rsidRPr="00181EF3" w:rsidRDefault="00B16E84" w:rsidP="001338CA">
      <w:r w:rsidRPr="00181EF3">
        <w:t xml:space="preserve">The number and percentage of Māori in the podiatry workforce increased slightly over time – from 4.7 percent in 2005 to 6.9 percent in 2010 (8 to 12 Māori podiatrists). In comparison, the number of </w:t>
      </w:r>
      <w:r w:rsidR="00EC03A3">
        <w:t>non</w:t>
      </w:r>
      <w:r w:rsidR="00EC03A3">
        <w:noBreakHyphen/>
        <w:t>M</w:t>
      </w:r>
      <w:r w:rsidRPr="00181EF3">
        <w:t xml:space="preserve">āori podiatrists did not change much over time – an average of 161 </w:t>
      </w:r>
      <w:r w:rsidR="00EC03A3">
        <w:t>non</w:t>
      </w:r>
      <w:r w:rsidR="00EC03A3">
        <w:noBreakHyphen/>
        <w:t>M</w:t>
      </w:r>
      <w:r w:rsidRPr="00181EF3">
        <w:t xml:space="preserve">āori podiatrists between 2005 and 2010. The percentage of </w:t>
      </w:r>
      <w:r w:rsidR="00EC03A3">
        <w:t>non</w:t>
      </w:r>
      <w:r w:rsidR="00EC03A3">
        <w:noBreakHyphen/>
        <w:t>M</w:t>
      </w:r>
      <w:r w:rsidRPr="00181EF3">
        <w:t>āori in the podiatry workforce decreased from 95.3 percent in 2005 to 93.1 percent in 2010.</w:t>
      </w:r>
    </w:p>
    <w:p w14:paraId="33B32DD5" w14:textId="77777777" w:rsidR="00B16E84" w:rsidRPr="00181EF3" w:rsidRDefault="00B16E84" w:rsidP="00B16E84"/>
    <w:p w14:paraId="7BF20078" w14:textId="69BDEDF4" w:rsidR="00B16E84" w:rsidRDefault="00B16E84" w:rsidP="00B16E84">
      <w:r w:rsidRPr="00181EF3">
        <w:t xml:space="preserve">Despite the increase in percentage, the </w:t>
      </w:r>
      <w:r>
        <w:t>p</w:t>
      </w:r>
      <w:r w:rsidRPr="00181EF3">
        <w:t xml:space="preserve">odiatry workforce remained a poor reflection of the ethnic population distribution in New Zealand (14.9 percent Māori, 85.1 percent </w:t>
      </w:r>
      <w:r w:rsidR="00EC03A3">
        <w:t>non</w:t>
      </w:r>
      <w:r w:rsidR="00EC03A3">
        <w:noBreakHyphen/>
        <w:t>M</w:t>
      </w:r>
      <w:r w:rsidRPr="00181EF3">
        <w:t>āori).</w:t>
      </w:r>
      <w:r w:rsidRPr="00181EF3">
        <w:rPr>
          <w:rStyle w:val="FootnoteReference"/>
        </w:rPr>
        <w:footnoteReference w:id="24"/>
      </w:r>
    </w:p>
    <w:p w14:paraId="337371FD" w14:textId="77777777" w:rsidR="001338CA" w:rsidRPr="00181EF3" w:rsidRDefault="001338CA" w:rsidP="00B16E84"/>
    <w:p w14:paraId="07D36854" w14:textId="77777777" w:rsidR="00B66973" w:rsidRPr="00181EF3" w:rsidRDefault="00B66973" w:rsidP="001338CA">
      <w:pPr>
        <w:pStyle w:val="Heading2"/>
        <w:pageBreakBefore/>
        <w:spacing w:before="0"/>
      </w:pPr>
      <w:bookmarkStart w:id="438" w:name="_Toc19102466"/>
      <w:r w:rsidRPr="00181EF3">
        <w:lastRenderedPageBreak/>
        <w:t>Osteopathic Council of New Zealand – osteopaths</w:t>
      </w:r>
      <w:bookmarkEnd w:id="438"/>
    </w:p>
    <w:p w14:paraId="04FFEED2" w14:textId="67A6C0A6" w:rsidR="00B66973" w:rsidRPr="00181EF3" w:rsidRDefault="00B66973" w:rsidP="00B66973">
      <w:pPr>
        <w:pStyle w:val="Table"/>
      </w:pPr>
      <w:bookmarkStart w:id="439" w:name="_Toc18594790"/>
      <w:r w:rsidRPr="00181EF3">
        <w:t xml:space="preserve">Table </w:t>
      </w:r>
      <w:r>
        <w:t>50</w:t>
      </w:r>
      <w:r w:rsidRPr="00181EF3">
        <w:t xml:space="preserve">: Estimated number (percentage in workforce) of Māori and </w:t>
      </w:r>
      <w:r w:rsidR="00EC03A3">
        <w:t>non</w:t>
      </w:r>
      <w:r w:rsidR="00EC03A3">
        <w:noBreakHyphen/>
        <w:t>M</w:t>
      </w:r>
      <w:r w:rsidRPr="00181EF3">
        <w:t>āori in the osteopath workforce, 2005–2010</w:t>
      </w:r>
      <w:bookmarkEnd w:id="439"/>
    </w:p>
    <w:tbl>
      <w:tblPr>
        <w:tblW w:w="0" w:type="auto"/>
        <w:tblInd w:w="57" w:type="dxa"/>
        <w:tblLayout w:type="fixed"/>
        <w:tblCellMar>
          <w:left w:w="57" w:type="dxa"/>
          <w:right w:w="57" w:type="dxa"/>
        </w:tblCellMar>
        <w:tblLook w:val="04A0" w:firstRow="1" w:lastRow="0" w:firstColumn="1" w:lastColumn="0" w:noHBand="0" w:noVBand="1"/>
      </w:tblPr>
      <w:tblGrid>
        <w:gridCol w:w="2693"/>
        <w:gridCol w:w="2693"/>
        <w:gridCol w:w="2694"/>
      </w:tblGrid>
      <w:tr w:rsidR="00B66973" w:rsidRPr="00181EF3" w14:paraId="799055C3" w14:textId="77777777" w:rsidTr="00B66973">
        <w:trPr>
          <w:cantSplit/>
        </w:trPr>
        <w:tc>
          <w:tcPr>
            <w:tcW w:w="8080" w:type="dxa"/>
            <w:gridSpan w:val="3"/>
            <w:shd w:val="clear" w:color="auto" w:fill="D9D9D9" w:themeFill="background1" w:themeFillShade="D9"/>
          </w:tcPr>
          <w:p w14:paraId="69799D31" w14:textId="77777777" w:rsidR="00B66973" w:rsidRPr="00181EF3" w:rsidRDefault="00B66973" w:rsidP="00B66973">
            <w:pPr>
              <w:pStyle w:val="TableText"/>
              <w:jc w:val="center"/>
              <w:rPr>
                <w:b/>
              </w:rPr>
            </w:pPr>
            <w:r w:rsidRPr="00181EF3">
              <w:rPr>
                <w:b/>
              </w:rPr>
              <w:t>Osteopaths (2005–2010)</w:t>
            </w:r>
          </w:p>
        </w:tc>
      </w:tr>
      <w:tr w:rsidR="00B66973" w:rsidRPr="00181EF3" w14:paraId="4C9CB62A" w14:textId="77777777" w:rsidTr="00B66973">
        <w:trPr>
          <w:cantSplit/>
        </w:trPr>
        <w:tc>
          <w:tcPr>
            <w:tcW w:w="2693" w:type="dxa"/>
            <w:shd w:val="clear" w:color="auto" w:fill="F2F2F2" w:themeFill="background1" w:themeFillShade="F2"/>
          </w:tcPr>
          <w:p w14:paraId="3137086F" w14:textId="77777777" w:rsidR="00B66973" w:rsidRPr="00181EF3" w:rsidRDefault="00B66973" w:rsidP="00B66973">
            <w:pPr>
              <w:pStyle w:val="TableText"/>
              <w:jc w:val="center"/>
              <w:rPr>
                <w:b/>
              </w:rPr>
            </w:pPr>
            <w:r w:rsidRPr="00181EF3">
              <w:rPr>
                <w:b/>
              </w:rPr>
              <w:t>Year</w:t>
            </w:r>
          </w:p>
        </w:tc>
        <w:tc>
          <w:tcPr>
            <w:tcW w:w="2693" w:type="dxa"/>
            <w:shd w:val="clear" w:color="auto" w:fill="F2F2F2" w:themeFill="background1" w:themeFillShade="F2"/>
          </w:tcPr>
          <w:p w14:paraId="274B6810" w14:textId="77777777" w:rsidR="00B66973" w:rsidRPr="00181EF3" w:rsidRDefault="00B66973" w:rsidP="00B66973">
            <w:pPr>
              <w:pStyle w:val="TableText"/>
              <w:jc w:val="center"/>
              <w:rPr>
                <w:b/>
              </w:rPr>
            </w:pPr>
            <w:r w:rsidRPr="00181EF3">
              <w:rPr>
                <w:b/>
              </w:rPr>
              <w:t>Māori</w:t>
            </w:r>
          </w:p>
        </w:tc>
        <w:tc>
          <w:tcPr>
            <w:tcW w:w="2694" w:type="dxa"/>
            <w:shd w:val="clear" w:color="auto" w:fill="F2F2F2" w:themeFill="background1" w:themeFillShade="F2"/>
          </w:tcPr>
          <w:p w14:paraId="12E3EA35" w14:textId="53FD20A6" w:rsidR="00B66973" w:rsidRPr="00181EF3" w:rsidRDefault="00EC03A3" w:rsidP="00B66973">
            <w:pPr>
              <w:pStyle w:val="TableText"/>
              <w:jc w:val="center"/>
              <w:rPr>
                <w:b/>
              </w:rPr>
            </w:pPr>
            <w:r>
              <w:rPr>
                <w:b/>
              </w:rPr>
              <w:t>Non</w:t>
            </w:r>
            <w:r>
              <w:rPr>
                <w:b/>
              </w:rPr>
              <w:noBreakHyphen/>
              <w:t>M</w:t>
            </w:r>
            <w:r w:rsidR="00B66973" w:rsidRPr="00181EF3">
              <w:rPr>
                <w:b/>
              </w:rPr>
              <w:t>āori</w:t>
            </w:r>
          </w:p>
        </w:tc>
      </w:tr>
      <w:tr w:rsidR="00B66973" w:rsidRPr="00181EF3" w14:paraId="459AF887" w14:textId="77777777" w:rsidTr="00B66973">
        <w:trPr>
          <w:cantSplit/>
        </w:trPr>
        <w:tc>
          <w:tcPr>
            <w:tcW w:w="2693" w:type="dxa"/>
            <w:tcBorders>
              <w:bottom w:val="single" w:sz="4" w:space="0" w:color="A6A6A6" w:themeColor="background1" w:themeShade="A6"/>
            </w:tcBorders>
          </w:tcPr>
          <w:p w14:paraId="33054AF7" w14:textId="77777777" w:rsidR="00B66973" w:rsidRPr="00181EF3" w:rsidRDefault="00B66973" w:rsidP="00B66973">
            <w:pPr>
              <w:pStyle w:val="TableText"/>
              <w:jc w:val="center"/>
            </w:pPr>
            <w:r w:rsidRPr="00181EF3">
              <w:t>2005</w:t>
            </w:r>
          </w:p>
        </w:tc>
        <w:tc>
          <w:tcPr>
            <w:tcW w:w="2693" w:type="dxa"/>
            <w:tcBorders>
              <w:bottom w:val="single" w:sz="4" w:space="0" w:color="A6A6A6" w:themeColor="background1" w:themeShade="A6"/>
            </w:tcBorders>
          </w:tcPr>
          <w:p w14:paraId="6D19BA2C" w14:textId="77777777" w:rsidR="00B66973" w:rsidRPr="00181EF3" w:rsidRDefault="00B66973" w:rsidP="00B66973">
            <w:pPr>
              <w:pStyle w:val="TableText"/>
              <w:tabs>
                <w:tab w:val="decimal" w:pos="1191"/>
              </w:tabs>
            </w:pPr>
            <w:r w:rsidRPr="00181EF3">
              <w:t>7 (2.3</w:t>
            </w:r>
            <w:r>
              <w:t>%</w:t>
            </w:r>
            <w:r w:rsidRPr="00181EF3">
              <w:t>)</w:t>
            </w:r>
          </w:p>
        </w:tc>
        <w:tc>
          <w:tcPr>
            <w:tcW w:w="2694" w:type="dxa"/>
            <w:tcBorders>
              <w:bottom w:val="single" w:sz="4" w:space="0" w:color="A6A6A6" w:themeColor="background1" w:themeShade="A6"/>
            </w:tcBorders>
          </w:tcPr>
          <w:p w14:paraId="0F081F07" w14:textId="77777777" w:rsidR="00B66973" w:rsidRPr="00181EF3" w:rsidRDefault="00B66973" w:rsidP="00B66973">
            <w:pPr>
              <w:pStyle w:val="TableText"/>
              <w:jc w:val="center"/>
            </w:pPr>
            <w:r w:rsidRPr="00181EF3">
              <w:t>295 (97.7</w:t>
            </w:r>
            <w:r>
              <w:t>%</w:t>
            </w:r>
            <w:r w:rsidRPr="00181EF3">
              <w:t>)</w:t>
            </w:r>
          </w:p>
        </w:tc>
      </w:tr>
      <w:tr w:rsidR="00B66973" w:rsidRPr="00181EF3" w14:paraId="0D430120"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653D3A98" w14:textId="77777777" w:rsidR="00B66973" w:rsidRPr="00181EF3" w:rsidRDefault="00B66973" w:rsidP="00B66973">
            <w:pPr>
              <w:pStyle w:val="TableText"/>
              <w:jc w:val="center"/>
            </w:pPr>
            <w:r w:rsidRPr="00181EF3">
              <w:t>2006</w:t>
            </w:r>
          </w:p>
        </w:tc>
        <w:tc>
          <w:tcPr>
            <w:tcW w:w="2693" w:type="dxa"/>
            <w:tcBorders>
              <w:top w:val="single" w:sz="4" w:space="0" w:color="A6A6A6" w:themeColor="background1" w:themeShade="A6"/>
              <w:bottom w:val="single" w:sz="4" w:space="0" w:color="A6A6A6" w:themeColor="background1" w:themeShade="A6"/>
            </w:tcBorders>
          </w:tcPr>
          <w:p w14:paraId="78FDB41B" w14:textId="77777777" w:rsidR="00B66973" w:rsidRPr="00181EF3" w:rsidRDefault="00B66973" w:rsidP="00B66973">
            <w:pPr>
              <w:pStyle w:val="TableText"/>
              <w:tabs>
                <w:tab w:val="decimal" w:pos="1191"/>
              </w:tabs>
            </w:pPr>
            <w:r w:rsidRPr="00181EF3">
              <w:t>5 (2.0</w:t>
            </w:r>
            <w:r>
              <w:t>%</w:t>
            </w:r>
            <w:r w:rsidRPr="00181EF3">
              <w:t>)</w:t>
            </w:r>
          </w:p>
        </w:tc>
        <w:tc>
          <w:tcPr>
            <w:tcW w:w="2694" w:type="dxa"/>
            <w:tcBorders>
              <w:top w:val="single" w:sz="4" w:space="0" w:color="A6A6A6" w:themeColor="background1" w:themeShade="A6"/>
              <w:bottom w:val="single" w:sz="4" w:space="0" w:color="A6A6A6" w:themeColor="background1" w:themeShade="A6"/>
            </w:tcBorders>
          </w:tcPr>
          <w:p w14:paraId="37F35650" w14:textId="77777777" w:rsidR="00B66973" w:rsidRPr="00181EF3" w:rsidRDefault="00B66973" w:rsidP="00B66973">
            <w:pPr>
              <w:pStyle w:val="TableText"/>
              <w:jc w:val="center"/>
            </w:pPr>
            <w:r w:rsidRPr="00181EF3">
              <w:t>247 (98.0</w:t>
            </w:r>
            <w:r>
              <w:t>%</w:t>
            </w:r>
            <w:r w:rsidRPr="00181EF3">
              <w:t>)</w:t>
            </w:r>
          </w:p>
        </w:tc>
      </w:tr>
      <w:tr w:rsidR="00B66973" w:rsidRPr="00181EF3" w14:paraId="540336DF"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5E8ED5BB" w14:textId="77777777" w:rsidR="00B66973" w:rsidRPr="00181EF3" w:rsidRDefault="00B66973" w:rsidP="00B66973">
            <w:pPr>
              <w:pStyle w:val="TableText"/>
              <w:jc w:val="center"/>
            </w:pPr>
            <w:r w:rsidRPr="00181EF3">
              <w:t>2007</w:t>
            </w:r>
          </w:p>
        </w:tc>
        <w:tc>
          <w:tcPr>
            <w:tcW w:w="2693" w:type="dxa"/>
            <w:tcBorders>
              <w:top w:val="single" w:sz="4" w:space="0" w:color="A6A6A6" w:themeColor="background1" w:themeShade="A6"/>
              <w:bottom w:val="single" w:sz="4" w:space="0" w:color="A6A6A6" w:themeColor="background1" w:themeShade="A6"/>
            </w:tcBorders>
          </w:tcPr>
          <w:p w14:paraId="28AA4E1D" w14:textId="77777777" w:rsidR="00B66973" w:rsidRPr="00181EF3" w:rsidRDefault="00B66973" w:rsidP="00B66973">
            <w:pPr>
              <w:pStyle w:val="TableText"/>
              <w:tabs>
                <w:tab w:val="decimal" w:pos="1191"/>
              </w:tabs>
            </w:pPr>
            <w:r w:rsidRPr="00181EF3">
              <w:t>5 (1.9</w:t>
            </w:r>
            <w:r>
              <w:t>%</w:t>
            </w:r>
            <w:r w:rsidRPr="00181EF3">
              <w:t>)</w:t>
            </w:r>
          </w:p>
        </w:tc>
        <w:tc>
          <w:tcPr>
            <w:tcW w:w="2694" w:type="dxa"/>
            <w:tcBorders>
              <w:top w:val="single" w:sz="4" w:space="0" w:color="A6A6A6" w:themeColor="background1" w:themeShade="A6"/>
              <w:bottom w:val="single" w:sz="4" w:space="0" w:color="A6A6A6" w:themeColor="background1" w:themeShade="A6"/>
            </w:tcBorders>
          </w:tcPr>
          <w:p w14:paraId="28836695" w14:textId="77777777" w:rsidR="00B66973" w:rsidRPr="00181EF3" w:rsidRDefault="00B66973" w:rsidP="00B66973">
            <w:pPr>
              <w:pStyle w:val="TableText"/>
              <w:jc w:val="center"/>
            </w:pPr>
            <w:r w:rsidRPr="00181EF3">
              <w:t>264 (98.1</w:t>
            </w:r>
            <w:r>
              <w:t>%</w:t>
            </w:r>
            <w:r w:rsidRPr="00181EF3">
              <w:t>)</w:t>
            </w:r>
          </w:p>
        </w:tc>
      </w:tr>
      <w:tr w:rsidR="00B66973" w:rsidRPr="00181EF3" w14:paraId="7C5FD712"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1A5CF390" w14:textId="77777777" w:rsidR="00B66973" w:rsidRPr="00181EF3" w:rsidRDefault="00B66973" w:rsidP="00B66973">
            <w:pPr>
              <w:pStyle w:val="TableText"/>
              <w:jc w:val="center"/>
            </w:pPr>
            <w:r w:rsidRPr="00181EF3">
              <w:t>2008</w:t>
            </w:r>
          </w:p>
        </w:tc>
        <w:tc>
          <w:tcPr>
            <w:tcW w:w="2693" w:type="dxa"/>
            <w:tcBorders>
              <w:top w:val="single" w:sz="4" w:space="0" w:color="A6A6A6" w:themeColor="background1" w:themeShade="A6"/>
              <w:bottom w:val="single" w:sz="4" w:space="0" w:color="A6A6A6" w:themeColor="background1" w:themeShade="A6"/>
            </w:tcBorders>
          </w:tcPr>
          <w:p w14:paraId="7AF89A06" w14:textId="77777777" w:rsidR="00B66973" w:rsidRPr="00181EF3" w:rsidRDefault="00B66973" w:rsidP="00B66973">
            <w:pPr>
              <w:pStyle w:val="TableText"/>
              <w:tabs>
                <w:tab w:val="decimal" w:pos="1191"/>
              </w:tabs>
            </w:pPr>
            <w:r w:rsidRPr="00181EF3">
              <w:t>5 (1.8</w:t>
            </w:r>
            <w:r>
              <w:t>%</w:t>
            </w:r>
            <w:r w:rsidRPr="00181EF3">
              <w:t>)</w:t>
            </w:r>
          </w:p>
        </w:tc>
        <w:tc>
          <w:tcPr>
            <w:tcW w:w="2694" w:type="dxa"/>
            <w:tcBorders>
              <w:top w:val="single" w:sz="4" w:space="0" w:color="A6A6A6" w:themeColor="background1" w:themeShade="A6"/>
              <w:bottom w:val="single" w:sz="4" w:space="0" w:color="A6A6A6" w:themeColor="background1" w:themeShade="A6"/>
            </w:tcBorders>
          </w:tcPr>
          <w:p w14:paraId="2E39D9A8" w14:textId="77777777" w:rsidR="00B66973" w:rsidRPr="00181EF3" w:rsidRDefault="00B66973" w:rsidP="00B66973">
            <w:pPr>
              <w:pStyle w:val="TableText"/>
              <w:jc w:val="center"/>
            </w:pPr>
            <w:r w:rsidRPr="00181EF3">
              <w:t>266 (98.2</w:t>
            </w:r>
            <w:r>
              <w:t>%</w:t>
            </w:r>
            <w:r w:rsidRPr="00181EF3">
              <w:t>)</w:t>
            </w:r>
          </w:p>
        </w:tc>
      </w:tr>
      <w:tr w:rsidR="00B66973" w:rsidRPr="00181EF3" w14:paraId="43C484EC"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03CAD3F7" w14:textId="77777777" w:rsidR="00B66973" w:rsidRPr="00181EF3" w:rsidRDefault="00B66973" w:rsidP="00B66973">
            <w:pPr>
              <w:pStyle w:val="TableText"/>
              <w:jc w:val="center"/>
            </w:pPr>
            <w:r w:rsidRPr="00181EF3">
              <w:t>2009</w:t>
            </w:r>
          </w:p>
        </w:tc>
        <w:tc>
          <w:tcPr>
            <w:tcW w:w="2693" w:type="dxa"/>
            <w:tcBorders>
              <w:top w:val="single" w:sz="4" w:space="0" w:color="A6A6A6" w:themeColor="background1" w:themeShade="A6"/>
              <w:bottom w:val="single" w:sz="4" w:space="0" w:color="A6A6A6" w:themeColor="background1" w:themeShade="A6"/>
            </w:tcBorders>
          </w:tcPr>
          <w:p w14:paraId="1732591D" w14:textId="77777777" w:rsidR="00B66973" w:rsidRPr="00181EF3" w:rsidRDefault="00B66973" w:rsidP="00B66973">
            <w:pPr>
              <w:pStyle w:val="TableText"/>
              <w:tabs>
                <w:tab w:val="decimal" w:pos="1191"/>
              </w:tabs>
            </w:pPr>
            <w:r w:rsidRPr="00181EF3">
              <w:t>10 (3.4</w:t>
            </w:r>
            <w:r>
              <w:t>%</w:t>
            </w:r>
            <w:r w:rsidRPr="00181EF3">
              <w:t>)</w:t>
            </w:r>
          </w:p>
        </w:tc>
        <w:tc>
          <w:tcPr>
            <w:tcW w:w="2694" w:type="dxa"/>
            <w:tcBorders>
              <w:top w:val="single" w:sz="4" w:space="0" w:color="A6A6A6" w:themeColor="background1" w:themeShade="A6"/>
              <w:bottom w:val="single" w:sz="4" w:space="0" w:color="A6A6A6" w:themeColor="background1" w:themeShade="A6"/>
            </w:tcBorders>
          </w:tcPr>
          <w:p w14:paraId="019171B9" w14:textId="77777777" w:rsidR="00B66973" w:rsidRPr="00181EF3" w:rsidRDefault="00B66973" w:rsidP="00B66973">
            <w:pPr>
              <w:pStyle w:val="TableText"/>
              <w:jc w:val="center"/>
            </w:pPr>
            <w:r w:rsidRPr="00181EF3">
              <w:t>283 (96.6</w:t>
            </w:r>
            <w:r>
              <w:t>%</w:t>
            </w:r>
            <w:r w:rsidRPr="00181EF3">
              <w:t>)</w:t>
            </w:r>
          </w:p>
        </w:tc>
      </w:tr>
      <w:tr w:rsidR="00B66973" w:rsidRPr="00181EF3" w14:paraId="40648A31" w14:textId="77777777" w:rsidTr="00B66973">
        <w:trPr>
          <w:cantSplit/>
        </w:trPr>
        <w:tc>
          <w:tcPr>
            <w:tcW w:w="2693" w:type="dxa"/>
            <w:tcBorders>
              <w:top w:val="single" w:sz="4" w:space="0" w:color="A6A6A6" w:themeColor="background1" w:themeShade="A6"/>
              <w:bottom w:val="single" w:sz="4" w:space="0" w:color="A6A6A6" w:themeColor="background1" w:themeShade="A6"/>
            </w:tcBorders>
          </w:tcPr>
          <w:p w14:paraId="652C2CD9" w14:textId="77777777" w:rsidR="00B66973" w:rsidRPr="00181EF3" w:rsidRDefault="00B66973" w:rsidP="00B66973">
            <w:pPr>
              <w:pStyle w:val="TableText"/>
              <w:jc w:val="center"/>
            </w:pPr>
            <w:r w:rsidRPr="00181EF3">
              <w:t>2010</w:t>
            </w:r>
          </w:p>
        </w:tc>
        <w:tc>
          <w:tcPr>
            <w:tcW w:w="2693" w:type="dxa"/>
            <w:tcBorders>
              <w:top w:val="single" w:sz="4" w:space="0" w:color="A6A6A6" w:themeColor="background1" w:themeShade="A6"/>
              <w:bottom w:val="single" w:sz="4" w:space="0" w:color="A6A6A6" w:themeColor="background1" w:themeShade="A6"/>
            </w:tcBorders>
          </w:tcPr>
          <w:p w14:paraId="6AC16156" w14:textId="77777777" w:rsidR="00B66973" w:rsidRPr="00181EF3" w:rsidRDefault="00B66973" w:rsidP="00B66973">
            <w:pPr>
              <w:pStyle w:val="TableText"/>
              <w:tabs>
                <w:tab w:val="decimal" w:pos="1191"/>
              </w:tabs>
            </w:pPr>
            <w:r w:rsidRPr="00181EF3">
              <w:t>7 (2.5</w:t>
            </w:r>
            <w:r>
              <w:t>%</w:t>
            </w:r>
            <w:r w:rsidRPr="00181EF3">
              <w:t>)</w:t>
            </w:r>
          </w:p>
        </w:tc>
        <w:tc>
          <w:tcPr>
            <w:tcW w:w="2694" w:type="dxa"/>
            <w:tcBorders>
              <w:top w:val="single" w:sz="4" w:space="0" w:color="A6A6A6" w:themeColor="background1" w:themeShade="A6"/>
              <w:bottom w:val="single" w:sz="4" w:space="0" w:color="A6A6A6" w:themeColor="background1" w:themeShade="A6"/>
            </w:tcBorders>
          </w:tcPr>
          <w:p w14:paraId="17C01EA6" w14:textId="77777777" w:rsidR="00B66973" w:rsidRPr="00181EF3" w:rsidRDefault="00B66973" w:rsidP="00B66973">
            <w:pPr>
              <w:pStyle w:val="TableText"/>
              <w:jc w:val="center"/>
            </w:pPr>
            <w:r w:rsidRPr="00181EF3">
              <w:t>274 (97.5</w:t>
            </w:r>
            <w:r>
              <w:t>%</w:t>
            </w:r>
            <w:r w:rsidRPr="00181EF3">
              <w:t>)</w:t>
            </w:r>
          </w:p>
        </w:tc>
      </w:tr>
    </w:tbl>
    <w:p w14:paraId="6C164301" w14:textId="77777777" w:rsidR="00B66973" w:rsidRPr="00181EF3" w:rsidRDefault="00B66973" w:rsidP="00B66973">
      <w:pPr>
        <w:pStyle w:val="Source"/>
      </w:pPr>
      <w:r w:rsidRPr="00181EF3">
        <w:t>Source: Osteopathic Council of New Zealand, 2005–2010.</w:t>
      </w:r>
    </w:p>
    <w:p w14:paraId="2D1568F6" w14:textId="77777777" w:rsidR="00B66973" w:rsidRPr="00181EF3" w:rsidRDefault="00B66973" w:rsidP="00B66973"/>
    <w:p w14:paraId="296878EA" w14:textId="52376AC6" w:rsidR="00B16E84" w:rsidRPr="00181EF3" w:rsidRDefault="00B16E84" w:rsidP="001338CA">
      <w:r w:rsidRPr="00181EF3">
        <w:t>Table 5</w:t>
      </w:r>
      <w:r>
        <w:t>0</w:t>
      </w:r>
      <w:r w:rsidRPr="00181EF3">
        <w:t xml:space="preserve"> shows the estimated number and percentage of Māori and </w:t>
      </w:r>
      <w:r w:rsidR="00EC03A3">
        <w:t>non</w:t>
      </w:r>
      <w:r w:rsidR="00EC03A3">
        <w:noBreakHyphen/>
        <w:t>M</w:t>
      </w:r>
      <w:r w:rsidRPr="00181EF3">
        <w:t>āori in the osteopath workforce from 2005 to 2010.</w:t>
      </w:r>
    </w:p>
    <w:p w14:paraId="27F370CA" w14:textId="77777777" w:rsidR="00B16E84" w:rsidRPr="00181EF3" w:rsidRDefault="00B16E84" w:rsidP="001338CA"/>
    <w:p w14:paraId="413ACFAC" w14:textId="301BA267" w:rsidR="00B16E84" w:rsidRPr="00181EF3" w:rsidRDefault="00B16E84" w:rsidP="001338CA">
      <w:r w:rsidRPr="00181EF3">
        <w:t xml:space="preserve">The number and percentage of Māori in the osteopath workforce did not change much over time – the average percentage of Māori in the osteopath workforce between 2005 and 2010 was 2.3 percent (average of 7 Māori osteopaths, compared </w:t>
      </w:r>
      <w:r w:rsidR="00FF1892">
        <w:t>with</w:t>
      </w:r>
      <w:r w:rsidR="00FF1892" w:rsidRPr="00181EF3">
        <w:t xml:space="preserve"> </w:t>
      </w:r>
      <w:r w:rsidRPr="00181EF3">
        <w:t>an average of 272 </w:t>
      </w:r>
      <w:r w:rsidR="00EC03A3">
        <w:t>non</w:t>
      </w:r>
      <w:r w:rsidR="00EC03A3">
        <w:noBreakHyphen/>
        <w:t>M</w:t>
      </w:r>
      <w:r w:rsidRPr="00181EF3">
        <w:t xml:space="preserve">āori). The osteopath workforce does not reflect the ethnic population distribution in New Zealand (14.9 percent Māori, 85.1 percent </w:t>
      </w:r>
      <w:r w:rsidR="00EC03A3">
        <w:t>non</w:t>
      </w:r>
      <w:r w:rsidR="00EC03A3">
        <w:noBreakHyphen/>
        <w:t>M</w:t>
      </w:r>
      <w:r w:rsidRPr="00181EF3">
        <w:t>āori).</w:t>
      </w:r>
      <w:r w:rsidRPr="00181EF3">
        <w:rPr>
          <w:rStyle w:val="FootnoteReference"/>
        </w:rPr>
        <w:footnoteReference w:id="25"/>
      </w:r>
    </w:p>
    <w:p w14:paraId="083DCE9B" w14:textId="77777777" w:rsidR="00B66973" w:rsidRDefault="00B66973" w:rsidP="001338CA"/>
    <w:p w14:paraId="19FCB0EF" w14:textId="77777777" w:rsidR="00B66973" w:rsidRPr="00181EF3" w:rsidRDefault="00B66973" w:rsidP="001338CA">
      <w:pPr>
        <w:pStyle w:val="Heading2"/>
        <w:pageBreakBefore/>
        <w:spacing w:before="0"/>
      </w:pPr>
      <w:bookmarkStart w:id="440" w:name="_Toc19102467"/>
      <w:r w:rsidRPr="00181EF3">
        <w:lastRenderedPageBreak/>
        <w:t>New Zealand Chiropractic Board – chiropractors</w:t>
      </w:r>
      <w:bookmarkEnd w:id="440"/>
    </w:p>
    <w:p w14:paraId="751F3A36" w14:textId="30EFB31E" w:rsidR="00B66973" w:rsidRPr="00181EF3" w:rsidRDefault="00B66973" w:rsidP="00B66973">
      <w:pPr>
        <w:pStyle w:val="Table"/>
      </w:pPr>
      <w:bookmarkStart w:id="441" w:name="_Toc18594791"/>
      <w:r w:rsidRPr="00181EF3">
        <w:t xml:space="preserve">Table </w:t>
      </w:r>
      <w:r>
        <w:t>51</w:t>
      </w:r>
      <w:r w:rsidRPr="00181EF3">
        <w:t xml:space="preserve">: Estimated number (percentage in workforce) of Māori and </w:t>
      </w:r>
      <w:r w:rsidR="00EC03A3">
        <w:t>non</w:t>
      </w:r>
      <w:r w:rsidR="00EC03A3">
        <w:noBreakHyphen/>
        <w:t>M</w:t>
      </w:r>
      <w:r w:rsidRPr="00181EF3">
        <w:t>āori in the chiropractor workforce, 2005–2010</w:t>
      </w:r>
      <w:bookmarkEnd w:id="441"/>
    </w:p>
    <w:tbl>
      <w:tblPr>
        <w:tblW w:w="0" w:type="auto"/>
        <w:tblInd w:w="57" w:type="dxa"/>
        <w:tblLayout w:type="fixed"/>
        <w:tblCellMar>
          <w:left w:w="57" w:type="dxa"/>
          <w:right w:w="57" w:type="dxa"/>
        </w:tblCellMar>
        <w:tblLook w:val="04A0" w:firstRow="1" w:lastRow="0" w:firstColumn="1" w:lastColumn="0" w:noHBand="0" w:noVBand="1"/>
      </w:tblPr>
      <w:tblGrid>
        <w:gridCol w:w="2693"/>
        <w:gridCol w:w="2693"/>
        <w:gridCol w:w="2694"/>
      </w:tblGrid>
      <w:tr w:rsidR="00B66973" w:rsidRPr="00181EF3" w14:paraId="5993D1B2" w14:textId="77777777" w:rsidTr="00B66973">
        <w:trPr>
          <w:cantSplit/>
          <w:trHeight w:val="359"/>
        </w:trPr>
        <w:tc>
          <w:tcPr>
            <w:tcW w:w="8080" w:type="dxa"/>
            <w:gridSpan w:val="3"/>
            <w:shd w:val="clear" w:color="auto" w:fill="D9D9D9" w:themeFill="background1" w:themeFillShade="D9"/>
          </w:tcPr>
          <w:p w14:paraId="4A0915BD" w14:textId="77777777" w:rsidR="00B66973" w:rsidRPr="00181EF3" w:rsidRDefault="00B66973" w:rsidP="00B66973">
            <w:pPr>
              <w:pStyle w:val="TableText"/>
              <w:jc w:val="center"/>
              <w:rPr>
                <w:b/>
              </w:rPr>
            </w:pPr>
            <w:r w:rsidRPr="00181EF3">
              <w:rPr>
                <w:b/>
              </w:rPr>
              <w:t>Chiropractors (2005–2010)</w:t>
            </w:r>
          </w:p>
        </w:tc>
      </w:tr>
      <w:tr w:rsidR="00B66973" w:rsidRPr="00181EF3" w14:paraId="1CDCB0DD" w14:textId="77777777" w:rsidTr="00B66973">
        <w:trPr>
          <w:cantSplit/>
          <w:trHeight w:val="359"/>
        </w:trPr>
        <w:tc>
          <w:tcPr>
            <w:tcW w:w="2693" w:type="dxa"/>
            <w:shd w:val="clear" w:color="auto" w:fill="F2F2F2" w:themeFill="background1" w:themeFillShade="F2"/>
          </w:tcPr>
          <w:p w14:paraId="16E071EF" w14:textId="77777777" w:rsidR="00B66973" w:rsidRPr="00181EF3" w:rsidRDefault="00B66973" w:rsidP="00B66973">
            <w:pPr>
              <w:pStyle w:val="TableText"/>
              <w:jc w:val="center"/>
              <w:rPr>
                <w:b/>
              </w:rPr>
            </w:pPr>
            <w:r w:rsidRPr="00181EF3">
              <w:rPr>
                <w:b/>
              </w:rPr>
              <w:t>Year</w:t>
            </w:r>
          </w:p>
        </w:tc>
        <w:tc>
          <w:tcPr>
            <w:tcW w:w="2693" w:type="dxa"/>
            <w:shd w:val="clear" w:color="auto" w:fill="F2F2F2" w:themeFill="background1" w:themeFillShade="F2"/>
          </w:tcPr>
          <w:p w14:paraId="3B7F9040" w14:textId="77777777" w:rsidR="00B66973" w:rsidRPr="00181EF3" w:rsidRDefault="00B66973" w:rsidP="00B66973">
            <w:pPr>
              <w:pStyle w:val="TableText"/>
              <w:jc w:val="center"/>
              <w:rPr>
                <w:b/>
              </w:rPr>
            </w:pPr>
            <w:r w:rsidRPr="00181EF3">
              <w:rPr>
                <w:b/>
              </w:rPr>
              <w:t>Māori</w:t>
            </w:r>
          </w:p>
        </w:tc>
        <w:tc>
          <w:tcPr>
            <w:tcW w:w="2694" w:type="dxa"/>
            <w:shd w:val="clear" w:color="auto" w:fill="F2F2F2" w:themeFill="background1" w:themeFillShade="F2"/>
          </w:tcPr>
          <w:p w14:paraId="27CDCA75" w14:textId="4575FB75" w:rsidR="00B66973" w:rsidRPr="00181EF3" w:rsidRDefault="00EC03A3" w:rsidP="00B66973">
            <w:pPr>
              <w:pStyle w:val="TableText"/>
              <w:jc w:val="center"/>
              <w:rPr>
                <w:b/>
              </w:rPr>
            </w:pPr>
            <w:r>
              <w:rPr>
                <w:b/>
              </w:rPr>
              <w:t>Non</w:t>
            </w:r>
            <w:r>
              <w:rPr>
                <w:b/>
              </w:rPr>
              <w:noBreakHyphen/>
              <w:t>M</w:t>
            </w:r>
            <w:r w:rsidR="00B66973" w:rsidRPr="00181EF3">
              <w:rPr>
                <w:b/>
              </w:rPr>
              <w:t>āori</w:t>
            </w:r>
          </w:p>
        </w:tc>
      </w:tr>
      <w:tr w:rsidR="00B66973" w:rsidRPr="00181EF3" w14:paraId="3F35469A" w14:textId="77777777" w:rsidTr="00B66973">
        <w:trPr>
          <w:cantSplit/>
          <w:trHeight w:val="360"/>
        </w:trPr>
        <w:tc>
          <w:tcPr>
            <w:tcW w:w="2693" w:type="dxa"/>
            <w:tcBorders>
              <w:bottom w:val="single" w:sz="4" w:space="0" w:color="A6A6A6" w:themeColor="background1" w:themeShade="A6"/>
            </w:tcBorders>
          </w:tcPr>
          <w:p w14:paraId="5979D744" w14:textId="77777777" w:rsidR="00B66973" w:rsidRPr="00181EF3" w:rsidRDefault="00B66973" w:rsidP="00B66973">
            <w:pPr>
              <w:pStyle w:val="TableText"/>
              <w:jc w:val="center"/>
            </w:pPr>
            <w:r w:rsidRPr="00181EF3">
              <w:t>2005</w:t>
            </w:r>
          </w:p>
        </w:tc>
        <w:tc>
          <w:tcPr>
            <w:tcW w:w="2693" w:type="dxa"/>
            <w:tcBorders>
              <w:bottom w:val="single" w:sz="4" w:space="0" w:color="A6A6A6" w:themeColor="background1" w:themeShade="A6"/>
            </w:tcBorders>
          </w:tcPr>
          <w:p w14:paraId="32442265" w14:textId="77777777" w:rsidR="00B66973" w:rsidRPr="00181EF3" w:rsidRDefault="00B66973" w:rsidP="00B66973">
            <w:pPr>
              <w:pStyle w:val="TableText"/>
              <w:tabs>
                <w:tab w:val="decimal" w:pos="1191"/>
              </w:tabs>
            </w:pPr>
            <w:r w:rsidRPr="00181EF3">
              <w:t>8 (3.6</w:t>
            </w:r>
            <w:r>
              <w:t>%</w:t>
            </w:r>
            <w:r w:rsidRPr="00181EF3">
              <w:t>)</w:t>
            </w:r>
          </w:p>
        </w:tc>
        <w:tc>
          <w:tcPr>
            <w:tcW w:w="2694" w:type="dxa"/>
            <w:tcBorders>
              <w:bottom w:val="single" w:sz="4" w:space="0" w:color="A6A6A6" w:themeColor="background1" w:themeShade="A6"/>
            </w:tcBorders>
          </w:tcPr>
          <w:p w14:paraId="7AE85C99" w14:textId="77777777" w:rsidR="00B66973" w:rsidRPr="00181EF3" w:rsidRDefault="00B66973" w:rsidP="00B66973">
            <w:pPr>
              <w:pStyle w:val="TableText"/>
              <w:jc w:val="center"/>
            </w:pPr>
            <w:r w:rsidRPr="00181EF3">
              <w:t>215 (96.4</w:t>
            </w:r>
            <w:r>
              <w:t>%</w:t>
            </w:r>
            <w:r w:rsidRPr="00181EF3">
              <w:t>)</w:t>
            </w:r>
          </w:p>
        </w:tc>
      </w:tr>
      <w:tr w:rsidR="00B66973" w:rsidRPr="00181EF3" w14:paraId="0A1D2C5B" w14:textId="77777777" w:rsidTr="00B66973">
        <w:trPr>
          <w:cantSplit/>
          <w:trHeight w:val="359"/>
        </w:trPr>
        <w:tc>
          <w:tcPr>
            <w:tcW w:w="2693" w:type="dxa"/>
            <w:tcBorders>
              <w:top w:val="single" w:sz="4" w:space="0" w:color="A6A6A6" w:themeColor="background1" w:themeShade="A6"/>
              <w:bottom w:val="single" w:sz="4" w:space="0" w:color="A6A6A6" w:themeColor="background1" w:themeShade="A6"/>
            </w:tcBorders>
          </w:tcPr>
          <w:p w14:paraId="79E266DF" w14:textId="77777777" w:rsidR="00B66973" w:rsidRPr="00181EF3" w:rsidRDefault="00B66973" w:rsidP="00B66973">
            <w:pPr>
              <w:pStyle w:val="TableText"/>
              <w:jc w:val="center"/>
            </w:pPr>
            <w:r w:rsidRPr="00181EF3">
              <w:t>2006</w:t>
            </w:r>
          </w:p>
        </w:tc>
        <w:tc>
          <w:tcPr>
            <w:tcW w:w="2693" w:type="dxa"/>
            <w:tcBorders>
              <w:top w:val="single" w:sz="4" w:space="0" w:color="A6A6A6" w:themeColor="background1" w:themeShade="A6"/>
              <w:bottom w:val="single" w:sz="4" w:space="0" w:color="A6A6A6" w:themeColor="background1" w:themeShade="A6"/>
            </w:tcBorders>
          </w:tcPr>
          <w:p w14:paraId="7D916C8C" w14:textId="77777777" w:rsidR="00B66973" w:rsidRPr="00181EF3" w:rsidRDefault="00B66973" w:rsidP="00B66973">
            <w:pPr>
              <w:pStyle w:val="TableText"/>
              <w:tabs>
                <w:tab w:val="decimal" w:pos="1191"/>
              </w:tabs>
            </w:pPr>
            <w:r w:rsidRPr="00181EF3">
              <w:t>4 (1.7</w:t>
            </w:r>
            <w:r>
              <w:t>%</w:t>
            </w:r>
            <w:r w:rsidRPr="00181EF3">
              <w:t>)</w:t>
            </w:r>
          </w:p>
        </w:tc>
        <w:tc>
          <w:tcPr>
            <w:tcW w:w="2694" w:type="dxa"/>
            <w:tcBorders>
              <w:top w:val="single" w:sz="4" w:space="0" w:color="A6A6A6" w:themeColor="background1" w:themeShade="A6"/>
              <w:bottom w:val="single" w:sz="4" w:space="0" w:color="A6A6A6" w:themeColor="background1" w:themeShade="A6"/>
            </w:tcBorders>
          </w:tcPr>
          <w:p w14:paraId="4EFE3AA8" w14:textId="77777777" w:rsidR="00B66973" w:rsidRPr="00181EF3" w:rsidRDefault="00B66973" w:rsidP="00B66973">
            <w:pPr>
              <w:pStyle w:val="TableText"/>
              <w:jc w:val="center"/>
            </w:pPr>
            <w:r w:rsidRPr="00181EF3">
              <w:t>236 (98.3</w:t>
            </w:r>
            <w:r>
              <w:t>%</w:t>
            </w:r>
            <w:r w:rsidRPr="00181EF3">
              <w:t>)</w:t>
            </w:r>
          </w:p>
        </w:tc>
      </w:tr>
      <w:tr w:rsidR="00B66973" w:rsidRPr="00181EF3" w14:paraId="45D211B2" w14:textId="77777777" w:rsidTr="00B66973">
        <w:trPr>
          <w:cantSplit/>
          <w:trHeight w:val="359"/>
        </w:trPr>
        <w:tc>
          <w:tcPr>
            <w:tcW w:w="2693" w:type="dxa"/>
            <w:tcBorders>
              <w:top w:val="single" w:sz="4" w:space="0" w:color="A6A6A6" w:themeColor="background1" w:themeShade="A6"/>
              <w:bottom w:val="single" w:sz="4" w:space="0" w:color="A6A6A6" w:themeColor="background1" w:themeShade="A6"/>
            </w:tcBorders>
          </w:tcPr>
          <w:p w14:paraId="1C3B5310" w14:textId="77777777" w:rsidR="00B66973" w:rsidRPr="00181EF3" w:rsidRDefault="00B66973" w:rsidP="00B66973">
            <w:pPr>
              <w:pStyle w:val="TableText"/>
              <w:jc w:val="center"/>
            </w:pPr>
            <w:r w:rsidRPr="00181EF3">
              <w:t>2007</w:t>
            </w:r>
          </w:p>
        </w:tc>
        <w:tc>
          <w:tcPr>
            <w:tcW w:w="2693" w:type="dxa"/>
            <w:tcBorders>
              <w:top w:val="single" w:sz="4" w:space="0" w:color="A6A6A6" w:themeColor="background1" w:themeShade="A6"/>
              <w:bottom w:val="single" w:sz="4" w:space="0" w:color="A6A6A6" w:themeColor="background1" w:themeShade="A6"/>
            </w:tcBorders>
          </w:tcPr>
          <w:p w14:paraId="2AEE428A" w14:textId="77777777" w:rsidR="00B66973" w:rsidRPr="00181EF3" w:rsidRDefault="00B66973" w:rsidP="00B66973">
            <w:pPr>
              <w:pStyle w:val="TableText"/>
              <w:tabs>
                <w:tab w:val="decimal" w:pos="1191"/>
              </w:tabs>
            </w:pPr>
            <w:r w:rsidRPr="00181EF3">
              <w:t>9 (3.6</w:t>
            </w:r>
            <w:r>
              <w:t>%</w:t>
            </w:r>
            <w:r w:rsidRPr="00181EF3">
              <w:t>)</w:t>
            </w:r>
          </w:p>
        </w:tc>
        <w:tc>
          <w:tcPr>
            <w:tcW w:w="2694" w:type="dxa"/>
            <w:tcBorders>
              <w:top w:val="single" w:sz="4" w:space="0" w:color="A6A6A6" w:themeColor="background1" w:themeShade="A6"/>
              <w:bottom w:val="single" w:sz="4" w:space="0" w:color="A6A6A6" w:themeColor="background1" w:themeShade="A6"/>
            </w:tcBorders>
          </w:tcPr>
          <w:p w14:paraId="117B64AE" w14:textId="77777777" w:rsidR="00B66973" w:rsidRPr="00181EF3" w:rsidRDefault="00B66973" w:rsidP="00B66973">
            <w:pPr>
              <w:pStyle w:val="TableText"/>
              <w:jc w:val="center"/>
            </w:pPr>
            <w:r w:rsidRPr="00181EF3">
              <w:t>239 (96.4</w:t>
            </w:r>
            <w:r>
              <w:t>%</w:t>
            </w:r>
            <w:r w:rsidRPr="00181EF3">
              <w:t>)</w:t>
            </w:r>
          </w:p>
        </w:tc>
      </w:tr>
      <w:tr w:rsidR="00B66973" w:rsidRPr="00181EF3" w14:paraId="3C33F41B" w14:textId="77777777" w:rsidTr="00B66973">
        <w:trPr>
          <w:cantSplit/>
          <w:trHeight w:val="360"/>
        </w:trPr>
        <w:tc>
          <w:tcPr>
            <w:tcW w:w="2693" w:type="dxa"/>
            <w:tcBorders>
              <w:top w:val="single" w:sz="4" w:space="0" w:color="A6A6A6" w:themeColor="background1" w:themeShade="A6"/>
              <w:bottom w:val="single" w:sz="4" w:space="0" w:color="A6A6A6" w:themeColor="background1" w:themeShade="A6"/>
            </w:tcBorders>
          </w:tcPr>
          <w:p w14:paraId="26FDB321" w14:textId="77777777" w:rsidR="00B66973" w:rsidRPr="00181EF3" w:rsidRDefault="00B66973" w:rsidP="00B66973">
            <w:pPr>
              <w:pStyle w:val="TableText"/>
              <w:jc w:val="center"/>
            </w:pPr>
            <w:r w:rsidRPr="00181EF3">
              <w:t>2008</w:t>
            </w:r>
          </w:p>
        </w:tc>
        <w:tc>
          <w:tcPr>
            <w:tcW w:w="2693" w:type="dxa"/>
            <w:tcBorders>
              <w:top w:val="single" w:sz="4" w:space="0" w:color="A6A6A6" w:themeColor="background1" w:themeShade="A6"/>
              <w:bottom w:val="single" w:sz="4" w:space="0" w:color="A6A6A6" w:themeColor="background1" w:themeShade="A6"/>
            </w:tcBorders>
          </w:tcPr>
          <w:p w14:paraId="6DCDCE2E" w14:textId="77777777" w:rsidR="00B66973" w:rsidRPr="00181EF3" w:rsidRDefault="00B66973" w:rsidP="00B66973">
            <w:pPr>
              <w:pStyle w:val="TableText"/>
              <w:tabs>
                <w:tab w:val="decimal" w:pos="1191"/>
              </w:tabs>
            </w:pPr>
            <w:r w:rsidRPr="00181EF3">
              <w:t>12 (4.1</w:t>
            </w:r>
            <w:r>
              <w:t>%</w:t>
            </w:r>
            <w:r w:rsidRPr="00181EF3">
              <w:t>)</w:t>
            </w:r>
          </w:p>
        </w:tc>
        <w:tc>
          <w:tcPr>
            <w:tcW w:w="2694" w:type="dxa"/>
            <w:tcBorders>
              <w:top w:val="single" w:sz="4" w:space="0" w:color="A6A6A6" w:themeColor="background1" w:themeShade="A6"/>
              <w:bottom w:val="single" w:sz="4" w:space="0" w:color="A6A6A6" w:themeColor="background1" w:themeShade="A6"/>
            </w:tcBorders>
          </w:tcPr>
          <w:p w14:paraId="0B6BA8B6" w14:textId="77777777" w:rsidR="00B66973" w:rsidRPr="00181EF3" w:rsidRDefault="00B66973" w:rsidP="00B66973">
            <w:pPr>
              <w:pStyle w:val="TableText"/>
              <w:jc w:val="center"/>
            </w:pPr>
            <w:r w:rsidRPr="00181EF3">
              <w:t>279 (95.9</w:t>
            </w:r>
            <w:r>
              <w:t>%</w:t>
            </w:r>
            <w:r w:rsidRPr="00181EF3">
              <w:t>)</w:t>
            </w:r>
          </w:p>
        </w:tc>
      </w:tr>
      <w:tr w:rsidR="00B66973" w:rsidRPr="00181EF3" w14:paraId="4956555F" w14:textId="77777777" w:rsidTr="00B66973">
        <w:trPr>
          <w:cantSplit/>
          <w:trHeight w:val="359"/>
        </w:trPr>
        <w:tc>
          <w:tcPr>
            <w:tcW w:w="2693" w:type="dxa"/>
            <w:tcBorders>
              <w:top w:val="single" w:sz="4" w:space="0" w:color="A6A6A6" w:themeColor="background1" w:themeShade="A6"/>
              <w:bottom w:val="single" w:sz="4" w:space="0" w:color="A6A6A6" w:themeColor="background1" w:themeShade="A6"/>
            </w:tcBorders>
          </w:tcPr>
          <w:p w14:paraId="30288D2C" w14:textId="77777777" w:rsidR="00B66973" w:rsidRPr="00181EF3" w:rsidRDefault="00B66973" w:rsidP="00B66973">
            <w:pPr>
              <w:pStyle w:val="TableText"/>
              <w:jc w:val="center"/>
            </w:pPr>
            <w:r w:rsidRPr="00181EF3">
              <w:t>2009</w:t>
            </w:r>
          </w:p>
        </w:tc>
        <w:tc>
          <w:tcPr>
            <w:tcW w:w="2693" w:type="dxa"/>
            <w:tcBorders>
              <w:top w:val="single" w:sz="4" w:space="0" w:color="A6A6A6" w:themeColor="background1" w:themeShade="A6"/>
              <w:bottom w:val="single" w:sz="4" w:space="0" w:color="A6A6A6" w:themeColor="background1" w:themeShade="A6"/>
            </w:tcBorders>
          </w:tcPr>
          <w:p w14:paraId="1EBC90E7" w14:textId="77777777" w:rsidR="00B66973" w:rsidRPr="00181EF3" w:rsidRDefault="00B66973" w:rsidP="00B66973">
            <w:pPr>
              <w:pStyle w:val="TableText"/>
              <w:tabs>
                <w:tab w:val="decimal" w:pos="1191"/>
              </w:tabs>
            </w:pPr>
            <w:r w:rsidRPr="00181EF3">
              <w:t>8 (2.5</w:t>
            </w:r>
            <w:r>
              <w:t>%</w:t>
            </w:r>
            <w:r w:rsidRPr="00181EF3">
              <w:t>)</w:t>
            </w:r>
          </w:p>
        </w:tc>
        <w:tc>
          <w:tcPr>
            <w:tcW w:w="2694" w:type="dxa"/>
            <w:tcBorders>
              <w:top w:val="single" w:sz="4" w:space="0" w:color="A6A6A6" w:themeColor="background1" w:themeShade="A6"/>
              <w:bottom w:val="single" w:sz="4" w:space="0" w:color="A6A6A6" w:themeColor="background1" w:themeShade="A6"/>
            </w:tcBorders>
          </w:tcPr>
          <w:p w14:paraId="430F9F12" w14:textId="77777777" w:rsidR="00B66973" w:rsidRPr="00181EF3" w:rsidRDefault="00B66973" w:rsidP="00B66973">
            <w:pPr>
              <w:pStyle w:val="TableText"/>
              <w:jc w:val="center"/>
            </w:pPr>
            <w:r w:rsidRPr="00181EF3">
              <w:t>311 (97.5</w:t>
            </w:r>
            <w:r>
              <w:t>%</w:t>
            </w:r>
            <w:r w:rsidRPr="00181EF3">
              <w:t>)</w:t>
            </w:r>
          </w:p>
        </w:tc>
      </w:tr>
      <w:tr w:rsidR="00B66973" w:rsidRPr="00181EF3" w14:paraId="009E716A" w14:textId="77777777" w:rsidTr="00B66973">
        <w:trPr>
          <w:cantSplit/>
          <w:trHeight w:val="360"/>
        </w:trPr>
        <w:tc>
          <w:tcPr>
            <w:tcW w:w="2693" w:type="dxa"/>
            <w:tcBorders>
              <w:top w:val="single" w:sz="4" w:space="0" w:color="A6A6A6" w:themeColor="background1" w:themeShade="A6"/>
              <w:bottom w:val="single" w:sz="4" w:space="0" w:color="A6A6A6" w:themeColor="background1" w:themeShade="A6"/>
            </w:tcBorders>
          </w:tcPr>
          <w:p w14:paraId="10160391" w14:textId="77777777" w:rsidR="00B66973" w:rsidRPr="00181EF3" w:rsidRDefault="00B66973" w:rsidP="00B66973">
            <w:pPr>
              <w:pStyle w:val="TableText"/>
              <w:jc w:val="center"/>
            </w:pPr>
            <w:r w:rsidRPr="00181EF3">
              <w:t>2010</w:t>
            </w:r>
          </w:p>
        </w:tc>
        <w:tc>
          <w:tcPr>
            <w:tcW w:w="2693" w:type="dxa"/>
            <w:tcBorders>
              <w:top w:val="single" w:sz="4" w:space="0" w:color="A6A6A6" w:themeColor="background1" w:themeShade="A6"/>
              <w:bottom w:val="single" w:sz="4" w:space="0" w:color="A6A6A6" w:themeColor="background1" w:themeShade="A6"/>
            </w:tcBorders>
          </w:tcPr>
          <w:p w14:paraId="3793944A" w14:textId="77777777" w:rsidR="00B66973" w:rsidRPr="00181EF3" w:rsidRDefault="00B66973" w:rsidP="00B66973">
            <w:pPr>
              <w:pStyle w:val="TableText"/>
              <w:tabs>
                <w:tab w:val="decimal" w:pos="1191"/>
              </w:tabs>
            </w:pPr>
            <w:r w:rsidRPr="00181EF3">
              <w:t>12 (3.7</w:t>
            </w:r>
            <w:r>
              <w:t>%</w:t>
            </w:r>
            <w:r w:rsidRPr="00181EF3">
              <w:t>)</w:t>
            </w:r>
          </w:p>
        </w:tc>
        <w:tc>
          <w:tcPr>
            <w:tcW w:w="2694" w:type="dxa"/>
            <w:tcBorders>
              <w:top w:val="single" w:sz="4" w:space="0" w:color="A6A6A6" w:themeColor="background1" w:themeShade="A6"/>
              <w:bottom w:val="single" w:sz="4" w:space="0" w:color="A6A6A6" w:themeColor="background1" w:themeShade="A6"/>
            </w:tcBorders>
          </w:tcPr>
          <w:p w14:paraId="33ACA0B8" w14:textId="77777777" w:rsidR="00B66973" w:rsidRPr="00181EF3" w:rsidRDefault="00B66973" w:rsidP="00B66973">
            <w:pPr>
              <w:pStyle w:val="TableText"/>
              <w:jc w:val="center"/>
            </w:pPr>
            <w:r w:rsidRPr="00181EF3">
              <w:t>309 (96.3</w:t>
            </w:r>
            <w:r>
              <w:t>%</w:t>
            </w:r>
            <w:r w:rsidRPr="00181EF3">
              <w:t>)</w:t>
            </w:r>
          </w:p>
        </w:tc>
      </w:tr>
    </w:tbl>
    <w:p w14:paraId="59719652" w14:textId="77777777" w:rsidR="00B66973" w:rsidRPr="00181EF3" w:rsidRDefault="00B66973" w:rsidP="00B66973">
      <w:pPr>
        <w:pStyle w:val="Source"/>
      </w:pPr>
      <w:r w:rsidRPr="00181EF3">
        <w:t>Source: New Zealand Chiropractic Board, 2005–2010.</w:t>
      </w:r>
    </w:p>
    <w:p w14:paraId="75A0A513" w14:textId="77777777" w:rsidR="00B66973" w:rsidRPr="00181EF3" w:rsidRDefault="00B66973" w:rsidP="00B66973"/>
    <w:p w14:paraId="2EE9B4AD" w14:textId="7031D1C0" w:rsidR="00B16E84" w:rsidRPr="00181EF3" w:rsidRDefault="00B16E84" w:rsidP="001338CA">
      <w:r w:rsidRPr="00181EF3">
        <w:t xml:space="preserve">Table </w:t>
      </w:r>
      <w:r>
        <w:t>51</w:t>
      </w:r>
      <w:r w:rsidRPr="00181EF3">
        <w:t xml:space="preserve"> shows the estimated number and percentage of Māori and </w:t>
      </w:r>
      <w:r w:rsidR="00EC03A3">
        <w:t>non</w:t>
      </w:r>
      <w:r w:rsidR="00EC03A3">
        <w:noBreakHyphen/>
        <w:t>M</w:t>
      </w:r>
      <w:r w:rsidRPr="00181EF3">
        <w:t>āori in the chiropractor workforce from 2005 to 2010.</w:t>
      </w:r>
    </w:p>
    <w:p w14:paraId="56C5248B" w14:textId="77777777" w:rsidR="00B16E84" w:rsidRPr="00181EF3" w:rsidRDefault="00B16E84" w:rsidP="001338CA"/>
    <w:p w14:paraId="6417BE36" w14:textId="2A25138F" w:rsidR="00B16E84" w:rsidRPr="00181EF3" w:rsidRDefault="00B16E84" w:rsidP="001338CA">
      <w:r w:rsidRPr="00181EF3">
        <w:t xml:space="preserve">Despite the number of Māori in the chiropractor workforce increasing over time the percentage of Māori in the workforce did not change much – the average percentage of Māori in the chiropractor workforce between 2005 and 2010 was 3.2 percent (average of 9 Māori chiropractors, compared </w:t>
      </w:r>
      <w:r w:rsidR="00FF1892">
        <w:t>with</w:t>
      </w:r>
      <w:r w:rsidR="00FF1892" w:rsidRPr="00181EF3">
        <w:t xml:space="preserve"> </w:t>
      </w:r>
      <w:r w:rsidRPr="00181EF3">
        <w:t xml:space="preserve">an average of 265 </w:t>
      </w:r>
      <w:r w:rsidR="00EC03A3">
        <w:t>non</w:t>
      </w:r>
      <w:r w:rsidR="00EC03A3">
        <w:noBreakHyphen/>
        <w:t>M</w:t>
      </w:r>
      <w:r w:rsidRPr="00181EF3">
        <w:t xml:space="preserve">āori). The chiropractor workforce does not reflect the ethnic population distribution in New Zealand (14.9 percent Māori, 85.1 percent </w:t>
      </w:r>
      <w:r w:rsidR="00EC03A3">
        <w:t>non</w:t>
      </w:r>
      <w:r w:rsidR="00EC03A3">
        <w:noBreakHyphen/>
        <w:t>M</w:t>
      </w:r>
      <w:r w:rsidRPr="00181EF3">
        <w:t>āori).</w:t>
      </w:r>
      <w:r w:rsidRPr="00181EF3">
        <w:rPr>
          <w:rStyle w:val="FootnoteReference"/>
        </w:rPr>
        <w:footnoteReference w:id="26"/>
      </w:r>
    </w:p>
    <w:p w14:paraId="7DE91606" w14:textId="77777777" w:rsidR="00B66973" w:rsidRPr="00B66973" w:rsidRDefault="00B66973" w:rsidP="00B66973"/>
    <w:p w14:paraId="71FEE068" w14:textId="685CA1BD" w:rsidR="00324B55" w:rsidRDefault="00324B55" w:rsidP="00324B55">
      <w:pPr>
        <w:pStyle w:val="Heading1"/>
      </w:pPr>
      <w:bookmarkStart w:id="442" w:name="_Toc19102468"/>
      <w:r>
        <w:lastRenderedPageBreak/>
        <w:t xml:space="preserve">Māori and </w:t>
      </w:r>
      <w:r w:rsidR="00EC03A3">
        <w:t>non</w:t>
      </w:r>
      <w:r w:rsidR="00EC03A3">
        <w:noBreakHyphen/>
        <w:t>M</w:t>
      </w:r>
      <w:r>
        <w:t xml:space="preserve">āori </w:t>
      </w:r>
      <w:r w:rsidR="00EC03A3">
        <w:t>non</w:t>
      </w:r>
      <w:r w:rsidR="00EC03A3">
        <w:noBreakHyphen/>
        <w:t>P</w:t>
      </w:r>
      <w:r>
        <w:t>acific analysis</w:t>
      </w:r>
      <w:bookmarkEnd w:id="442"/>
    </w:p>
    <w:p w14:paraId="59F3FC47" w14:textId="0B1FC38D" w:rsidR="0064111D" w:rsidRDefault="0064111D" w:rsidP="0064111D">
      <w:bookmarkStart w:id="443" w:name="_Toc14787444"/>
      <w:r>
        <w:t xml:space="preserve">This section presents indicators compare Māori with </w:t>
      </w:r>
      <w:r w:rsidR="00EC03A3">
        <w:t>non</w:t>
      </w:r>
      <w:r w:rsidR="00EC03A3">
        <w:noBreakHyphen/>
        <w:t>M</w:t>
      </w:r>
      <w:r>
        <w:t xml:space="preserve">āori </w:t>
      </w:r>
      <w:r w:rsidR="00EC03A3">
        <w:t>non</w:t>
      </w:r>
      <w:r w:rsidR="00EC03A3">
        <w:noBreakHyphen/>
        <w:t>P</w:t>
      </w:r>
      <w:r>
        <w:t xml:space="preserve">acific, which were requested by </w:t>
      </w:r>
      <w:r w:rsidR="005214B3">
        <w:t>c</w:t>
      </w:r>
      <w:r>
        <w:t>laimants.</w:t>
      </w:r>
    </w:p>
    <w:p w14:paraId="00220B6F" w14:textId="77777777" w:rsidR="0064111D" w:rsidRDefault="0064111D" w:rsidP="0064111D"/>
    <w:p w14:paraId="351D5A6C" w14:textId="2826FFD2" w:rsidR="0064111D" w:rsidRDefault="0064111D" w:rsidP="0064111D">
      <w:r w:rsidRPr="00181EF3">
        <w:t xml:space="preserve">The reporting time period is different from the Māori </w:t>
      </w:r>
      <w:r w:rsidR="000D214A">
        <w:t>and</w:t>
      </w:r>
      <w:r w:rsidRPr="00181EF3">
        <w:t xml:space="preserve"> </w:t>
      </w:r>
      <w:r w:rsidR="00EC03A3">
        <w:t>non</w:t>
      </w:r>
      <w:r w:rsidR="00EC03A3">
        <w:noBreakHyphen/>
        <w:t>M</w:t>
      </w:r>
      <w:r w:rsidRPr="00181EF3">
        <w:t xml:space="preserve">āori </w:t>
      </w:r>
      <w:r w:rsidR="000D214A">
        <w:t>analysis presented in the report</w:t>
      </w:r>
      <w:r w:rsidRPr="00181EF3">
        <w:t xml:space="preserve"> due to data limitations. Population estimates for </w:t>
      </w:r>
      <w:r w:rsidR="00EC03A3">
        <w:t>non</w:t>
      </w:r>
      <w:r w:rsidR="00EC03A3">
        <w:noBreakHyphen/>
        <w:t>M</w:t>
      </w:r>
      <w:r w:rsidRPr="00181EF3">
        <w:t xml:space="preserve">āori </w:t>
      </w:r>
      <w:r w:rsidR="00EC03A3">
        <w:t>non</w:t>
      </w:r>
      <w:r w:rsidR="00EC03A3">
        <w:noBreakHyphen/>
        <w:t>P</w:t>
      </w:r>
      <w:r w:rsidRPr="00181EF3">
        <w:t>acific is only available for the period 2001–2013</w:t>
      </w:r>
      <w:r w:rsidR="000D214A">
        <w:t xml:space="preserve"> (</w:t>
      </w:r>
      <w:r w:rsidR="000D214A" w:rsidRPr="001232CF">
        <w:t xml:space="preserve">see Appendix </w:t>
      </w:r>
      <w:r w:rsidR="000D214A">
        <w:t>1</w:t>
      </w:r>
      <w:r w:rsidR="000D214A" w:rsidRPr="001232CF">
        <w:t xml:space="preserve"> for more detail</w:t>
      </w:r>
      <w:r w:rsidR="000D214A">
        <w:t>)</w:t>
      </w:r>
      <w:r w:rsidRPr="00181EF3">
        <w:t>.</w:t>
      </w:r>
    </w:p>
    <w:p w14:paraId="14E71551" w14:textId="77777777" w:rsidR="001338CA" w:rsidRPr="00181EF3" w:rsidRDefault="001338CA" w:rsidP="0064111D"/>
    <w:p w14:paraId="460B8F04" w14:textId="77777777" w:rsidR="00ED14AD" w:rsidRPr="00527EE5" w:rsidRDefault="00ED14AD" w:rsidP="001338CA">
      <w:pPr>
        <w:pStyle w:val="Heading2"/>
        <w:pageBreakBefore/>
        <w:spacing w:before="0"/>
        <w:rPr>
          <w:noProof/>
          <w:lang w:eastAsia="en-NZ"/>
        </w:rPr>
      </w:pPr>
      <w:bookmarkStart w:id="444" w:name="_Toc19102469"/>
      <w:r w:rsidRPr="00527EE5">
        <w:rPr>
          <w:noProof/>
          <w:lang w:eastAsia="en-NZ"/>
        </w:rPr>
        <w:lastRenderedPageBreak/>
        <w:t xml:space="preserve">Body </w:t>
      </w:r>
      <w:r>
        <w:rPr>
          <w:noProof/>
          <w:lang w:eastAsia="en-NZ"/>
        </w:rPr>
        <w:t>s</w:t>
      </w:r>
      <w:r w:rsidRPr="00527EE5">
        <w:rPr>
          <w:noProof/>
          <w:lang w:eastAsia="en-NZ"/>
        </w:rPr>
        <w:t>ize</w:t>
      </w:r>
      <w:bookmarkEnd w:id="443"/>
      <w:bookmarkEnd w:id="444"/>
    </w:p>
    <w:p w14:paraId="54F72A3B" w14:textId="1EDFD42E" w:rsidR="008A5642" w:rsidRDefault="00ED14AD" w:rsidP="00ED14AD">
      <w:pPr>
        <w:rPr>
          <w:noProof/>
          <w:lang w:eastAsia="en-NZ"/>
        </w:rPr>
      </w:pPr>
      <w:r w:rsidRPr="00527EE5">
        <w:rPr>
          <w:noProof/>
          <w:lang w:eastAsia="en-NZ"/>
        </w:rPr>
        <w:t xml:space="preserve">This </w:t>
      </w:r>
      <w:r w:rsidR="000D214A">
        <w:rPr>
          <w:noProof/>
          <w:lang w:eastAsia="en-NZ"/>
        </w:rPr>
        <w:t>section</w:t>
      </w:r>
      <w:r w:rsidRPr="00527EE5">
        <w:rPr>
          <w:noProof/>
          <w:lang w:eastAsia="en-NZ"/>
        </w:rPr>
        <w:t xml:space="preserve"> presents results for </w:t>
      </w:r>
      <w:r w:rsidR="000D214A">
        <w:rPr>
          <w:noProof/>
          <w:lang w:eastAsia="en-NZ"/>
        </w:rPr>
        <w:t xml:space="preserve">Māori and </w:t>
      </w:r>
      <w:r w:rsidR="00EC03A3">
        <w:rPr>
          <w:noProof/>
          <w:lang w:eastAsia="en-NZ"/>
        </w:rPr>
        <w:t>non</w:t>
      </w:r>
      <w:r w:rsidR="00EC03A3">
        <w:rPr>
          <w:noProof/>
          <w:lang w:eastAsia="en-NZ"/>
        </w:rPr>
        <w:noBreakHyphen/>
        <w:t>M</w:t>
      </w:r>
      <w:r w:rsidR="000D214A">
        <w:rPr>
          <w:noProof/>
          <w:lang w:eastAsia="en-NZ"/>
        </w:rPr>
        <w:t xml:space="preserve">āori </w:t>
      </w:r>
      <w:r w:rsidR="00EC03A3">
        <w:rPr>
          <w:noProof/>
          <w:lang w:eastAsia="en-NZ"/>
        </w:rPr>
        <w:t>non</w:t>
      </w:r>
      <w:r w:rsidR="00EC03A3">
        <w:rPr>
          <w:noProof/>
          <w:lang w:eastAsia="en-NZ"/>
        </w:rPr>
        <w:noBreakHyphen/>
        <w:t>P</w:t>
      </w:r>
      <w:r w:rsidR="000D214A">
        <w:rPr>
          <w:noProof/>
          <w:lang w:eastAsia="en-NZ"/>
        </w:rPr>
        <w:t xml:space="preserve">acific </w:t>
      </w:r>
      <w:r w:rsidRPr="00527EE5">
        <w:rPr>
          <w:noProof/>
          <w:lang w:eastAsia="en-NZ"/>
        </w:rPr>
        <w:t>children aged</w:t>
      </w:r>
      <w:r w:rsidR="001338CA">
        <w:rPr>
          <w:noProof/>
          <w:lang w:eastAsia="en-NZ"/>
        </w:rPr>
        <w:br/>
      </w:r>
      <w:r w:rsidRPr="00527EE5">
        <w:rPr>
          <w:noProof/>
          <w:lang w:eastAsia="en-NZ"/>
        </w:rPr>
        <w:t xml:space="preserve">2–14 years and adults aged 15 and over </w:t>
      </w:r>
      <w:r>
        <w:rPr>
          <w:noProof/>
          <w:lang w:eastAsia="en-NZ"/>
        </w:rPr>
        <w:t>for body size.</w:t>
      </w:r>
    </w:p>
    <w:p w14:paraId="0C24A766" w14:textId="77777777" w:rsidR="001338CA" w:rsidRDefault="001338CA" w:rsidP="00ED14AD">
      <w:pPr>
        <w:rPr>
          <w:noProof/>
          <w:lang w:eastAsia="en-NZ"/>
        </w:rPr>
      </w:pPr>
    </w:p>
    <w:p w14:paraId="287388BF" w14:textId="117BC9BE" w:rsidR="00ED14AD" w:rsidRPr="00527EE5" w:rsidRDefault="00ED14AD" w:rsidP="000D214A">
      <w:pPr>
        <w:pStyle w:val="Heading3"/>
      </w:pPr>
      <w:bookmarkStart w:id="445" w:name="_Toc19102470"/>
      <w:r w:rsidRPr="00527EE5">
        <w:t>What is the data telling us?</w:t>
      </w:r>
      <w:bookmarkEnd w:id="445"/>
    </w:p>
    <w:p w14:paraId="7351C3B4" w14:textId="77777777" w:rsidR="00ED14AD" w:rsidRPr="00724EE0" w:rsidRDefault="00ED14AD" w:rsidP="00ED14AD">
      <w:pPr>
        <w:pStyle w:val="Shadedboxtext"/>
      </w:pPr>
      <w:r w:rsidRPr="00724EE0">
        <w:t>Overall the data shows that:</w:t>
      </w:r>
    </w:p>
    <w:p w14:paraId="22CDB2B3" w14:textId="081134EB" w:rsidR="00ED14AD" w:rsidRPr="00E26D11" w:rsidRDefault="00AF3805" w:rsidP="00ED14AD">
      <w:pPr>
        <w:pStyle w:val="Shadedboxbullet"/>
      </w:pPr>
      <w:r>
        <w:t>T</w:t>
      </w:r>
      <w:r w:rsidR="00ED14AD" w:rsidRPr="00E26D11">
        <w:t>he prevalence of being overweight declined slightly over</w:t>
      </w:r>
      <w:r w:rsidR="001338CA">
        <w:t xml:space="preserve"> </w:t>
      </w:r>
      <w:r w:rsidR="00ED14AD" w:rsidRPr="00E26D11">
        <w:t>time for Māori adults aged 15</w:t>
      </w:r>
      <w:r w:rsidR="00ED14AD">
        <w:t xml:space="preserve"> and over</w:t>
      </w:r>
      <w:r w:rsidR="00ED14AD" w:rsidRPr="00E26D11">
        <w:t xml:space="preserve">. Māori males were less likely than </w:t>
      </w:r>
      <w:r w:rsidR="00EC03A3">
        <w:t>non</w:t>
      </w:r>
      <w:r w:rsidR="00EC03A3">
        <w:noBreakHyphen/>
        <w:t>M</w:t>
      </w:r>
      <w:r w:rsidR="00ED14AD" w:rsidRPr="00E26D11">
        <w:t xml:space="preserve">āori </w:t>
      </w:r>
      <w:r w:rsidR="00EC03A3">
        <w:t>non</w:t>
      </w:r>
      <w:r w:rsidR="00EC03A3">
        <w:noBreakHyphen/>
        <w:t>P</w:t>
      </w:r>
      <w:r w:rsidR="00ED14AD" w:rsidRPr="00E26D11">
        <w:t>acific males to be overweight</w:t>
      </w:r>
      <w:r w:rsidR="00ED14AD">
        <w:t xml:space="preserve"> over time</w:t>
      </w:r>
      <w:r>
        <w:t>.</w:t>
      </w:r>
    </w:p>
    <w:p w14:paraId="484D3C7E" w14:textId="6B31C3C8" w:rsidR="00ED14AD" w:rsidRPr="00E26D11" w:rsidRDefault="00ED14AD" w:rsidP="00ED14AD">
      <w:pPr>
        <w:pStyle w:val="Shadedboxbullet"/>
      </w:pPr>
      <w:r w:rsidRPr="00E26D11">
        <w:t>Māori adults were around tw</w:t>
      </w:r>
      <w:r>
        <w:t>ice</w:t>
      </w:r>
      <w:r w:rsidRPr="00E26D11">
        <w:t xml:space="preserve"> as likely to be obese as </w:t>
      </w:r>
      <w:r w:rsidR="00EC03A3">
        <w:t>non</w:t>
      </w:r>
      <w:r w:rsidR="00EC03A3">
        <w:noBreakHyphen/>
        <w:t>M</w:t>
      </w:r>
      <w:r w:rsidRPr="00E26D11">
        <w:t xml:space="preserve">āori </w:t>
      </w:r>
      <w:r w:rsidR="00EC03A3">
        <w:t>non</w:t>
      </w:r>
      <w:r w:rsidR="00EC03A3">
        <w:noBreakHyphen/>
        <w:t>P</w:t>
      </w:r>
      <w:r w:rsidRPr="00E26D11">
        <w:t>acific adults, this difference remaining consistent over</w:t>
      </w:r>
      <w:r>
        <w:t xml:space="preserve"> </w:t>
      </w:r>
      <w:r w:rsidRPr="00E26D11">
        <w:t>time</w:t>
      </w:r>
      <w:r w:rsidR="00AF3805">
        <w:t>.</w:t>
      </w:r>
    </w:p>
    <w:p w14:paraId="561681D8" w14:textId="3AC0696B" w:rsidR="00ED14AD" w:rsidRPr="00E26D11" w:rsidRDefault="00ED14AD" w:rsidP="00ED14AD">
      <w:pPr>
        <w:pStyle w:val="Shadedboxbullet"/>
      </w:pPr>
      <w:r w:rsidRPr="00E26D11">
        <w:t xml:space="preserve">Māori children aged 2–14 years were more likely to be overweight than </w:t>
      </w:r>
      <w:r w:rsidR="00EC03A3">
        <w:t>non</w:t>
      </w:r>
      <w:r w:rsidR="00EC03A3">
        <w:noBreakHyphen/>
        <w:t>M</w:t>
      </w:r>
      <w:r w:rsidRPr="00E26D11">
        <w:t xml:space="preserve">āori </w:t>
      </w:r>
      <w:r w:rsidR="00EC03A3">
        <w:t>non</w:t>
      </w:r>
      <w:r w:rsidR="00EC03A3">
        <w:noBreakHyphen/>
        <w:t>P</w:t>
      </w:r>
      <w:r w:rsidRPr="00E26D11">
        <w:t>acific children with little change over</w:t>
      </w:r>
      <w:r>
        <w:t xml:space="preserve"> </w:t>
      </w:r>
      <w:r w:rsidRPr="00E26D11">
        <w:t>time</w:t>
      </w:r>
      <w:r w:rsidR="00AF3805">
        <w:t>.</w:t>
      </w:r>
    </w:p>
    <w:p w14:paraId="38800DAA" w14:textId="41A50F62" w:rsidR="00ED14AD" w:rsidRPr="00E26D11" w:rsidRDefault="00AF3805" w:rsidP="00ED14AD">
      <w:pPr>
        <w:pStyle w:val="Shadedboxbullet"/>
      </w:pPr>
      <w:r>
        <w:t>I</w:t>
      </w:r>
      <w:r w:rsidR="00ED14AD" w:rsidRPr="00E26D11">
        <w:t xml:space="preserve">n 2016/17 Māori </w:t>
      </w:r>
      <w:r w:rsidR="00ED14AD">
        <w:t>children</w:t>
      </w:r>
      <w:r w:rsidR="00ED14AD" w:rsidRPr="00E26D11">
        <w:t xml:space="preserve"> were </w:t>
      </w:r>
      <w:r w:rsidR="00726CDE">
        <w:t>2.8</w:t>
      </w:r>
      <w:r w:rsidR="00ED14AD" w:rsidRPr="00E26D11">
        <w:t xml:space="preserve"> times </w:t>
      </w:r>
      <w:r w:rsidR="00ED14AD">
        <w:t>as</w:t>
      </w:r>
      <w:r w:rsidR="00ED14AD" w:rsidRPr="00E26D11">
        <w:t xml:space="preserve"> likely to be obese </w:t>
      </w:r>
      <w:r w:rsidR="00ED14AD">
        <w:t>as</w:t>
      </w:r>
      <w:r w:rsidR="00ED14AD" w:rsidRPr="00E26D11">
        <w:t xml:space="preserve"> </w:t>
      </w:r>
      <w:r w:rsidR="00EC03A3">
        <w:t>non</w:t>
      </w:r>
      <w:r w:rsidR="00EC03A3">
        <w:noBreakHyphen/>
        <w:t>M</w:t>
      </w:r>
      <w:r w:rsidR="00ED14AD" w:rsidRPr="00E26D11">
        <w:t xml:space="preserve">āori </w:t>
      </w:r>
      <w:r w:rsidR="00EC03A3">
        <w:t>non</w:t>
      </w:r>
      <w:r w:rsidR="00EC03A3">
        <w:noBreakHyphen/>
        <w:t>P</w:t>
      </w:r>
      <w:r w:rsidR="00ED14AD" w:rsidRPr="00E26D11">
        <w:t xml:space="preserve">acific </w:t>
      </w:r>
      <w:r w:rsidR="00ED14AD">
        <w:t>children</w:t>
      </w:r>
      <w:r w:rsidR="00ED14AD" w:rsidRPr="00E26D11">
        <w:t>.</w:t>
      </w:r>
    </w:p>
    <w:p w14:paraId="23991690" w14:textId="77777777" w:rsidR="00ED14AD" w:rsidRDefault="00ED14AD" w:rsidP="00ED14AD"/>
    <w:p w14:paraId="43036A0E" w14:textId="37B0DF2A" w:rsidR="00ED14AD" w:rsidRPr="00D810D9" w:rsidRDefault="00ED14AD" w:rsidP="001338CA">
      <w:pPr>
        <w:pStyle w:val="Heading3"/>
        <w:pageBreakBefore/>
        <w:spacing w:before="0"/>
      </w:pPr>
      <w:bookmarkStart w:id="446" w:name="_Toc19102471"/>
      <w:r w:rsidRPr="00527EE5">
        <w:lastRenderedPageBreak/>
        <w:t>Body size for adults aged</w:t>
      </w:r>
      <w:r w:rsidR="00572A9A">
        <w:t xml:space="preserve"> </w:t>
      </w:r>
      <w:r w:rsidRPr="00527EE5">
        <w:t>15 and over</w:t>
      </w:r>
      <w:bookmarkEnd w:id="446"/>
    </w:p>
    <w:p w14:paraId="75086975" w14:textId="0FD69F7B" w:rsidR="00ED14AD" w:rsidRDefault="00ED14AD" w:rsidP="00ED14AD">
      <w:pPr>
        <w:pStyle w:val="Figure"/>
      </w:pPr>
      <w:bookmarkStart w:id="447" w:name="_Toc19101984"/>
      <w:r w:rsidRPr="00724EE0">
        <w:t>Figure 1</w:t>
      </w:r>
      <w:r w:rsidR="000D214A">
        <w:t>3</w:t>
      </w:r>
      <w:r w:rsidR="00572A9A">
        <w:t>3</w:t>
      </w:r>
      <w:r w:rsidRPr="00724EE0">
        <w:t>:</w:t>
      </w:r>
      <w:r>
        <w:t xml:space="preserve"> </w:t>
      </w:r>
      <w:r w:rsidR="000D214A">
        <w:t xml:space="preserve">Overweight, 15+ years, </w:t>
      </w:r>
      <w:r w:rsidR="000D214A" w:rsidRPr="00181EF3">
        <w:t xml:space="preserve">by </w:t>
      </w:r>
      <w:r w:rsidR="000D214A">
        <w:t>gender</w:t>
      </w:r>
      <w:r w:rsidR="000D214A" w:rsidRPr="00181EF3">
        <w:t xml:space="preserve">, </w:t>
      </w:r>
      <w:r w:rsidR="000D214A">
        <w:t xml:space="preserve">Māori and </w:t>
      </w:r>
      <w:r w:rsidR="00EC03A3">
        <w:t>non</w:t>
      </w:r>
      <w:r w:rsidR="00EC03A3">
        <w:noBreakHyphen/>
        <w:t>M</w:t>
      </w:r>
      <w:r w:rsidR="000D214A">
        <w:t xml:space="preserve">āori </w:t>
      </w:r>
      <w:r w:rsidR="00EC03A3">
        <w:t>non</w:t>
      </w:r>
      <w:r w:rsidR="00EC03A3">
        <w:noBreakHyphen/>
        <w:t>P</w:t>
      </w:r>
      <w:r w:rsidR="000D214A">
        <w:t>acific, 2006/07–2016/17</w:t>
      </w:r>
      <w:bookmarkEnd w:id="447"/>
    </w:p>
    <w:p w14:paraId="5EC2AD8E" w14:textId="77777777" w:rsidR="00ED14AD" w:rsidRPr="003A1CA3" w:rsidRDefault="00ED14AD" w:rsidP="00ED14AD">
      <w:r w:rsidRPr="003A1CA3">
        <w:rPr>
          <w:noProof/>
          <w:lang w:eastAsia="en-NZ"/>
        </w:rPr>
        <w:drawing>
          <wp:inline distT="0" distB="0" distL="0" distR="0" wp14:anchorId="7E0803DE" wp14:editId="7A1B22EA">
            <wp:extent cx="5130165" cy="2613315"/>
            <wp:effectExtent l="0" t="0" r="0" b="0"/>
            <wp:docPr id="336" name="Picture 336" descr="About 30 percent of Māori and non-Māori women were over weight since 2011/12. About 40 percent of non-Māori men were overweight since 2011/12, the highest rate among all the groups. The percentage of overweight Māori men has decreased from about 40 percent to about 30 percent since 2011-12." title="Figure 133: Overweight – adults, age-standardised percentages (%), 2006/07–2016/17, by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5130165" cy="2613315"/>
                    </a:xfrm>
                    <a:prstGeom prst="rect">
                      <a:avLst/>
                    </a:prstGeom>
                  </pic:spPr>
                </pic:pic>
              </a:graphicData>
            </a:graphic>
          </wp:inline>
        </w:drawing>
      </w:r>
    </w:p>
    <w:p w14:paraId="6D890AC2" w14:textId="77777777" w:rsidR="000D214A" w:rsidRDefault="000D214A" w:rsidP="000D214A">
      <w:pPr>
        <w:pStyle w:val="Note"/>
      </w:pPr>
      <w:r w:rsidRPr="00181EF3">
        <w:t>Note</w:t>
      </w:r>
      <w:r>
        <w:t>s</w:t>
      </w:r>
      <w:r w:rsidRPr="00181EF3">
        <w:t>:</w:t>
      </w:r>
    </w:p>
    <w:p w14:paraId="3147CAFB" w14:textId="0BC19436" w:rsidR="008A5642" w:rsidRDefault="00446D86" w:rsidP="000D214A">
      <w:pPr>
        <w:pStyle w:val="Note"/>
      </w:pPr>
      <w:r>
        <w:t>Figures are age-standardised to the 2001 Census total Māori population</w:t>
      </w:r>
      <w:r w:rsidR="000D214A" w:rsidRPr="00181EF3">
        <w:t>.</w:t>
      </w:r>
    </w:p>
    <w:p w14:paraId="578CD19F" w14:textId="291BF9B8" w:rsidR="000D214A" w:rsidRPr="00181EF3" w:rsidRDefault="000D214A" w:rsidP="000D214A">
      <w:pPr>
        <w:pStyle w:val="Note"/>
      </w:pPr>
      <w:r>
        <w:t>Prioritised ethnicity has been used.</w:t>
      </w:r>
    </w:p>
    <w:p w14:paraId="601C9D67" w14:textId="77777777" w:rsidR="008A5642" w:rsidRDefault="000D214A" w:rsidP="001C62E1">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w:t>
      </w:r>
      <w:r w:rsidRPr="001C62E1">
        <w:t>significant</w:t>
      </w:r>
      <w:r w:rsidRPr="00181EF3">
        <w:t>.</w:t>
      </w:r>
    </w:p>
    <w:p w14:paraId="0B020321" w14:textId="2A42CF6F" w:rsidR="000D214A" w:rsidRPr="00181EF3" w:rsidRDefault="000D214A" w:rsidP="001C62E1">
      <w:pPr>
        <w:pStyle w:val="Note"/>
      </w:pPr>
      <w:r w:rsidRPr="00181EF3">
        <w:t xml:space="preserve">Source: </w:t>
      </w:r>
      <w:r w:rsidR="009116B8">
        <w:t>New Zealand Health Survey (NZHS), Ministry of Health, 2006/07–2016/17.</w:t>
      </w:r>
    </w:p>
    <w:p w14:paraId="673ED184" w14:textId="77777777" w:rsidR="00ED14AD" w:rsidRDefault="00ED14AD" w:rsidP="00ED14AD"/>
    <w:p w14:paraId="6FF8AE8F" w14:textId="6AAAEB36" w:rsidR="000D214A" w:rsidRDefault="000D214A" w:rsidP="000D214A">
      <w:r w:rsidRPr="00724EE0">
        <w:t>The prevalence of being overweight declined slightly overtime for Māori</w:t>
      </w:r>
      <w:r>
        <w:t xml:space="preserve"> adults</w:t>
      </w:r>
      <w:r w:rsidRPr="00724EE0">
        <w:t xml:space="preserve"> aged 15</w:t>
      </w:r>
      <w:r>
        <w:t xml:space="preserve"> and over, particularly for Māori males (a decrease of 13 percent from 2006/07 to 2016/17 for Māori males). Figure 1</w:t>
      </w:r>
      <w:r w:rsidR="006F42E0">
        <w:t>3</w:t>
      </w:r>
      <w:r w:rsidR="00742C4B">
        <w:t>3</w:t>
      </w:r>
      <w:r>
        <w:t xml:space="preserve"> shows that </w:t>
      </w:r>
      <w:r w:rsidRPr="00724EE0">
        <w:t xml:space="preserve">Māori males were less likely than </w:t>
      </w:r>
      <w:r w:rsidR="00EC03A3">
        <w:t>non</w:t>
      </w:r>
      <w:r w:rsidR="00EC03A3">
        <w:noBreakHyphen/>
        <w:t>M</w:t>
      </w:r>
      <w:r w:rsidRPr="00724EE0">
        <w:t>āori</w:t>
      </w:r>
      <w:r>
        <w:t xml:space="preserve"> </w:t>
      </w:r>
      <w:r w:rsidR="00EC03A3">
        <w:t>non</w:t>
      </w:r>
      <w:r w:rsidR="00EC03A3">
        <w:noBreakHyphen/>
        <w:t>P</w:t>
      </w:r>
      <w:r>
        <w:t>acific</w:t>
      </w:r>
      <w:r w:rsidRPr="00724EE0">
        <w:t xml:space="preserve"> males to be overweight</w:t>
      </w:r>
      <w:r>
        <w:t xml:space="preserve"> over time</w:t>
      </w:r>
      <w:r w:rsidRPr="00724EE0">
        <w:t xml:space="preserve">. Māori and </w:t>
      </w:r>
      <w:r w:rsidR="00EC03A3">
        <w:t>non</w:t>
      </w:r>
      <w:r w:rsidR="00EC03A3">
        <w:noBreakHyphen/>
        <w:t>M</w:t>
      </w:r>
      <w:r w:rsidRPr="00724EE0">
        <w:t>āori</w:t>
      </w:r>
      <w:r>
        <w:t xml:space="preserve"> </w:t>
      </w:r>
      <w:r w:rsidR="00EC03A3">
        <w:t>non</w:t>
      </w:r>
      <w:r w:rsidR="00EC03A3">
        <w:noBreakHyphen/>
        <w:t>P</w:t>
      </w:r>
      <w:r>
        <w:t>acific</w:t>
      </w:r>
      <w:r w:rsidRPr="00724EE0">
        <w:t xml:space="preserve"> females </w:t>
      </w:r>
      <w:r>
        <w:t xml:space="preserve">had similar prevalence of being </w:t>
      </w:r>
      <w:r w:rsidRPr="00724EE0">
        <w:t>overweight.</w:t>
      </w:r>
    </w:p>
    <w:p w14:paraId="667CEB0D" w14:textId="77777777" w:rsidR="00ED14AD" w:rsidRPr="00724EE0" w:rsidRDefault="00ED14AD" w:rsidP="00ED14AD"/>
    <w:p w14:paraId="61523347" w14:textId="797DA7CF" w:rsidR="00ED14AD" w:rsidRDefault="00ED14AD" w:rsidP="00ED14AD">
      <w:pPr>
        <w:pStyle w:val="Figure"/>
      </w:pPr>
      <w:bookmarkStart w:id="448" w:name="_Toc19101985"/>
      <w:r w:rsidRPr="00724EE0">
        <w:lastRenderedPageBreak/>
        <w:t xml:space="preserve">Figure </w:t>
      </w:r>
      <w:r w:rsidR="006F42E0">
        <w:t>13</w:t>
      </w:r>
      <w:r w:rsidR="00572A9A">
        <w:t>4</w:t>
      </w:r>
      <w:r w:rsidRPr="00724EE0">
        <w:t>:</w:t>
      </w:r>
      <w:r>
        <w:t xml:space="preserve"> Obese</w:t>
      </w:r>
      <w:r w:rsidR="006F42E0">
        <w:t xml:space="preserve">, 15+ years, </w:t>
      </w:r>
      <w:r w:rsidR="006F42E0" w:rsidRPr="00181EF3">
        <w:t xml:space="preserve">by </w:t>
      </w:r>
      <w:r w:rsidR="006F42E0">
        <w:t>gender</w:t>
      </w:r>
      <w:r w:rsidR="006F42E0" w:rsidRPr="00181EF3">
        <w:t xml:space="preserve">, </w:t>
      </w:r>
      <w:r w:rsidR="006F42E0">
        <w:t xml:space="preserve">Māori and </w:t>
      </w:r>
      <w:r w:rsidR="00EC03A3">
        <w:t>non</w:t>
      </w:r>
      <w:r w:rsidR="00EC03A3">
        <w:noBreakHyphen/>
        <w:t>M</w:t>
      </w:r>
      <w:r w:rsidR="006F42E0">
        <w:t xml:space="preserve">āori </w:t>
      </w:r>
      <w:r w:rsidR="00EC03A3">
        <w:t>non</w:t>
      </w:r>
      <w:r w:rsidR="00EC03A3">
        <w:noBreakHyphen/>
        <w:t>P</w:t>
      </w:r>
      <w:r w:rsidR="006F42E0">
        <w:t>acific,</w:t>
      </w:r>
      <w:r w:rsidR="001338CA">
        <w:br/>
      </w:r>
      <w:r w:rsidR="006F42E0">
        <w:t>2006/07–2016/17</w:t>
      </w:r>
      <w:bookmarkEnd w:id="448"/>
    </w:p>
    <w:p w14:paraId="298617AA" w14:textId="77777777" w:rsidR="00ED14AD" w:rsidRPr="00EC5820" w:rsidRDefault="00ED14AD" w:rsidP="00ED14AD">
      <w:r w:rsidRPr="00EC5820">
        <w:rPr>
          <w:noProof/>
          <w:lang w:eastAsia="en-NZ"/>
        </w:rPr>
        <w:drawing>
          <wp:inline distT="0" distB="0" distL="0" distR="0" wp14:anchorId="743C6FE0" wp14:editId="7537881D">
            <wp:extent cx="5130165" cy="3058916"/>
            <wp:effectExtent l="0" t="0" r="0" b="8255"/>
            <wp:docPr id="339" name="Picture 339" descr="Māori were more likely than non-Māori to be obese, and the rates for both groups has increased slightly since 2011-12." title="Figure 134: Obese – adults, age-standardised percentages (%), 2006/07–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5130165" cy="3058916"/>
                    </a:xfrm>
                    <a:prstGeom prst="rect">
                      <a:avLst/>
                    </a:prstGeom>
                  </pic:spPr>
                </pic:pic>
              </a:graphicData>
            </a:graphic>
          </wp:inline>
        </w:drawing>
      </w:r>
    </w:p>
    <w:p w14:paraId="1846ABAD" w14:textId="77777777" w:rsidR="006F42E0" w:rsidRDefault="006F42E0" w:rsidP="006F42E0">
      <w:pPr>
        <w:pStyle w:val="Note"/>
      </w:pPr>
      <w:r w:rsidRPr="00181EF3">
        <w:t>Note</w:t>
      </w:r>
      <w:r>
        <w:t>s</w:t>
      </w:r>
      <w:r w:rsidRPr="00181EF3">
        <w:t>:</w:t>
      </w:r>
    </w:p>
    <w:p w14:paraId="64D20EC3" w14:textId="1BA7BEDF" w:rsidR="008A5642" w:rsidRDefault="00446D86" w:rsidP="006F42E0">
      <w:pPr>
        <w:pStyle w:val="Note"/>
      </w:pPr>
      <w:r>
        <w:t>Figures are age-standardised to the 2001 Census total Māori population</w:t>
      </w:r>
      <w:r w:rsidR="006F42E0" w:rsidRPr="00181EF3">
        <w:t>.</w:t>
      </w:r>
    </w:p>
    <w:p w14:paraId="08A77645" w14:textId="44CF6E94" w:rsidR="006F42E0" w:rsidRPr="00181EF3" w:rsidRDefault="006F42E0" w:rsidP="006F42E0">
      <w:pPr>
        <w:pStyle w:val="Note"/>
      </w:pPr>
      <w:r>
        <w:t>Prioritised ethnicity has been used.</w:t>
      </w:r>
    </w:p>
    <w:p w14:paraId="6991D388" w14:textId="77777777" w:rsidR="008A5642" w:rsidRDefault="006F42E0" w:rsidP="001C62E1">
      <w:pPr>
        <w:pStyle w:val="Note"/>
        <w:ind w:left="0" w:firstLine="0"/>
      </w:pPr>
      <w:r w:rsidRPr="00181EF3">
        <w:t xml:space="preserve">If the </w:t>
      </w:r>
      <w:r w:rsidRPr="001C62E1">
        <w:t>confidence</w:t>
      </w:r>
      <w:r w:rsidRPr="00181EF3">
        <w:t xml:space="preserv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57679937" w14:textId="698D375D" w:rsidR="006F42E0" w:rsidRPr="00181EF3" w:rsidRDefault="006F42E0" w:rsidP="001C62E1">
      <w:pPr>
        <w:pStyle w:val="Note"/>
      </w:pPr>
      <w:r w:rsidRPr="00181EF3">
        <w:t xml:space="preserve">Source: </w:t>
      </w:r>
      <w:r w:rsidR="009116B8">
        <w:t>New Zealand Health Survey (NZHS), Ministry of Health, 2006/07–2016/17.</w:t>
      </w:r>
    </w:p>
    <w:p w14:paraId="3C6DC34C" w14:textId="77777777" w:rsidR="00ED14AD" w:rsidRDefault="00ED14AD" w:rsidP="00ED14AD"/>
    <w:p w14:paraId="59EA1F29" w14:textId="2E527F14" w:rsidR="006F42E0" w:rsidRDefault="006F42E0" w:rsidP="006F42E0">
      <w:r>
        <w:t>Figure 13</w:t>
      </w:r>
      <w:r w:rsidR="001D6946">
        <w:t>4</w:t>
      </w:r>
      <w:r>
        <w:t xml:space="preserve"> shows that t</w:t>
      </w:r>
      <w:r w:rsidRPr="00724EE0">
        <w:t xml:space="preserve">he prevalence of being obese has increased </w:t>
      </w:r>
      <w:r>
        <w:t xml:space="preserve">slightly </w:t>
      </w:r>
      <w:r w:rsidRPr="00724EE0">
        <w:t>over time</w:t>
      </w:r>
      <w:r>
        <w:t xml:space="preserve">. In 2016/17, nearly 50 percent of Māori adults were obese compared </w:t>
      </w:r>
      <w:r w:rsidR="00FF1892">
        <w:t xml:space="preserve">with </w:t>
      </w:r>
      <w:r>
        <w:t xml:space="preserve">23 percent of </w:t>
      </w:r>
      <w:r w:rsidR="00EC03A3">
        <w:t>non</w:t>
      </w:r>
      <w:r w:rsidR="00EC03A3">
        <w:noBreakHyphen/>
        <w:t>M</w:t>
      </w:r>
      <w:r>
        <w:t xml:space="preserve">āori </w:t>
      </w:r>
      <w:r w:rsidR="00EC03A3">
        <w:t>non</w:t>
      </w:r>
      <w:r w:rsidR="00EC03A3">
        <w:noBreakHyphen/>
        <w:t>P</w:t>
      </w:r>
      <w:r>
        <w:t xml:space="preserve">acific adults. In 2006/07, 41 percent of Māori were obese compared </w:t>
      </w:r>
      <w:r w:rsidR="00FF1892">
        <w:t xml:space="preserve">with </w:t>
      </w:r>
      <w:r>
        <w:t xml:space="preserve">19 percent of </w:t>
      </w:r>
      <w:r w:rsidR="00EC03A3">
        <w:t>non</w:t>
      </w:r>
      <w:r w:rsidR="00EC03A3">
        <w:noBreakHyphen/>
        <w:t>M</w:t>
      </w:r>
      <w:r>
        <w:t xml:space="preserve">āori </w:t>
      </w:r>
      <w:r w:rsidR="00EC03A3">
        <w:t>non</w:t>
      </w:r>
      <w:r w:rsidR="00EC03A3">
        <w:noBreakHyphen/>
        <w:t>P</w:t>
      </w:r>
      <w:r>
        <w:t xml:space="preserve">acific. </w:t>
      </w:r>
      <w:r w:rsidRPr="00724EE0">
        <w:t xml:space="preserve">Māori adults were </w:t>
      </w:r>
      <w:r>
        <w:t>around twice</w:t>
      </w:r>
      <w:r w:rsidRPr="00724EE0">
        <w:t xml:space="preserve"> as likely to be obese as </w:t>
      </w:r>
      <w:r w:rsidR="00EC03A3">
        <w:t>non</w:t>
      </w:r>
      <w:r w:rsidR="00EC03A3">
        <w:noBreakHyphen/>
        <w:t>M</w:t>
      </w:r>
      <w:r w:rsidRPr="00724EE0">
        <w:t xml:space="preserve">āori </w:t>
      </w:r>
      <w:r w:rsidR="00EC03A3">
        <w:t>non</w:t>
      </w:r>
      <w:r w:rsidR="00EC03A3">
        <w:noBreakHyphen/>
        <w:t>P</w:t>
      </w:r>
      <w:r>
        <w:t xml:space="preserve">acific </w:t>
      </w:r>
      <w:r w:rsidRPr="00724EE0">
        <w:t>adults, this difference remaining consistent over</w:t>
      </w:r>
      <w:r>
        <w:t xml:space="preserve"> </w:t>
      </w:r>
      <w:r w:rsidRPr="00724EE0">
        <w:t>time.</w:t>
      </w:r>
    </w:p>
    <w:p w14:paraId="05BA5EF6" w14:textId="77777777" w:rsidR="006F42E0" w:rsidRDefault="006F42E0" w:rsidP="00ED14AD"/>
    <w:p w14:paraId="59D9A888" w14:textId="49715AF6" w:rsidR="00ED14AD" w:rsidRDefault="00ED14AD" w:rsidP="00ED14AD">
      <w:r w:rsidRPr="00724EE0">
        <w:t xml:space="preserve">Mean BMI scores show little change overtime for both Māori and </w:t>
      </w:r>
      <w:r w:rsidR="00EC03A3">
        <w:t>non</w:t>
      </w:r>
      <w:r w:rsidR="00EC03A3">
        <w:noBreakHyphen/>
        <w:t>M</w:t>
      </w:r>
      <w:r w:rsidRPr="00724EE0">
        <w:t xml:space="preserve">āori </w:t>
      </w:r>
      <w:r w:rsidR="00EC03A3">
        <w:t>non</w:t>
      </w:r>
      <w:r w:rsidR="00EC03A3">
        <w:noBreakHyphen/>
        <w:t>P</w:t>
      </w:r>
      <w:r>
        <w:t xml:space="preserve">acific </w:t>
      </w:r>
      <w:r w:rsidRPr="00724EE0">
        <w:t>adults aged 15</w:t>
      </w:r>
      <w:r>
        <w:t xml:space="preserve"> and over. Māori adults had </w:t>
      </w:r>
      <w:r w:rsidR="00285716">
        <w:t xml:space="preserve">a mean </w:t>
      </w:r>
      <w:r>
        <w:t xml:space="preserve">BMI </w:t>
      </w:r>
      <w:r w:rsidR="00285716">
        <w:t>score</w:t>
      </w:r>
      <w:r>
        <w:t xml:space="preserve"> of around 30 kg/m</w:t>
      </w:r>
      <w:r>
        <w:rPr>
          <w:vertAlign w:val="superscript"/>
        </w:rPr>
        <w:t>2</w:t>
      </w:r>
      <w:r>
        <w:t xml:space="preserve"> over the time period compared </w:t>
      </w:r>
      <w:r w:rsidR="00FF1892">
        <w:t xml:space="preserve">with </w:t>
      </w:r>
      <w:r>
        <w:t>around 26 kg/m</w:t>
      </w:r>
      <w:r>
        <w:rPr>
          <w:vertAlign w:val="superscript"/>
        </w:rPr>
        <w:t>2</w:t>
      </w:r>
      <w:r>
        <w:t xml:space="preserve"> for </w:t>
      </w:r>
      <w:r w:rsidR="00EC03A3">
        <w:t>non</w:t>
      </w:r>
      <w:r w:rsidR="00EC03A3">
        <w:noBreakHyphen/>
        <w:t>M</w:t>
      </w:r>
      <w:r>
        <w:t xml:space="preserve">āori </w:t>
      </w:r>
      <w:r w:rsidR="00EC03A3">
        <w:t>non</w:t>
      </w:r>
      <w:r w:rsidR="00EC03A3">
        <w:noBreakHyphen/>
        <w:t>P</w:t>
      </w:r>
      <w:r>
        <w:t>acific adults. There was no difference by gender.</w:t>
      </w:r>
    </w:p>
    <w:p w14:paraId="0E2346D8" w14:textId="77777777" w:rsidR="00ED14AD" w:rsidRDefault="00ED14AD" w:rsidP="00ED14AD"/>
    <w:p w14:paraId="7A619359" w14:textId="2408DA68" w:rsidR="00ED14AD" w:rsidRPr="00724EE0" w:rsidRDefault="00ED14AD" w:rsidP="00ED14AD">
      <w:r>
        <w:t xml:space="preserve">There is similarly little substantial change over time when looking at waist measurement, Māori </w:t>
      </w:r>
      <w:r w:rsidR="00285716">
        <w:t xml:space="preserve">mean </w:t>
      </w:r>
      <w:r>
        <w:t xml:space="preserve">waist measurement (cm) increased slightly from 93.6 cm in 2006/07 to 96.6 cm in 2016/17 (compared </w:t>
      </w:r>
      <w:r w:rsidR="00FF1892">
        <w:t xml:space="preserve">with </w:t>
      </w:r>
      <w:r>
        <w:t xml:space="preserve">86.9 cm and 88.4 cm for </w:t>
      </w:r>
      <w:r w:rsidR="00EC03A3">
        <w:t>non</w:t>
      </w:r>
      <w:r w:rsidR="00EC03A3">
        <w:noBreakHyphen/>
        <w:t>M</w:t>
      </w:r>
      <w:r>
        <w:t xml:space="preserve">āori </w:t>
      </w:r>
      <w:r w:rsidR="00EC03A3">
        <w:t>non</w:t>
      </w:r>
      <w:r w:rsidR="00EC03A3">
        <w:noBreakHyphen/>
        <w:t>P</w:t>
      </w:r>
      <w:r>
        <w:t>acific).</w:t>
      </w:r>
    </w:p>
    <w:p w14:paraId="0C5EB718" w14:textId="77777777" w:rsidR="00ED14AD" w:rsidRDefault="00ED14AD" w:rsidP="00ED14AD"/>
    <w:p w14:paraId="28A2CDA4" w14:textId="77777777" w:rsidR="00ED14AD" w:rsidRPr="000C5737" w:rsidRDefault="00ED14AD" w:rsidP="001338CA">
      <w:pPr>
        <w:pStyle w:val="Heading3"/>
        <w:pageBreakBefore/>
        <w:spacing w:before="0"/>
      </w:pPr>
      <w:bookmarkStart w:id="449" w:name="_Toc19102472"/>
      <w:r w:rsidRPr="00527EE5">
        <w:lastRenderedPageBreak/>
        <w:t>Body size for children aged</w:t>
      </w:r>
      <w:r w:rsidR="006F42E0">
        <w:t xml:space="preserve"> </w:t>
      </w:r>
      <w:r w:rsidRPr="00527EE5">
        <w:t>2–14 years</w:t>
      </w:r>
      <w:bookmarkEnd w:id="449"/>
    </w:p>
    <w:p w14:paraId="08B7CFB8" w14:textId="434F96A7" w:rsidR="00ED14AD" w:rsidRDefault="00ED14AD" w:rsidP="00ED14AD">
      <w:pPr>
        <w:pStyle w:val="Figure"/>
      </w:pPr>
      <w:bookmarkStart w:id="450" w:name="_Toc19101986"/>
      <w:r w:rsidRPr="00724EE0">
        <w:t xml:space="preserve">Figure </w:t>
      </w:r>
      <w:r w:rsidR="006F42E0">
        <w:t>1</w:t>
      </w:r>
      <w:r w:rsidRPr="00724EE0">
        <w:t>3</w:t>
      </w:r>
      <w:r w:rsidR="00572A9A">
        <w:t>5</w:t>
      </w:r>
      <w:r w:rsidRPr="00724EE0">
        <w:t>:</w:t>
      </w:r>
      <w:r>
        <w:t xml:space="preserve"> </w:t>
      </w:r>
      <w:r w:rsidR="006F42E0">
        <w:t xml:space="preserve">Obese, 2–14 years, </w:t>
      </w:r>
      <w:r w:rsidR="006F42E0" w:rsidRPr="00181EF3">
        <w:t xml:space="preserve">by </w:t>
      </w:r>
      <w:r w:rsidR="006F42E0">
        <w:t>gender</w:t>
      </w:r>
      <w:r w:rsidR="006F42E0" w:rsidRPr="00181EF3">
        <w:t xml:space="preserve">, </w:t>
      </w:r>
      <w:r w:rsidR="006F42E0">
        <w:t xml:space="preserve">Māori and </w:t>
      </w:r>
      <w:r w:rsidR="00EC03A3">
        <w:t>non</w:t>
      </w:r>
      <w:r w:rsidR="00EC03A3">
        <w:noBreakHyphen/>
        <w:t>M</w:t>
      </w:r>
      <w:r w:rsidR="006F42E0">
        <w:t xml:space="preserve">āori </w:t>
      </w:r>
      <w:r w:rsidR="00EC03A3">
        <w:t>non</w:t>
      </w:r>
      <w:r w:rsidR="00EC03A3">
        <w:noBreakHyphen/>
        <w:t>P</w:t>
      </w:r>
      <w:r w:rsidR="006F42E0">
        <w:t>acific,</w:t>
      </w:r>
      <w:r w:rsidR="001338CA">
        <w:br/>
      </w:r>
      <w:r w:rsidR="006F42E0">
        <w:t>2006/07–2016/17</w:t>
      </w:r>
      <w:bookmarkEnd w:id="450"/>
    </w:p>
    <w:p w14:paraId="0EA86FBB" w14:textId="20E120FC" w:rsidR="00ED14AD" w:rsidRPr="00656474" w:rsidRDefault="00726CDE" w:rsidP="00ED14AD">
      <w:bookmarkStart w:id="451" w:name="_GoBack"/>
      <w:r>
        <w:rPr>
          <w:noProof/>
        </w:rPr>
        <w:drawing>
          <wp:inline distT="0" distB="0" distL="0" distR="0" wp14:anchorId="77BB2747" wp14:editId="51D6D5EB">
            <wp:extent cx="5130165" cy="3060398"/>
            <wp:effectExtent l="0" t="0" r="0" b="6985"/>
            <wp:docPr id="346" name="Picture 346" descr="Māori children are more likely than non-Māori non-Pacific children to be obese. The rate for Māori children has fluctuated over time, while the rate for non-Māori non-Pacific children has increased sligh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130165" cy="3060398"/>
                    </a:xfrm>
                    <a:prstGeom prst="rect">
                      <a:avLst/>
                    </a:prstGeom>
                    <a:noFill/>
                  </pic:spPr>
                </pic:pic>
              </a:graphicData>
            </a:graphic>
          </wp:inline>
        </w:drawing>
      </w:r>
      <w:bookmarkEnd w:id="451"/>
    </w:p>
    <w:p w14:paraId="6ED32103" w14:textId="77777777" w:rsidR="006F42E0" w:rsidRDefault="006F42E0" w:rsidP="001C62E1">
      <w:pPr>
        <w:pStyle w:val="Note"/>
        <w:ind w:left="0" w:firstLine="0"/>
      </w:pPr>
      <w:r w:rsidRPr="00181EF3">
        <w:t>Note</w:t>
      </w:r>
      <w:r>
        <w:t>s</w:t>
      </w:r>
      <w:r w:rsidRPr="00181EF3">
        <w:t>:</w:t>
      </w:r>
    </w:p>
    <w:p w14:paraId="638E5EBD" w14:textId="26F7B6EC" w:rsidR="008A5642" w:rsidRDefault="00446D86" w:rsidP="001C62E1">
      <w:pPr>
        <w:pStyle w:val="Note"/>
        <w:ind w:left="0" w:firstLine="0"/>
      </w:pPr>
      <w:r>
        <w:t>Figures are age-standardised to the 2001 Census total Māori population</w:t>
      </w:r>
      <w:r w:rsidR="006F42E0" w:rsidRPr="00181EF3">
        <w:t>.</w:t>
      </w:r>
    </w:p>
    <w:p w14:paraId="6EAD9052" w14:textId="1A6D0610" w:rsidR="006F42E0" w:rsidRPr="00181EF3" w:rsidRDefault="006F42E0" w:rsidP="001C62E1">
      <w:pPr>
        <w:pStyle w:val="Note"/>
        <w:ind w:left="0" w:firstLine="0"/>
      </w:pPr>
      <w:r>
        <w:t>Prioritised ethnicity has been used.</w:t>
      </w:r>
    </w:p>
    <w:p w14:paraId="01799FC2" w14:textId="77777777" w:rsidR="008A5642" w:rsidRDefault="006F42E0" w:rsidP="001C62E1">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2B4D73C9" w14:textId="744C0488" w:rsidR="006F42E0" w:rsidRPr="00181EF3" w:rsidRDefault="006F42E0" w:rsidP="001C62E1">
      <w:pPr>
        <w:pStyle w:val="Note"/>
        <w:ind w:left="0" w:firstLine="0"/>
      </w:pPr>
      <w:r w:rsidRPr="00181EF3">
        <w:t xml:space="preserve">Source: </w:t>
      </w:r>
      <w:r w:rsidR="009116B8">
        <w:t>New Zealand Health Survey (NZHS), Ministry of Health, 2006/07–2016/17.</w:t>
      </w:r>
    </w:p>
    <w:p w14:paraId="555FBDAF" w14:textId="77777777" w:rsidR="00ED14AD" w:rsidRDefault="00ED14AD" w:rsidP="00ED14AD"/>
    <w:p w14:paraId="54FCD058" w14:textId="442584D3" w:rsidR="006F42E0" w:rsidRDefault="006F42E0" w:rsidP="006F42E0">
      <w:r w:rsidRPr="00724EE0">
        <w:t xml:space="preserve">Māori children aged 2–14 years were more likely to be overweight than </w:t>
      </w:r>
      <w:r w:rsidR="00EC03A3">
        <w:t>non</w:t>
      </w:r>
      <w:r w:rsidR="00EC03A3">
        <w:noBreakHyphen/>
        <w:t>M</w:t>
      </w:r>
      <w:r w:rsidRPr="00724EE0">
        <w:t xml:space="preserve">āori </w:t>
      </w:r>
      <w:r w:rsidR="00EC03A3">
        <w:t>non</w:t>
      </w:r>
      <w:r w:rsidR="00EC03A3">
        <w:noBreakHyphen/>
        <w:t>P</w:t>
      </w:r>
      <w:r>
        <w:t xml:space="preserve">acific children over the time period 2006/07 to 2016/17. In 2016/17 Māori children were </w:t>
      </w:r>
      <w:r w:rsidR="00726CDE">
        <w:t>more than</w:t>
      </w:r>
      <w:r>
        <w:t xml:space="preserve"> 1½ times as likely to be overweight as </w:t>
      </w:r>
      <w:r w:rsidR="00EC03A3">
        <w:t>non</w:t>
      </w:r>
      <w:r w:rsidR="00EC03A3">
        <w:noBreakHyphen/>
        <w:t>M</w:t>
      </w:r>
      <w:r>
        <w:t xml:space="preserve">āori </w:t>
      </w:r>
      <w:r w:rsidR="00EC03A3">
        <w:t>non</w:t>
      </w:r>
      <w:r w:rsidR="00EC03A3">
        <w:noBreakHyphen/>
        <w:t>P</w:t>
      </w:r>
      <w:r>
        <w:t>acific children, these differences were consistent over time.</w:t>
      </w:r>
    </w:p>
    <w:p w14:paraId="01D19DC8" w14:textId="77777777" w:rsidR="006F42E0" w:rsidRDefault="006F42E0" w:rsidP="006F42E0"/>
    <w:p w14:paraId="619EC504" w14:textId="6327EBCB" w:rsidR="006F42E0" w:rsidRDefault="006F42E0" w:rsidP="006F42E0">
      <w:r w:rsidRPr="00724EE0">
        <w:t xml:space="preserve">The prevalence of being obese has fluctuated over time </w:t>
      </w:r>
      <w:r>
        <w:t>for Māori children but overall showed an increase over time from 12 percent recorded as obese in 2006/07 to 1</w:t>
      </w:r>
      <w:r w:rsidR="00726CDE">
        <w:t>7</w:t>
      </w:r>
      <w:r>
        <w:t xml:space="preserve"> percent in 2016/17 (compared </w:t>
      </w:r>
      <w:r w:rsidR="00FF1892">
        <w:t xml:space="preserve">with </w:t>
      </w:r>
      <w:r>
        <w:t xml:space="preserve">5 percent and </w:t>
      </w:r>
      <w:r w:rsidR="00726CDE">
        <w:t>6</w:t>
      </w:r>
      <w:r>
        <w:t xml:space="preserve"> percent for </w:t>
      </w:r>
      <w:r w:rsidR="00EC03A3">
        <w:t>non</w:t>
      </w:r>
      <w:r w:rsidR="00EC03A3">
        <w:noBreakHyphen/>
        <w:t>M</w:t>
      </w:r>
      <w:r>
        <w:t xml:space="preserve">āori </w:t>
      </w:r>
      <w:r w:rsidR="00EC03A3">
        <w:t>non</w:t>
      </w:r>
      <w:r w:rsidR="00EC03A3">
        <w:noBreakHyphen/>
        <w:t>P</w:t>
      </w:r>
      <w:r>
        <w:t xml:space="preserve">acific children). </w:t>
      </w:r>
      <w:r w:rsidRPr="00724EE0">
        <w:t>In 2016/17</w:t>
      </w:r>
      <w:r>
        <w:t>,</w:t>
      </w:r>
      <w:r w:rsidRPr="00724EE0">
        <w:t xml:space="preserve"> Māori </w:t>
      </w:r>
      <w:r>
        <w:t>children</w:t>
      </w:r>
      <w:r w:rsidRPr="00724EE0">
        <w:t xml:space="preserve"> were </w:t>
      </w:r>
      <w:r w:rsidR="00726CDE">
        <w:t>2.8</w:t>
      </w:r>
      <w:r w:rsidRPr="00724EE0">
        <w:t xml:space="preserve"> times </w:t>
      </w:r>
      <w:r>
        <w:t>as</w:t>
      </w:r>
      <w:r w:rsidRPr="00724EE0">
        <w:t xml:space="preserve"> likely to be obese </w:t>
      </w:r>
      <w:r>
        <w:t>as</w:t>
      </w:r>
      <w:r w:rsidRPr="00724EE0">
        <w:t xml:space="preserve"> </w:t>
      </w:r>
      <w:r w:rsidR="00EC03A3">
        <w:t>non</w:t>
      </w:r>
      <w:r w:rsidR="00EC03A3">
        <w:noBreakHyphen/>
        <w:t>M</w:t>
      </w:r>
      <w:r w:rsidRPr="00724EE0">
        <w:t>āori</w:t>
      </w:r>
      <w:r>
        <w:t xml:space="preserve"> </w:t>
      </w:r>
      <w:r w:rsidR="00EC03A3">
        <w:t>non</w:t>
      </w:r>
      <w:r w:rsidR="00EC03A3">
        <w:noBreakHyphen/>
        <w:t>P</w:t>
      </w:r>
      <w:r>
        <w:t>acific</w:t>
      </w:r>
      <w:r w:rsidRPr="00724EE0">
        <w:t xml:space="preserve"> </w:t>
      </w:r>
      <w:r>
        <w:t>children</w:t>
      </w:r>
      <w:r w:rsidRPr="00724EE0">
        <w:t>.</w:t>
      </w:r>
    </w:p>
    <w:p w14:paraId="22F90F9C" w14:textId="77777777" w:rsidR="006F42E0" w:rsidRDefault="006F42E0" w:rsidP="00ED14AD"/>
    <w:p w14:paraId="47D8A664" w14:textId="3A3C0773" w:rsidR="00ED14AD" w:rsidRDefault="00ED14AD" w:rsidP="00ED14AD">
      <w:r w:rsidRPr="00724EE0">
        <w:t xml:space="preserve">Māori children had slightly higher mean BMI </w:t>
      </w:r>
      <w:r>
        <w:t>scores</w:t>
      </w:r>
      <w:r w:rsidRPr="00724EE0">
        <w:t xml:space="preserve"> than </w:t>
      </w:r>
      <w:r w:rsidR="00EC03A3">
        <w:t>non</w:t>
      </w:r>
      <w:r w:rsidR="00EC03A3">
        <w:noBreakHyphen/>
        <w:t>M</w:t>
      </w:r>
      <w:r w:rsidRPr="00724EE0">
        <w:t xml:space="preserve">āori </w:t>
      </w:r>
      <w:r w:rsidR="00EC03A3">
        <w:t>non</w:t>
      </w:r>
      <w:r w:rsidR="00EC03A3">
        <w:noBreakHyphen/>
        <w:t>P</w:t>
      </w:r>
      <w:r>
        <w:t xml:space="preserve">acific </w:t>
      </w:r>
      <w:r w:rsidRPr="00724EE0">
        <w:t>children</w:t>
      </w:r>
      <w:r>
        <w:t xml:space="preserve"> with little change over time</w:t>
      </w:r>
      <w:r w:rsidRPr="00724EE0">
        <w:t>.</w:t>
      </w:r>
      <w:r>
        <w:t xml:space="preserve"> Over time, Māori children had a </w:t>
      </w:r>
      <w:r w:rsidR="00285716">
        <w:t xml:space="preserve">mean </w:t>
      </w:r>
      <w:r>
        <w:t xml:space="preserve">BMI score of around 19 </w:t>
      </w:r>
      <w:r w:rsidR="00285716">
        <w:t>kg/m</w:t>
      </w:r>
      <w:r w:rsidR="00285716">
        <w:rPr>
          <w:vertAlign w:val="superscript"/>
        </w:rPr>
        <w:t xml:space="preserve">2 </w:t>
      </w:r>
      <w:r>
        <w:t xml:space="preserve">compared </w:t>
      </w:r>
      <w:r w:rsidR="00FF1892">
        <w:t xml:space="preserve">with </w:t>
      </w:r>
      <w:r>
        <w:t>around 18</w:t>
      </w:r>
      <w:r w:rsidR="00285716">
        <w:t xml:space="preserve"> kg/m</w:t>
      </w:r>
      <w:r w:rsidR="00285716">
        <w:rPr>
          <w:vertAlign w:val="superscript"/>
        </w:rPr>
        <w:t>2</w:t>
      </w:r>
      <w:r>
        <w:t xml:space="preserve"> for </w:t>
      </w:r>
      <w:r w:rsidR="00EC03A3">
        <w:t>non</w:t>
      </w:r>
      <w:r w:rsidR="00EC03A3">
        <w:noBreakHyphen/>
        <w:t>M</w:t>
      </w:r>
      <w:r>
        <w:t xml:space="preserve">āori </w:t>
      </w:r>
      <w:r w:rsidR="00EC03A3">
        <w:t>non</w:t>
      </w:r>
      <w:r w:rsidR="00EC03A3">
        <w:noBreakHyphen/>
        <w:t>P</w:t>
      </w:r>
      <w:r>
        <w:t>acific children.</w:t>
      </w:r>
    </w:p>
    <w:p w14:paraId="5D74388C" w14:textId="77777777" w:rsidR="00ED14AD" w:rsidRDefault="00ED14AD" w:rsidP="00ED14AD"/>
    <w:p w14:paraId="4EAA341E" w14:textId="63FC3B2E" w:rsidR="00ED14AD" w:rsidRPr="004278E9" w:rsidRDefault="00ED14AD" w:rsidP="00AF3805">
      <w:r w:rsidRPr="004278E9">
        <w:t xml:space="preserve">There has been little change in mean waist measurements over time for both Māori and </w:t>
      </w:r>
      <w:r w:rsidR="00EC03A3">
        <w:t>non</w:t>
      </w:r>
      <w:r w:rsidR="00EC03A3">
        <w:noBreakHyphen/>
        <w:t>M</w:t>
      </w:r>
      <w:r w:rsidRPr="004278E9">
        <w:t xml:space="preserve">āori </w:t>
      </w:r>
      <w:r w:rsidR="00EC03A3">
        <w:t>non</w:t>
      </w:r>
      <w:r w:rsidR="00EC03A3">
        <w:noBreakHyphen/>
        <w:t>P</w:t>
      </w:r>
      <w:r>
        <w:t xml:space="preserve">acific </w:t>
      </w:r>
      <w:r w:rsidRPr="004278E9">
        <w:t xml:space="preserve">children. Māori children had slightly higher mean waist measurements when comparing to </w:t>
      </w:r>
      <w:r w:rsidR="00EC03A3">
        <w:t>non</w:t>
      </w:r>
      <w:r w:rsidR="00EC03A3">
        <w:noBreakHyphen/>
        <w:t>M</w:t>
      </w:r>
      <w:r w:rsidRPr="004278E9">
        <w:t xml:space="preserve">āori </w:t>
      </w:r>
      <w:r w:rsidR="00EC03A3">
        <w:t>non</w:t>
      </w:r>
      <w:r w:rsidR="00EC03A3">
        <w:noBreakHyphen/>
        <w:t>P</w:t>
      </w:r>
      <w:r>
        <w:t xml:space="preserve">acific </w:t>
      </w:r>
      <w:r w:rsidRPr="004278E9">
        <w:t xml:space="preserve">children, in 2016/17, Māori children had a </w:t>
      </w:r>
      <w:r w:rsidR="001D6946">
        <w:t xml:space="preserve">mean waist </w:t>
      </w:r>
      <w:r w:rsidRPr="004278E9">
        <w:t>me</w:t>
      </w:r>
      <w:r>
        <w:t>asurement of 65.</w:t>
      </w:r>
      <w:r w:rsidR="00726CDE">
        <w:t>7</w:t>
      </w:r>
      <w:r>
        <w:t xml:space="preserve"> </w:t>
      </w:r>
      <w:r w:rsidR="00285716">
        <w:t xml:space="preserve">cm </w:t>
      </w:r>
      <w:r>
        <w:t xml:space="preserve">compared </w:t>
      </w:r>
      <w:r w:rsidR="00FF1892">
        <w:t xml:space="preserve">with </w:t>
      </w:r>
      <w:r>
        <w:t>61.</w:t>
      </w:r>
      <w:r w:rsidR="00726CDE">
        <w:t>5</w:t>
      </w:r>
      <w:r w:rsidRPr="004278E9">
        <w:t xml:space="preserve"> </w:t>
      </w:r>
      <w:r w:rsidR="00285716">
        <w:t xml:space="preserve">cm </w:t>
      </w:r>
      <w:r w:rsidRPr="004278E9">
        <w:t xml:space="preserve">for </w:t>
      </w:r>
      <w:r w:rsidR="00EC03A3">
        <w:t>non</w:t>
      </w:r>
      <w:r w:rsidR="00EC03A3">
        <w:noBreakHyphen/>
        <w:t>M</w:t>
      </w:r>
      <w:r w:rsidRPr="004278E9">
        <w:t xml:space="preserve">āori </w:t>
      </w:r>
      <w:r w:rsidR="00EC03A3">
        <w:t>non</w:t>
      </w:r>
      <w:r w:rsidR="00EC03A3">
        <w:noBreakHyphen/>
        <w:t>P</w:t>
      </w:r>
      <w:r>
        <w:t xml:space="preserve">acific </w:t>
      </w:r>
      <w:r w:rsidRPr="004278E9">
        <w:t>children.</w:t>
      </w:r>
    </w:p>
    <w:p w14:paraId="3A39BF98" w14:textId="77777777" w:rsidR="0056185A" w:rsidRPr="00181EF3" w:rsidRDefault="0056185A" w:rsidP="00AF3805">
      <w:pPr>
        <w:pStyle w:val="Heading2"/>
        <w:pageBreakBefore/>
        <w:spacing w:before="0"/>
      </w:pPr>
      <w:bookmarkStart w:id="452" w:name="_Toc14718619"/>
      <w:bookmarkStart w:id="453" w:name="_Toc19102473"/>
      <w:r>
        <w:lastRenderedPageBreak/>
        <w:t>C</w:t>
      </w:r>
      <w:r w:rsidRPr="00181EF3">
        <w:t>ardiovascular disease</w:t>
      </w:r>
      <w:bookmarkEnd w:id="452"/>
      <w:bookmarkEnd w:id="453"/>
    </w:p>
    <w:p w14:paraId="5477F72B" w14:textId="7BC02270" w:rsidR="0056185A" w:rsidRDefault="0056185A" w:rsidP="0056185A">
      <w:r w:rsidRPr="00181EF3">
        <w:rPr>
          <w:noProof/>
          <w:spacing w:val="-2"/>
          <w:lang w:eastAsia="en-NZ"/>
        </w:rPr>
        <w:t xml:space="preserve">This </w:t>
      </w:r>
      <w:r w:rsidR="006F42E0">
        <w:rPr>
          <w:noProof/>
          <w:spacing w:val="-2"/>
          <w:lang w:eastAsia="en-NZ"/>
        </w:rPr>
        <w:t>section presents</w:t>
      </w:r>
      <w:r w:rsidRPr="00181EF3">
        <w:rPr>
          <w:noProof/>
          <w:spacing w:val="-2"/>
          <w:lang w:eastAsia="en-NZ"/>
        </w:rPr>
        <w:t xml:space="preserve"> the trends related to chronic rheumatic heart disease mortality and hospitalisation, all revascularisation (coronary artery bypass graft (CABG) and angioplasty) heart disease procedures and coronary angioplasty procedures (percutaneous)</w:t>
      </w:r>
      <w:r w:rsidR="006F42E0">
        <w:rPr>
          <w:noProof/>
          <w:spacing w:val="-2"/>
          <w:lang w:eastAsia="en-NZ"/>
        </w:rPr>
        <w:t xml:space="preserve"> </w:t>
      </w:r>
      <w:r w:rsidRPr="00181EF3">
        <w:rPr>
          <w:noProof/>
          <w:lang w:eastAsia="en-NZ"/>
        </w:rPr>
        <w:t xml:space="preserve">for </w:t>
      </w:r>
      <w:r w:rsidRPr="00181EF3">
        <w:t xml:space="preserve">Māori and </w:t>
      </w:r>
      <w:r w:rsidR="00EC03A3">
        <w:t>non</w:t>
      </w:r>
      <w:r w:rsidR="00EC03A3">
        <w:noBreakHyphen/>
        <w:t>M</w:t>
      </w:r>
      <w:r w:rsidRPr="00181EF3">
        <w:t xml:space="preserve">āori </w:t>
      </w:r>
      <w:r w:rsidR="00EC03A3">
        <w:t>non</w:t>
      </w:r>
      <w:r w:rsidR="00EC03A3">
        <w:noBreakHyphen/>
        <w:t>P</w:t>
      </w:r>
      <w:r w:rsidRPr="00181EF3">
        <w:t>acific adults.</w:t>
      </w:r>
    </w:p>
    <w:p w14:paraId="6481EF00" w14:textId="77777777" w:rsidR="00AF3805" w:rsidRPr="00181EF3" w:rsidRDefault="00AF3805" w:rsidP="0056185A">
      <w:pPr>
        <w:rPr>
          <w:noProof/>
          <w:lang w:eastAsia="en-NZ"/>
        </w:rPr>
      </w:pPr>
    </w:p>
    <w:p w14:paraId="19521B5E" w14:textId="77777777" w:rsidR="0056185A" w:rsidRPr="00181EF3" w:rsidRDefault="0056185A" w:rsidP="006F42E0">
      <w:pPr>
        <w:pStyle w:val="Heading3"/>
      </w:pPr>
      <w:bookmarkStart w:id="454" w:name="_Toc19102474"/>
      <w:r w:rsidRPr="00181EF3">
        <w:t>What is the data telling us?</w:t>
      </w:r>
      <w:bookmarkEnd w:id="454"/>
    </w:p>
    <w:p w14:paraId="7DF0AA74" w14:textId="77777777" w:rsidR="0056185A" w:rsidRPr="00181EF3" w:rsidRDefault="0056185A" w:rsidP="00AF3805">
      <w:pPr>
        <w:pStyle w:val="Shadedboxtext"/>
      </w:pPr>
      <w:r w:rsidRPr="00181EF3">
        <w:t>Overall the data shows that between 2001–03 and 2011–13:</w:t>
      </w:r>
    </w:p>
    <w:p w14:paraId="14C82505" w14:textId="331985D9" w:rsidR="0056185A" w:rsidRPr="00181EF3" w:rsidRDefault="00AF3805" w:rsidP="00AF3805">
      <w:pPr>
        <w:pStyle w:val="Shadedboxbullet"/>
        <w:ind w:left="568" w:hanging="284"/>
      </w:pPr>
      <w:r>
        <w:t>F</w:t>
      </w:r>
      <w:r w:rsidR="0056185A" w:rsidRPr="00181EF3">
        <w:t>or adults aged 15+ years, age-standardised chronic rheumatic heart disease:</w:t>
      </w:r>
    </w:p>
    <w:p w14:paraId="5D40F47A" w14:textId="4112BD19" w:rsidR="0056185A" w:rsidRPr="00181EF3" w:rsidRDefault="0056185A" w:rsidP="00AF3805">
      <w:pPr>
        <w:pStyle w:val="Shadedboxtext"/>
        <w:tabs>
          <w:tab w:val="left" w:pos="567"/>
          <w:tab w:val="left" w:pos="851"/>
        </w:tabs>
        <w:spacing w:before="60"/>
        <w:ind w:left="851" w:hanging="567"/>
      </w:pPr>
      <w:r w:rsidRPr="00181EF3">
        <w:tab/>
        <w:t>–</w:t>
      </w:r>
      <w:r w:rsidRPr="00181EF3">
        <w:tab/>
        <w:t xml:space="preserve">mortality rates for Māori males and females have reduced by over 40 percent, but remain more than eight times as high as those for </w:t>
      </w:r>
      <w:r w:rsidR="00EC03A3">
        <w:t>non</w:t>
      </w:r>
      <w:r w:rsidR="00EC03A3">
        <w:noBreakHyphen/>
        <w:t>M</w:t>
      </w:r>
      <w:r w:rsidRPr="00181EF3">
        <w:t xml:space="preserve">āori </w:t>
      </w:r>
      <w:r w:rsidR="00EC03A3">
        <w:t>non</w:t>
      </w:r>
      <w:r w:rsidR="00EC03A3">
        <w:noBreakHyphen/>
        <w:t>P</w:t>
      </w:r>
      <w:r w:rsidRPr="00181EF3">
        <w:t>acific males and females</w:t>
      </w:r>
    </w:p>
    <w:p w14:paraId="1FEFC6FC" w14:textId="77777777" w:rsidR="0056185A" w:rsidRPr="00181EF3" w:rsidRDefault="0056185A" w:rsidP="00AF3805">
      <w:pPr>
        <w:pStyle w:val="Shadedboxtext"/>
        <w:tabs>
          <w:tab w:val="left" w:pos="567"/>
          <w:tab w:val="left" w:pos="851"/>
        </w:tabs>
        <w:spacing w:before="60"/>
        <w:ind w:left="851" w:hanging="567"/>
      </w:pPr>
      <w:r w:rsidRPr="00181EF3">
        <w:tab/>
        <w:t>–</w:t>
      </w:r>
      <w:r w:rsidRPr="00181EF3">
        <w:tab/>
        <w:t>hospitalisation rates have been reduced by more than 20 percent</w:t>
      </w:r>
    </w:p>
    <w:p w14:paraId="4CB18325" w14:textId="53F60FB6" w:rsidR="0056185A" w:rsidRPr="00181EF3" w:rsidRDefault="0056185A" w:rsidP="00AF3805">
      <w:pPr>
        <w:pStyle w:val="Shadedboxtext"/>
        <w:tabs>
          <w:tab w:val="left" w:pos="567"/>
          <w:tab w:val="left" w:pos="851"/>
        </w:tabs>
        <w:spacing w:before="60"/>
        <w:ind w:left="851" w:hanging="567"/>
      </w:pPr>
      <w:r w:rsidRPr="00181EF3">
        <w:tab/>
        <w:t>–</w:t>
      </w:r>
      <w:r w:rsidRPr="00181EF3">
        <w:tab/>
        <w:t xml:space="preserve">the difference between Māori and </w:t>
      </w:r>
      <w:r w:rsidR="00EC03A3">
        <w:t>non</w:t>
      </w:r>
      <w:r w:rsidR="00EC03A3">
        <w:noBreakHyphen/>
        <w:t>M</w:t>
      </w:r>
      <w:r w:rsidRPr="00181EF3">
        <w:t xml:space="preserve">āori </w:t>
      </w:r>
      <w:r w:rsidR="00EC03A3">
        <w:t>non</w:t>
      </w:r>
      <w:r w:rsidR="00EC03A3">
        <w:noBreakHyphen/>
        <w:t>P</w:t>
      </w:r>
      <w:r w:rsidRPr="00181EF3">
        <w:t>acific age-standardised chronic rheumatic heart disease hospitalisation rates decreased by 17 percent for males, and 27 percent for females</w:t>
      </w:r>
    </w:p>
    <w:p w14:paraId="5100F4DD" w14:textId="08C5F309" w:rsidR="0056185A" w:rsidRPr="00181EF3" w:rsidRDefault="0056185A" w:rsidP="0056185A">
      <w:pPr>
        <w:pStyle w:val="Shadedboxtext"/>
        <w:tabs>
          <w:tab w:val="left" w:pos="567"/>
          <w:tab w:val="left" w:pos="851"/>
        </w:tabs>
        <w:spacing w:before="60"/>
        <w:ind w:left="851" w:hanging="567"/>
      </w:pPr>
      <w:r w:rsidRPr="00181EF3">
        <w:tab/>
        <w:t>–</w:t>
      </w:r>
      <w:r w:rsidRPr="00181EF3">
        <w:tab/>
        <w:t xml:space="preserve">hospitalisation rates for Māori males remain around six times as high as those for </w:t>
      </w:r>
      <w:r w:rsidR="00EC03A3">
        <w:t>non</w:t>
      </w:r>
      <w:r w:rsidR="00EC03A3">
        <w:noBreakHyphen/>
        <w:t>M</w:t>
      </w:r>
      <w:r w:rsidRPr="00181EF3">
        <w:t xml:space="preserve">āori </w:t>
      </w:r>
      <w:r w:rsidR="00EC03A3">
        <w:t>non</w:t>
      </w:r>
      <w:r w:rsidR="00EC03A3">
        <w:noBreakHyphen/>
        <w:t>P</w:t>
      </w:r>
      <w:r w:rsidRPr="00181EF3">
        <w:t>acific males, and rates for M</w:t>
      </w:r>
      <w:r w:rsidR="008F0248">
        <w:rPr>
          <w:rFonts w:cs="Segoe UI"/>
        </w:rPr>
        <w:t>ā</w:t>
      </w:r>
      <w:r w:rsidRPr="00181EF3">
        <w:t xml:space="preserve">ori females remain around eight times as high as those of </w:t>
      </w:r>
      <w:r w:rsidR="00EC03A3">
        <w:t>non</w:t>
      </w:r>
      <w:r w:rsidR="00EC03A3">
        <w:noBreakHyphen/>
        <w:t>M</w:t>
      </w:r>
      <w:r w:rsidRPr="00181EF3">
        <w:t xml:space="preserve">āori </w:t>
      </w:r>
      <w:r w:rsidR="00EC03A3">
        <w:t>non</w:t>
      </w:r>
      <w:r w:rsidR="00EC03A3">
        <w:noBreakHyphen/>
        <w:t>P</w:t>
      </w:r>
      <w:r w:rsidRPr="00181EF3">
        <w:t>acific females</w:t>
      </w:r>
      <w:r w:rsidR="00AF3805">
        <w:t>.</w:t>
      </w:r>
    </w:p>
    <w:p w14:paraId="2CBE94A2" w14:textId="0CA86334" w:rsidR="0056185A" w:rsidRPr="00181EF3" w:rsidRDefault="00AF3805" w:rsidP="0056185A">
      <w:pPr>
        <w:pStyle w:val="Shadedboxbullet"/>
        <w:ind w:left="568" w:hanging="284"/>
      </w:pPr>
      <w:r>
        <w:t>F</w:t>
      </w:r>
      <w:r w:rsidR="0056185A" w:rsidRPr="00181EF3">
        <w:t>or adults aged 35+ years:</w:t>
      </w:r>
    </w:p>
    <w:p w14:paraId="2658D63B" w14:textId="5909E1A1" w:rsidR="0056185A" w:rsidRPr="00181EF3" w:rsidRDefault="0056185A" w:rsidP="0056185A">
      <w:pPr>
        <w:pStyle w:val="Shadedboxtext"/>
        <w:tabs>
          <w:tab w:val="left" w:pos="567"/>
          <w:tab w:val="left" w:pos="851"/>
        </w:tabs>
        <w:spacing w:before="60"/>
        <w:ind w:left="851" w:hanging="567"/>
      </w:pPr>
      <w:r w:rsidRPr="00181EF3">
        <w:tab/>
        <w:t>–</w:t>
      </w:r>
      <w:r w:rsidRPr="00181EF3">
        <w:tab/>
        <w:t xml:space="preserve">the difference between Māori and </w:t>
      </w:r>
      <w:r w:rsidR="00EC03A3">
        <w:t>non</w:t>
      </w:r>
      <w:r w:rsidR="00EC03A3">
        <w:noBreakHyphen/>
        <w:t>M</w:t>
      </w:r>
      <w:r w:rsidRPr="00181EF3">
        <w:t xml:space="preserve">āori </w:t>
      </w:r>
      <w:r w:rsidR="00EC03A3">
        <w:t>non</w:t>
      </w:r>
      <w:r w:rsidR="00EC03A3">
        <w:noBreakHyphen/>
        <w:t>P</w:t>
      </w:r>
      <w:r w:rsidRPr="00181EF3">
        <w:t>acific age-standardised rates of all revascularisation heart disease procedures decreased by 112 percent for males, and increased by 394 percent for females</w:t>
      </w:r>
    </w:p>
    <w:p w14:paraId="391F64EF" w14:textId="65C169C0" w:rsidR="0056185A" w:rsidRPr="00181EF3" w:rsidRDefault="0056185A" w:rsidP="0056185A">
      <w:pPr>
        <w:pStyle w:val="Shadedboxtext"/>
        <w:tabs>
          <w:tab w:val="left" w:pos="567"/>
          <w:tab w:val="left" w:pos="851"/>
        </w:tabs>
        <w:spacing w:before="60"/>
        <w:ind w:left="851" w:hanging="567"/>
      </w:pPr>
      <w:r w:rsidRPr="00181EF3">
        <w:tab/>
        <w:t>–</w:t>
      </w:r>
      <w:r w:rsidRPr="00181EF3">
        <w:tab/>
        <w:t xml:space="preserve">age-standardised rates of all revascularisation heart disease procedures are now similar for Māori and </w:t>
      </w:r>
      <w:r w:rsidR="00EC03A3">
        <w:t>non</w:t>
      </w:r>
      <w:r w:rsidR="00EC03A3">
        <w:noBreakHyphen/>
        <w:t>M</w:t>
      </w:r>
      <w:r w:rsidRPr="00181EF3">
        <w:t xml:space="preserve">āori </w:t>
      </w:r>
      <w:r w:rsidR="00EC03A3">
        <w:t>non</w:t>
      </w:r>
      <w:r w:rsidR="00EC03A3">
        <w:noBreakHyphen/>
        <w:t>P</w:t>
      </w:r>
      <w:r w:rsidRPr="00181EF3">
        <w:t xml:space="preserve">acific males, and rates for Māori females are around twice as high as </w:t>
      </w:r>
      <w:r>
        <w:t xml:space="preserve">those </w:t>
      </w:r>
      <w:r w:rsidRPr="00181EF3">
        <w:t xml:space="preserve">for </w:t>
      </w:r>
      <w:r w:rsidR="00EC03A3">
        <w:t>non</w:t>
      </w:r>
      <w:r w:rsidR="00EC03A3">
        <w:noBreakHyphen/>
        <w:t>M</w:t>
      </w:r>
      <w:r w:rsidRPr="00181EF3">
        <w:t xml:space="preserve">āori </w:t>
      </w:r>
      <w:r w:rsidR="00EC03A3">
        <w:t>non</w:t>
      </w:r>
      <w:r w:rsidR="00EC03A3">
        <w:noBreakHyphen/>
        <w:t>P</w:t>
      </w:r>
      <w:r w:rsidRPr="00181EF3">
        <w:t>acific females</w:t>
      </w:r>
    </w:p>
    <w:p w14:paraId="046FF3F4" w14:textId="308400C4" w:rsidR="0056185A" w:rsidRPr="00181EF3" w:rsidRDefault="0056185A" w:rsidP="0056185A">
      <w:pPr>
        <w:pStyle w:val="Shadedboxtext"/>
        <w:tabs>
          <w:tab w:val="left" w:pos="567"/>
          <w:tab w:val="left" w:pos="851"/>
        </w:tabs>
        <w:spacing w:before="60"/>
        <w:ind w:left="851" w:hanging="567"/>
      </w:pPr>
      <w:r w:rsidRPr="00181EF3">
        <w:tab/>
        <w:t>–</w:t>
      </w:r>
      <w:r w:rsidRPr="00181EF3">
        <w:tab/>
        <w:t xml:space="preserve">the difference between Māori and </w:t>
      </w:r>
      <w:r w:rsidR="00EC03A3">
        <w:t>non</w:t>
      </w:r>
      <w:r w:rsidR="00EC03A3">
        <w:noBreakHyphen/>
        <w:t>M</w:t>
      </w:r>
      <w:r w:rsidRPr="00181EF3">
        <w:t xml:space="preserve">āori </w:t>
      </w:r>
      <w:r w:rsidR="00EC03A3">
        <w:t>non</w:t>
      </w:r>
      <w:r w:rsidR="00EC03A3">
        <w:noBreakHyphen/>
        <w:t>P</w:t>
      </w:r>
      <w:r w:rsidRPr="00181EF3">
        <w:t>acific male age</w:t>
      </w:r>
      <w:r w:rsidRPr="00181EF3">
        <w:noBreakHyphen/>
        <w:t>standardised rates of all coronary angioplasty procedures decreased by 97 percent, and for Māori females, increased by 814 percent</w:t>
      </w:r>
    </w:p>
    <w:p w14:paraId="55EE83EC" w14:textId="1A91297B" w:rsidR="0056185A" w:rsidRPr="00181EF3" w:rsidRDefault="0056185A" w:rsidP="0056185A">
      <w:pPr>
        <w:pStyle w:val="Shadedboxtext"/>
        <w:tabs>
          <w:tab w:val="left" w:pos="567"/>
          <w:tab w:val="left" w:pos="851"/>
        </w:tabs>
        <w:spacing w:before="60"/>
        <w:ind w:left="851" w:hanging="567"/>
      </w:pPr>
      <w:r w:rsidRPr="00181EF3">
        <w:tab/>
        <w:t>–</w:t>
      </w:r>
      <w:r w:rsidRPr="00181EF3">
        <w:tab/>
        <w:t xml:space="preserve">age-standardised rates of all coronary angioplasty procedures for Māori males are now close to those of </w:t>
      </w:r>
      <w:r w:rsidR="00EC03A3">
        <w:t>non</w:t>
      </w:r>
      <w:r w:rsidR="00EC03A3">
        <w:noBreakHyphen/>
        <w:t>M</w:t>
      </w:r>
      <w:r w:rsidRPr="00181EF3">
        <w:t xml:space="preserve">āori </w:t>
      </w:r>
      <w:r w:rsidR="00EC03A3">
        <w:t>non</w:t>
      </w:r>
      <w:r w:rsidR="00EC03A3">
        <w:noBreakHyphen/>
        <w:t>P</w:t>
      </w:r>
      <w:r w:rsidRPr="00181EF3">
        <w:t xml:space="preserve">acific males, and rates for Māori females are around 1.7 times as high as </w:t>
      </w:r>
      <w:r>
        <w:t xml:space="preserve">those </w:t>
      </w:r>
      <w:r w:rsidRPr="00181EF3">
        <w:t xml:space="preserve">for </w:t>
      </w:r>
      <w:r w:rsidR="00EC03A3">
        <w:t>non</w:t>
      </w:r>
      <w:r w:rsidR="00EC03A3">
        <w:noBreakHyphen/>
        <w:t>M</w:t>
      </w:r>
      <w:r w:rsidRPr="00181EF3">
        <w:t xml:space="preserve">āori </w:t>
      </w:r>
      <w:r w:rsidR="00EC03A3">
        <w:t>non</w:t>
      </w:r>
      <w:r w:rsidR="00EC03A3">
        <w:noBreakHyphen/>
        <w:t>P</w:t>
      </w:r>
      <w:r w:rsidRPr="00181EF3">
        <w:t>acific females.</w:t>
      </w:r>
    </w:p>
    <w:p w14:paraId="3A47DBFC" w14:textId="77777777" w:rsidR="0056185A" w:rsidRPr="00181EF3" w:rsidRDefault="0056185A" w:rsidP="0056185A"/>
    <w:p w14:paraId="71CF37EC" w14:textId="77777777" w:rsidR="0056185A" w:rsidRPr="00181EF3" w:rsidRDefault="0056185A" w:rsidP="00AF3805">
      <w:pPr>
        <w:pStyle w:val="Heading3"/>
        <w:pageBreakBefore/>
        <w:spacing w:before="0"/>
      </w:pPr>
      <w:bookmarkStart w:id="455" w:name="_Toc19102475"/>
      <w:r w:rsidRPr="00181EF3">
        <w:lastRenderedPageBreak/>
        <w:t>Chronic rheumatic heart disease mortality</w:t>
      </w:r>
      <w:bookmarkEnd w:id="455"/>
    </w:p>
    <w:p w14:paraId="35A14FB9" w14:textId="1A1BACE5" w:rsidR="006F42E0" w:rsidRPr="00181EF3" w:rsidRDefault="006F42E0" w:rsidP="006F42E0">
      <w:pPr>
        <w:pStyle w:val="Figure"/>
      </w:pPr>
      <w:bookmarkStart w:id="456" w:name="_Toc19101987"/>
      <w:r w:rsidRPr="00181EF3">
        <w:t>Figure 1</w:t>
      </w:r>
      <w:r>
        <w:t>3</w:t>
      </w:r>
      <w:r w:rsidR="00572A9A">
        <w:t>6</w:t>
      </w:r>
      <w:r w:rsidRPr="00181EF3">
        <w:t>: Chronic rheumatic heart disease mortality rates</w:t>
      </w:r>
      <w:r>
        <w:t xml:space="preserve">, </w:t>
      </w:r>
      <w:r w:rsidR="007A6D63">
        <w:t>1</w:t>
      </w:r>
      <w:r>
        <w:t xml:space="preserve">5+ years, </w:t>
      </w:r>
      <w:r w:rsidRPr="00181EF3">
        <w:t xml:space="preserve">by </w:t>
      </w:r>
      <w:r>
        <w:t>gender</w:t>
      </w:r>
      <w:r w:rsidRPr="00181EF3">
        <w:t xml:space="preserve">, </w:t>
      </w:r>
      <w:r>
        <w:t xml:space="preserve">Māori and </w:t>
      </w:r>
      <w:r w:rsidR="00EC03A3">
        <w:t>non</w:t>
      </w:r>
      <w:r w:rsidR="00EC03A3">
        <w:noBreakHyphen/>
        <w:t>M</w:t>
      </w:r>
      <w:r>
        <w:t xml:space="preserve">āori </w:t>
      </w:r>
      <w:r w:rsidR="00EC03A3">
        <w:t>non</w:t>
      </w:r>
      <w:r w:rsidR="00EC03A3">
        <w:noBreakHyphen/>
        <w:t>P</w:t>
      </w:r>
      <w:r>
        <w:t>acific</w:t>
      </w:r>
      <w:r w:rsidRPr="00181EF3">
        <w:t>, 2001–03 to 2011–13</w:t>
      </w:r>
      <w:bookmarkEnd w:id="456"/>
    </w:p>
    <w:p w14:paraId="087C30C5" w14:textId="77777777" w:rsidR="006F42E0" w:rsidRPr="00181EF3" w:rsidRDefault="006F42E0" w:rsidP="006F42E0">
      <w:r w:rsidRPr="00181EF3">
        <w:rPr>
          <w:noProof/>
          <w:lang w:eastAsia="en-NZ"/>
        </w:rPr>
        <w:drawing>
          <wp:inline distT="0" distB="0" distL="0" distR="0" wp14:anchorId="2050CF82" wp14:editId="4B53934B">
            <wp:extent cx="5130165" cy="3069329"/>
            <wp:effectExtent l="0" t="0" r="0" b="0"/>
            <wp:docPr id="309" name="Picture 309" descr="Māori had a higher death rate from rheumatic heart disease than non-Māori. The rates for non-Māori men and women have remained low and steady over time, while the rates for Māori women and men have fluctuated and decreased since 2007-09. Māori women have the highest rates out of all groups." title="Figure 136: Chronic rheumatic heart disease mortality rates, 15+ years, by gender, Māori and non-Māori non-Pacific, 2001-03 to 20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5130165" cy="3069329"/>
                    </a:xfrm>
                    <a:prstGeom prst="rect">
                      <a:avLst/>
                    </a:prstGeom>
                  </pic:spPr>
                </pic:pic>
              </a:graphicData>
            </a:graphic>
          </wp:inline>
        </w:drawing>
      </w:r>
    </w:p>
    <w:p w14:paraId="1F67B0C3" w14:textId="77777777" w:rsidR="006F42E0" w:rsidRDefault="006F42E0" w:rsidP="006F42E0">
      <w:pPr>
        <w:pStyle w:val="Note"/>
      </w:pPr>
      <w:r w:rsidRPr="00181EF3">
        <w:t>Note</w:t>
      </w:r>
      <w:r>
        <w:t>s</w:t>
      </w:r>
      <w:r w:rsidRPr="00181EF3">
        <w:t>:</w:t>
      </w:r>
    </w:p>
    <w:p w14:paraId="3F129A9C" w14:textId="677EBC24" w:rsidR="008A5642" w:rsidRDefault="00446D86" w:rsidP="006F42E0">
      <w:pPr>
        <w:pStyle w:val="Note"/>
      </w:pPr>
      <w:r>
        <w:t>Figures are age-standardised to the 2001 Census total Māori population</w:t>
      </w:r>
      <w:r w:rsidR="006F42E0" w:rsidRPr="00181EF3">
        <w:t>.</w:t>
      </w:r>
    </w:p>
    <w:p w14:paraId="3A8F0040" w14:textId="31F27F83" w:rsidR="006F42E0" w:rsidRPr="00181EF3" w:rsidRDefault="006F42E0" w:rsidP="006F42E0">
      <w:pPr>
        <w:pStyle w:val="Note"/>
      </w:pPr>
      <w:r>
        <w:t>Prioritised ethnicity has been used.</w:t>
      </w:r>
    </w:p>
    <w:p w14:paraId="7E2E4B00" w14:textId="77777777" w:rsidR="008A5642" w:rsidRDefault="006F42E0" w:rsidP="001C62E1">
      <w:pPr>
        <w:pStyle w:val="Note"/>
        <w:ind w:left="0" w:firstLine="0"/>
      </w:pPr>
      <w:r w:rsidRPr="00181EF3">
        <w:t xml:space="preserve">If </w:t>
      </w:r>
      <w:r w:rsidRPr="001C62E1">
        <w:t>the</w:t>
      </w:r>
      <w:r w:rsidRPr="00181EF3">
        <w:t xml:space="preserv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528F64AF" w14:textId="47C225BB" w:rsidR="006F42E0" w:rsidRPr="00181EF3" w:rsidRDefault="006F42E0" w:rsidP="006F42E0">
      <w:pPr>
        <w:pStyle w:val="Source"/>
        <w:rPr>
          <w:rFonts w:eastAsia="Calibri"/>
        </w:rPr>
      </w:pPr>
      <w:r w:rsidRPr="00181EF3">
        <w:rPr>
          <w:rFonts w:eastAsia="Calibri"/>
        </w:rPr>
        <w:t>Source: Mortality Collection Data Set (MORT), Ministry of Health</w:t>
      </w:r>
      <w:r>
        <w:rPr>
          <w:rFonts w:eastAsia="Calibri"/>
        </w:rPr>
        <w:t xml:space="preserve">, </w:t>
      </w:r>
      <w:r>
        <w:t>2001</w:t>
      </w:r>
      <w:r w:rsidRPr="00181EF3">
        <w:t>–</w:t>
      </w:r>
      <w:r>
        <w:t>03</w:t>
      </w:r>
      <w:r w:rsidRPr="00181EF3">
        <w:t xml:space="preserve"> to 201</w:t>
      </w:r>
      <w:r>
        <w:t>1</w:t>
      </w:r>
      <w:r w:rsidRPr="00181EF3">
        <w:t>–1</w:t>
      </w:r>
      <w:r>
        <w:t>3</w:t>
      </w:r>
      <w:r w:rsidRPr="00181EF3">
        <w:rPr>
          <w:rFonts w:eastAsia="Calibri"/>
        </w:rPr>
        <w:t>.</w:t>
      </w:r>
    </w:p>
    <w:p w14:paraId="6216738D" w14:textId="77777777" w:rsidR="006F42E0" w:rsidRPr="00181EF3" w:rsidRDefault="006F42E0" w:rsidP="006F42E0">
      <w:pPr>
        <w:rPr>
          <w:rFonts w:eastAsia="Calibri"/>
          <w:noProof/>
          <w:lang w:eastAsia="en-NZ"/>
        </w:rPr>
      </w:pPr>
    </w:p>
    <w:p w14:paraId="125BCA3B" w14:textId="2E2A3CDA" w:rsidR="0056185A" w:rsidRDefault="0056185A" w:rsidP="00AF3805">
      <w:r w:rsidRPr="00181EF3">
        <w:t>Figure 1</w:t>
      </w:r>
      <w:r w:rsidR="006F42E0">
        <w:t>3</w:t>
      </w:r>
      <w:r w:rsidR="001D6946">
        <w:t>6</w:t>
      </w:r>
      <w:r w:rsidRPr="00181EF3">
        <w:t xml:space="preserve"> shows that Māori adults aged 15+ years have higher age-standardised chronic rheumatic heart disease mortality rates compared </w:t>
      </w:r>
      <w:r w:rsidR="00FF1892">
        <w:t>with</w:t>
      </w:r>
      <w:r w:rsidR="00FF1892" w:rsidRPr="00181EF3">
        <w:t xml:space="preserve"> </w:t>
      </w:r>
      <w:r w:rsidR="00EC03A3">
        <w:t>non</w:t>
      </w:r>
      <w:r w:rsidR="00EC03A3">
        <w:noBreakHyphen/>
        <w:t>M</w:t>
      </w:r>
      <w:r w:rsidRPr="00181EF3">
        <w:t xml:space="preserve">āori </w:t>
      </w:r>
      <w:r w:rsidR="00EC03A3">
        <w:t>non</w:t>
      </w:r>
      <w:r w:rsidR="00EC03A3">
        <w:noBreakHyphen/>
        <w:t>P</w:t>
      </w:r>
      <w:r w:rsidRPr="00181EF3">
        <w:t>acific adults at the same age group.</w:t>
      </w:r>
    </w:p>
    <w:p w14:paraId="5D0CB731" w14:textId="77777777" w:rsidR="00AF3805" w:rsidRPr="00181EF3" w:rsidRDefault="00AF3805" w:rsidP="00AF3805"/>
    <w:p w14:paraId="666A0363" w14:textId="77777777" w:rsidR="0056185A" w:rsidRPr="00181EF3" w:rsidRDefault="0056185A" w:rsidP="006F42E0">
      <w:pPr>
        <w:pStyle w:val="Heading4"/>
      </w:pPr>
      <w:r w:rsidRPr="00181EF3">
        <w:t xml:space="preserve">Chronic rheumatic heart disease </w:t>
      </w:r>
      <w:r w:rsidR="006F42E0">
        <w:t xml:space="preserve">mortality </w:t>
      </w:r>
      <w:r w:rsidRPr="00181EF3">
        <w:t>rates have decreased for Māori</w:t>
      </w:r>
    </w:p>
    <w:p w14:paraId="0C10D186" w14:textId="37E6C2D1" w:rsidR="0056185A" w:rsidRPr="00181EF3" w:rsidRDefault="0056185A" w:rsidP="0056185A">
      <w:r w:rsidRPr="00181EF3">
        <w:t xml:space="preserve">Between 2001–03 and 2011–13, age-standardised chronic rheumatic heart disease mortality rates decreased for Māori adults, and did not change much for </w:t>
      </w:r>
      <w:r w:rsidR="00EC03A3">
        <w:t>non</w:t>
      </w:r>
      <w:r w:rsidR="00EC03A3">
        <w:noBreakHyphen/>
        <w:t>M</w:t>
      </w:r>
      <w:r w:rsidRPr="00181EF3">
        <w:t xml:space="preserve">āori </w:t>
      </w:r>
      <w:r w:rsidR="00EC03A3">
        <w:t>non</w:t>
      </w:r>
      <w:r w:rsidR="00EC03A3">
        <w:noBreakHyphen/>
        <w:t>P</w:t>
      </w:r>
      <w:r w:rsidRPr="00181EF3">
        <w:t>acific adults.</w:t>
      </w:r>
    </w:p>
    <w:p w14:paraId="7C42AC03" w14:textId="77777777" w:rsidR="0056185A" w:rsidRPr="00181EF3" w:rsidRDefault="0056185A" w:rsidP="0056185A"/>
    <w:p w14:paraId="24CDE0FC" w14:textId="09421365" w:rsidR="0056185A" w:rsidRDefault="0056185A" w:rsidP="0056185A">
      <w:r w:rsidRPr="00181EF3">
        <w:t xml:space="preserve">Between 2001–03 and 2011–13, for Māori males, the rate of deaths per 100,000 due to chronic rheumatic heart disease decreased by 48 percent (from 8 to 4 deaths per 100,000). For Māori females, the rate of deaths per 100,000 due to chronic rheumatic heart disease decreased by 42 percent (from 11 to 6 deaths per 100,000). Rates for </w:t>
      </w:r>
      <w:r w:rsidR="00EC03A3">
        <w:t>non</w:t>
      </w:r>
      <w:r w:rsidR="00EC03A3">
        <w:noBreakHyphen/>
        <w:t>M</w:t>
      </w:r>
      <w:r w:rsidRPr="00181EF3">
        <w:t xml:space="preserve">āori </w:t>
      </w:r>
      <w:r w:rsidR="00EC03A3">
        <w:t>non</w:t>
      </w:r>
      <w:r w:rsidR="00EC03A3">
        <w:noBreakHyphen/>
        <w:t>P</w:t>
      </w:r>
      <w:r w:rsidRPr="00181EF3">
        <w:t>acific males and females remained at or below 1 death per 100,000.</w:t>
      </w:r>
    </w:p>
    <w:p w14:paraId="4BDCC691" w14:textId="77777777" w:rsidR="00AF3805" w:rsidRPr="00181EF3" w:rsidRDefault="00AF3805" w:rsidP="0056185A"/>
    <w:p w14:paraId="093CDA9F" w14:textId="4F9CAF23" w:rsidR="0056185A" w:rsidRPr="00181EF3" w:rsidRDefault="0056185A" w:rsidP="006F42E0">
      <w:pPr>
        <w:pStyle w:val="Heading4"/>
      </w:pPr>
      <w:r w:rsidRPr="00181EF3">
        <w:lastRenderedPageBreak/>
        <w:t xml:space="preserve">The difference </w:t>
      </w:r>
      <w:r w:rsidR="006F42E0">
        <w:t xml:space="preserve">in chronic </w:t>
      </w:r>
      <w:r w:rsidR="006F42E0" w:rsidRPr="00181EF3">
        <w:t xml:space="preserve">rheumatic heart disease </w:t>
      </w:r>
      <w:r w:rsidR="006F42E0">
        <w:t xml:space="preserve">mortality </w:t>
      </w:r>
      <w:r w:rsidR="006F42E0" w:rsidRPr="00181EF3">
        <w:t xml:space="preserve">rates </w:t>
      </w:r>
      <w:r w:rsidRPr="00181EF3">
        <w:t xml:space="preserve">between Māori and </w:t>
      </w:r>
      <w:r w:rsidR="00EC03A3">
        <w:t>non</w:t>
      </w:r>
      <w:r w:rsidR="00EC03A3">
        <w:noBreakHyphen/>
        <w:t>M</w:t>
      </w:r>
      <w:r w:rsidRPr="00181EF3">
        <w:t>āori</w:t>
      </w:r>
      <w:r>
        <w:t xml:space="preserve"> </w:t>
      </w:r>
      <w:r w:rsidR="00EC03A3">
        <w:t>non</w:t>
      </w:r>
      <w:r w:rsidR="00EC03A3">
        <w:noBreakHyphen/>
        <w:t>P</w:t>
      </w:r>
      <w:r>
        <w:t>acific</w:t>
      </w:r>
      <w:r w:rsidRPr="00181EF3">
        <w:t xml:space="preserve"> rates has decreased</w:t>
      </w:r>
    </w:p>
    <w:p w14:paraId="7E9BCCA4" w14:textId="20BCE9E0" w:rsidR="0056185A" w:rsidRPr="00181EF3" w:rsidRDefault="0056185A" w:rsidP="0056185A">
      <w:r w:rsidRPr="00181EF3">
        <w:t xml:space="preserve">Between 2001–03 and 2011–13, the difference between Māori and </w:t>
      </w:r>
      <w:r w:rsidR="00EC03A3">
        <w:t>non</w:t>
      </w:r>
      <w:r w:rsidR="00EC03A3">
        <w:noBreakHyphen/>
        <w:t>M</w:t>
      </w:r>
      <w:r w:rsidRPr="00181EF3">
        <w:t xml:space="preserve">āori </w:t>
      </w:r>
      <w:r w:rsidR="00EC03A3">
        <w:t>non</w:t>
      </w:r>
      <w:r w:rsidR="00EC03A3">
        <w:noBreakHyphen/>
        <w:t>P</w:t>
      </w:r>
      <w:r w:rsidRPr="00181EF3">
        <w:t xml:space="preserve">acific male age-standardised chronic rheumatic heart disease mortality rates decreased by 50 percent, reducing from 7 per 100,000 (the difference in 2001–03) to 3 per 100,000 (the difference in 2011–13). Similarly, for females the difference between Māori and </w:t>
      </w:r>
      <w:r w:rsidR="00EC03A3">
        <w:t>non</w:t>
      </w:r>
      <w:r w:rsidR="00EC03A3">
        <w:noBreakHyphen/>
        <w:t>M</w:t>
      </w:r>
      <w:r w:rsidRPr="00181EF3">
        <w:t xml:space="preserve">āori </w:t>
      </w:r>
      <w:r w:rsidR="00EC03A3">
        <w:t>non</w:t>
      </w:r>
      <w:r w:rsidR="00EC03A3">
        <w:noBreakHyphen/>
        <w:t>P</w:t>
      </w:r>
      <w:r w:rsidRPr="00181EF3">
        <w:t>acific mortality rates decreased by 42 percent (from 10 per 100,000 in 2001–03 to 6 per 100,000 in 2011–13).</w:t>
      </w:r>
    </w:p>
    <w:p w14:paraId="3A06A956" w14:textId="77777777" w:rsidR="0056185A" w:rsidRPr="00181EF3" w:rsidRDefault="0056185A" w:rsidP="0056185A"/>
    <w:p w14:paraId="2C9B2887" w14:textId="1037A837" w:rsidR="0056185A" w:rsidRPr="00181EF3" w:rsidRDefault="0056185A" w:rsidP="0056185A">
      <w:r w:rsidRPr="00181EF3">
        <w:t xml:space="preserve">The difference between Māori and </w:t>
      </w:r>
      <w:r w:rsidR="00EC03A3">
        <w:t>non</w:t>
      </w:r>
      <w:r w:rsidR="00EC03A3">
        <w:noBreakHyphen/>
        <w:t>M</w:t>
      </w:r>
      <w:r w:rsidRPr="00181EF3">
        <w:t xml:space="preserve">āori </w:t>
      </w:r>
      <w:r w:rsidR="00EC03A3">
        <w:t>non</w:t>
      </w:r>
      <w:r w:rsidR="00EC03A3">
        <w:noBreakHyphen/>
        <w:t>P</w:t>
      </w:r>
      <w:r w:rsidRPr="00181EF3">
        <w:t>acific age-standardised chronic rheumatic heart disease mortality rates decreased by over 40 percent between</w:t>
      </w:r>
      <w:r w:rsidRPr="00181EF3">
        <w:br/>
        <w:t xml:space="preserve">2001–03 and 2011–13. However, rates for Māori remain more than eight times as high as those for </w:t>
      </w:r>
      <w:r w:rsidR="00EC03A3">
        <w:t>non</w:t>
      </w:r>
      <w:r w:rsidR="00EC03A3">
        <w:noBreakHyphen/>
        <w:t>M</w:t>
      </w:r>
      <w:r w:rsidRPr="00181EF3">
        <w:t>āori</w:t>
      </w:r>
      <w:r w:rsidRPr="00181EF3">
        <w:rPr>
          <w:rFonts w:eastAsia="Calibri"/>
        </w:rPr>
        <w:t xml:space="preserve"> </w:t>
      </w:r>
      <w:r w:rsidR="00EC03A3">
        <w:rPr>
          <w:rFonts w:eastAsia="Calibri"/>
        </w:rPr>
        <w:t>non</w:t>
      </w:r>
      <w:r w:rsidR="00EC03A3">
        <w:rPr>
          <w:rFonts w:eastAsia="Calibri"/>
        </w:rPr>
        <w:noBreakHyphen/>
        <w:t>P</w:t>
      </w:r>
      <w:r w:rsidRPr="00181EF3">
        <w:rPr>
          <w:rFonts w:eastAsia="Calibri"/>
        </w:rPr>
        <w:t>acific.</w:t>
      </w:r>
    </w:p>
    <w:p w14:paraId="576E862D" w14:textId="77777777" w:rsidR="0056185A" w:rsidRPr="00181EF3" w:rsidRDefault="0056185A" w:rsidP="0056185A"/>
    <w:p w14:paraId="461E62F6" w14:textId="44091CBF" w:rsidR="0056185A" w:rsidRPr="00181EF3" w:rsidRDefault="0056185A" w:rsidP="00AF3805">
      <w:pPr>
        <w:pStyle w:val="Heading3"/>
        <w:pageBreakBefore/>
        <w:spacing w:before="0"/>
      </w:pPr>
      <w:bookmarkStart w:id="457" w:name="_Toc19102476"/>
      <w:r w:rsidRPr="00181EF3">
        <w:lastRenderedPageBreak/>
        <w:t>Chronic rheumatic heart disease hospitalisation</w:t>
      </w:r>
      <w:bookmarkEnd w:id="457"/>
    </w:p>
    <w:p w14:paraId="16C73F73" w14:textId="3ADEAB62" w:rsidR="00836EA8" w:rsidRPr="00181EF3" w:rsidRDefault="00836EA8" w:rsidP="00836EA8">
      <w:pPr>
        <w:pStyle w:val="Figure"/>
      </w:pPr>
      <w:bookmarkStart w:id="458" w:name="_Toc19101988"/>
      <w:r w:rsidRPr="00181EF3">
        <w:t xml:space="preserve">Figure </w:t>
      </w:r>
      <w:r>
        <w:t>13</w:t>
      </w:r>
      <w:r w:rsidR="00572A9A">
        <w:t>7</w:t>
      </w:r>
      <w:r w:rsidRPr="00181EF3">
        <w:t xml:space="preserve">: Chronic rheumatic heart disease </w:t>
      </w:r>
      <w:r>
        <w:t>hospitalisation</w:t>
      </w:r>
      <w:r w:rsidRPr="00181EF3">
        <w:t xml:space="preserve"> rates</w:t>
      </w:r>
      <w:r>
        <w:t xml:space="preserve">, 15+ years, </w:t>
      </w:r>
      <w:r w:rsidRPr="00181EF3">
        <w:t xml:space="preserve">by </w:t>
      </w:r>
      <w:r>
        <w:t>gender</w:t>
      </w:r>
      <w:r w:rsidRPr="00181EF3">
        <w:t xml:space="preserve">, </w:t>
      </w:r>
      <w:r>
        <w:t xml:space="preserve">Māori and </w:t>
      </w:r>
      <w:r w:rsidR="00EC03A3">
        <w:t>non</w:t>
      </w:r>
      <w:r w:rsidR="00EC03A3">
        <w:noBreakHyphen/>
        <w:t>M</w:t>
      </w:r>
      <w:r>
        <w:t xml:space="preserve">āori </w:t>
      </w:r>
      <w:r w:rsidR="00EC03A3">
        <w:t>non</w:t>
      </w:r>
      <w:r w:rsidR="00EC03A3">
        <w:noBreakHyphen/>
        <w:t>P</w:t>
      </w:r>
      <w:r>
        <w:t>acific</w:t>
      </w:r>
      <w:r w:rsidRPr="00181EF3">
        <w:t>, 2001–03 to 2011–13</w:t>
      </w:r>
      <w:bookmarkEnd w:id="458"/>
    </w:p>
    <w:p w14:paraId="74D9EE93" w14:textId="77777777" w:rsidR="00836EA8" w:rsidRPr="00181EF3" w:rsidRDefault="00836EA8" w:rsidP="00836EA8">
      <w:r w:rsidRPr="00181EF3">
        <w:rPr>
          <w:noProof/>
          <w:lang w:eastAsia="en-NZ"/>
        </w:rPr>
        <w:drawing>
          <wp:inline distT="0" distB="0" distL="0" distR="0" wp14:anchorId="39E8BA69" wp14:editId="7A1CA19D">
            <wp:extent cx="5130165" cy="3069329"/>
            <wp:effectExtent l="0" t="0" r="0" b="0"/>
            <wp:docPr id="310" name="Picture 310" descr="Hospitalisation rates for rheumatic heart disease are highest among Māori women, though their rate has decreased over time. Māori men have the next highest rate, which has seen a slight decrease over time. The rates for non-Māori men and women are the lowest and have remained relatively steady." title="Figure 137: Chronic rheumatic heart disease hospitalisation, age-standardised rates, Māori and non-Māori non-Pacific males and females, aged 15+ years, 2001–03 to 20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5130165" cy="3069329"/>
                    </a:xfrm>
                    <a:prstGeom prst="rect">
                      <a:avLst/>
                    </a:prstGeom>
                  </pic:spPr>
                </pic:pic>
              </a:graphicData>
            </a:graphic>
          </wp:inline>
        </w:drawing>
      </w:r>
    </w:p>
    <w:p w14:paraId="67A26866" w14:textId="77777777" w:rsidR="00836EA8" w:rsidRDefault="00836EA8" w:rsidP="00836EA8">
      <w:pPr>
        <w:pStyle w:val="Note"/>
      </w:pPr>
      <w:r w:rsidRPr="00181EF3">
        <w:t>Note</w:t>
      </w:r>
      <w:r>
        <w:t>s</w:t>
      </w:r>
      <w:r w:rsidRPr="00181EF3">
        <w:t>:</w:t>
      </w:r>
    </w:p>
    <w:p w14:paraId="10604CD5" w14:textId="4162BC3A" w:rsidR="008A5642" w:rsidRDefault="00446D86" w:rsidP="00836EA8">
      <w:pPr>
        <w:pStyle w:val="Note"/>
      </w:pPr>
      <w:r>
        <w:t>Figures are age-standardised to the 2001 Census total Māori population</w:t>
      </w:r>
      <w:r w:rsidR="00836EA8" w:rsidRPr="00181EF3">
        <w:t>.</w:t>
      </w:r>
    </w:p>
    <w:p w14:paraId="00F28B85" w14:textId="5100378F" w:rsidR="00836EA8" w:rsidRPr="00181EF3" w:rsidRDefault="00836EA8" w:rsidP="00836EA8">
      <w:pPr>
        <w:pStyle w:val="Note"/>
      </w:pPr>
      <w:r>
        <w:t>Prioritised ethnicity has been used.</w:t>
      </w:r>
    </w:p>
    <w:p w14:paraId="42498CD3" w14:textId="77777777" w:rsidR="008A5642" w:rsidRDefault="00836EA8" w:rsidP="001C62E1">
      <w:pPr>
        <w:pStyle w:val="Note"/>
        <w:ind w:left="0" w:firstLine="0"/>
      </w:pPr>
      <w:r w:rsidRPr="00181EF3">
        <w:t xml:space="preserve">If the </w:t>
      </w:r>
      <w:r w:rsidRPr="001C62E1">
        <w:t>confidence</w:t>
      </w:r>
      <w:r w:rsidRPr="00181EF3">
        <w:t xml:space="preserv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519821D1" w14:textId="59703FB9" w:rsidR="00836EA8" w:rsidRPr="00181EF3" w:rsidRDefault="00836EA8" w:rsidP="00836EA8">
      <w:pPr>
        <w:pStyle w:val="Source"/>
        <w:rPr>
          <w:rFonts w:eastAsia="Calibri"/>
        </w:rPr>
      </w:pPr>
      <w:r w:rsidRPr="00181EF3">
        <w:rPr>
          <w:rFonts w:eastAsia="Calibri"/>
        </w:rPr>
        <w:t>Source: National Minimum Data Set (NMDS), Ministry of Health</w:t>
      </w:r>
      <w:r>
        <w:rPr>
          <w:rFonts w:eastAsia="Calibri"/>
        </w:rPr>
        <w:t>,</w:t>
      </w:r>
      <w:r w:rsidRPr="00507AA7">
        <w:t xml:space="preserve"> </w:t>
      </w:r>
      <w:r>
        <w:t>2001</w:t>
      </w:r>
      <w:r w:rsidRPr="00181EF3">
        <w:t>–</w:t>
      </w:r>
      <w:r>
        <w:t>03</w:t>
      </w:r>
      <w:r w:rsidRPr="00181EF3">
        <w:t xml:space="preserve"> to 201</w:t>
      </w:r>
      <w:r>
        <w:t>1</w:t>
      </w:r>
      <w:r w:rsidRPr="00181EF3">
        <w:t>–1</w:t>
      </w:r>
      <w:r>
        <w:t>3</w:t>
      </w:r>
      <w:r w:rsidRPr="00181EF3">
        <w:rPr>
          <w:rFonts w:eastAsia="Calibri"/>
        </w:rPr>
        <w:t>.</w:t>
      </w:r>
    </w:p>
    <w:p w14:paraId="54562684" w14:textId="77777777" w:rsidR="00836EA8" w:rsidRDefault="00836EA8" w:rsidP="0056185A"/>
    <w:p w14:paraId="08107CC2" w14:textId="6B973149" w:rsidR="0056185A" w:rsidRDefault="0056185A" w:rsidP="0056185A">
      <w:r w:rsidRPr="00181EF3">
        <w:t xml:space="preserve">Figure </w:t>
      </w:r>
      <w:r w:rsidR="006F42E0">
        <w:t>13</w:t>
      </w:r>
      <w:r w:rsidR="001D6946">
        <w:t>7</w:t>
      </w:r>
      <w:r w:rsidRPr="00181EF3">
        <w:t xml:space="preserve"> shows that Māori males and females aged 15+ years have higher age</w:t>
      </w:r>
      <w:r w:rsidRPr="00181EF3">
        <w:noBreakHyphen/>
        <w:t xml:space="preserve">standardised rates of hospitalisations due to chronic rheumatic heart disease compared </w:t>
      </w:r>
      <w:r w:rsidR="00FF1892">
        <w:t>with</w:t>
      </w:r>
      <w:r w:rsidR="00FF1892" w:rsidRPr="00181EF3">
        <w:t xml:space="preserve"> </w:t>
      </w:r>
      <w:r w:rsidR="00EC03A3">
        <w:t>non</w:t>
      </w:r>
      <w:r w:rsidR="00EC03A3">
        <w:noBreakHyphen/>
        <w:t>M</w:t>
      </w:r>
      <w:r w:rsidRPr="00181EF3">
        <w:t xml:space="preserve">āori </w:t>
      </w:r>
      <w:r w:rsidR="00EC03A3">
        <w:t>non</w:t>
      </w:r>
      <w:r w:rsidR="00EC03A3">
        <w:noBreakHyphen/>
        <w:t>P</w:t>
      </w:r>
      <w:r w:rsidRPr="00181EF3">
        <w:t>acific males and females.</w:t>
      </w:r>
    </w:p>
    <w:p w14:paraId="1F3129E9" w14:textId="77777777" w:rsidR="00AF3805" w:rsidRPr="00181EF3" w:rsidRDefault="00AF3805" w:rsidP="0056185A"/>
    <w:p w14:paraId="7B8EDA0B" w14:textId="77777777" w:rsidR="0056185A" w:rsidRPr="00181EF3" w:rsidRDefault="006F42E0" w:rsidP="006F42E0">
      <w:pPr>
        <w:pStyle w:val="Heading4"/>
      </w:pPr>
      <w:r>
        <w:t xml:space="preserve">Chronic </w:t>
      </w:r>
      <w:r w:rsidRPr="00181EF3">
        <w:t xml:space="preserve">rheumatic heart disease </w:t>
      </w:r>
      <w:r w:rsidR="0056185A" w:rsidRPr="00181EF3">
        <w:t>hospitalisation</w:t>
      </w:r>
      <w:r>
        <w:t xml:space="preserve"> rate</w:t>
      </w:r>
      <w:r w:rsidR="0056185A" w:rsidRPr="00181EF3">
        <w:t>s have decreased</w:t>
      </w:r>
    </w:p>
    <w:p w14:paraId="324FC159" w14:textId="74D9F7B3" w:rsidR="0056185A" w:rsidRDefault="0056185A" w:rsidP="0056185A">
      <w:r w:rsidRPr="00181EF3">
        <w:t xml:space="preserve">Between 2001–03 and 2011–13, the rate of hospitalisations due to chronic rheumatic heart disease for Māori males decreased by 20 percent (from 28 to 22 hospitalisations per 100,000). For </w:t>
      </w:r>
      <w:r w:rsidR="00EC03A3">
        <w:t>non</w:t>
      </w:r>
      <w:r w:rsidR="00EC03A3">
        <w:noBreakHyphen/>
        <w:t>M</w:t>
      </w:r>
      <w:r w:rsidRPr="00181EF3">
        <w:t xml:space="preserve">āori </w:t>
      </w:r>
      <w:r w:rsidR="00EC03A3">
        <w:t>non</w:t>
      </w:r>
      <w:r w:rsidR="00EC03A3">
        <w:noBreakHyphen/>
        <w:t>P</w:t>
      </w:r>
      <w:r w:rsidRPr="00181EF3">
        <w:t xml:space="preserve">acific males, the decrease was by 34 percent (from 5 to 4 hospitalisations per 100,000). For Māori females, rates decreased by 27 percent (from 55 to 40 hospitalisations per 100,000). For </w:t>
      </w:r>
      <w:r w:rsidR="00EC03A3">
        <w:t>non</w:t>
      </w:r>
      <w:r w:rsidR="00EC03A3">
        <w:noBreakHyphen/>
        <w:t>M</w:t>
      </w:r>
      <w:r w:rsidRPr="00181EF3">
        <w:t xml:space="preserve">āori </w:t>
      </w:r>
      <w:r w:rsidR="00EC03A3">
        <w:t>non</w:t>
      </w:r>
      <w:r w:rsidR="00EC03A3">
        <w:noBreakHyphen/>
        <w:t>P</w:t>
      </w:r>
      <w:r w:rsidRPr="00181EF3">
        <w:t>acific females, decrease was by 28 percent (from 7 to 5 hospitalisations per 100,000).</w:t>
      </w:r>
    </w:p>
    <w:p w14:paraId="3C21819F" w14:textId="77777777" w:rsidR="00AF3805" w:rsidRPr="00181EF3" w:rsidRDefault="00AF3805" w:rsidP="0056185A"/>
    <w:p w14:paraId="38B935CB" w14:textId="516C4C80" w:rsidR="0056185A" w:rsidRPr="00181EF3" w:rsidRDefault="0056185A" w:rsidP="006F42E0">
      <w:pPr>
        <w:pStyle w:val="Heading4"/>
      </w:pPr>
      <w:r w:rsidRPr="00181EF3">
        <w:lastRenderedPageBreak/>
        <w:t xml:space="preserve">The difference </w:t>
      </w:r>
      <w:r w:rsidR="006F42E0">
        <w:t xml:space="preserve">in chronic </w:t>
      </w:r>
      <w:r w:rsidR="006F42E0" w:rsidRPr="00181EF3">
        <w:t>rheumatic heart disease hospitalisation</w:t>
      </w:r>
      <w:r w:rsidR="006F42E0">
        <w:t xml:space="preserve"> rate</w:t>
      </w:r>
      <w:r w:rsidR="006F42E0" w:rsidRPr="00181EF3">
        <w:t xml:space="preserve">s </w:t>
      </w:r>
      <w:r w:rsidRPr="00181EF3">
        <w:t xml:space="preserve">between Māori and </w:t>
      </w:r>
      <w:r w:rsidR="00EC03A3">
        <w:t>non</w:t>
      </w:r>
      <w:r w:rsidR="00EC03A3">
        <w:noBreakHyphen/>
        <w:t>M</w:t>
      </w:r>
      <w:r w:rsidRPr="00181EF3">
        <w:t xml:space="preserve">āori </w:t>
      </w:r>
      <w:r w:rsidR="00EC03A3">
        <w:t>non</w:t>
      </w:r>
      <w:r w:rsidR="00EC03A3">
        <w:noBreakHyphen/>
        <w:t>P</w:t>
      </w:r>
      <w:r>
        <w:t xml:space="preserve">acific </w:t>
      </w:r>
      <w:r w:rsidRPr="00181EF3">
        <w:t>rates decreased</w:t>
      </w:r>
    </w:p>
    <w:p w14:paraId="34518B02" w14:textId="5E373977" w:rsidR="0056185A" w:rsidRPr="00181EF3" w:rsidRDefault="0056185A" w:rsidP="00AF3805">
      <w:pPr>
        <w:keepLines/>
      </w:pPr>
      <w:r w:rsidRPr="00181EF3">
        <w:t xml:space="preserve">Between 2001–03 and 2011–13, the difference between Māori and </w:t>
      </w:r>
      <w:r w:rsidR="00EC03A3">
        <w:t>non</w:t>
      </w:r>
      <w:r w:rsidR="00EC03A3">
        <w:noBreakHyphen/>
        <w:t>M</w:t>
      </w:r>
      <w:r w:rsidRPr="00181EF3">
        <w:t xml:space="preserve">āori </w:t>
      </w:r>
      <w:r w:rsidR="00EC03A3">
        <w:t>non</w:t>
      </w:r>
      <w:r w:rsidR="00EC03A3">
        <w:noBreakHyphen/>
        <w:t>P</w:t>
      </w:r>
      <w:r w:rsidRPr="00181EF3">
        <w:t xml:space="preserve">acific male chronic rheumatic heart disease hospitalisation rates decreased by 17 percent, decreasing from 23 hospitalisations per 100,000 (the difference in 2001–03) to 19 hospitalisations per 100,000 (the difference in 2011–13). For females, the difference between Māori and </w:t>
      </w:r>
      <w:r w:rsidR="00EC03A3">
        <w:t>non</w:t>
      </w:r>
      <w:r w:rsidR="00EC03A3">
        <w:noBreakHyphen/>
        <w:t>M</w:t>
      </w:r>
      <w:r w:rsidRPr="00181EF3">
        <w:t xml:space="preserve">āori </w:t>
      </w:r>
      <w:r w:rsidR="00EC03A3">
        <w:t>non</w:t>
      </w:r>
      <w:r w:rsidR="00EC03A3">
        <w:noBreakHyphen/>
        <w:t>P</w:t>
      </w:r>
      <w:r w:rsidRPr="00181EF3">
        <w:t>acific hospitalisation rates decreased by 27 percent (from 48 per 100,000 in 2001–03 to 35 per 100,000 in 2011–13).</w:t>
      </w:r>
    </w:p>
    <w:p w14:paraId="374E9289" w14:textId="77777777" w:rsidR="0056185A" w:rsidRPr="00181EF3" w:rsidRDefault="0056185A" w:rsidP="0056185A"/>
    <w:p w14:paraId="5C585E32" w14:textId="0942749E" w:rsidR="0056185A" w:rsidRPr="00181EF3" w:rsidRDefault="0056185A" w:rsidP="0056185A">
      <w:pPr>
        <w:rPr>
          <w:rFonts w:eastAsia="Calibri"/>
        </w:rPr>
      </w:pPr>
      <w:r w:rsidRPr="00181EF3">
        <w:t xml:space="preserve">Rates for Māori males remain around six times as high as those for </w:t>
      </w:r>
      <w:r w:rsidR="00EC03A3">
        <w:t>non</w:t>
      </w:r>
      <w:r w:rsidR="00EC03A3">
        <w:noBreakHyphen/>
        <w:t>M</w:t>
      </w:r>
      <w:r w:rsidRPr="00181EF3">
        <w:t xml:space="preserve">āori </w:t>
      </w:r>
      <w:r w:rsidR="00EC03A3">
        <w:t>non</w:t>
      </w:r>
      <w:r w:rsidR="00EC03A3">
        <w:noBreakHyphen/>
        <w:t>P</w:t>
      </w:r>
      <w:r w:rsidRPr="00181EF3">
        <w:t>acific males, and rates for M</w:t>
      </w:r>
      <w:r w:rsidR="008F0248">
        <w:rPr>
          <w:rFonts w:cs="Segoe UI"/>
        </w:rPr>
        <w:t>ā</w:t>
      </w:r>
      <w:r w:rsidRPr="00181EF3">
        <w:t xml:space="preserve">ori females remain around eight times as high as those of </w:t>
      </w:r>
      <w:r w:rsidR="00EC03A3">
        <w:t>non</w:t>
      </w:r>
      <w:r w:rsidR="00EC03A3">
        <w:noBreakHyphen/>
        <w:t>M</w:t>
      </w:r>
      <w:r w:rsidRPr="00181EF3">
        <w:t xml:space="preserve">āori </w:t>
      </w:r>
      <w:r w:rsidR="00EC03A3">
        <w:t>non</w:t>
      </w:r>
      <w:r w:rsidR="00EC03A3">
        <w:noBreakHyphen/>
        <w:t>P</w:t>
      </w:r>
      <w:r w:rsidRPr="00181EF3">
        <w:t>acific females</w:t>
      </w:r>
      <w:r w:rsidRPr="00181EF3">
        <w:rPr>
          <w:rFonts w:eastAsia="Calibri"/>
        </w:rPr>
        <w:t>.</w:t>
      </w:r>
    </w:p>
    <w:p w14:paraId="4522887E" w14:textId="77777777" w:rsidR="0056185A" w:rsidRPr="00181EF3" w:rsidRDefault="0056185A" w:rsidP="0056185A"/>
    <w:p w14:paraId="6B312159" w14:textId="77777777" w:rsidR="0056185A" w:rsidRPr="00181EF3" w:rsidRDefault="0056185A" w:rsidP="00AF3805">
      <w:pPr>
        <w:pStyle w:val="Heading3"/>
        <w:pageBreakBefore/>
        <w:spacing w:before="0"/>
      </w:pPr>
      <w:bookmarkStart w:id="459" w:name="_Toc19102477"/>
      <w:r w:rsidRPr="00181EF3">
        <w:lastRenderedPageBreak/>
        <w:t>All revascularisation (coronary artery bypass graft (CARB) and angioplasty) heart disease procedures</w:t>
      </w:r>
      <w:bookmarkEnd w:id="459"/>
    </w:p>
    <w:p w14:paraId="56D95602" w14:textId="3D03632A" w:rsidR="00345B39" w:rsidRPr="00181EF3" w:rsidRDefault="00345B39" w:rsidP="00345B39">
      <w:pPr>
        <w:pStyle w:val="Figure"/>
      </w:pPr>
      <w:bookmarkStart w:id="460" w:name="_Toc19101989"/>
      <w:r w:rsidRPr="00181EF3">
        <w:t xml:space="preserve">Figure </w:t>
      </w:r>
      <w:r>
        <w:t>1</w:t>
      </w:r>
      <w:r w:rsidRPr="00181EF3">
        <w:t>3</w:t>
      </w:r>
      <w:r w:rsidR="00572A9A">
        <w:t>8</w:t>
      </w:r>
      <w:r w:rsidRPr="00181EF3">
        <w:t xml:space="preserve">: All revascularisation (coronary artery bypass graft (CARB) and angioplasty) heart disease procedure rates, </w:t>
      </w:r>
      <w:r>
        <w:t xml:space="preserve">35+ years, by gender, </w:t>
      </w:r>
      <w:r w:rsidRPr="00181EF3">
        <w:t xml:space="preserve">Māori and </w:t>
      </w:r>
      <w:r w:rsidR="00EC03A3">
        <w:t>non</w:t>
      </w:r>
      <w:r w:rsidR="00EC03A3">
        <w:noBreakHyphen/>
        <w:t>M</w:t>
      </w:r>
      <w:r w:rsidRPr="00181EF3">
        <w:t>āori</w:t>
      </w:r>
      <w:r>
        <w:t xml:space="preserve"> </w:t>
      </w:r>
      <w:r w:rsidR="00EC03A3">
        <w:t>non</w:t>
      </w:r>
      <w:r w:rsidR="00EC03A3">
        <w:noBreakHyphen/>
        <w:t>P</w:t>
      </w:r>
      <w:r>
        <w:t>acific</w:t>
      </w:r>
      <w:r w:rsidRPr="00181EF3">
        <w:t>, 2001–03 to 2011–13</w:t>
      </w:r>
      <w:bookmarkEnd w:id="460"/>
    </w:p>
    <w:p w14:paraId="6AC55C2C" w14:textId="77777777" w:rsidR="00345B39" w:rsidRPr="00181EF3" w:rsidRDefault="00345B39" w:rsidP="00345B39">
      <w:r w:rsidRPr="00181EF3">
        <w:rPr>
          <w:noProof/>
          <w:lang w:eastAsia="en-NZ"/>
        </w:rPr>
        <w:drawing>
          <wp:inline distT="0" distB="0" distL="0" distR="0" wp14:anchorId="42235BB1" wp14:editId="7462ED7E">
            <wp:extent cx="5130165" cy="3069329"/>
            <wp:effectExtent l="0" t="0" r="0" b="0"/>
            <wp:docPr id="311" name="Picture 311" descr="Revascularization procedure rates are about the same among men after the rate for non-Māori men has decreased and the rate for Māori men has increased. The rate for women is much lower. Māori women have seen a slight increase in their rate over time, while non-Māori women have seen a decrease over time." title="Figure 138: All revascularisation (coronary artery bypass graft (CARB) and angioplasty) heart disease procedures, age-standardised rates, Māori and non-Māori non-Pacific males and females, aged 35+ years, 2001–03 to 20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5130165" cy="3069329"/>
                    </a:xfrm>
                    <a:prstGeom prst="rect">
                      <a:avLst/>
                    </a:prstGeom>
                  </pic:spPr>
                </pic:pic>
              </a:graphicData>
            </a:graphic>
          </wp:inline>
        </w:drawing>
      </w:r>
    </w:p>
    <w:p w14:paraId="306DEED5" w14:textId="77777777" w:rsidR="00345B39" w:rsidRDefault="00345B39" w:rsidP="00345B39">
      <w:pPr>
        <w:pStyle w:val="Note"/>
      </w:pPr>
      <w:r w:rsidRPr="00181EF3">
        <w:t>Note</w:t>
      </w:r>
      <w:r>
        <w:t>s</w:t>
      </w:r>
      <w:r w:rsidRPr="00181EF3">
        <w:t>:</w:t>
      </w:r>
    </w:p>
    <w:p w14:paraId="603AD70E" w14:textId="2465F398" w:rsidR="008A5642" w:rsidRDefault="00446D86" w:rsidP="00345B39">
      <w:pPr>
        <w:pStyle w:val="Note"/>
      </w:pPr>
      <w:r>
        <w:t>Figures are age-standardised to the 2001 Census total Māori population</w:t>
      </w:r>
      <w:r w:rsidR="00345B39" w:rsidRPr="00181EF3">
        <w:t>.</w:t>
      </w:r>
    </w:p>
    <w:p w14:paraId="60BF2376" w14:textId="1AAC54B8" w:rsidR="00345B39" w:rsidRPr="00181EF3" w:rsidRDefault="00345B39" w:rsidP="00345B39">
      <w:pPr>
        <w:pStyle w:val="Note"/>
      </w:pPr>
      <w:r>
        <w:t>Prioritised ethnicity has been used.</w:t>
      </w:r>
    </w:p>
    <w:p w14:paraId="134C42AC" w14:textId="77777777" w:rsidR="008A5642" w:rsidRDefault="00345B39" w:rsidP="001C62E1">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315DE621" w14:textId="4C59277A" w:rsidR="00345B39" w:rsidRPr="00181EF3" w:rsidRDefault="00345B39" w:rsidP="00345B39">
      <w:pPr>
        <w:pStyle w:val="Source"/>
        <w:rPr>
          <w:rFonts w:eastAsia="Calibri"/>
        </w:rPr>
      </w:pPr>
      <w:r w:rsidRPr="00181EF3">
        <w:rPr>
          <w:rFonts w:eastAsia="Calibri"/>
        </w:rPr>
        <w:t>Source: National Minimum Data Set (NMDS), Ministry of Health</w:t>
      </w:r>
      <w:r>
        <w:rPr>
          <w:rFonts w:eastAsia="Calibri"/>
        </w:rPr>
        <w:t>,</w:t>
      </w:r>
      <w:r w:rsidRPr="00507AA7">
        <w:t xml:space="preserve"> </w:t>
      </w:r>
      <w:r>
        <w:t>2001</w:t>
      </w:r>
      <w:r w:rsidRPr="00181EF3">
        <w:t>–</w:t>
      </w:r>
      <w:r>
        <w:t>03</w:t>
      </w:r>
      <w:r w:rsidRPr="00181EF3">
        <w:t xml:space="preserve"> to 201</w:t>
      </w:r>
      <w:r>
        <w:t>1</w:t>
      </w:r>
      <w:r w:rsidRPr="00181EF3">
        <w:t>–1</w:t>
      </w:r>
      <w:r>
        <w:t>3</w:t>
      </w:r>
      <w:r w:rsidRPr="00181EF3">
        <w:rPr>
          <w:rFonts w:eastAsia="Calibri"/>
        </w:rPr>
        <w:t>.</w:t>
      </w:r>
    </w:p>
    <w:p w14:paraId="7A5247D7" w14:textId="77777777" w:rsidR="00345B39" w:rsidRDefault="00345B39" w:rsidP="0056185A"/>
    <w:p w14:paraId="419B0ABA" w14:textId="289C711C" w:rsidR="0056185A" w:rsidRDefault="0056185A" w:rsidP="0056185A">
      <w:r w:rsidRPr="00181EF3">
        <w:t xml:space="preserve">Figure </w:t>
      </w:r>
      <w:r w:rsidR="00345B39">
        <w:t>1</w:t>
      </w:r>
      <w:r w:rsidRPr="00181EF3">
        <w:t>3</w:t>
      </w:r>
      <w:r w:rsidR="001D6946">
        <w:t>8</w:t>
      </w:r>
      <w:r w:rsidRPr="00181EF3">
        <w:t xml:space="preserve"> shows that between 2001–03 and 2011–13 rates of all revascularisation heart disease procedures increased for Māori males and females and decreased for </w:t>
      </w:r>
      <w:r w:rsidR="00EC03A3">
        <w:t>non</w:t>
      </w:r>
      <w:r w:rsidR="00EC03A3">
        <w:noBreakHyphen/>
        <w:t>M</w:t>
      </w:r>
      <w:r w:rsidRPr="00181EF3">
        <w:t xml:space="preserve">āori </w:t>
      </w:r>
      <w:r w:rsidR="00EC03A3">
        <w:t>non</w:t>
      </w:r>
      <w:r w:rsidR="00EC03A3">
        <w:noBreakHyphen/>
        <w:t>P</w:t>
      </w:r>
      <w:r w:rsidRPr="00181EF3">
        <w:t>acific males and females.</w:t>
      </w:r>
    </w:p>
    <w:p w14:paraId="1E300564" w14:textId="77777777" w:rsidR="00AF3805" w:rsidRPr="00181EF3" w:rsidRDefault="00AF3805" w:rsidP="0056185A"/>
    <w:p w14:paraId="73F752B7" w14:textId="77777777" w:rsidR="0056185A" w:rsidRPr="00181EF3" w:rsidRDefault="0056185A" w:rsidP="00345B39">
      <w:pPr>
        <w:pStyle w:val="Heading4"/>
      </w:pPr>
      <w:r w:rsidRPr="00181EF3">
        <w:t>All revascularisation heart disease procedure</w:t>
      </w:r>
      <w:r w:rsidR="00345B39">
        <w:t xml:space="preserve"> rate</w:t>
      </w:r>
      <w:r w:rsidRPr="00181EF3">
        <w:t>s for Māori have increased</w:t>
      </w:r>
    </w:p>
    <w:p w14:paraId="722D2BD1" w14:textId="1FD58E40" w:rsidR="0056185A" w:rsidRPr="00181EF3" w:rsidRDefault="0056185A" w:rsidP="0056185A">
      <w:r w:rsidRPr="00181EF3">
        <w:t xml:space="preserve">Between 2001–03 and 2011–13, Māori males procedure rates increased by 26 percent (from 186 to 233 procedures per 100,000), and for </w:t>
      </w:r>
      <w:r w:rsidR="00EC03A3">
        <w:t>non</w:t>
      </w:r>
      <w:r w:rsidR="00EC03A3">
        <w:noBreakHyphen/>
        <w:t>M</w:t>
      </w:r>
      <w:r w:rsidRPr="00181EF3">
        <w:t xml:space="preserve">āori </w:t>
      </w:r>
      <w:r w:rsidR="00EC03A3">
        <w:t>non</w:t>
      </w:r>
      <w:r w:rsidR="00EC03A3">
        <w:noBreakHyphen/>
        <w:t>P</w:t>
      </w:r>
      <w:r w:rsidRPr="00181EF3">
        <w:t xml:space="preserve">acific males procedure rates decreased by 17 percent (from 269 to 223 procedures 100,000). For females, the rate of procedures for Māori females increased by 17 percent (from 90 to 105 procedures per 100,000) whereas there was a decrease in procedures for </w:t>
      </w:r>
      <w:r w:rsidR="00EC03A3">
        <w:t>non</w:t>
      </w:r>
      <w:r w:rsidR="00EC03A3">
        <w:noBreakHyphen/>
        <w:t>M</w:t>
      </w:r>
      <w:r w:rsidRPr="00181EF3">
        <w:t xml:space="preserve">āori </w:t>
      </w:r>
      <w:r w:rsidR="00EC03A3">
        <w:t>non</w:t>
      </w:r>
      <w:r w:rsidR="00EC03A3">
        <w:noBreakHyphen/>
        <w:t>P</w:t>
      </w:r>
      <w:r w:rsidRPr="00181EF3">
        <w:t>acific females by 31 percent (from 80</w:t>
      </w:r>
      <w:r>
        <w:t xml:space="preserve"> </w:t>
      </w:r>
      <w:r w:rsidRPr="00181EF3">
        <w:t>to 55 procedures per 100,000).</w:t>
      </w:r>
    </w:p>
    <w:p w14:paraId="49F6DC26" w14:textId="77777777" w:rsidR="0056185A" w:rsidRPr="00181EF3" w:rsidRDefault="0056185A" w:rsidP="0056185A"/>
    <w:p w14:paraId="1E6874F3" w14:textId="60A278FC" w:rsidR="0056185A" w:rsidRPr="00181EF3" w:rsidRDefault="0056185A" w:rsidP="00345B39">
      <w:pPr>
        <w:pStyle w:val="Heading4"/>
      </w:pPr>
      <w:r w:rsidRPr="00181EF3">
        <w:lastRenderedPageBreak/>
        <w:t xml:space="preserve">The difference </w:t>
      </w:r>
      <w:r w:rsidR="00345B39">
        <w:t xml:space="preserve">in all </w:t>
      </w:r>
      <w:r w:rsidR="00345B39" w:rsidRPr="00181EF3">
        <w:t>revascularisation heart disease procedure</w:t>
      </w:r>
      <w:r w:rsidR="00345B39">
        <w:t xml:space="preserve"> rate</w:t>
      </w:r>
      <w:r w:rsidR="00345B39" w:rsidRPr="00181EF3">
        <w:t xml:space="preserve">s </w:t>
      </w:r>
      <w:r w:rsidRPr="00181EF3">
        <w:t xml:space="preserve">between Māori and </w:t>
      </w:r>
      <w:r w:rsidR="00EC03A3">
        <w:t>non</w:t>
      </w:r>
      <w:r w:rsidR="00EC03A3">
        <w:noBreakHyphen/>
        <w:t>M</w:t>
      </w:r>
      <w:r w:rsidRPr="00181EF3">
        <w:t xml:space="preserve">āori </w:t>
      </w:r>
      <w:r w:rsidR="00EC03A3">
        <w:t>non</w:t>
      </w:r>
      <w:r w:rsidR="00EC03A3">
        <w:noBreakHyphen/>
        <w:t>P</w:t>
      </w:r>
      <w:r>
        <w:t xml:space="preserve">acific </w:t>
      </w:r>
      <w:r w:rsidRPr="00181EF3">
        <w:t>rates have decreased</w:t>
      </w:r>
      <w:r>
        <w:t xml:space="preserve"> for males and increased for females</w:t>
      </w:r>
    </w:p>
    <w:p w14:paraId="285B4B45" w14:textId="3F4A4981" w:rsidR="0056185A" w:rsidRPr="00181EF3" w:rsidRDefault="0056185A" w:rsidP="0056185A">
      <w:r w:rsidRPr="00181EF3">
        <w:t xml:space="preserve">Between 2001–03 and 2011–13, the difference between Māori and </w:t>
      </w:r>
      <w:r w:rsidR="00EC03A3">
        <w:t>non</w:t>
      </w:r>
      <w:r w:rsidR="00EC03A3">
        <w:noBreakHyphen/>
        <w:t>M</w:t>
      </w:r>
      <w:r w:rsidRPr="00181EF3">
        <w:t xml:space="preserve">āori </w:t>
      </w:r>
      <w:r w:rsidR="00EC03A3">
        <w:t>non</w:t>
      </w:r>
      <w:r w:rsidR="00EC03A3">
        <w:noBreakHyphen/>
        <w:t>P</w:t>
      </w:r>
      <w:r w:rsidRPr="00181EF3">
        <w:t>acific male all revascularisation heart disease procedure</w:t>
      </w:r>
      <w:r w:rsidRPr="00181EF3">
        <w:rPr>
          <w:i/>
        </w:rPr>
        <w:t xml:space="preserve"> </w:t>
      </w:r>
      <w:r w:rsidRPr="00181EF3">
        <w:t xml:space="preserve">rates decreased by 112 percent, from 84 less procedures per 100,000 (the difference in 2001–03) to 10 more procedures per 100,000 (the difference in 2011–13). For females, the difference between Māori and </w:t>
      </w:r>
      <w:r w:rsidR="00EC03A3">
        <w:t>non</w:t>
      </w:r>
      <w:r w:rsidR="00EC03A3">
        <w:noBreakHyphen/>
        <w:t>M</w:t>
      </w:r>
      <w:r w:rsidRPr="00181EF3">
        <w:t xml:space="preserve">āori </w:t>
      </w:r>
      <w:r w:rsidR="00EC03A3">
        <w:t>non</w:t>
      </w:r>
      <w:r w:rsidR="00EC03A3">
        <w:noBreakHyphen/>
        <w:t>P</w:t>
      </w:r>
      <w:r w:rsidRPr="00181EF3">
        <w:t>acific procedure rates increased by 394 percent (from 10 more procedures per 100,000 in 2001–03 to 49 more procedures per 100,000 in 2011–13).</w:t>
      </w:r>
    </w:p>
    <w:p w14:paraId="51636A5C" w14:textId="77777777" w:rsidR="0056185A" w:rsidRPr="00181EF3" w:rsidRDefault="0056185A" w:rsidP="0056185A"/>
    <w:p w14:paraId="6DF43285" w14:textId="56074280" w:rsidR="0056185A" w:rsidRPr="00181EF3" w:rsidRDefault="0056185A" w:rsidP="0056185A">
      <w:pPr>
        <w:rPr>
          <w:rFonts w:eastAsia="Calibri"/>
        </w:rPr>
      </w:pPr>
      <w:r w:rsidRPr="00181EF3">
        <w:t xml:space="preserve">Rates of procedures are now similar for Māori and </w:t>
      </w:r>
      <w:r w:rsidR="00EC03A3">
        <w:t>non</w:t>
      </w:r>
      <w:r w:rsidR="00EC03A3">
        <w:noBreakHyphen/>
        <w:t>M</w:t>
      </w:r>
      <w:r w:rsidRPr="00181EF3">
        <w:t xml:space="preserve">āori </w:t>
      </w:r>
      <w:r w:rsidR="00EC03A3">
        <w:t>non</w:t>
      </w:r>
      <w:r w:rsidR="00EC03A3">
        <w:noBreakHyphen/>
        <w:t>P</w:t>
      </w:r>
      <w:r w:rsidRPr="00181EF3">
        <w:t xml:space="preserve">acific males, and rates for Māori females are around twice as high as for Māori females compared </w:t>
      </w:r>
      <w:r w:rsidR="00FF1892">
        <w:t>with</w:t>
      </w:r>
      <w:r w:rsidR="00FF1892" w:rsidRPr="00181EF3">
        <w:t xml:space="preserve"> </w:t>
      </w:r>
      <w:r w:rsidR="00EC03A3">
        <w:t>non</w:t>
      </w:r>
      <w:r w:rsidR="00EC03A3">
        <w:noBreakHyphen/>
        <w:t>M</w:t>
      </w:r>
      <w:r w:rsidRPr="00181EF3">
        <w:t xml:space="preserve">āori </w:t>
      </w:r>
      <w:r w:rsidR="00EC03A3">
        <w:t>non</w:t>
      </w:r>
      <w:r w:rsidR="00EC03A3">
        <w:noBreakHyphen/>
        <w:t>P</w:t>
      </w:r>
      <w:r w:rsidRPr="00181EF3">
        <w:t>acific females</w:t>
      </w:r>
      <w:r w:rsidRPr="00181EF3">
        <w:rPr>
          <w:rFonts w:eastAsia="Calibri"/>
        </w:rPr>
        <w:t>.</w:t>
      </w:r>
    </w:p>
    <w:p w14:paraId="4C43161F" w14:textId="77777777" w:rsidR="0056185A" w:rsidRPr="00181EF3" w:rsidRDefault="0056185A" w:rsidP="0056185A">
      <w:pPr>
        <w:rPr>
          <w:rFonts w:eastAsia="Calibri"/>
          <w:noProof/>
          <w:lang w:eastAsia="en-NZ"/>
        </w:rPr>
      </w:pPr>
    </w:p>
    <w:p w14:paraId="44B47C34" w14:textId="296859D2" w:rsidR="0056185A" w:rsidRPr="00181EF3" w:rsidRDefault="0056185A" w:rsidP="00AF3805">
      <w:pPr>
        <w:pStyle w:val="Heading3"/>
        <w:pageBreakBefore/>
        <w:spacing w:before="0"/>
      </w:pPr>
      <w:bookmarkStart w:id="461" w:name="_Toc19102478"/>
      <w:r w:rsidRPr="00181EF3">
        <w:lastRenderedPageBreak/>
        <w:t>All coronary angioplasty procedures (percutaneous)</w:t>
      </w:r>
      <w:bookmarkEnd w:id="461"/>
    </w:p>
    <w:p w14:paraId="5B0DA1AB" w14:textId="09A24688" w:rsidR="00345B39" w:rsidRPr="00181EF3" w:rsidRDefault="00345B39" w:rsidP="00345B39">
      <w:pPr>
        <w:pStyle w:val="Figure"/>
      </w:pPr>
      <w:bookmarkStart w:id="462" w:name="_Toc19101990"/>
      <w:r w:rsidRPr="00181EF3">
        <w:t xml:space="preserve">Figure </w:t>
      </w:r>
      <w:r>
        <w:t>13</w:t>
      </w:r>
      <w:r w:rsidR="00572A9A">
        <w:t>9</w:t>
      </w:r>
      <w:r w:rsidRPr="00181EF3">
        <w:t>: All coronary angioplasty procedure (percutaneous)</w:t>
      </w:r>
      <w:r w:rsidR="00C65B2D">
        <w:t xml:space="preserve"> rates</w:t>
      </w:r>
      <w:r w:rsidRPr="00181EF3">
        <w:t>,</w:t>
      </w:r>
      <w:r w:rsidR="00C65B2D" w:rsidRPr="00C65B2D">
        <w:t xml:space="preserve"> </w:t>
      </w:r>
      <w:r w:rsidR="00C65B2D">
        <w:t xml:space="preserve">35+ years, by gender, </w:t>
      </w:r>
      <w:r w:rsidR="00C65B2D" w:rsidRPr="00181EF3">
        <w:t xml:space="preserve">Māori and </w:t>
      </w:r>
      <w:r w:rsidR="00EC03A3">
        <w:t>non</w:t>
      </w:r>
      <w:r w:rsidR="00EC03A3">
        <w:noBreakHyphen/>
        <w:t>M</w:t>
      </w:r>
      <w:r w:rsidR="00C65B2D" w:rsidRPr="00181EF3">
        <w:t>āori</w:t>
      </w:r>
      <w:r w:rsidR="00C65B2D">
        <w:t xml:space="preserve"> </w:t>
      </w:r>
      <w:r w:rsidR="00EC03A3">
        <w:t>non</w:t>
      </w:r>
      <w:r w:rsidR="00EC03A3">
        <w:noBreakHyphen/>
        <w:t>P</w:t>
      </w:r>
      <w:r w:rsidR="00C65B2D">
        <w:t>acific</w:t>
      </w:r>
      <w:r w:rsidR="00C65B2D" w:rsidRPr="00181EF3">
        <w:t>, 2001–03 to 2011–13</w:t>
      </w:r>
      <w:bookmarkEnd w:id="462"/>
    </w:p>
    <w:p w14:paraId="3500019A" w14:textId="77777777" w:rsidR="00345B39" w:rsidRPr="00181EF3" w:rsidRDefault="00345B39" w:rsidP="00345B39">
      <w:r w:rsidRPr="00181EF3">
        <w:rPr>
          <w:noProof/>
          <w:lang w:eastAsia="en-NZ"/>
        </w:rPr>
        <w:drawing>
          <wp:inline distT="0" distB="0" distL="0" distR="0" wp14:anchorId="3EE1DA9F" wp14:editId="2B730D9F">
            <wp:extent cx="5130165" cy="3069329"/>
            <wp:effectExtent l="0" t="0" r="0" b="0"/>
            <wp:docPr id="312" name="Picture 312" descr="Coronary angioplasty rates are highest among men, and about the same between Māori and non-Māori men as the rate for the former has increased and the rate for the latter has decreased over time. Rates for women were about the same in 2001-03, but the rate for non-Māori women has decreased gradually since then while the rate for Māori has gradually increased." title="Figure 139: All coronary angioplasty procedures (percutaneous), age-standardised rates, Māori and non-Māori non-Pacific males and females, aged 35+ years, 2001–03 to 20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5130165" cy="3069329"/>
                    </a:xfrm>
                    <a:prstGeom prst="rect">
                      <a:avLst/>
                    </a:prstGeom>
                  </pic:spPr>
                </pic:pic>
              </a:graphicData>
            </a:graphic>
          </wp:inline>
        </w:drawing>
      </w:r>
    </w:p>
    <w:p w14:paraId="5C4A3AAC" w14:textId="77777777" w:rsidR="00345B39" w:rsidRDefault="00345B39" w:rsidP="00345B39">
      <w:pPr>
        <w:pStyle w:val="Note"/>
      </w:pPr>
      <w:r w:rsidRPr="00181EF3">
        <w:t>Note</w:t>
      </w:r>
      <w:r>
        <w:t>s</w:t>
      </w:r>
      <w:r w:rsidRPr="00181EF3">
        <w:t>:</w:t>
      </w:r>
    </w:p>
    <w:p w14:paraId="61C97E5F" w14:textId="62E9C0B1" w:rsidR="008A5642" w:rsidRDefault="00446D86" w:rsidP="00345B39">
      <w:pPr>
        <w:pStyle w:val="Note"/>
      </w:pPr>
      <w:r>
        <w:t>Figures are age-standardised to the 2001 Census total Māori population</w:t>
      </w:r>
      <w:r w:rsidR="00345B39" w:rsidRPr="00181EF3">
        <w:t>.</w:t>
      </w:r>
    </w:p>
    <w:p w14:paraId="4133BB33" w14:textId="6FA681AB" w:rsidR="00345B39" w:rsidRPr="00181EF3" w:rsidRDefault="00345B39" w:rsidP="00345B39">
      <w:pPr>
        <w:pStyle w:val="Note"/>
      </w:pPr>
      <w:r>
        <w:t>Prioritised ethnicity has been used.</w:t>
      </w:r>
    </w:p>
    <w:p w14:paraId="0657E463" w14:textId="77777777" w:rsidR="008A5642" w:rsidRDefault="00345B39" w:rsidP="001C62E1">
      <w:pPr>
        <w:pStyle w:val="Note"/>
        <w:ind w:left="0" w:firstLine="0"/>
      </w:pPr>
      <w:r w:rsidRPr="00181EF3">
        <w:t xml:space="preserve">If the </w:t>
      </w:r>
      <w:r w:rsidRPr="001C62E1">
        <w:t>confidence</w:t>
      </w:r>
      <w:r w:rsidRPr="00181EF3">
        <w:t xml:space="preserv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619D5B76" w14:textId="0A01E918" w:rsidR="00345B39" w:rsidRPr="00181EF3" w:rsidRDefault="00345B39" w:rsidP="00345B39">
      <w:pPr>
        <w:pStyle w:val="Source"/>
        <w:rPr>
          <w:rFonts w:eastAsia="Calibri"/>
        </w:rPr>
      </w:pPr>
      <w:r w:rsidRPr="00181EF3">
        <w:rPr>
          <w:rFonts w:eastAsia="Calibri"/>
        </w:rPr>
        <w:t>Source: National Minimum Data Set (NMDS), Ministry of Health</w:t>
      </w:r>
      <w:r>
        <w:rPr>
          <w:rFonts w:eastAsia="Calibri"/>
        </w:rPr>
        <w:t>,</w:t>
      </w:r>
      <w:r w:rsidRPr="00507AA7">
        <w:t xml:space="preserve"> </w:t>
      </w:r>
      <w:r>
        <w:t>2001</w:t>
      </w:r>
      <w:r w:rsidRPr="00181EF3">
        <w:t>–</w:t>
      </w:r>
      <w:r>
        <w:t>03</w:t>
      </w:r>
      <w:r w:rsidRPr="00181EF3">
        <w:t xml:space="preserve"> to 201</w:t>
      </w:r>
      <w:r>
        <w:t>1</w:t>
      </w:r>
      <w:r w:rsidRPr="00181EF3">
        <w:t>–1</w:t>
      </w:r>
      <w:r>
        <w:t>3</w:t>
      </w:r>
      <w:r w:rsidRPr="00181EF3">
        <w:rPr>
          <w:rFonts w:eastAsia="Calibri"/>
        </w:rPr>
        <w:t>.</w:t>
      </w:r>
    </w:p>
    <w:p w14:paraId="6CCA9C33" w14:textId="77777777" w:rsidR="00345B39" w:rsidRDefault="00345B39" w:rsidP="0056185A"/>
    <w:p w14:paraId="33D744AB" w14:textId="282BC691" w:rsidR="0056185A" w:rsidRPr="00181EF3" w:rsidRDefault="0056185A" w:rsidP="0056185A">
      <w:r w:rsidRPr="00181EF3">
        <w:t xml:space="preserve">Figure </w:t>
      </w:r>
      <w:r w:rsidR="00345B39">
        <w:t>13</w:t>
      </w:r>
      <w:r w:rsidR="001D6946">
        <w:t>9</w:t>
      </w:r>
      <w:r w:rsidRPr="00181EF3">
        <w:t xml:space="preserve"> shows that between 2001–03 and 2011–13 rates of all coronary angioplasty procedures increased for Māori males and females and decreased for </w:t>
      </w:r>
      <w:r w:rsidR="00EC03A3">
        <w:t>non</w:t>
      </w:r>
      <w:r w:rsidR="00EC03A3">
        <w:noBreakHyphen/>
        <w:t>M</w:t>
      </w:r>
      <w:r w:rsidRPr="00181EF3">
        <w:t xml:space="preserve">āori </w:t>
      </w:r>
      <w:r w:rsidR="00EC03A3">
        <w:t>non</w:t>
      </w:r>
      <w:r w:rsidR="00EC03A3">
        <w:noBreakHyphen/>
        <w:t>P</w:t>
      </w:r>
      <w:r w:rsidRPr="00181EF3">
        <w:t>acific males and females.</w:t>
      </w:r>
    </w:p>
    <w:p w14:paraId="64721C93" w14:textId="77777777" w:rsidR="0056185A" w:rsidRPr="00181EF3" w:rsidRDefault="0056185A" w:rsidP="0056185A"/>
    <w:p w14:paraId="08BF260C" w14:textId="77777777" w:rsidR="0056185A" w:rsidRPr="00181EF3" w:rsidRDefault="0056185A" w:rsidP="00C65B2D">
      <w:pPr>
        <w:pStyle w:val="Heading4"/>
      </w:pPr>
      <w:r w:rsidRPr="00181EF3">
        <w:t>All coronary angioplasty procedure rates have increased for Māori</w:t>
      </w:r>
    </w:p>
    <w:p w14:paraId="28234A64" w14:textId="7A5D0516" w:rsidR="0056185A" w:rsidRDefault="0056185A" w:rsidP="0056185A">
      <w:r w:rsidRPr="00181EF3">
        <w:t>Between 2001–03 and 2011–13, all coronary angioplasty procedure</w:t>
      </w:r>
      <w:r w:rsidRPr="00181EF3">
        <w:rPr>
          <w:i/>
        </w:rPr>
        <w:t xml:space="preserve"> </w:t>
      </w:r>
      <w:r w:rsidRPr="00181EF3">
        <w:t xml:space="preserve">rates increased for Māori males and females. For Māori males, rates increased by 51 percent (from 103 to 155 procedures per 100,000), and for </w:t>
      </w:r>
      <w:r w:rsidR="00EC03A3">
        <w:t>non</w:t>
      </w:r>
      <w:r w:rsidR="00EC03A3">
        <w:noBreakHyphen/>
        <w:t>M</w:t>
      </w:r>
      <w:r w:rsidRPr="00181EF3">
        <w:t xml:space="preserve">āori </w:t>
      </w:r>
      <w:r w:rsidR="00EC03A3">
        <w:t>non</w:t>
      </w:r>
      <w:r w:rsidR="00EC03A3">
        <w:noBreakHyphen/>
        <w:t>P</w:t>
      </w:r>
      <w:r w:rsidRPr="00181EF3">
        <w:t xml:space="preserve">acific males procedures decreased by 13 percent (from 181 to 157 procedures 100,000). For Māori females, the rate of procedures increased by 42 percent (from 53 to 75 procedures per 100,000). For </w:t>
      </w:r>
      <w:r w:rsidR="00EC03A3">
        <w:t>non</w:t>
      </w:r>
      <w:r w:rsidR="00EC03A3">
        <w:noBreakHyphen/>
        <w:t>M</w:t>
      </w:r>
      <w:r w:rsidRPr="00181EF3">
        <w:t xml:space="preserve">āori </w:t>
      </w:r>
      <w:r w:rsidR="00EC03A3">
        <w:t>non</w:t>
      </w:r>
      <w:r w:rsidR="00EC03A3">
        <w:noBreakHyphen/>
        <w:t>P</w:t>
      </w:r>
      <w:r w:rsidRPr="00181EF3">
        <w:t>acific females the rate of procedures decreased by 24 percent (from 57 to 43 procedures per 100,000).</w:t>
      </w:r>
    </w:p>
    <w:p w14:paraId="267FF011" w14:textId="77777777" w:rsidR="00AF3805" w:rsidRPr="00181EF3" w:rsidRDefault="00AF3805" w:rsidP="0056185A"/>
    <w:p w14:paraId="6CE9A25C" w14:textId="555B2069" w:rsidR="0056185A" w:rsidRPr="00181EF3" w:rsidRDefault="0056185A" w:rsidP="00C65B2D">
      <w:pPr>
        <w:pStyle w:val="Heading4"/>
      </w:pPr>
      <w:r w:rsidRPr="00181EF3">
        <w:lastRenderedPageBreak/>
        <w:t xml:space="preserve">The difference </w:t>
      </w:r>
      <w:r w:rsidR="00C65B2D">
        <w:t xml:space="preserve">in all </w:t>
      </w:r>
      <w:r w:rsidR="00C65B2D" w:rsidRPr="00181EF3">
        <w:t xml:space="preserve">coronary angioplasty procedure rates </w:t>
      </w:r>
      <w:r w:rsidRPr="00181EF3">
        <w:t xml:space="preserve">between Māori and </w:t>
      </w:r>
      <w:r w:rsidR="00EC03A3">
        <w:t>non</w:t>
      </w:r>
      <w:r w:rsidR="00EC03A3">
        <w:noBreakHyphen/>
        <w:t>M</w:t>
      </w:r>
      <w:r w:rsidRPr="00181EF3">
        <w:t xml:space="preserve">āori </w:t>
      </w:r>
      <w:r w:rsidR="00EC03A3">
        <w:t>non</w:t>
      </w:r>
      <w:r w:rsidR="00EC03A3">
        <w:noBreakHyphen/>
        <w:t>P</w:t>
      </w:r>
      <w:r>
        <w:t xml:space="preserve">acific </w:t>
      </w:r>
      <w:r w:rsidRPr="00181EF3">
        <w:t>rates have decreased</w:t>
      </w:r>
      <w:r>
        <w:t xml:space="preserve"> for males and increased for females</w:t>
      </w:r>
    </w:p>
    <w:p w14:paraId="5A06A0ED" w14:textId="1EFE6317" w:rsidR="0056185A" w:rsidRPr="00181EF3" w:rsidRDefault="0056185A" w:rsidP="0056185A">
      <w:r w:rsidRPr="00181EF3">
        <w:t xml:space="preserve">Between 2001–03 and 2011–13, the difference between Māori and </w:t>
      </w:r>
      <w:r w:rsidR="00EC03A3">
        <w:t>non</w:t>
      </w:r>
      <w:r w:rsidR="00EC03A3">
        <w:noBreakHyphen/>
        <w:t>M</w:t>
      </w:r>
      <w:r w:rsidRPr="00181EF3">
        <w:t xml:space="preserve">āori </w:t>
      </w:r>
      <w:r w:rsidR="00EC03A3">
        <w:t>non</w:t>
      </w:r>
      <w:r w:rsidR="00EC03A3">
        <w:noBreakHyphen/>
        <w:t>P</w:t>
      </w:r>
      <w:r w:rsidRPr="00181EF3">
        <w:t>acific males all coronary angioplasty procedure</w:t>
      </w:r>
      <w:r w:rsidRPr="00181EF3">
        <w:rPr>
          <w:i/>
        </w:rPr>
        <w:t xml:space="preserve"> </w:t>
      </w:r>
      <w:r w:rsidRPr="00181EF3">
        <w:t xml:space="preserve">rates decrease by 97 percent, from 78 less procedures per 100,000 (the difference in 2001–03) to 2 less procedures per 100,000 (the difference in 2011–13). For females, the difference between Māori and </w:t>
      </w:r>
      <w:r w:rsidR="00EC03A3">
        <w:t>non</w:t>
      </w:r>
      <w:r w:rsidR="00EC03A3">
        <w:noBreakHyphen/>
        <w:t>M</w:t>
      </w:r>
      <w:r w:rsidRPr="00181EF3">
        <w:t xml:space="preserve">āori </w:t>
      </w:r>
      <w:r w:rsidR="00EC03A3">
        <w:t>non</w:t>
      </w:r>
      <w:r w:rsidR="00EC03A3">
        <w:noBreakHyphen/>
        <w:t>P</w:t>
      </w:r>
      <w:r w:rsidRPr="00181EF3">
        <w:t>acific hospitalisation rates increased by 814 percent (from 4 less procedures per 100,000 in 2001–03 to 31 more procedures per 100,000 in 2011–13).</w:t>
      </w:r>
    </w:p>
    <w:p w14:paraId="4B588787" w14:textId="77777777" w:rsidR="0056185A" w:rsidRPr="00181EF3" w:rsidRDefault="0056185A" w:rsidP="0056185A"/>
    <w:p w14:paraId="1E54214F" w14:textId="0C6DD851" w:rsidR="0056185A" w:rsidRPr="00181EF3" w:rsidRDefault="0056185A" w:rsidP="0056185A">
      <w:pPr>
        <w:rPr>
          <w:rFonts w:eastAsia="Calibri"/>
          <w:noProof/>
          <w:lang w:eastAsia="en-NZ"/>
        </w:rPr>
      </w:pPr>
      <w:r w:rsidRPr="00181EF3">
        <w:t xml:space="preserve">Rates of procedures for Māori males are now close to those of </w:t>
      </w:r>
      <w:r w:rsidR="00EC03A3">
        <w:t>non</w:t>
      </w:r>
      <w:r w:rsidR="00EC03A3">
        <w:noBreakHyphen/>
        <w:t>M</w:t>
      </w:r>
      <w:r w:rsidRPr="00181EF3">
        <w:t xml:space="preserve">āori </w:t>
      </w:r>
      <w:r w:rsidR="00EC03A3">
        <w:t>non</w:t>
      </w:r>
      <w:r w:rsidR="00EC03A3">
        <w:noBreakHyphen/>
        <w:t>P</w:t>
      </w:r>
      <w:r w:rsidRPr="00181EF3">
        <w:t xml:space="preserve">acific males, and rates for Māori females are around 1.7 times as high as those of </w:t>
      </w:r>
      <w:r w:rsidR="00EC03A3">
        <w:t>non</w:t>
      </w:r>
      <w:r w:rsidR="00EC03A3">
        <w:noBreakHyphen/>
        <w:t>M</w:t>
      </w:r>
      <w:r w:rsidRPr="00181EF3">
        <w:t xml:space="preserve">āori </w:t>
      </w:r>
      <w:r w:rsidR="00EC03A3">
        <w:t>non</w:t>
      </w:r>
      <w:r w:rsidR="00EC03A3">
        <w:noBreakHyphen/>
        <w:t>P</w:t>
      </w:r>
      <w:r w:rsidRPr="00181EF3">
        <w:t>acific females</w:t>
      </w:r>
      <w:r w:rsidRPr="00181EF3">
        <w:rPr>
          <w:rFonts w:eastAsia="Calibri"/>
          <w:noProof/>
          <w:lang w:eastAsia="en-NZ"/>
        </w:rPr>
        <w:t>.</w:t>
      </w:r>
    </w:p>
    <w:p w14:paraId="1C8E9052" w14:textId="77777777" w:rsidR="0056185A" w:rsidRPr="00181EF3" w:rsidRDefault="0056185A" w:rsidP="00AF3805"/>
    <w:p w14:paraId="01D75E7D" w14:textId="77777777" w:rsidR="00BA4884" w:rsidRPr="00181EF3" w:rsidRDefault="00BA4884" w:rsidP="00AF3805">
      <w:pPr>
        <w:pStyle w:val="Heading2"/>
        <w:pageBreakBefore/>
        <w:spacing w:before="0"/>
        <w:rPr>
          <w:noProof/>
          <w:lang w:eastAsia="en-NZ"/>
        </w:rPr>
      </w:pPr>
      <w:bookmarkStart w:id="463" w:name="_Toc14718622"/>
      <w:bookmarkStart w:id="464" w:name="_Toc14775045"/>
      <w:bookmarkStart w:id="465" w:name="_Toc19102479"/>
      <w:bookmarkStart w:id="466" w:name="_Toc311786225"/>
      <w:bookmarkStart w:id="467" w:name="_Toc354993982"/>
      <w:bookmarkStart w:id="468" w:name="_Toc397424538"/>
      <w:bookmarkEnd w:id="201"/>
      <w:bookmarkEnd w:id="386"/>
      <w:r>
        <w:rPr>
          <w:noProof/>
          <w:lang w:eastAsia="en-NZ"/>
        </w:rPr>
        <w:lastRenderedPageBreak/>
        <w:t>C</w:t>
      </w:r>
      <w:r w:rsidRPr="00181EF3">
        <w:rPr>
          <w:noProof/>
          <w:lang w:eastAsia="en-NZ"/>
        </w:rPr>
        <w:t>ancer</w:t>
      </w:r>
      <w:bookmarkEnd w:id="463"/>
      <w:bookmarkEnd w:id="464"/>
      <w:bookmarkEnd w:id="465"/>
    </w:p>
    <w:p w14:paraId="3E508FB7" w14:textId="27BAEE0E" w:rsidR="00BA4884" w:rsidRPr="00181EF3" w:rsidRDefault="00BA4884" w:rsidP="00BA4884">
      <w:r w:rsidRPr="00181EF3">
        <w:rPr>
          <w:noProof/>
          <w:lang w:eastAsia="en-NZ"/>
        </w:rPr>
        <w:t xml:space="preserve">This </w:t>
      </w:r>
      <w:r w:rsidR="000A6457">
        <w:rPr>
          <w:noProof/>
          <w:lang w:eastAsia="en-NZ"/>
        </w:rPr>
        <w:t>section</w:t>
      </w:r>
      <w:r w:rsidRPr="00181EF3">
        <w:rPr>
          <w:noProof/>
          <w:lang w:eastAsia="en-NZ"/>
        </w:rPr>
        <w:t xml:space="preserve"> </w:t>
      </w:r>
      <w:r w:rsidR="000A6457">
        <w:rPr>
          <w:noProof/>
          <w:lang w:eastAsia="en-NZ"/>
        </w:rPr>
        <w:t>present</w:t>
      </w:r>
      <w:r w:rsidRPr="00181EF3">
        <w:rPr>
          <w:noProof/>
          <w:lang w:eastAsia="en-NZ"/>
        </w:rPr>
        <w:t>s the trends relating to cancer registration and mortality from</w:t>
      </w:r>
      <w:r w:rsidRPr="00181EF3">
        <w:rPr>
          <w:noProof/>
          <w:lang w:eastAsia="en-NZ"/>
        </w:rPr>
        <w:br/>
        <w:t xml:space="preserve">2001–03 to 2011–13 </w:t>
      </w:r>
      <w:r w:rsidRPr="00181EF3">
        <w:t xml:space="preserve">for Māori and </w:t>
      </w:r>
      <w:r w:rsidR="00EC03A3">
        <w:t>non</w:t>
      </w:r>
      <w:r w:rsidR="00EC03A3">
        <w:noBreakHyphen/>
        <w:t>M</w:t>
      </w:r>
      <w:r w:rsidRPr="00181EF3">
        <w:t xml:space="preserve">āori </w:t>
      </w:r>
      <w:r w:rsidR="00EC03A3">
        <w:t>non</w:t>
      </w:r>
      <w:r w:rsidR="00EC03A3">
        <w:noBreakHyphen/>
        <w:t>P</w:t>
      </w:r>
      <w:r w:rsidRPr="00181EF3">
        <w:t>acific adults aged 25 years and over.</w:t>
      </w:r>
    </w:p>
    <w:p w14:paraId="33A64310" w14:textId="77777777" w:rsidR="00BA4884" w:rsidRPr="00181EF3" w:rsidRDefault="00BA4884" w:rsidP="00BA4884"/>
    <w:p w14:paraId="0C6796A8" w14:textId="77777777" w:rsidR="00BA4884" w:rsidRPr="00181EF3" w:rsidRDefault="00BA4884" w:rsidP="000A6457">
      <w:pPr>
        <w:pStyle w:val="Heading3"/>
      </w:pPr>
      <w:bookmarkStart w:id="469" w:name="_Toc19102480"/>
      <w:r w:rsidRPr="00181EF3">
        <w:t>What is the data telling us?</w:t>
      </w:r>
      <w:bookmarkEnd w:id="469"/>
    </w:p>
    <w:p w14:paraId="7D0B5656" w14:textId="77777777" w:rsidR="00BA4884" w:rsidRPr="00181EF3" w:rsidRDefault="00BA4884" w:rsidP="00AF3805">
      <w:pPr>
        <w:pStyle w:val="Shadedboxtext"/>
      </w:pPr>
      <w:r w:rsidRPr="00181EF3">
        <w:t>Overall the data shows that:</w:t>
      </w:r>
    </w:p>
    <w:p w14:paraId="36FC20FF" w14:textId="69C94303" w:rsidR="00BA4884" w:rsidRPr="00181EF3" w:rsidRDefault="00BA4884" w:rsidP="00AF3805">
      <w:pPr>
        <w:pStyle w:val="Shadedboxbullet"/>
        <w:ind w:left="568" w:hanging="284"/>
      </w:pPr>
      <w:r w:rsidRPr="00181EF3">
        <w:t xml:space="preserve">Māori adults aged 25 years and over have higher cancer registration and mortality rates for total cancers than </w:t>
      </w:r>
      <w:r w:rsidR="00EC03A3">
        <w:t>non</w:t>
      </w:r>
      <w:r w:rsidR="00EC03A3">
        <w:noBreakHyphen/>
        <w:t>M</w:t>
      </w:r>
      <w:r w:rsidRPr="00181EF3">
        <w:t xml:space="preserve">āori </w:t>
      </w:r>
      <w:r w:rsidR="00EC03A3">
        <w:t>non</w:t>
      </w:r>
      <w:r w:rsidR="00EC03A3">
        <w:noBreakHyphen/>
        <w:t>P</w:t>
      </w:r>
      <w:r w:rsidRPr="00181EF3">
        <w:t>acific adults over time</w:t>
      </w:r>
      <w:r w:rsidR="00AF3805">
        <w:t>.</w:t>
      </w:r>
    </w:p>
    <w:p w14:paraId="018AA4F1" w14:textId="101C35D6" w:rsidR="00BA4884" w:rsidRPr="00181EF3" w:rsidRDefault="00AF3805" w:rsidP="00AF3805">
      <w:pPr>
        <w:pStyle w:val="Shadedboxbullet"/>
        <w:ind w:left="568" w:hanging="284"/>
      </w:pPr>
      <w:r>
        <w:t>T</w:t>
      </w:r>
      <w:r w:rsidR="00BA4884" w:rsidRPr="00181EF3">
        <w:t xml:space="preserve">he difference in cancer registration and mortality rates for total cancers between Māori and </w:t>
      </w:r>
      <w:r w:rsidR="00EC03A3">
        <w:t>non</w:t>
      </w:r>
      <w:r w:rsidR="00EC03A3">
        <w:noBreakHyphen/>
        <w:t>M</w:t>
      </w:r>
      <w:r w:rsidR="00BA4884" w:rsidRPr="00181EF3">
        <w:t xml:space="preserve">āori </w:t>
      </w:r>
      <w:r w:rsidR="00EC03A3">
        <w:t>non</w:t>
      </w:r>
      <w:r w:rsidR="00EC03A3">
        <w:noBreakHyphen/>
        <w:t>P</w:t>
      </w:r>
      <w:r w:rsidR="00BA4884" w:rsidRPr="00181EF3">
        <w:t>acific adults aged 25 years and over was greater for females over time</w:t>
      </w:r>
      <w:r>
        <w:t>.</w:t>
      </w:r>
    </w:p>
    <w:p w14:paraId="3EE65DE9" w14:textId="2444DF5D" w:rsidR="00BA4884" w:rsidRPr="00181EF3" w:rsidRDefault="00BA4884" w:rsidP="00AF3805">
      <w:pPr>
        <w:pStyle w:val="Shadedboxbullet"/>
        <w:ind w:left="568" w:hanging="284"/>
      </w:pPr>
      <w:r w:rsidRPr="00181EF3">
        <w:t xml:space="preserve">Māori adults aged 25 years and over were more likely to develop lung cancer and to die from lung cancer than </w:t>
      </w:r>
      <w:r w:rsidR="00EC03A3">
        <w:t>non</w:t>
      </w:r>
      <w:r w:rsidR="00EC03A3">
        <w:noBreakHyphen/>
        <w:t>M</w:t>
      </w:r>
      <w:r w:rsidRPr="00181EF3">
        <w:t xml:space="preserve">āori </w:t>
      </w:r>
      <w:r w:rsidR="00EC03A3">
        <w:t>non</w:t>
      </w:r>
      <w:r w:rsidR="00EC03A3">
        <w:noBreakHyphen/>
        <w:t>P</w:t>
      </w:r>
      <w:r w:rsidRPr="00181EF3">
        <w:t>acific adults at the same age group over time. This difference was higher among females.</w:t>
      </w:r>
    </w:p>
    <w:p w14:paraId="26AD7B81" w14:textId="1C5E61FF" w:rsidR="00BA4884" w:rsidRPr="00181EF3" w:rsidRDefault="00BA4884" w:rsidP="00AF3805">
      <w:pPr>
        <w:pStyle w:val="Shadedboxbullet"/>
        <w:ind w:left="568" w:hanging="284"/>
      </w:pPr>
      <w:r w:rsidRPr="00181EF3">
        <w:t xml:space="preserve">Colorectal cancer registration rates were lower for Māori adults aged 25 years and over than for </w:t>
      </w:r>
      <w:r w:rsidR="00EC03A3">
        <w:t>non</w:t>
      </w:r>
      <w:r w:rsidR="00EC03A3">
        <w:noBreakHyphen/>
        <w:t>M</w:t>
      </w:r>
      <w:r w:rsidRPr="00181EF3">
        <w:t xml:space="preserve">āori </w:t>
      </w:r>
      <w:r w:rsidR="00EC03A3">
        <w:t>non</w:t>
      </w:r>
      <w:r w:rsidR="00EC03A3">
        <w:noBreakHyphen/>
        <w:t>P</w:t>
      </w:r>
      <w:r w:rsidRPr="00181EF3">
        <w:t>acific adults at the same age group over time.</w:t>
      </w:r>
    </w:p>
    <w:p w14:paraId="6867CA38" w14:textId="025C3763" w:rsidR="00BA4884" w:rsidRPr="00181EF3" w:rsidRDefault="00BA4884" w:rsidP="00BA4884">
      <w:pPr>
        <w:pStyle w:val="Shadedboxbullet"/>
        <w:ind w:left="568" w:hanging="284"/>
      </w:pPr>
      <w:r w:rsidRPr="00181EF3">
        <w:t xml:space="preserve">Māori females aged 25 years and over had lower colorectal cancer mortality rates than </w:t>
      </w:r>
      <w:r w:rsidR="00EC03A3">
        <w:t>non</w:t>
      </w:r>
      <w:r w:rsidR="00EC03A3">
        <w:noBreakHyphen/>
        <w:t>M</w:t>
      </w:r>
      <w:r w:rsidRPr="00181EF3">
        <w:t xml:space="preserve">āori </w:t>
      </w:r>
      <w:r w:rsidR="00EC03A3">
        <w:t>non</w:t>
      </w:r>
      <w:r w:rsidR="00EC03A3">
        <w:noBreakHyphen/>
        <w:t>P</w:t>
      </w:r>
      <w:r w:rsidRPr="00181EF3">
        <w:t xml:space="preserve">acific females at the same age group over time. However, there was no significant difference in rates of colorectal cancer mortality over time between Māori and </w:t>
      </w:r>
      <w:r w:rsidR="00EC03A3">
        <w:t>non</w:t>
      </w:r>
      <w:r w:rsidR="00EC03A3">
        <w:noBreakHyphen/>
        <w:t>M</w:t>
      </w:r>
      <w:r w:rsidRPr="00181EF3">
        <w:t xml:space="preserve">āori </w:t>
      </w:r>
      <w:r w:rsidR="00EC03A3">
        <w:t>non</w:t>
      </w:r>
      <w:r w:rsidR="00EC03A3">
        <w:noBreakHyphen/>
        <w:t>P</w:t>
      </w:r>
      <w:r w:rsidRPr="00181EF3">
        <w:t>acific males aged 25 years and over.</w:t>
      </w:r>
    </w:p>
    <w:p w14:paraId="70C5B5AF" w14:textId="035CAA62" w:rsidR="00BA4884" w:rsidRPr="00181EF3" w:rsidRDefault="00BA4884" w:rsidP="00BA4884">
      <w:pPr>
        <w:pStyle w:val="Shadedboxbullet"/>
        <w:ind w:left="568" w:hanging="284"/>
      </w:pPr>
      <w:r w:rsidRPr="00181EF3">
        <w:t xml:space="preserve">Māori females aged 25 years and over were more likely to develop cervical cancer and to die from cervical cancer than </w:t>
      </w:r>
      <w:r w:rsidR="00EC03A3">
        <w:t>non</w:t>
      </w:r>
      <w:r w:rsidR="00EC03A3">
        <w:noBreakHyphen/>
        <w:t>M</w:t>
      </w:r>
      <w:r w:rsidRPr="00181EF3">
        <w:t xml:space="preserve">āori </w:t>
      </w:r>
      <w:r w:rsidR="00EC03A3">
        <w:t>non</w:t>
      </w:r>
      <w:r w:rsidR="00EC03A3">
        <w:noBreakHyphen/>
        <w:t>P</w:t>
      </w:r>
      <w:r w:rsidRPr="00181EF3">
        <w:t>acific females at the same age group over time.</w:t>
      </w:r>
    </w:p>
    <w:p w14:paraId="6BD7F7A1" w14:textId="19C1A463" w:rsidR="00BA4884" w:rsidRPr="00181EF3" w:rsidRDefault="00BA4884" w:rsidP="00BA4884">
      <w:pPr>
        <w:pStyle w:val="Shadedboxbullet"/>
        <w:ind w:left="568" w:hanging="284"/>
      </w:pPr>
      <w:r w:rsidRPr="00181EF3">
        <w:t xml:space="preserve">Māori females aged 25 years and over were more likely to develop breast cancer than </w:t>
      </w:r>
      <w:r w:rsidR="00EC03A3">
        <w:t>non</w:t>
      </w:r>
      <w:r w:rsidR="00EC03A3">
        <w:noBreakHyphen/>
        <w:t>M</w:t>
      </w:r>
      <w:r w:rsidRPr="00181EF3">
        <w:t xml:space="preserve">āori </w:t>
      </w:r>
      <w:r w:rsidR="00EC03A3">
        <w:t>non</w:t>
      </w:r>
      <w:r w:rsidR="00EC03A3">
        <w:noBreakHyphen/>
        <w:t>P</w:t>
      </w:r>
      <w:r w:rsidRPr="00181EF3">
        <w:t xml:space="preserve">acific females at the same age group, and the difference between Māori and </w:t>
      </w:r>
      <w:r w:rsidR="00EC03A3">
        <w:t>non</w:t>
      </w:r>
      <w:r w:rsidR="00EC03A3">
        <w:noBreakHyphen/>
        <w:t>M</w:t>
      </w:r>
      <w:r w:rsidRPr="00181EF3">
        <w:t xml:space="preserve">āori </w:t>
      </w:r>
      <w:r w:rsidR="00EC03A3">
        <w:t>non</w:t>
      </w:r>
      <w:r w:rsidR="00EC03A3">
        <w:noBreakHyphen/>
        <w:t>P</w:t>
      </w:r>
      <w:r w:rsidRPr="00181EF3">
        <w:t>acific females aged 25 years and over is getting bigger over time.</w:t>
      </w:r>
    </w:p>
    <w:p w14:paraId="5743BB78" w14:textId="4D96AD7B" w:rsidR="00BA4884" w:rsidRPr="00181EF3" w:rsidRDefault="00BA4884" w:rsidP="00BA4884">
      <w:pPr>
        <w:pStyle w:val="Shadedboxbullet"/>
        <w:ind w:left="568" w:hanging="284"/>
      </w:pPr>
      <w:r w:rsidRPr="00181EF3">
        <w:t xml:space="preserve">Māori females aged 25 years and over were more likely to die from breast cancer than </w:t>
      </w:r>
      <w:r w:rsidR="00EC03A3">
        <w:t>non</w:t>
      </w:r>
      <w:r w:rsidR="00EC03A3">
        <w:noBreakHyphen/>
        <w:t>M</w:t>
      </w:r>
      <w:r w:rsidRPr="00181EF3">
        <w:t xml:space="preserve">āori </w:t>
      </w:r>
      <w:r w:rsidR="00EC03A3">
        <w:t>non</w:t>
      </w:r>
      <w:r w:rsidR="00EC03A3">
        <w:noBreakHyphen/>
        <w:t>P</w:t>
      </w:r>
      <w:r w:rsidRPr="00181EF3">
        <w:t xml:space="preserve">acific females at the same age group, and the difference between Māori and </w:t>
      </w:r>
      <w:r w:rsidR="00EC03A3">
        <w:t>non</w:t>
      </w:r>
      <w:r w:rsidR="00EC03A3">
        <w:noBreakHyphen/>
        <w:t>M</w:t>
      </w:r>
      <w:r w:rsidRPr="00181EF3">
        <w:t xml:space="preserve">āori </w:t>
      </w:r>
      <w:r w:rsidR="00EC03A3">
        <w:t>non</w:t>
      </w:r>
      <w:r w:rsidR="00EC03A3">
        <w:noBreakHyphen/>
        <w:t>P</w:t>
      </w:r>
      <w:r w:rsidRPr="00181EF3">
        <w:t>acific females aged 25 years and over is getting smaller over time.</w:t>
      </w:r>
    </w:p>
    <w:p w14:paraId="5C7BDEA8" w14:textId="77777777" w:rsidR="00BA4884" w:rsidRPr="00181EF3" w:rsidRDefault="00BA4884" w:rsidP="00BA4884"/>
    <w:p w14:paraId="1719BABC" w14:textId="77777777" w:rsidR="00BA4884" w:rsidRPr="00181EF3" w:rsidRDefault="00BA4884" w:rsidP="00AF3805">
      <w:pPr>
        <w:pStyle w:val="Heading3"/>
        <w:pageBreakBefore/>
        <w:spacing w:before="0"/>
      </w:pPr>
      <w:bookmarkStart w:id="470" w:name="_Toc19102481"/>
      <w:r w:rsidRPr="00181EF3">
        <w:lastRenderedPageBreak/>
        <w:t>Total cancer</w:t>
      </w:r>
      <w:bookmarkEnd w:id="470"/>
    </w:p>
    <w:p w14:paraId="511D80C2" w14:textId="5C6991EC" w:rsidR="000A6457" w:rsidRDefault="000A6457" w:rsidP="000A6457">
      <w:pPr>
        <w:pStyle w:val="Figure"/>
      </w:pPr>
      <w:bookmarkStart w:id="471" w:name="_Toc19101991"/>
      <w:r w:rsidRPr="00181EF3">
        <w:t>Figure 1</w:t>
      </w:r>
      <w:r w:rsidR="00572A9A">
        <w:t>40</w:t>
      </w:r>
      <w:r w:rsidRPr="00181EF3">
        <w:t>: Total cancer registration rate</w:t>
      </w:r>
      <w:r w:rsidR="009B494B">
        <w:t>s</w:t>
      </w:r>
      <w:r w:rsidRPr="00181EF3">
        <w:t xml:space="preserve">, </w:t>
      </w:r>
      <w:r w:rsidR="009B494B">
        <w:t xml:space="preserve">25+ years, </w:t>
      </w:r>
      <w:r w:rsidR="009B494B" w:rsidRPr="00181EF3">
        <w:t xml:space="preserve">Māori and </w:t>
      </w:r>
      <w:r w:rsidR="00EC03A3">
        <w:t>non</w:t>
      </w:r>
      <w:r w:rsidR="00EC03A3">
        <w:noBreakHyphen/>
        <w:t>M</w:t>
      </w:r>
      <w:r w:rsidR="009B494B" w:rsidRPr="00181EF3">
        <w:t xml:space="preserve">āori </w:t>
      </w:r>
      <w:r w:rsidR="00EC03A3">
        <w:t>non</w:t>
      </w:r>
      <w:r w:rsidR="00EC03A3">
        <w:noBreakHyphen/>
        <w:t>P</w:t>
      </w:r>
      <w:r w:rsidR="009B494B">
        <w:t xml:space="preserve">acific </w:t>
      </w:r>
      <w:r w:rsidR="009B494B" w:rsidRPr="00181EF3">
        <w:t>males</w:t>
      </w:r>
      <w:r w:rsidR="009B494B">
        <w:t>,</w:t>
      </w:r>
      <w:r w:rsidRPr="00181EF3">
        <w:t xml:space="preserve"> 2001–03 to 2011–13</w:t>
      </w:r>
      <w:bookmarkEnd w:id="471"/>
    </w:p>
    <w:p w14:paraId="73E170BC" w14:textId="77777777" w:rsidR="000A6457" w:rsidRPr="00473E70" w:rsidRDefault="000A6457" w:rsidP="000A6457">
      <w:r w:rsidRPr="00473E70">
        <w:rPr>
          <w:noProof/>
          <w:lang w:eastAsia="en-NZ"/>
        </w:rPr>
        <w:drawing>
          <wp:inline distT="0" distB="0" distL="0" distR="0" wp14:anchorId="29152F07" wp14:editId="1A153037">
            <wp:extent cx="5130165" cy="2799119"/>
            <wp:effectExtent l="0" t="0" r="0" b="1270"/>
            <wp:docPr id="7" name="Picture 7" descr="The cancer registration rate is slightly higher among Māori men than non-Māori men and has remained relatively steady over time, declining very slightly." title="Figure 140: Total cancer registration rate, Māori and non-Māori non-Pacific males aged 25 years and over, from 2001–03 to 20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5130165" cy="2799119"/>
                    </a:xfrm>
                    <a:prstGeom prst="rect">
                      <a:avLst/>
                    </a:prstGeom>
                  </pic:spPr>
                </pic:pic>
              </a:graphicData>
            </a:graphic>
          </wp:inline>
        </w:drawing>
      </w:r>
    </w:p>
    <w:p w14:paraId="2AAEC978" w14:textId="77777777" w:rsidR="009B494B" w:rsidRDefault="009B494B" w:rsidP="009B494B">
      <w:pPr>
        <w:pStyle w:val="Note"/>
      </w:pPr>
      <w:r w:rsidRPr="00181EF3">
        <w:t>Note</w:t>
      </w:r>
      <w:r>
        <w:t>s</w:t>
      </w:r>
      <w:r w:rsidRPr="00181EF3">
        <w:t>:</w:t>
      </w:r>
    </w:p>
    <w:p w14:paraId="03381BD5" w14:textId="51D89DD9" w:rsidR="008A5642" w:rsidRDefault="00446D86" w:rsidP="001C62E1">
      <w:pPr>
        <w:pStyle w:val="Note"/>
        <w:ind w:left="0" w:firstLine="0"/>
      </w:pPr>
      <w:r>
        <w:t>Figures are age-standardised to the 2001 Census total Māori population</w:t>
      </w:r>
      <w:r w:rsidR="009B494B" w:rsidRPr="00181EF3">
        <w:t>.</w:t>
      </w:r>
    </w:p>
    <w:p w14:paraId="0B8FFD05" w14:textId="74E152F3" w:rsidR="009B494B" w:rsidRPr="00181EF3" w:rsidRDefault="009B494B" w:rsidP="001C62E1">
      <w:pPr>
        <w:pStyle w:val="Note"/>
        <w:ind w:left="0" w:firstLine="0"/>
      </w:pPr>
      <w:r>
        <w:t>Prioritised ethnicity has been used.</w:t>
      </w:r>
    </w:p>
    <w:p w14:paraId="31FB7A6C" w14:textId="77777777" w:rsidR="008A5642" w:rsidRDefault="009B494B" w:rsidP="001C62E1">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138473AE" w14:textId="1A906EE8" w:rsidR="009B494B" w:rsidRPr="00181EF3" w:rsidRDefault="009B494B" w:rsidP="001C62E1">
      <w:pPr>
        <w:pStyle w:val="Note"/>
        <w:ind w:left="0" w:firstLine="0"/>
        <w:rPr>
          <w:rFonts w:eastAsia="Calibri"/>
        </w:rPr>
      </w:pPr>
      <w:r w:rsidRPr="00181EF3">
        <w:rPr>
          <w:rFonts w:eastAsia="Calibri"/>
        </w:rPr>
        <w:t>Source: New Zealand Cancer Registry (NZCR), Ministry of Health</w:t>
      </w:r>
      <w:r>
        <w:rPr>
          <w:rFonts w:eastAsia="Calibri"/>
        </w:rPr>
        <w:t xml:space="preserve">, </w:t>
      </w:r>
      <w:r>
        <w:t>2001</w:t>
      </w:r>
      <w:r w:rsidRPr="00181EF3">
        <w:t>–</w:t>
      </w:r>
      <w:r>
        <w:t>03</w:t>
      </w:r>
      <w:r w:rsidRPr="00181EF3">
        <w:t xml:space="preserve"> to 201</w:t>
      </w:r>
      <w:r>
        <w:t>1</w:t>
      </w:r>
      <w:r w:rsidRPr="00181EF3">
        <w:t>–1</w:t>
      </w:r>
      <w:r>
        <w:t>3</w:t>
      </w:r>
      <w:r w:rsidRPr="00181EF3">
        <w:rPr>
          <w:rFonts w:eastAsia="Calibri"/>
        </w:rPr>
        <w:t>.</w:t>
      </w:r>
    </w:p>
    <w:p w14:paraId="5B568CA3" w14:textId="77777777" w:rsidR="000A6457" w:rsidRDefault="000A6457" w:rsidP="00AF3805"/>
    <w:p w14:paraId="225E2C6C" w14:textId="1891A59F" w:rsidR="00BA4884" w:rsidRDefault="00BA4884" w:rsidP="00AF3805">
      <w:r w:rsidRPr="00181EF3">
        <w:t>Figure 1</w:t>
      </w:r>
      <w:r w:rsidR="001D6946">
        <w:t>40</w:t>
      </w:r>
      <w:r w:rsidRPr="00181EF3">
        <w:t xml:space="preserve"> shows that, after adjusting for age, Māori males aged 25 years and over have higher total-cancer registration rates than </w:t>
      </w:r>
      <w:r w:rsidR="00EC03A3">
        <w:t>non</w:t>
      </w:r>
      <w:r w:rsidR="00EC03A3">
        <w:noBreakHyphen/>
        <w:t>M</w:t>
      </w:r>
      <w:r w:rsidRPr="00181EF3">
        <w:t xml:space="preserve">āori </w:t>
      </w:r>
      <w:r w:rsidR="00EC03A3">
        <w:t>non</w:t>
      </w:r>
      <w:r w:rsidR="00EC03A3">
        <w:noBreakHyphen/>
        <w:t>P</w:t>
      </w:r>
      <w:r w:rsidRPr="00181EF3">
        <w:t>acific males at the same age group over time.</w:t>
      </w:r>
    </w:p>
    <w:p w14:paraId="31C9BA59" w14:textId="77777777" w:rsidR="00AF3805" w:rsidRPr="00181EF3" w:rsidRDefault="00AF3805" w:rsidP="00AF3805"/>
    <w:p w14:paraId="11DAF198" w14:textId="77777777" w:rsidR="00BA4884" w:rsidRPr="00181EF3" w:rsidRDefault="00BA4884" w:rsidP="009B494B">
      <w:pPr>
        <w:pStyle w:val="Heading4"/>
      </w:pPr>
      <w:r w:rsidRPr="00181EF3">
        <w:t>The total-cancer registration rate decreased over time for Māori males</w:t>
      </w:r>
    </w:p>
    <w:p w14:paraId="17731D34" w14:textId="77777777" w:rsidR="00BA4884" w:rsidRPr="00181EF3" w:rsidRDefault="00BA4884" w:rsidP="00BA4884">
      <w:r w:rsidRPr="00181EF3">
        <w:t>The age-standardised total-cancer registration rates for Māori males aged 25 years and over decreased by 6 percent over time, from 495.9 registrations per 100,000 in</w:t>
      </w:r>
      <w:r w:rsidRPr="00181EF3">
        <w:br/>
        <w:t>2001–03 to 465.2 registrations per 100,000 in 2011–13.</w:t>
      </w:r>
    </w:p>
    <w:p w14:paraId="36340438" w14:textId="77777777" w:rsidR="00BA4884" w:rsidRPr="00181EF3" w:rsidRDefault="00BA4884" w:rsidP="00BA4884"/>
    <w:p w14:paraId="0492B842" w14:textId="37600EFC" w:rsidR="00BA4884" w:rsidRDefault="00BA4884" w:rsidP="00BA4884">
      <w:r w:rsidRPr="00181EF3">
        <w:t xml:space="preserve">The age-standardised total-cancer registration rates for </w:t>
      </w:r>
      <w:r w:rsidR="00EC03A3">
        <w:t>non</w:t>
      </w:r>
      <w:r w:rsidR="00EC03A3">
        <w:noBreakHyphen/>
        <w:t>M</w:t>
      </w:r>
      <w:r w:rsidRPr="00181EF3">
        <w:t xml:space="preserve">āori </w:t>
      </w:r>
      <w:r w:rsidR="00EC03A3">
        <w:t>non</w:t>
      </w:r>
      <w:r w:rsidR="00EC03A3">
        <w:noBreakHyphen/>
        <w:t>P</w:t>
      </w:r>
      <w:r w:rsidRPr="00181EF3">
        <w:t>acific males at the same age group decreased by 8 percent over time, from 440.2 registrations per 100,000 in 2001–03 to 400.5 registrations per 100,000 in 2011–13.</w:t>
      </w:r>
    </w:p>
    <w:p w14:paraId="22FEB30A" w14:textId="77777777" w:rsidR="00AF3805" w:rsidRPr="00181EF3" w:rsidRDefault="00AF3805" w:rsidP="00BA4884"/>
    <w:p w14:paraId="7AE7A7EB" w14:textId="55CD174D" w:rsidR="00BA4884" w:rsidRPr="00181EF3" w:rsidRDefault="00BA4884" w:rsidP="009B494B">
      <w:pPr>
        <w:pStyle w:val="Heading4"/>
      </w:pPr>
      <w:r w:rsidRPr="00181EF3">
        <w:lastRenderedPageBreak/>
        <w:t xml:space="preserve">The difference in total-cancer registration rate between Māori and </w:t>
      </w:r>
      <w:r w:rsidR="00EC03A3">
        <w:t>non</w:t>
      </w:r>
      <w:r w:rsidR="00EC03A3">
        <w:noBreakHyphen/>
        <w:t>M</w:t>
      </w:r>
      <w:r w:rsidRPr="00181EF3">
        <w:t xml:space="preserve">āori </w:t>
      </w:r>
      <w:r w:rsidR="00EC03A3">
        <w:t>non</w:t>
      </w:r>
      <w:r w:rsidR="00EC03A3">
        <w:noBreakHyphen/>
        <w:t>P</w:t>
      </w:r>
      <w:r w:rsidRPr="00181EF3">
        <w:t>acific males remained similar over time</w:t>
      </w:r>
    </w:p>
    <w:p w14:paraId="2421CEF2" w14:textId="1D608921" w:rsidR="00BA4884" w:rsidRPr="00181EF3" w:rsidRDefault="00BA4884" w:rsidP="00AF3805">
      <w:pPr>
        <w:keepLines/>
      </w:pPr>
      <w:r w:rsidRPr="00181EF3">
        <w:t xml:space="preserve">The age-standardised total-cancer registration rate difference between Māori and </w:t>
      </w:r>
      <w:r w:rsidR="00EC03A3">
        <w:t>non</w:t>
      </w:r>
      <w:r w:rsidR="00EC03A3">
        <w:noBreakHyphen/>
        <w:t>M</w:t>
      </w:r>
      <w:r w:rsidRPr="00181EF3">
        <w:t xml:space="preserve">āori </w:t>
      </w:r>
      <w:r w:rsidR="00EC03A3">
        <w:t>non</w:t>
      </w:r>
      <w:r w:rsidR="00EC03A3">
        <w:noBreakHyphen/>
        <w:t>P</w:t>
      </w:r>
      <w:r w:rsidRPr="00181EF3">
        <w:t xml:space="preserve">acific males aged 25 years and over remained similar over time. After adjusting for age, Māori males aged 25 years and over had 55.7 more registrations per 100,000 than </w:t>
      </w:r>
      <w:r w:rsidR="00EC03A3">
        <w:t>non</w:t>
      </w:r>
      <w:r w:rsidR="00EC03A3">
        <w:noBreakHyphen/>
        <w:t>M</w:t>
      </w:r>
      <w:r w:rsidRPr="00181EF3">
        <w:t xml:space="preserve">āori </w:t>
      </w:r>
      <w:r w:rsidR="00EC03A3">
        <w:t>non</w:t>
      </w:r>
      <w:r w:rsidR="00EC03A3">
        <w:noBreakHyphen/>
        <w:t>P</w:t>
      </w:r>
      <w:r w:rsidRPr="00181EF3">
        <w:t>acific in 2001–03 and 64.7 more registrations per 100,000 in 2011–13.</w:t>
      </w:r>
    </w:p>
    <w:p w14:paraId="400CD508" w14:textId="77777777" w:rsidR="00BA4884" w:rsidRPr="00181EF3" w:rsidRDefault="00BA4884" w:rsidP="00BA4884"/>
    <w:p w14:paraId="475579CF" w14:textId="20AD7296" w:rsidR="00BA4884" w:rsidRPr="00181EF3" w:rsidRDefault="00BA4884" w:rsidP="00BA4884">
      <w:r w:rsidRPr="00181EF3">
        <w:t xml:space="preserve">The total-cancer registration rate was on average 13 percent higher in Māori males aged 25 years and over than in </w:t>
      </w:r>
      <w:r w:rsidR="00EC03A3">
        <w:t>non</w:t>
      </w:r>
      <w:r w:rsidR="00EC03A3">
        <w:noBreakHyphen/>
        <w:t>M</w:t>
      </w:r>
      <w:r w:rsidRPr="00181EF3">
        <w:t xml:space="preserve">āori </w:t>
      </w:r>
      <w:r w:rsidR="00EC03A3">
        <w:t>non</w:t>
      </w:r>
      <w:r w:rsidR="00EC03A3">
        <w:noBreakHyphen/>
        <w:t>P</w:t>
      </w:r>
      <w:r w:rsidRPr="00181EF3">
        <w:t>acific males at the same age group over time.</w:t>
      </w:r>
    </w:p>
    <w:p w14:paraId="352ED53D" w14:textId="77777777" w:rsidR="00BA4884" w:rsidRPr="00181EF3" w:rsidRDefault="00BA4884" w:rsidP="00BA4884"/>
    <w:p w14:paraId="60B7533C" w14:textId="5278A4CC" w:rsidR="009B494B" w:rsidRDefault="009B494B" w:rsidP="009B494B">
      <w:pPr>
        <w:pStyle w:val="Figure"/>
      </w:pPr>
      <w:bookmarkStart w:id="472" w:name="_Toc19101992"/>
      <w:r w:rsidRPr="00181EF3">
        <w:t xml:space="preserve">Figure </w:t>
      </w:r>
      <w:r w:rsidR="00572A9A">
        <w:t>141</w:t>
      </w:r>
      <w:r w:rsidRPr="00181EF3">
        <w:t>: Total cancer registration rate</w:t>
      </w:r>
      <w:r>
        <w:t>s</w:t>
      </w:r>
      <w:r w:rsidRPr="00181EF3">
        <w:t xml:space="preserve">, </w:t>
      </w:r>
      <w:r>
        <w:t xml:space="preserve">25+ years, </w:t>
      </w:r>
      <w:r w:rsidRPr="00181EF3">
        <w:t xml:space="preserve">Māori and </w:t>
      </w:r>
      <w:r w:rsidR="00EC03A3">
        <w:t>non</w:t>
      </w:r>
      <w:r w:rsidR="00EC03A3">
        <w:noBreakHyphen/>
        <w:t>M</w:t>
      </w:r>
      <w:r w:rsidRPr="00181EF3">
        <w:t xml:space="preserve">āori </w:t>
      </w:r>
      <w:r w:rsidR="00EC03A3">
        <w:t>non</w:t>
      </w:r>
      <w:r w:rsidR="00EC03A3">
        <w:noBreakHyphen/>
        <w:t>P</w:t>
      </w:r>
      <w:r>
        <w:t>acific fe</w:t>
      </w:r>
      <w:r w:rsidRPr="00181EF3">
        <w:t>males</w:t>
      </w:r>
      <w:r>
        <w:t>,</w:t>
      </w:r>
      <w:r w:rsidRPr="00181EF3">
        <w:t xml:space="preserve"> 2001–03 to 2011–13</w:t>
      </w:r>
      <w:bookmarkEnd w:id="472"/>
    </w:p>
    <w:p w14:paraId="740108F9" w14:textId="77777777" w:rsidR="009B494B" w:rsidRPr="00473E70" w:rsidRDefault="009B494B" w:rsidP="009B494B">
      <w:r w:rsidRPr="00473E70">
        <w:rPr>
          <w:noProof/>
          <w:lang w:eastAsia="en-NZ"/>
        </w:rPr>
        <w:drawing>
          <wp:inline distT="0" distB="0" distL="0" distR="0" wp14:anchorId="7505BD41" wp14:editId="197F8116">
            <wp:extent cx="5130165" cy="2799119"/>
            <wp:effectExtent l="0" t="0" r="0" b="1270"/>
            <wp:docPr id="9" name="Picture 9" descr="Cancer rates are higher among Māori women than non-Māori women, but the rates for both have remained relatively steady over time." title="Figure 141: Total cancer registration rate, Māori and non-Māori non-Pacific females aged 25 years and over, from 2001–03 to 20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5130165" cy="2799119"/>
                    </a:xfrm>
                    <a:prstGeom prst="rect">
                      <a:avLst/>
                    </a:prstGeom>
                  </pic:spPr>
                </pic:pic>
              </a:graphicData>
            </a:graphic>
          </wp:inline>
        </w:drawing>
      </w:r>
    </w:p>
    <w:p w14:paraId="66C2330A" w14:textId="77777777" w:rsidR="009B494B" w:rsidRDefault="009B494B" w:rsidP="009B494B">
      <w:pPr>
        <w:pStyle w:val="Note"/>
      </w:pPr>
      <w:r w:rsidRPr="00181EF3">
        <w:t>Note</w:t>
      </w:r>
      <w:r>
        <w:t>s</w:t>
      </w:r>
      <w:r w:rsidRPr="00181EF3">
        <w:t>:</w:t>
      </w:r>
    </w:p>
    <w:p w14:paraId="31F25404" w14:textId="06F9D586" w:rsidR="008A5642" w:rsidRDefault="00446D86" w:rsidP="009B494B">
      <w:pPr>
        <w:pStyle w:val="Note"/>
      </w:pPr>
      <w:r>
        <w:t>Figures are age-standardised to the 2001 Census total Māori population</w:t>
      </w:r>
      <w:r w:rsidR="009B494B" w:rsidRPr="00181EF3">
        <w:t>.</w:t>
      </w:r>
    </w:p>
    <w:p w14:paraId="2C9DC8C4" w14:textId="17945E4C" w:rsidR="009B494B" w:rsidRPr="00181EF3" w:rsidRDefault="009B494B" w:rsidP="009B494B">
      <w:pPr>
        <w:pStyle w:val="Note"/>
      </w:pPr>
      <w:r>
        <w:t>Prioritised ethnicity has been used.</w:t>
      </w:r>
    </w:p>
    <w:p w14:paraId="35B453B1" w14:textId="77777777" w:rsidR="008A5642" w:rsidRDefault="009B494B" w:rsidP="001C62E1">
      <w:pPr>
        <w:pStyle w:val="Note"/>
        <w:ind w:left="0" w:firstLine="0"/>
      </w:pPr>
      <w:r w:rsidRPr="00181EF3">
        <w:t xml:space="preserve">If </w:t>
      </w:r>
      <w:r w:rsidRPr="001C62E1">
        <w:t>the</w:t>
      </w:r>
      <w:r w:rsidRPr="00181EF3">
        <w:t xml:space="preserv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7A3176FE" w14:textId="388DDF17" w:rsidR="009B494B" w:rsidRPr="00181EF3" w:rsidRDefault="009B494B" w:rsidP="009B494B">
      <w:pPr>
        <w:pStyle w:val="Source"/>
        <w:rPr>
          <w:rFonts w:eastAsia="Calibri"/>
        </w:rPr>
      </w:pPr>
      <w:r w:rsidRPr="00181EF3">
        <w:rPr>
          <w:rFonts w:eastAsia="Calibri"/>
        </w:rPr>
        <w:t>Source: New Zealand Cancer Registry (NZCR), Ministry of Health</w:t>
      </w:r>
      <w:r>
        <w:rPr>
          <w:rFonts w:eastAsia="Calibri"/>
        </w:rPr>
        <w:t xml:space="preserve">, </w:t>
      </w:r>
      <w:r>
        <w:t>2001</w:t>
      </w:r>
      <w:r w:rsidRPr="00181EF3">
        <w:t>–</w:t>
      </w:r>
      <w:r>
        <w:t>03</w:t>
      </w:r>
      <w:r w:rsidRPr="00181EF3">
        <w:t xml:space="preserve"> to 201</w:t>
      </w:r>
      <w:r>
        <w:t>1</w:t>
      </w:r>
      <w:r w:rsidRPr="00181EF3">
        <w:t>–1</w:t>
      </w:r>
      <w:r>
        <w:t>3</w:t>
      </w:r>
      <w:r w:rsidRPr="00181EF3">
        <w:rPr>
          <w:rFonts w:eastAsia="Calibri"/>
        </w:rPr>
        <w:t>.</w:t>
      </w:r>
    </w:p>
    <w:p w14:paraId="56AEEB7A" w14:textId="77777777" w:rsidR="009B494B" w:rsidRDefault="009B494B" w:rsidP="00BA4884"/>
    <w:p w14:paraId="0F8C953E" w14:textId="4E7C9A3F" w:rsidR="00BA4884" w:rsidRDefault="00BA4884" w:rsidP="00BA4884">
      <w:r w:rsidRPr="00181EF3">
        <w:t xml:space="preserve">Figure </w:t>
      </w:r>
      <w:r w:rsidR="009B494B">
        <w:t>14</w:t>
      </w:r>
      <w:r w:rsidR="001D6946">
        <w:t>1</w:t>
      </w:r>
      <w:r w:rsidRPr="00181EF3">
        <w:t xml:space="preserve"> shows that, after adjusting for age, Māori females aged 25 years and over have higher total-cancer registration rates than </w:t>
      </w:r>
      <w:r w:rsidR="00EC03A3">
        <w:t>non</w:t>
      </w:r>
      <w:r w:rsidR="00EC03A3">
        <w:noBreakHyphen/>
        <w:t>M</w:t>
      </w:r>
      <w:r w:rsidRPr="00181EF3">
        <w:t xml:space="preserve">āori </w:t>
      </w:r>
      <w:r w:rsidR="00EC03A3">
        <w:t>non</w:t>
      </w:r>
      <w:r w:rsidR="00EC03A3">
        <w:noBreakHyphen/>
        <w:t>P</w:t>
      </w:r>
      <w:r w:rsidRPr="00181EF3">
        <w:t>acific females at the same age group over time.</w:t>
      </w:r>
    </w:p>
    <w:p w14:paraId="38A98010" w14:textId="77777777" w:rsidR="00AF3805" w:rsidRPr="00181EF3" w:rsidRDefault="00AF3805" w:rsidP="00BA4884"/>
    <w:p w14:paraId="1F4630E9" w14:textId="77777777" w:rsidR="00BA4884" w:rsidRPr="00181EF3" w:rsidRDefault="00BA4884" w:rsidP="009B494B">
      <w:pPr>
        <w:pStyle w:val="Heading4"/>
      </w:pPr>
      <w:r w:rsidRPr="00181EF3">
        <w:lastRenderedPageBreak/>
        <w:t>The total-cancer registration rate has increased for Māori females over time</w:t>
      </w:r>
    </w:p>
    <w:p w14:paraId="62CF15C3" w14:textId="77777777" w:rsidR="00BA4884" w:rsidRPr="00181EF3" w:rsidRDefault="00BA4884" w:rsidP="00AF3805">
      <w:pPr>
        <w:keepNext/>
      </w:pPr>
      <w:r w:rsidRPr="00181EF3">
        <w:t>The age-standardised total-cancer registration rates for Māori females aged 25 years and over increased by 3 percent over time, from 513.6 registrations per 100,000 in 2001–03 to 527.8 registrations per 100,000 in 2011–13.</w:t>
      </w:r>
    </w:p>
    <w:p w14:paraId="3D82BFBE" w14:textId="77777777" w:rsidR="00BA4884" w:rsidRPr="00181EF3" w:rsidRDefault="00BA4884" w:rsidP="00AF3805">
      <w:pPr>
        <w:keepNext/>
      </w:pPr>
    </w:p>
    <w:p w14:paraId="5C02B70F" w14:textId="71419FA1" w:rsidR="00BA4884" w:rsidRDefault="00BA4884" w:rsidP="00BA4884">
      <w:r w:rsidRPr="00181EF3">
        <w:t xml:space="preserve">The age-standardised total-cancer registration rates for </w:t>
      </w:r>
      <w:r w:rsidR="00EC03A3">
        <w:t>non</w:t>
      </w:r>
      <w:r w:rsidR="00EC03A3">
        <w:noBreakHyphen/>
        <w:t>M</w:t>
      </w:r>
      <w:r w:rsidRPr="00181EF3">
        <w:t xml:space="preserve">āori </w:t>
      </w:r>
      <w:r w:rsidR="00EC03A3">
        <w:t>non</w:t>
      </w:r>
      <w:r w:rsidR="00EC03A3">
        <w:noBreakHyphen/>
        <w:t>P</w:t>
      </w:r>
      <w:r w:rsidRPr="00181EF3">
        <w:t>acific females at the same age group decreased by 4 percent over time, from 393.7 registrations per 100,000 in 2001–03 to 376.4 registrations per 100,000 in 2011–13.</w:t>
      </w:r>
    </w:p>
    <w:p w14:paraId="7C44371B" w14:textId="77777777" w:rsidR="00AF3805" w:rsidRPr="00181EF3" w:rsidRDefault="00AF3805" w:rsidP="00BA4884"/>
    <w:p w14:paraId="6F35AEE3" w14:textId="79839819" w:rsidR="00BA4884" w:rsidRPr="00181EF3" w:rsidRDefault="00BA4884" w:rsidP="009B494B">
      <w:pPr>
        <w:pStyle w:val="Heading4"/>
      </w:pPr>
      <w:r w:rsidRPr="00181EF3">
        <w:t xml:space="preserve">The difference in total-cancer registration rates between Māori and </w:t>
      </w:r>
      <w:r w:rsidR="00EC03A3">
        <w:t>non</w:t>
      </w:r>
      <w:r w:rsidR="00EC03A3">
        <w:noBreakHyphen/>
        <w:t>M</w:t>
      </w:r>
      <w:r w:rsidRPr="00181EF3">
        <w:t xml:space="preserve">āori </w:t>
      </w:r>
      <w:r w:rsidR="00EC03A3">
        <w:t>non</w:t>
      </w:r>
      <w:r w:rsidR="00EC03A3">
        <w:noBreakHyphen/>
        <w:t>P</w:t>
      </w:r>
      <w:r w:rsidRPr="00181EF3">
        <w:t>acific females increased over time</w:t>
      </w:r>
    </w:p>
    <w:p w14:paraId="79831EA4" w14:textId="624B51B3" w:rsidR="00BA4884" w:rsidRPr="00181EF3" w:rsidRDefault="00BA4884" w:rsidP="00BA4884">
      <w:r w:rsidRPr="00181EF3">
        <w:t xml:space="preserve">The age-standardised total-cancer registration rate difference between Māori and </w:t>
      </w:r>
      <w:r w:rsidR="00EC03A3">
        <w:t>non</w:t>
      </w:r>
      <w:r w:rsidR="00EC03A3">
        <w:noBreakHyphen/>
        <w:t>M</w:t>
      </w:r>
      <w:r w:rsidRPr="00181EF3">
        <w:t xml:space="preserve">āori </w:t>
      </w:r>
      <w:r w:rsidR="00EC03A3">
        <w:t>non</w:t>
      </w:r>
      <w:r w:rsidR="00EC03A3">
        <w:noBreakHyphen/>
        <w:t>P</w:t>
      </w:r>
      <w:r w:rsidRPr="00181EF3">
        <w:t>acific females aged 25 years and over increased by 26 percent over time. After adjusting for age, Māori females aged 25 years and over had 119.9 more registrations per 100,000 in 2001–03, and 151.4 more registrations per 100,000 in 2011–13.</w:t>
      </w:r>
    </w:p>
    <w:p w14:paraId="363B743D" w14:textId="77777777" w:rsidR="00BA4884" w:rsidRPr="00181EF3" w:rsidRDefault="00BA4884" w:rsidP="00BA4884"/>
    <w:p w14:paraId="21E708FA" w14:textId="5DD4EB9B" w:rsidR="00BA4884" w:rsidRPr="00181EF3" w:rsidRDefault="00BA4884" w:rsidP="00BA4884">
      <w:r w:rsidRPr="00181EF3">
        <w:t xml:space="preserve">The age-standardised total-cancer registration rate difference between Māori and </w:t>
      </w:r>
      <w:r w:rsidR="00EC03A3">
        <w:t>non</w:t>
      </w:r>
      <w:r w:rsidR="00EC03A3">
        <w:noBreakHyphen/>
        <w:t>M</w:t>
      </w:r>
      <w:r w:rsidRPr="00181EF3">
        <w:t xml:space="preserve">āori </w:t>
      </w:r>
      <w:r w:rsidR="00EC03A3">
        <w:t>non</w:t>
      </w:r>
      <w:r w:rsidR="00EC03A3">
        <w:noBreakHyphen/>
        <w:t>P</w:t>
      </w:r>
      <w:r w:rsidRPr="00181EF3">
        <w:t xml:space="preserve">acific females aged 25 years and over was greater than that between Māori and </w:t>
      </w:r>
      <w:r w:rsidR="00EC03A3">
        <w:t>non</w:t>
      </w:r>
      <w:r w:rsidR="00EC03A3">
        <w:noBreakHyphen/>
        <w:t>M</w:t>
      </w:r>
      <w:r w:rsidRPr="00181EF3">
        <w:t xml:space="preserve">āori </w:t>
      </w:r>
      <w:r w:rsidR="00EC03A3">
        <w:t>non</w:t>
      </w:r>
      <w:r w:rsidR="00EC03A3">
        <w:noBreakHyphen/>
        <w:t>P</w:t>
      </w:r>
      <w:r w:rsidRPr="00181EF3">
        <w:t>acific males at the same age groups.</w:t>
      </w:r>
    </w:p>
    <w:p w14:paraId="375016DE" w14:textId="77777777" w:rsidR="00BA4884" w:rsidRPr="00181EF3" w:rsidRDefault="00BA4884" w:rsidP="00BA4884"/>
    <w:p w14:paraId="168A1765" w14:textId="6CAFC1B3" w:rsidR="00BA4884" w:rsidRPr="00181EF3" w:rsidRDefault="00BA4884" w:rsidP="00BA4884">
      <w:r w:rsidRPr="00181EF3">
        <w:t xml:space="preserve">After adjusting for age, the total-cancer registration rates for Māori females aged 25 years and over slightly increased, and the rate for </w:t>
      </w:r>
      <w:r w:rsidR="00EC03A3">
        <w:t>non</w:t>
      </w:r>
      <w:r w:rsidR="00EC03A3">
        <w:noBreakHyphen/>
        <w:t>M</w:t>
      </w:r>
      <w:r w:rsidRPr="00181EF3">
        <w:t xml:space="preserve">āori </w:t>
      </w:r>
      <w:r w:rsidR="00EC03A3">
        <w:t>non</w:t>
      </w:r>
      <w:r w:rsidR="00EC03A3">
        <w:noBreakHyphen/>
        <w:t>P</w:t>
      </w:r>
      <w:r w:rsidRPr="00181EF3">
        <w:t xml:space="preserve">acific females slightly decreased over time. This has widened the gap between Māori and </w:t>
      </w:r>
      <w:r w:rsidR="00EC03A3">
        <w:t>non</w:t>
      </w:r>
      <w:r w:rsidR="00EC03A3">
        <w:noBreakHyphen/>
        <w:t>M</w:t>
      </w:r>
      <w:r w:rsidRPr="00181EF3">
        <w:t xml:space="preserve">āori </w:t>
      </w:r>
      <w:r w:rsidR="00EC03A3">
        <w:t>non</w:t>
      </w:r>
      <w:r w:rsidR="00EC03A3">
        <w:noBreakHyphen/>
        <w:t>P</w:t>
      </w:r>
      <w:r w:rsidRPr="00181EF3">
        <w:t xml:space="preserve">acific: the total-cancer registration rate was 40 percent higher for Māori females aged 25 years and over in 2011–13 than </w:t>
      </w:r>
      <w:r w:rsidR="00EC03A3">
        <w:t>non</w:t>
      </w:r>
      <w:r w:rsidR="00EC03A3">
        <w:noBreakHyphen/>
        <w:t>M</w:t>
      </w:r>
      <w:r w:rsidRPr="00181EF3">
        <w:t xml:space="preserve">āori </w:t>
      </w:r>
      <w:r w:rsidR="00EC03A3">
        <w:t>non</w:t>
      </w:r>
      <w:r w:rsidR="00EC03A3">
        <w:noBreakHyphen/>
        <w:t>P</w:t>
      </w:r>
      <w:r w:rsidRPr="00181EF3">
        <w:t>acific females at the same age group, and 30 percent higher in 2001–03.</w:t>
      </w:r>
    </w:p>
    <w:p w14:paraId="66DC1374" w14:textId="77777777" w:rsidR="00BA4884" w:rsidRPr="00181EF3" w:rsidRDefault="00BA4884" w:rsidP="00BA4884"/>
    <w:p w14:paraId="23E32441" w14:textId="1A4C9773" w:rsidR="009B494B" w:rsidRDefault="009B494B" w:rsidP="009B494B">
      <w:pPr>
        <w:pStyle w:val="Figure"/>
      </w:pPr>
      <w:bookmarkStart w:id="473" w:name="_Toc19101993"/>
      <w:r w:rsidRPr="00181EF3">
        <w:lastRenderedPageBreak/>
        <w:t xml:space="preserve">Figure </w:t>
      </w:r>
      <w:r>
        <w:t>14</w:t>
      </w:r>
      <w:r w:rsidR="00572A9A">
        <w:t>2</w:t>
      </w:r>
      <w:r w:rsidRPr="00181EF3">
        <w:t>: Total cancer mortality rate</w:t>
      </w:r>
      <w:r>
        <w:t>s</w:t>
      </w:r>
      <w:r w:rsidRPr="00181EF3">
        <w:t xml:space="preserve">, </w:t>
      </w:r>
      <w:r>
        <w:t xml:space="preserve">25+ years, </w:t>
      </w:r>
      <w:r w:rsidRPr="00181EF3">
        <w:t xml:space="preserve">Māori and </w:t>
      </w:r>
      <w:r w:rsidR="00EC03A3">
        <w:t>non</w:t>
      </w:r>
      <w:r w:rsidR="00EC03A3">
        <w:noBreakHyphen/>
        <w:t>M</w:t>
      </w:r>
      <w:r w:rsidRPr="00181EF3">
        <w:t xml:space="preserve">āori </w:t>
      </w:r>
      <w:r w:rsidR="00EC03A3">
        <w:t>non</w:t>
      </w:r>
      <w:r w:rsidR="00EC03A3">
        <w:noBreakHyphen/>
        <w:t>P</w:t>
      </w:r>
      <w:r w:rsidRPr="00181EF3">
        <w:t xml:space="preserve">acific males, </w:t>
      </w:r>
      <w:r>
        <w:t>2</w:t>
      </w:r>
      <w:r w:rsidRPr="00181EF3">
        <w:t>001–03 to 2011–13</w:t>
      </w:r>
      <w:bookmarkEnd w:id="473"/>
    </w:p>
    <w:p w14:paraId="5BF2A6A8" w14:textId="77777777" w:rsidR="009B494B" w:rsidRPr="00473E70" w:rsidRDefault="009B494B" w:rsidP="00AF3805">
      <w:pPr>
        <w:keepNext/>
      </w:pPr>
      <w:r w:rsidRPr="00473E70">
        <w:rPr>
          <w:noProof/>
          <w:lang w:eastAsia="en-NZ"/>
        </w:rPr>
        <w:drawing>
          <wp:inline distT="0" distB="0" distL="0" distR="0" wp14:anchorId="7250BFA3" wp14:editId="7E5A6435">
            <wp:extent cx="5130165" cy="2799119"/>
            <wp:effectExtent l="0" t="0" r="0" b="1270"/>
            <wp:docPr id="10" name="Picture 10" descr="Cancer mortality is higher among Māori men than non-Māori men. The rates for both have slowly and steadily decreased." title="Figure 142: Total cancer mortality rate, Māori and non-Māori non-Pacific males aged 25 years and over, from 2001–03 to 20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5130165" cy="2799119"/>
                    </a:xfrm>
                    <a:prstGeom prst="rect">
                      <a:avLst/>
                    </a:prstGeom>
                  </pic:spPr>
                </pic:pic>
              </a:graphicData>
            </a:graphic>
          </wp:inline>
        </w:drawing>
      </w:r>
    </w:p>
    <w:p w14:paraId="06F05B18" w14:textId="77777777" w:rsidR="009B494B" w:rsidRDefault="009B494B" w:rsidP="009B494B">
      <w:pPr>
        <w:pStyle w:val="Note"/>
      </w:pPr>
      <w:r w:rsidRPr="00181EF3">
        <w:t>Note</w:t>
      </w:r>
      <w:r>
        <w:t>s</w:t>
      </w:r>
      <w:r w:rsidRPr="00181EF3">
        <w:t>:</w:t>
      </w:r>
    </w:p>
    <w:p w14:paraId="07AD7693" w14:textId="2C79252B" w:rsidR="008A5642" w:rsidRDefault="00446D86" w:rsidP="009B494B">
      <w:pPr>
        <w:pStyle w:val="Note"/>
      </w:pPr>
      <w:r>
        <w:t>Figures are age-standardised to the 2001 Census total Māori population</w:t>
      </w:r>
      <w:r w:rsidR="009B494B" w:rsidRPr="00181EF3">
        <w:t>.</w:t>
      </w:r>
    </w:p>
    <w:p w14:paraId="256527E4" w14:textId="61FB7B13" w:rsidR="009B494B" w:rsidRPr="00181EF3" w:rsidRDefault="009B494B" w:rsidP="009B494B">
      <w:pPr>
        <w:pStyle w:val="Note"/>
      </w:pPr>
      <w:r>
        <w:t>Prioritised ethnicity has been used.</w:t>
      </w:r>
    </w:p>
    <w:p w14:paraId="41588EA8" w14:textId="77777777" w:rsidR="008A5642" w:rsidRDefault="009B494B" w:rsidP="001C62E1">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w:t>
      </w:r>
      <w:r w:rsidRPr="001C62E1">
        <w:t>significant</w:t>
      </w:r>
      <w:r w:rsidRPr="00181EF3">
        <w:t>.</w:t>
      </w:r>
    </w:p>
    <w:p w14:paraId="16352563" w14:textId="24AAA3BF" w:rsidR="009B494B" w:rsidRPr="00181EF3" w:rsidRDefault="009B494B" w:rsidP="009B494B">
      <w:pPr>
        <w:pStyle w:val="Source"/>
        <w:rPr>
          <w:rFonts w:eastAsia="Calibri"/>
        </w:rPr>
      </w:pPr>
      <w:r w:rsidRPr="00181EF3">
        <w:rPr>
          <w:rFonts w:eastAsia="Calibri"/>
        </w:rPr>
        <w:t>Source: Mortality Collection Data Set (MORT), Ministry of Health</w:t>
      </w:r>
      <w:r>
        <w:rPr>
          <w:rFonts w:eastAsia="Calibri"/>
        </w:rPr>
        <w:t xml:space="preserve">, </w:t>
      </w:r>
      <w:r>
        <w:t>2001</w:t>
      </w:r>
      <w:r w:rsidRPr="00181EF3">
        <w:t>–</w:t>
      </w:r>
      <w:r>
        <w:t>03</w:t>
      </w:r>
      <w:r w:rsidRPr="00181EF3">
        <w:t xml:space="preserve"> to 201</w:t>
      </w:r>
      <w:r>
        <w:t>1</w:t>
      </w:r>
      <w:r w:rsidRPr="00181EF3">
        <w:t>–1</w:t>
      </w:r>
      <w:r>
        <w:t>3</w:t>
      </w:r>
      <w:r w:rsidRPr="00181EF3">
        <w:rPr>
          <w:rFonts w:eastAsia="Calibri"/>
        </w:rPr>
        <w:t>.</w:t>
      </w:r>
    </w:p>
    <w:p w14:paraId="0FE7FCB1" w14:textId="77777777" w:rsidR="009B494B" w:rsidRDefault="009B494B" w:rsidP="00BA4884"/>
    <w:p w14:paraId="51D5CED8" w14:textId="467F2953" w:rsidR="00BA4884" w:rsidRPr="00181EF3" w:rsidRDefault="00BA4884" w:rsidP="00BA4884">
      <w:r w:rsidRPr="00181EF3">
        <w:t xml:space="preserve">Figure </w:t>
      </w:r>
      <w:r w:rsidR="009B494B">
        <w:t>14</w:t>
      </w:r>
      <w:r w:rsidR="001D6946">
        <w:t>2</w:t>
      </w:r>
      <w:r w:rsidRPr="00181EF3">
        <w:t xml:space="preserve"> shows that, after adjusting for age, Māori males aged 25 years and over have higher total-cancer mortality rates than </w:t>
      </w:r>
      <w:r w:rsidR="00EC03A3">
        <w:t>non</w:t>
      </w:r>
      <w:r w:rsidR="00EC03A3">
        <w:noBreakHyphen/>
        <w:t>M</w:t>
      </w:r>
      <w:r w:rsidRPr="00181EF3">
        <w:t xml:space="preserve">āori </w:t>
      </w:r>
      <w:r w:rsidR="00EC03A3">
        <w:t>non</w:t>
      </w:r>
      <w:r w:rsidR="00EC03A3">
        <w:noBreakHyphen/>
        <w:t>P</w:t>
      </w:r>
      <w:r w:rsidRPr="00181EF3">
        <w:t>acific males at the same age group over time.</w:t>
      </w:r>
    </w:p>
    <w:p w14:paraId="126D0552" w14:textId="77777777" w:rsidR="00BA4884" w:rsidRPr="00181EF3" w:rsidRDefault="00BA4884" w:rsidP="00BA4884"/>
    <w:p w14:paraId="7B71CDE3" w14:textId="77777777" w:rsidR="00BA4884" w:rsidRPr="00181EF3" w:rsidRDefault="00BA4884" w:rsidP="009B494B">
      <w:pPr>
        <w:pStyle w:val="Heading4"/>
      </w:pPr>
      <w:r w:rsidRPr="00181EF3">
        <w:t>The total-cancer mortality rate decreased over time for Māori males</w:t>
      </w:r>
    </w:p>
    <w:p w14:paraId="57F47905" w14:textId="77777777" w:rsidR="00BA4884" w:rsidRPr="00181EF3" w:rsidRDefault="00BA4884" w:rsidP="00BA4884">
      <w:r w:rsidRPr="00181EF3">
        <w:t>The age-standardised total-cancer mortality rates for Māori males aged 25 years and over decreased by 20 percent, from 267.0 deaths per 100,000 in 2001–03 to 214.3 deaths per 100,000 in 2011–13.</w:t>
      </w:r>
    </w:p>
    <w:p w14:paraId="58D3A2E3" w14:textId="77777777" w:rsidR="00BA4884" w:rsidRPr="00181EF3" w:rsidRDefault="00BA4884" w:rsidP="00BA4884"/>
    <w:p w14:paraId="4A1CB1C9" w14:textId="77EA4D19" w:rsidR="00BA4884" w:rsidRDefault="00BA4884" w:rsidP="00BA4884">
      <w:r w:rsidRPr="00181EF3">
        <w:t xml:space="preserve">The age-standardised total-cancer mortality rates for </w:t>
      </w:r>
      <w:r w:rsidR="00EC03A3">
        <w:t>non</w:t>
      </w:r>
      <w:r w:rsidR="00EC03A3">
        <w:noBreakHyphen/>
        <w:t>M</w:t>
      </w:r>
      <w:r w:rsidRPr="00181EF3">
        <w:t xml:space="preserve">āori </w:t>
      </w:r>
      <w:r w:rsidR="00EC03A3">
        <w:t>non</w:t>
      </w:r>
      <w:r w:rsidR="00EC03A3">
        <w:noBreakHyphen/>
        <w:t>P</w:t>
      </w:r>
      <w:r w:rsidRPr="00181EF3">
        <w:t>acific males at the same age group decreased by 19 percent, from 157.3 deaths per 100,000 in</w:t>
      </w:r>
      <w:r w:rsidRPr="00181EF3">
        <w:br/>
        <w:t>2001–03 to 127.9 deaths per 100,000 in 2011–13.</w:t>
      </w:r>
    </w:p>
    <w:p w14:paraId="637B7FA2" w14:textId="77777777" w:rsidR="00AF3805" w:rsidRPr="00181EF3" w:rsidRDefault="00AF3805" w:rsidP="00BA4884"/>
    <w:p w14:paraId="49DD4542" w14:textId="7DBEC3A6" w:rsidR="00BA4884" w:rsidRPr="00181EF3" w:rsidRDefault="00BA4884" w:rsidP="009B494B">
      <w:pPr>
        <w:pStyle w:val="Heading4"/>
      </w:pPr>
      <w:r w:rsidRPr="00181EF3">
        <w:t xml:space="preserve">The difference in total-cancer mortality rate between Māori and </w:t>
      </w:r>
      <w:r w:rsidR="00EC03A3">
        <w:t>non</w:t>
      </w:r>
      <w:r w:rsidR="00EC03A3">
        <w:noBreakHyphen/>
        <w:t>M</w:t>
      </w:r>
      <w:r w:rsidRPr="00181EF3">
        <w:t xml:space="preserve">āori </w:t>
      </w:r>
      <w:r w:rsidR="00EC03A3">
        <w:t>non</w:t>
      </w:r>
      <w:r w:rsidR="00EC03A3">
        <w:noBreakHyphen/>
        <w:t>P</w:t>
      </w:r>
      <w:r w:rsidRPr="00181EF3">
        <w:t>acific males decreased over time</w:t>
      </w:r>
    </w:p>
    <w:p w14:paraId="48B6DBA1" w14:textId="2245E5FB" w:rsidR="00BA4884" w:rsidRPr="00181EF3" w:rsidRDefault="00BA4884" w:rsidP="00AF3805">
      <w:pPr>
        <w:keepNext/>
      </w:pPr>
      <w:r w:rsidRPr="00181EF3">
        <w:t xml:space="preserve">The age-standardised total-cancer mortality rate difference between Māori and </w:t>
      </w:r>
      <w:r w:rsidR="00EC03A3">
        <w:t>non</w:t>
      </w:r>
      <w:r w:rsidR="00EC03A3">
        <w:noBreakHyphen/>
        <w:t>M</w:t>
      </w:r>
      <w:r w:rsidRPr="00181EF3">
        <w:t xml:space="preserve">āori </w:t>
      </w:r>
      <w:r w:rsidR="00EC03A3">
        <w:t>non</w:t>
      </w:r>
      <w:r w:rsidR="00EC03A3">
        <w:noBreakHyphen/>
        <w:t>P</w:t>
      </w:r>
      <w:r w:rsidRPr="00181EF3">
        <w:t xml:space="preserve">acific males aged 25 years and over decreased by 21 percent over </w:t>
      </w:r>
      <w:r w:rsidRPr="00181EF3">
        <w:lastRenderedPageBreak/>
        <w:t>time. After adjusting for age, Māori males aged 25 years and over had 109.7 more deaths per 100,000 in 2001–03 and 86.4 more deaths per 100,000 in 2011–13.</w:t>
      </w:r>
    </w:p>
    <w:p w14:paraId="2A14837C" w14:textId="77777777" w:rsidR="00BA4884" w:rsidRPr="00181EF3" w:rsidRDefault="00BA4884" w:rsidP="00AF3805">
      <w:pPr>
        <w:keepNext/>
      </w:pPr>
    </w:p>
    <w:p w14:paraId="7004F746" w14:textId="52C61BFD" w:rsidR="00BA4884" w:rsidRPr="00181EF3" w:rsidRDefault="00BA4884" w:rsidP="00BA4884">
      <w:r w:rsidRPr="00181EF3">
        <w:t xml:space="preserve">The total-cancer mortality rate for Māori males aged 25 years and over was on average more than 1½ times </w:t>
      </w:r>
      <w:r>
        <w:t>as high as</w:t>
      </w:r>
      <w:r w:rsidRPr="00181EF3">
        <w:t xml:space="preserve"> that for </w:t>
      </w:r>
      <w:r w:rsidR="00EC03A3">
        <w:t>non</w:t>
      </w:r>
      <w:r w:rsidR="00EC03A3">
        <w:noBreakHyphen/>
        <w:t>M</w:t>
      </w:r>
      <w:r w:rsidRPr="00181EF3">
        <w:t xml:space="preserve">āori </w:t>
      </w:r>
      <w:r w:rsidR="00EC03A3">
        <w:t>non</w:t>
      </w:r>
      <w:r w:rsidR="00EC03A3">
        <w:noBreakHyphen/>
        <w:t>P</w:t>
      </w:r>
      <w:r w:rsidRPr="00181EF3">
        <w:t>acific males over time.</w:t>
      </w:r>
    </w:p>
    <w:p w14:paraId="098F205C" w14:textId="77777777" w:rsidR="00BA4884" w:rsidRPr="00181EF3" w:rsidRDefault="00BA4884" w:rsidP="00BA4884"/>
    <w:p w14:paraId="52D91A80" w14:textId="45693F1B" w:rsidR="009B494B" w:rsidRDefault="009B494B" w:rsidP="009B494B">
      <w:pPr>
        <w:pStyle w:val="Figure"/>
      </w:pPr>
      <w:bookmarkStart w:id="474" w:name="_Toc19101994"/>
      <w:r w:rsidRPr="00181EF3">
        <w:t xml:space="preserve">Figure </w:t>
      </w:r>
      <w:r>
        <w:t>1</w:t>
      </w:r>
      <w:r w:rsidRPr="00181EF3">
        <w:t>4</w:t>
      </w:r>
      <w:r w:rsidR="00572A9A">
        <w:t>3</w:t>
      </w:r>
      <w:r w:rsidRPr="00181EF3">
        <w:t>: Total cancer mortality rate</w:t>
      </w:r>
      <w:r>
        <w:t>s</w:t>
      </w:r>
      <w:r w:rsidRPr="00181EF3">
        <w:t xml:space="preserve">, </w:t>
      </w:r>
      <w:r>
        <w:t xml:space="preserve">25+ years, </w:t>
      </w:r>
      <w:r w:rsidRPr="00181EF3">
        <w:t xml:space="preserve">Māori and </w:t>
      </w:r>
      <w:r w:rsidR="00EC03A3">
        <w:t>non</w:t>
      </w:r>
      <w:r w:rsidR="00EC03A3">
        <w:noBreakHyphen/>
        <w:t>M</w:t>
      </w:r>
      <w:r w:rsidRPr="00181EF3">
        <w:t xml:space="preserve">āori </w:t>
      </w:r>
      <w:r w:rsidR="00EC03A3">
        <w:t>non</w:t>
      </w:r>
      <w:r w:rsidR="00EC03A3">
        <w:noBreakHyphen/>
        <w:t>P</w:t>
      </w:r>
      <w:r w:rsidRPr="00181EF3">
        <w:t>acific females</w:t>
      </w:r>
      <w:r>
        <w:t>,</w:t>
      </w:r>
      <w:r w:rsidRPr="00181EF3">
        <w:t xml:space="preserve"> 2001–03 to 2011–13</w:t>
      </w:r>
      <w:bookmarkEnd w:id="474"/>
    </w:p>
    <w:p w14:paraId="6DDA795D" w14:textId="77777777" w:rsidR="009B494B" w:rsidRPr="00473E70" w:rsidRDefault="009B494B" w:rsidP="009B494B">
      <w:r w:rsidRPr="00473E70">
        <w:rPr>
          <w:noProof/>
          <w:lang w:eastAsia="en-NZ"/>
        </w:rPr>
        <w:drawing>
          <wp:inline distT="0" distB="0" distL="0" distR="0" wp14:anchorId="63FEF99E" wp14:editId="0365F959">
            <wp:extent cx="5130165" cy="2799119"/>
            <wp:effectExtent l="0" t="0" r="0" b="1270"/>
            <wp:docPr id="4" name="Picture 4" descr="Cancer death rates are higher among Māori women than non-Māori women. Rates for both have slowly decreased over time." title="Figure 143: Total cancer mortality rate, Māori and non-Māori non-Pacific females aged 25 years and over, from 2001–03 to 20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5130165" cy="2799119"/>
                    </a:xfrm>
                    <a:prstGeom prst="rect">
                      <a:avLst/>
                    </a:prstGeom>
                  </pic:spPr>
                </pic:pic>
              </a:graphicData>
            </a:graphic>
          </wp:inline>
        </w:drawing>
      </w:r>
    </w:p>
    <w:p w14:paraId="716ECEF5" w14:textId="77777777" w:rsidR="009B494B" w:rsidRDefault="009B494B" w:rsidP="009B494B">
      <w:pPr>
        <w:pStyle w:val="Note"/>
      </w:pPr>
      <w:r w:rsidRPr="00181EF3">
        <w:t>Note</w:t>
      </w:r>
      <w:r>
        <w:t>s</w:t>
      </w:r>
      <w:r w:rsidRPr="00181EF3">
        <w:t>:</w:t>
      </w:r>
    </w:p>
    <w:p w14:paraId="409E6D65" w14:textId="42C92286" w:rsidR="008A5642" w:rsidRDefault="00446D86" w:rsidP="009B494B">
      <w:pPr>
        <w:pStyle w:val="Note"/>
      </w:pPr>
      <w:r>
        <w:t>Figures are age-standardised to the 2001 Census total Māori population</w:t>
      </w:r>
      <w:r w:rsidR="009B494B" w:rsidRPr="00181EF3">
        <w:t>.</w:t>
      </w:r>
    </w:p>
    <w:p w14:paraId="69DD649B" w14:textId="7D65ACAD" w:rsidR="009B494B" w:rsidRPr="00181EF3" w:rsidRDefault="009B494B" w:rsidP="009B494B">
      <w:pPr>
        <w:pStyle w:val="Note"/>
      </w:pPr>
      <w:r>
        <w:t>Prioritised ethnicity has been used.</w:t>
      </w:r>
    </w:p>
    <w:p w14:paraId="236D7E9D" w14:textId="77777777" w:rsidR="008A5642" w:rsidRDefault="009B494B" w:rsidP="001C62E1">
      <w:pPr>
        <w:pStyle w:val="Note"/>
        <w:ind w:left="0" w:firstLine="0"/>
      </w:pPr>
      <w:r w:rsidRPr="00181EF3">
        <w:t xml:space="preserve">If the </w:t>
      </w:r>
      <w:r w:rsidRPr="001C62E1">
        <w:t>confidence</w:t>
      </w:r>
      <w:r w:rsidRPr="00181EF3">
        <w:t xml:space="preserv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04FA6FDC" w14:textId="18D7A1F9" w:rsidR="009B494B" w:rsidRPr="00181EF3" w:rsidRDefault="009B494B" w:rsidP="009B494B">
      <w:pPr>
        <w:pStyle w:val="Source"/>
        <w:rPr>
          <w:rFonts w:eastAsia="Calibri"/>
        </w:rPr>
      </w:pPr>
      <w:r w:rsidRPr="00181EF3">
        <w:rPr>
          <w:rFonts w:eastAsia="Calibri"/>
        </w:rPr>
        <w:t>Source: Mortality Collection Data Set (MORT), Ministry of Health</w:t>
      </w:r>
      <w:r>
        <w:rPr>
          <w:rFonts w:eastAsia="Calibri"/>
        </w:rPr>
        <w:t xml:space="preserve">, </w:t>
      </w:r>
      <w:r>
        <w:t>2001</w:t>
      </w:r>
      <w:r w:rsidRPr="00181EF3">
        <w:t>–</w:t>
      </w:r>
      <w:r>
        <w:t>03</w:t>
      </w:r>
      <w:r w:rsidRPr="00181EF3">
        <w:t xml:space="preserve"> to 201</w:t>
      </w:r>
      <w:r>
        <w:t>1</w:t>
      </w:r>
      <w:r w:rsidRPr="00181EF3">
        <w:t>–1</w:t>
      </w:r>
      <w:r>
        <w:t>3</w:t>
      </w:r>
      <w:r w:rsidRPr="00181EF3">
        <w:rPr>
          <w:rFonts w:eastAsia="Calibri"/>
        </w:rPr>
        <w:t>.</w:t>
      </w:r>
    </w:p>
    <w:p w14:paraId="16A21062" w14:textId="77777777" w:rsidR="00BA4884" w:rsidRPr="00181EF3" w:rsidRDefault="00BA4884" w:rsidP="00BA4884"/>
    <w:p w14:paraId="625B41B0" w14:textId="08E3FA76" w:rsidR="00BA4884" w:rsidRDefault="00BA4884" w:rsidP="00BA4884">
      <w:r w:rsidRPr="00181EF3">
        <w:t xml:space="preserve">Figure </w:t>
      </w:r>
      <w:r w:rsidR="009B494B">
        <w:t>1</w:t>
      </w:r>
      <w:r w:rsidRPr="00181EF3">
        <w:t>4</w:t>
      </w:r>
      <w:r w:rsidR="001D6946">
        <w:t>3</w:t>
      </w:r>
      <w:r w:rsidRPr="00181EF3">
        <w:t xml:space="preserve"> shows that, after adjusting for age, Māori females aged 25 years and over have higher total-cancer mortality rates than </w:t>
      </w:r>
      <w:r w:rsidR="00EC03A3">
        <w:t>non</w:t>
      </w:r>
      <w:r w:rsidR="00EC03A3">
        <w:noBreakHyphen/>
        <w:t>M</w:t>
      </w:r>
      <w:r w:rsidRPr="00181EF3">
        <w:t xml:space="preserve">āori </w:t>
      </w:r>
      <w:r w:rsidR="00EC03A3">
        <w:t>non</w:t>
      </w:r>
      <w:r w:rsidR="00EC03A3">
        <w:noBreakHyphen/>
        <w:t>P</w:t>
      </w:r>
      <w:r w:rsidRPr="00181EF3">
        <w:t>acific females at the same age group over time.</w:t>
      </w:r>
    </w:p>
    <w:p w14:paraId="5E6583FA" w14:textId="77777777" w:rsidR="00AF3805" w:rsidRPr="00181EF3" w:rsidRDefault="00AF3805" w:rsidP="00BA4884"/>
    <w:p w14:paraId="61F3DEB8" w14:textId="77777777" w:rsidR="00BA4884" w:rsidRPr="00181EF3" w:rsidRDefault="00BA4884" w:rsidP="009B494B">
      <w:pPr>
        <w:pStyle w:val="Heading4"/>
      </w:pPr>
      <w:r w:rsidRPr="00181EF3">
        <w:t>The total-cancer mortality rate decreased over time for Māori females</w:t>
      </w:r>
    </w:p>
    <w:p w14:paraId="63B41441" w14:textId="77777777" w:rsidR="00BA4884" w:rsidRPr="00181EF3" w:rsidRDefault="00BA4884" w:rsidP="00AF3805">
      <w:pPr>
        <w:keepNext/>
      </w:pPr>
      <w:r w:rsidRPr="00181EF3">
        <w:t>The age-standardised total-cancer mortality rates for Māori females aged 25 years and over decreased by 11 percent, from 240.4 deaths per 100,000 in 2001–03 to 214.5 deaths per 100,000 in 2011–13.</w:t>
      </w:r>
    </w:p>
    <w:p w14:paraId="0E79F289" w14:textId="77777777" w:rsidR="00BA4884" w:rsidRPr="00181EF3" w:rsidRDefault="00BA4884" w:rsidP="00AF3805">
      <w:pPr>
        <w:keepNext/>
      </w:pPr>
    </w:p>
    <w:p w14:paraId="775A1AFA" w14:textId="35E8F990" w:rsidR="00BA4884" w:rsidRDefault="00BA4884" w:rsidP="00BA4884">
      <w:r w:rsidRPr="00181EF3">
        <w:t xml:space="preserve">The age-standardised total-cancer mortality rates for </w:t>
      </w:r>
      <w:r w:rsidR="00EC03A3">
        <w:t>non</w:t>
      </w:r>
      <w:r w:rsidR="00EC03A3">
        <w:noBreakHyphen/>
        <w:t>M</w:t>
      </w:r>
      <w:r w:rsidRPr="00181EF3">
        <w:t xml:space="preserve">āori </w:t>
      </w:r>
      <w:r w:rsidR="00EC03A3">
        <w:t>non</w:t>
      </w:r>
      <w:r w:rsidR="00EC03A3">
        <w:noBreakHyphen/>
        <w:t>P</w:t>
      </w:r>
      <w:r w:rsidRPr="00181EF3">
        <w:t>acific females at the same age group decreased by 13 percent, from 120.8 deaths per 100,000 in</w:t>
      </w:r>
      <w:r w:rsidRPr="00181EF3">
        <w:br/>
        <w:t>2001–03 to 104.8 deaths per 100,000 in 2011–13.</w:t>
      </w:r>
    </w:p>
    <w:p w14:paraId="3F00DC8D" w14:textId="77777777" w:rsidR="00AF3805" w:rsidRPr="00181EF3" w:rsidRDefault="00AF3805" w:rsidP="00BA4884"/>
    <w:p w14:paraId="56C9E546" w14:textId="2C0B3377" w:rsidR="00BA4884" w:rsidRPr="00181EF3" w:rsidRDefault="00BA4884" w:rsidP="009B494B">
      <w:pPr>
        <w:pStyle w:val="Heading4"/>
      </w:pPr>
      <w:r w:rsidRPr="00181EF3">
        <w:lastRenderedPageBreak/>
        <w:t xml:space="preserve">The difference in total-cancer mortality rate between Māori and </w:t>
      </w:r>
      <w:r w:rsidR="00EC03A3">
        <w:t>non</w:t>
      </w:r>
      <w:r w:rsidR="00EC03A3">
        <w:noBreakHyphen/>
        <w:t>M</w:t>
      </w:r>
      <w:r w:rsidRPr="00181EF3">
        <w:t xml:space="preserve">āori </w:t>
      </w:r>
      <w:r w:rsidR="00EC03A3">
        <w:t>non</w:t>
      </w:r>
      <w:r w:rsidR="00EC03A3">
        <w:noBreakHyphen/>
        <w:t>P</w:t>
      </w:r>
      <w:r w:rsidRPr="00181EF3">
        <w:t>acific females decreased slightly over time</w:t>
      </w:r>
    </w:p>
    <w:p w14:paraId="1A6DA365" w14:textId="66820629" w:rsidR="00BA4884" w:rsidRPr="00181EF3" w:rsidRDefault="00BA4884" w:rsidP="00BA4884">
      <w:r w:rsidRPr="00181EF3">
        <w:t xml:space="preserve">The age-standardised total-cancer mortality rate difference between Māori and </w:t>
      </w:r>
      <w:r w:rsidR="00EC03A3">
        <w:t>non</w:t>
      </w:r>
      <w:r w:rsidR="00EC03A3">
        <w:noBreakHyphen/>
        <w:t>M</w:t>
      </w:r>
      <w:r w:rsidRPr="00181EF3">
        <w:t xml:space="preserve">āori </w:t>
      </w:r>
      <w:r w:rsidR="00EC03A3">
        <w:t>non</w:t>
      </w:r>
      <w:r w:rsidR="00EC03A3">
        <w:noBreakHyphen/>
        <w:t>P</w:t>
      </w:r>
      <w:r w:rsidRPr="00181EF3">
        <w:t>acific females aged 25 years and over decreased by 8 percent over time. After adjusting for age, Māori females aged 25 years and over had 119.6 more deaths per 100,000 in 2001–03 and 109.7 more deaths per 100,000 in 2011–13.</w:t>
      </w:r>
    </w:p>
    <w:p w14:paraId="7B2221EB" w14:textId="77777777" w:rsidR="00BA4884" w:rsidRPr="00181EF3" w:rsidRDefault="00BA4884" w:rsidP="00BA4884"/>
    <w:p w14:paraId="677C3878" w14:textId="3C2D4195" w:rsidR="00BA4884" w:rsidRPr="00181EF3" w:rsidRDefault="00BA4884" w:rsidP="00BA4884">
      <w:r w:rsidRPr="00181EF3">
        <w:t xml:space="preserve">Māori females aged 25 years and over had on average a total-cancer mortality rate twice that of </w:t>
      </w:r>
      <w:r w:rsidR="00EC03A3">
        <w:t>non</w:t>
      </w:r>
      <w:r w:rsidR="00EC03A3">
        <w:noBreakHyphen/>
        <w:t>M</w:t>
      </w:r>
      <w:r w:rsidRPr="00181EF3">
        <w:t xml:space="preserve">āori </w:t>
      </w:r>
      <w:r w:rsidR="00EC03A3">
        <w:t>non</w:t>
      </w:r>
      <w:r w:rsidR="00EC03A3">
        <w:noBreakHyphen/>
        <w:t>P</w:t>
      </w:r>
      <w:r w:rsidRPr="00181EF3">
        <w:t>acific females at the same age group over time.</w:t>
      </w:r>
    </w:p>
    <w:p w14:paraId="238F366D" w14:textId="77777777" w:rsidR="00BA4884" w:rsidRPr="00181EF3" w:rsidRDefault="00BA4884" w:rsidP="00BA4884"/>
    <w:p w14:paraId="15BA6F1A" w14:textId="77777777" w:rsidR="00BA4884" w:rsidRDefault="00BA4884" w:rsidP="00AF3805">
      <w:pPr>
        <w:pStyle w:val="Heading3"/>
        <w:pageBreakBefore/>
        <w:spacing w:before="0"/>
      </w:pPr>
      <w:bookmarkStart w:id="475" w:name="_Toc19102482"/>
      <w:r w:rsidRPr="00181EF3">
        <w:lastRenderedPageBreak/>
        <w:t>Lung cancer</w:t>
      </w:r>
      <w:bookmarkEnd w:id="475"/>
    </w:p>
    <w:p w14:paraId="2C45039A" w14:textId="2832858B" w:rsidR="00DA0709" w:rsidRDefault="00DA0709" w:rsidP="00DA0709">
      <w:pPr>
        <w:pStyle w:val="Figure"/>
      </w:pPr>
      <w:bookmarkStart w:id="476" w:name="_Toc19101995"/>
      <w:r w:rsidRPr="00181EF3">
        <w:t xml:space="preserve">Figure </w:t>
      </w:r>
      <w:r>
        <w:t>14</w:t>
      </w:r>
      <w:r w:rsidR="00572A9A">
        <w:t>4</w:t>
      </w:r>
      <w:r w:rsidRPr="00181EF3">
        <w:t>: Lung cancer registration rate</w:t>
      </w:r>
      <w:r>
        <w:t>s</w:t>
      </w:r>
      <w:r w:rsidRPr="00181EF3">
        <w:t xml:space="preserve">, </w:t>
      </w:r>
      <w:r>
        <w:t xml:space="preserve">25+ years, </w:t>
      </w:r>
      <w:r w:rsidRPr="00181EF3">
        <w:t xml:space="preserve">Māori and </w:t>
      </w:r>
      <w:r w:rsidR="00EC03A3">
        <w:t>non</w:t>
      </w:r>
      <w:r w:rsidR="00EC03A3">
        <w:noBreakHyphen/>
        <w:t>M</w:t>
      </w:r>
      <w:r w:rsidRPr="00181EF3">
        <w:t xml:space="preserve">āori </w:t>
      </w:r>
      <w:r w:rsidR="00EC03A3">
        <w:t>non</w:t>
      </w:r>
      <w:r w:rsidR="00EC03A3">
        <w:noBreakHyphen/>
        <w:t>P</w:t>
      </w:r>
      <w:r w:rsidRPr="00181EF3">
        <w:t>acific males</w:t>
      </w:r>
      <w:r>
        <w:t>,</w:t>
      </w:r>
      <w:r w:rsidRPr="00181EF3">
        <w:t xml:space="preserve"> 2001–03 to 2011–13</w:t>
      </w:r>
      <w:bookmarkEnd w:id="476"/>
    </w:p>
    <w:p w14:paraId="6EA7E589" w14:textId="77777777" w:rsidR="00DA0709" w:rsidRPr="00473E70" w:rsidRDefault="00DA0709" w:rsidP="00DA0709">
      <w:r w:rsidRPr="00473E70">
        <w:rPr>
          <w:noProof/>
          <w:lang w:eastAsia="en-NZ"/>
        </w:rPr>
        <w:drawing>
          <wp:inline distT="0" distB="0" distL="0" distR="0" wp14:anchorId="6F0BF80F" wp14:editId="3CD07B1A">
            <wp:extent cx="5130165" cy="2799119"/>
            <wp:effectExtent l="0" t="0" r="0" b="1270"/>
            <wp:docPr id="11" name="Picture 11" descr="Māori men have a higher rate of lung cancer than non-Māori men. The rates for both have slowly decreased over time." title="Figure 144: Lung cancer registration rate, Māori and non-Māori non-Pacific males aged 25 years and over, from 2001–03 to 20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5130165" cy="2799119"/>
                    </a:xfrm>
                    <a:prstGeom prst="rect">
                      <a:avLst/>
                    </a:prstGeom>
                  </pic:spPr>
                </pic:pic>
              </a:graphicData>
            </a:graphic>
          </wp:inline>
        </w:drawing>
      </w:r>
    </w:p>
    <w:p w14:paraId="3A1DBA9F" w14:textId="77777777" w:rsidR="00DA0709" w:rsidRDefault="00DA0709" w:rsidP="00DA0709">
      <w:pPr>
        <w:pStyle w:val="Note"/>
      </w:pPr>
      <w:r w:rsidRPr="00181EF3">
        <w:t>Note</w:t>
      </w:r>
      <w:r>
        <w:t>s</w:t>
      </w:r>
      <w:r w:rsidRPr="00181EF3">
        <w:t>:</w:t>
      </w:r>
    </w:p>
    <w:p w14:paraId="01C968EB" w14:textId="26E0D770" w:rsidR="008A5642" w:rsidRDefault="00446D86" w:rsidP="00DA0709">
      <w:pPr>
        <w:pStyle w:val="Note"/>
      </w:pPr>
      <w:r>
        <w:t>Figures are age-standardised to the 2001 Census total Māori population</w:t>
      </w:r>
      <w:r w:rsidR="00DA0709" w:rsidRPr="00181EF3">
        <w:t>.</w:t>
      </w:r>
    </w:p>
    <w:p w14:paraId="419196D8" w14:textId="3A9F0681" w:rsidR="00DA0709" w:rsidRPr="00181EF3" w:rsidRDefault="00DA0709" w:rsidP="00DA0709">
      <w:pPr>
        <w:pStyle w:val="Note"/>
      </w:pPr>
      <w:r>
        <w:t>Prioritised ethnicity has been used.</w:t>
      </w:r>
    </w:p>
    <w:p w14:paraId="4B80A662" w14:textId="77777777" w:rsidR="008A5642" w:rsidRDefault="00DA0709" w:rsidP="001C62E1">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w:t>
      </w:r>
      <w:r w:rsidRPr="001C62E1">
        <w:t>significant</w:t>
      </w:r>
      <w:r w:rsidRPr="00181EF3">
        <w:t>.</w:t>
      </w:r>
    </w:p>
    <w:p w14:paraId="10C3534F" w14:textId="26CAC1FC" w:rsidR="00DA0709" w:rsidRPr="00181EF3" w:rsidRDefault="00DA0709" w:rsidP="00DA0709">
      <w:pPr>
        <w:pStyle w:val="Source"/>
        <w:rPr>
          <w:rFonts w:eastAsia="Calibri"/>
        </w:rPr>
      </w:pPr>
      <w:r w:rsidRPr="00181EF3">
        <w:rPr>
          <w:rFonts w:eastAsia="Calibri"/>
        </w:rPr>
        <w:t>Source: New Zealand Cancer Registry (NZCR), Ministry of Health</w:t>
      </w:r>
      <w:r>
        <w:rPr>
          <w:rFonts w:eastAsia="Calibri"/>
        </w:rPr>
        <w:t xml:space="preserve">, </w:t>
      </w:r>
      <w:r>
        <w:t>2001</w:t>
      </w:r>
      <w:r w:rsidRPr="00181EF3">
        <w:t>–</w:t>
      </w:r>
      <w:r>
        <w:t>03</w:t>
      </w:r>
      <w:r w:rsidRPr="00181EF3">
        <w:t xml:space="preserve"> to 201</w:t>
      </w:r>
      <w:r>
        <w:t>1</w:t>
      </w:r>
      <w:r w:rsidRPr="00181EF3">
        <w:t>–1</w:t>
      </w:r>
      <w:r>
        <w:t>3</w:t>
      </w:r>
      <w:r w:rsidRPr="00181EF3">
        <w:rPr>
          <w:rFonts w:eastAsia="Calibri"/>
        </w:rPr>
        <w:t>.</w:t>
      </w:r>
    </w:p>
    <w:p w14:paraId="305FA6D6" w14:textId="77777777" w:rsidR="009B494B" w:rsidRPr="009B494B" w:rsidRDefault="009B494B" w:rsidP="009B494B"/>
    <w:p w14:paraId="60902EDD" w14:textId="4B1B04CB" w:rsidR="00BA4884" w:rsidRDefault="00BA4884" w:rsidP="00BA4884">
      <w:r w:rsidRPr="00181EF3">
        <w:t xml:space="preserve">Figure </w:t>
      </w:r>
      <w:r w:rsidR="009B494B">
        <w:t>14</w:t>
      </w:r>
      <w:r w:rsidR="001D6946">
        <w:t>4</w:t>
      </w:r>
      <w:r w:rsidRPr="00181EF3">
        <w:t xml:space="preserve"> shows that, after adjusting for age, Māori males aged 25 years and over have higher lung cancer registration rates than </w:t>
      </w:r>
      <w:r w:rsidR="00EC03A3">
        <w:t>non</w:t>
      </w:r>
      <w:r w:rsidR="00EC03A3">
        <w:noBreakHyphen/>
        <w:t>M</w:t>
      </w:r>
      <w:r w:rsidRPr="00181EF3">
        <w:t xml:space="preserve">āori </w:t>
      </w:r>
      <w:r w:rsidR="00EC03A3">
        <w:t>non</w:t>
      </w:r>
      <w:r w:rsidR="00EC03A3">
        <w:noBreakHyphen/>
        <w:t>P</w:t>
      </w:r>
      <w:r w:rsidRPr="00181EF3">
        <w:t>acific males at the same age group over time.</w:t>
      </w:r>
    </w:p>
    <w:p w14:paraId="7FC6687B" w14:textId="77777777" w:rsidR="00AF3805" w:rsidRPr="00181EF3" w:rsidRDefault="00AF3805" w:rsidP="00BA4884"/>
    <w:p w14:paraId="1662CD4C" w14:textId="77777777" w:rsidR="00BA4884" w:rsidRPr="00181EF3" w:rsidRDefault="00BA4884" w:rsidP="009B494B">
      <w:pPr>
        <w:pStyle w:val="Heading4"/>
      </w:pPr>
      <w:r w:rsidRPr="00181EF3">
        <w:t>Lung cancer registration rate decreased over time for Māori males</w:t>
      </w:r>
    </w:p>
    <w:p w14:paraId="676A9D7F" w14:textId="77777777" w:rsidR="00BA4884" w:rsidRPr="00181EF3" w:rsidRDefault="00BA4884" w:rsidP="00BA4884">
      <w:r w:rsidRPr="00181EF3">
        <w:t>The age-standardised lung cancer registration rates for Māori males aged 25 years and over decreased by 11 percent, from 95.6 registrations per 100,000 in 2001–03 to 85.0 registrations per 100,000 in 2011–13.</w:t>
      </w:r>
    </w:p>
    <w:p w14:paraId="0028F685" w14:textId="77777777" w:rsidR="00BA4884" w:rsidRPr="00181EF3" w:rsidRDefault="00BA4884" w:rsidP="00BA4884"/>
    <w:p w14:paraId="3E85F694" w14:textId="02A35F4E" w:rsidR="00BA4884" w:rsidRDefault="00BA4884" w:rsidP="00BA4884">
      <w:r w:rsidRPr="00181EF3">
        <w:t xml:space="preserve">The age-standardised lung cancer registration rates for </w:t>
      </w:r>
      <w:r w:rsidR="00EC03A3">
        <w:t>non</w:t>
      </w:r>
      <w:r w:rsidR="00EC03A3">
        <w:noBreakHyphen/>
        <w:t>M</w:t>
      </w:r>
      <w:r w:rsidRPr="00181EF3">
        <w:t xml:space="preserve">āori </w:t>
      </w:r>
      <w:r w:rsidR="00EC03A3">
        <w:t>non</w:t>
      </w:r>
      <w:r w:rsidR="00EC03A3">
        <w:noBreakHyphen/>
        <w:t>P</w:t>
      </w:r>
      <w:r w:rsidRPr="00181EF3">
        <w:t>acific males at the same age group also decreased, from 34.8 registrations per 100,000 in 2001–03 to 26.9 registrations per 100,000 in 2011–13.</w:t>
      </w:r>
    </w:p>
    <w:p w14:paraId="79A342B9" w14:textId="77777777" w:rsidR="00AF3805" w:rsidRPr="00181EF3" w:rsidRDefault="00AF3805" w:rsidP="00BA4884"/>
    <w:p w14:paraId="34515054" w14:textId="22170BC2" w:rsidR="00BA4884" w:rsidRPr="00181EF3" w:rsidRDefault="00BA4884" w:rsidP="009B494B">
      <w:pPr>
        <w:pStyle w:val="Heading4"/>
      </w:pPr>
      <w:r w:rsidRPr="00181EF3">
        <w:lastRenderedPageBreak/>
        <w:t xml:space="preserve">The difference in lung cancer registration rates between Māori and </w:t>
      </w:r>
      <w:r w:rsidR="00EC03A3">
        <w:t>non</w:t>
      </w:r>
      <w:r w:rsidR="00EC03A3">
        <w:noBreakHyphen/>
        <w:t>M</w:t>
      </w:r>
      <w:r w:rsidRPr="00181EF3">
        <w:t xml:space="preserve">āori </w:t>
      </w:r>
      <w:r w:rsidR="00EC03A3">
        <w:t>non</w:t>
      </w:r>
      <w:r w:rsidR="00EC03A3">
        <w:noBreakHyphen/>
        <w:t>P</w:t>
      </w:r>
      <w:r w:rsidRPr="00181EF3">
        <w:t>acific males has not changed much over time</w:t>
      </w:r>
    </w:p>
    <w:p w14:paraId="2E837019" w14:textId="28EC7526" w:rsidR="00BA4884" w:rsidRPr="00181EF3" w:rsidRDefault="00BA4884" w:rsidP="00AF3805">
      <w:pPr>
        <w:keepNext/>
        <w:keepLines/>
      </w:pPr>
      <w:r w:rsidRPr="00181EF3">
        <w:t xml:space="preserve">The age-standardised lung cancer registration rate difference between Māori and </w:t>
      </w:r>
      <w:r w:rsidR="00EC03A3">
        <w:t>non</w:t>
      </w:r>
      <w:r w:rsidR="00EC03A3">
        <w:noBreakHyphen/>
        <w:t>M</w:t>
      </w:r>
      <w:r w:rsidRPr="00181EF3">
        <w:t xml:space="preserve">āori </w:t>
      </w:r>
      <w:r w:rsidR="00EC03A3">
        <w:t>non</w:t>
      </w:r>
      <w:r w:rsidR="00EC03A3">
        <w:noBreakHyphen/>
        <w:t>P</w:t>
      </w:r>
      <w:r w:rsidRPr="00181EF3">
        <w:t>acific males aged 25 years and over has not changed much over time. Māori males aged 25 years and over had 60.8 more registrations per 100,000 in</w:t>
      </w:r>
      <w:r w:rsidRPr="00181EF3">
        <w:br/>
        <w:t>2001–03 and 58.1 more registrations per 100,000 in 2011–13.</w:t>
      </w:r>
    </w:p>
    <w:p w14:paraId="0018EBF3" w14:textId="77777777" w:rsidR="00AF3805" w:rsidRDefault="00AF3805" w:rsidP="00BA4884"/>
    <w:p w14:paraId="037030CC" w14:textId="30AC8631" w:rsidR="00BA4884" w:rsidRPr="00181EF3" w:rsidRDefault="00BA4884" w:rsidP="00BA4884">
      <w:r w:rsidRPr="00181EF3">
        <w:t xml:space="preserve">Māori males aged 25 years and over had a lung cancer registration rate more than three times that of </w:t>
      </w:r>
      <w:r w:rsidR="00EC03A3">
        <w:t>non</w:t>
      </w:r>
      <w:r w:rsidR="00EC03A3">
        <w:noBreakHyphen/>
        <w:t>M</w:t>
      </w:r>
      <w:r w:rsidRPr="00181EF3">
        <w:t xml:space="preserve">āori </w:t>
      </w:r>
      <w:r w:rsidR="00EC03A3">
        <w:t>non</w:t>
      </w:r>
      <w:r w:rsidR="00EC03A3">
        <w:noBreakHyphen/>
        <w:t>P</w:t>
      </w:r>
      <w:r w:rsidRPr="00181EF3">
        <w:t>acific males at the same age group in 2011–13. The difference has not changed much over time.</w:t>
      </w:r>
    </w:p>
    <w:p w14:paraId="020CC10E" w14:textId="77777777" w:rsidR="00BA4884" w:rsidRDefault="00BA4884" w:rsidP="00BA4884"/>
    <w:p w14:paraId="3E56D961" w14:textId="0D1C56E2" w:rsidR="00DA0709" w:rsidRDefault="00DA0709" w:rsidP="00DA0709">
      <w:pPr>
        <w:pStyle w:val="Figure"/>
      </w:pPr>
      <w:bookmarkStart w:id="477" w:name="_Toc19101996"/>
      <w:r w:rsidRPr="00181EF3">
        <w:t xml:space="preserve">Figure </w:t>
      </w:r>
      <w:r>
        <w:t>14</w:t>
      </w:r>
      <w:r w:rsidR="00572A9A">
        <w:t>5</w:t>
      </w:r>
      <w:r w:rsidRPr="00181EF3">
        <w:t>: Lung cancer registration rate</w:t>
      </w:r>
      <w:r>
        <w:t>s</w:t>
      </w:r>
      <w:r w:rsidRPr="00181EF3">
        <w:t xml:space="preserve">, </w:t>
      </w:r>
      <w:r>
        <w:t xml:space="preserve">25+ years, </w:t>
      </w:r>
      <w:r w:rsidRPr="00181EF3">
        <w:t xml:space="preserve">Māori and </w:t>
      </w:r>
      <w:r w:rsidR="00EC03A3">
        <w:t>non</w:t>
      </w:r>
      <w:r w:rsidR="00EC03A3">
        <w:noBreakHyphen/>
        <w:t>M</w:t>
      </w:r>
      <w:r w:rsidRPr="00181EF3">
        <w:t xml:space="preserve">āori </w:t>
      </w:r>
      <w:r w:rsidR="00EC03A3">
        <w:t>non</w:t>
      </w:r>
      <w:r w:rsidR="00EC03A3">
        <w:noBreakHyphen/>
        <w:t>P</w:t>
      </w:r>
      <w:r w:rsidRPr="00181EF3">
        <w:t>acific females</w:t>
      </w:r>
      <w:r>
        <w:t>,</w:t>
      </w:r>
      <w:r w:rsidRPr="00181EF3">
        <w:t xml:space="preserve"> 2001–03 to 2011–13</w:t>
      </w:r>
      <w:bookmarkEnd w:id="477"/>
    </w:p>
    <w:p w14:paraId="24DE26EC" w14:textId="77777777" w:rsidR="00DA0709" w:rsidRPr="00473E70" w:rsidRDefault="00DA0709" w:rsidP="00DA0709">
      <w:r w:rsidRPr="00473E70">
        <w:rPr>
          <w:noProof/>
          <w:lang w:eastAsia="en-NZ"/>
        </w:rPr>
        <w:drawing>
          <wp:inline distT="0" distB="0" distL="0" distR="0" wp14:anchorId="3D740249" wp14:editId="63315E5B">
            <wp:extent cx="5130165" cy="2799119"/>
            <wp:effectExtent l="0" t="0" r="0" b="1270"/>
            <wp:docPr id="12" name="Picture 12" descr="Māori women have higher rates of lung cancer than non-Māori women. The rates for both have remained relatively steady over time, with the rate for Māori fluctuating more." title="Figure 145: Lung cancer registration rate, Māori and non-Māori non-Pacific females aged 25 years and over, from 2001–03 to 20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5130165" cy="2799119"/>
                    </a:xfrm>
                    <a:prstGeom prst="rect">
                      <a:avLst/>
                    </a:prstGeom>
                  </pic:spPr>
                </pic:pic>
              </a:graphicData>
            </a:graphic>
          </wp:inline>
        </w:drawing>
      </w:r>
    </w:p>
    <w:p w14:paraId="7987FD8E" w14:textId="77777777" w:rsidR="00DA0709" w:rsidRDefault="00DA0709" w:rsidP="00DA0709">
      <w:pPr>
        <w:pStyle w:val="Note"/>
      </w:pPr>
      <w:r w:rsidRPr="00181EF3">
        <w:t>Note</w:t>
      </w:r>
      <w:r>
        <w:t>s</w:t>
      </w:r>
      <w:r w:rsidRPr="00181EF3">
        <w:t>:</w:t>
      </w:r>
    </w:p>
    <w:p w14:paraId="26610319" w14:textId="44D3A827" w:rsidR="008A5642" w:rsidRDefault="00446D86" w:rsidP="00DA0709">
      <w:pPr>
        <w:pStyle w:val="Note"/>
      </w:pPr>
      <w:r>
        <w:t>Figures are age-standardised to the 2001 Census total Māori population</w:t>
      </w:r>
      <w:r w:rsidR="00DA0709" w:rsidRPr="00181EF3">
        <w:t>.</w:t>
      </w:r>
    </w:p>
    <w:p w14:paraId="1DFD3211" w14:textId="217BD32C" w:rsidR="00DA0709" w:rsidRPr="00181EF3" w:rsidRDefault="00DA0709" w:rsidP="00DA0709">
      <w:pPr>
        <w:pStyle w:val="Note"/>
      </w:pPr>
      <w:r>
        <w:t>Prioritised ethnicity has been used.</w:t>
      </w:r>
    </w:p>
    <w:p w14:paraId="600DDD3F" w14:textId="77777777" w:rsidR="008A5642" w:rsidRDefault="00DA0709" w:rsidP="001C62E1">
      <w:pPr>
        <w:pStyle w:val="Note"/>
        <w:ind w:left="0" w:firstLine="0"/>
      </w:pPr>
      <w:r w:rsidRPr="00181EF3">
        <w:t xml:space="preserve">If the </w:t>
      </w:r>
      <w:r w:rsidRPr="001C62E1">
        <w:t>confidence</w:t>
      </w:r>
      <w:r w:rsidRPr="00181EF3">
        <w:t xml:space="preserv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7F8E45FC" w14:textId="72C08DD3" w:rsidR="00DA0709" w:rsidRPr="00181EF3" w:rsidRDefault="00DA0709" w:rsidP="00DA0709">
      <w:pPr>
        <w:pStyle w:val="Source"/>
        <w:rPr>
          <w:rFonts w:eastAsia="Calibri"/>
        </w:rPr>
      </w:pPr>
      <w:r w:rsidRPr="00181EF3">
        <w:rPr>
          <w:rFonts w:eastAsia="Calibri"/>
        </w:rPr>
        <w:t>Source: New Zealand Cancer Registry (NZCR), Ministry of Health</w:t>
      </w:r>
      <w:r>
        <w:rPr>
          <w:rFonts w:eastAsia="Calibri"/>
        </w:rPr>
        <w:t xml:space="preserve">, </w:t>
      </w:r>
      <w:r>
        <w:t>2001</w:t>
      </w:r>
      <w:r w:rsidRPr="00181EF3">
        <w:t>–</w:t>
      </w:r>
      <w:r>
        <w:t>03</w:t>
      </w:r>
      <w:r w:rsidRPr="00181EF3">
        <w:t xml:space="preserve"> to 201</w:t>
      </w:r>
      <w:r>
        <w:t>1</w:t>
      </w:r>
      <w:r w:rsidRPr="00181EF3">
        <w:t>–1</w:t>
      </w:r>
      <w:r>
        <w:t>3</w:t>
      </w:r>
      <w:r w:rsidRPr="00181EF3">
        <w:rPr>
          <w:rFonts w:eastAsia="Calibri"/>
        </w:rPr>
        <w:t>.</w:t>
      </w:r>
    </w:p>
    <w:p w14:paraId="101FD534" w14:textId="77777777" w:rsidR="00BA4884" w:rsidRPr="00181EF3" w:rsidRDefault="00BA4884" w:rsidP="00BA4884"/>
    <w:p w14:paraId="3042DAB9" w14:textId="4A8E94D2" w:rsidR="00BA4884" w:rsidRDefault="00BA4884" w:rsidP="00BA4884">
      <w:r w:rsidRPr="00181EF3">
        <w:t xml:space="preserve">Figure </w:t>
      </w:r>
      <w:r w:rsidR="00DA0709">
        <w:t>14</w:t>
      </w:r>
      <w:r w:rsidR="001D6946">
        <w:t>5</w:t>
      </w:r>
      <w:r w:rsidRPr="00181EF3">
        <w:t xml:space="preserve"> shows that Māori females aged 25 years and over have higher lung cancer registration rates than </w:t>
      </w:r>
      <w:r w:rsidR="00EC03A3">
        <w:t>non</w:t>
      </w:r>
      <w:r w:rsidR="00EC03A3">
        <w:noBreakHyphen/>
        <w:t>M</w:t>
      </w:r>
      <w:r w:rsidRPr="00181EF3">
        <w:t xml:space="preserve">āori </w:t>
      </w:r>
      <w:r w:rsidR="00EC03A3">
        <w:t>non</w:t>
      </w:r>
      <w:r w:rsidR="00EC03A3">
        <w:noBreakHyphen/>
        <w:t>P</w:t>
      </w:r>
      <w:r w:rsidRPr="00181EF3">
        <w:t>acific females at the same age group over time.</w:t>
      </w:r>
    </w:p>
    <w:p w14:paraId="57208718" w14:textId="77777777" w:rsidR="00AF3805" w:rsidRPr="00181EF3" w:rsidRDefault="00AF3805" w:rsidP="00BA4884"/>
    <w:p w14:paraId="0FCDB2D7" w14:textId="77777777" w:rsidR="00BA4884" w:rsidRPr="00181EF3" w:rsidRDefault="00BA4884" w:rsidP="00DA0709">
      <w:pPr>
        <w:pStyle w:val="Heading4"/>
      </w:pPr>
      <w:r w:rsidRPr="00181EF3">
        <w:lastRenderedPageBreak/>
        <w:t>Lung cancer registration rate remained similar over time for Māori females</w:t>
      </w:r>
    </w:p>
    <w:p w14:paraId="6152AE75" w14:textId="77777777" w:rsidR="00BA4884" w:rsidRPr="00181EF3" w:rsidRDefault="00BA4884" w:rsidP="00AF3805">
      <w:pPr>
        <w:keepNext/>
      </w:pPr>
      <w:r w:rsidRPr="00181EF3">
        <w:t>The age-standardised lung cancer registration rates for Māori females aged 25 years and over remained similar, with 93.6 registrations per 100,000 in 2001–03 and 99.3 registrations per 100,000 in 2011–13.</w:t>
      </w:r>
    </w:p>
    <w:p w14:paraId="3BFB9BDD" w14:textId="77777777" w:rsidR="00BA4884" w:rsidRPr="00181EF3" w:rsidRDefault="00BA4884" w:rsidP="00BA4884"/>
    <w:p w14:paraId="3E975390" w14:textId="3332B88F" w:rsidR="00BA4884" w:rsidRDefault="00BA4884" w:rsidP="00BA4884">
      <w:r w:rsidRPr="00181EF3">
        <w:t xml:space="preserve">The age-standardised lung cancer registration rates for </w:t>
      </w:r>
      <w:r w:rsidR="00EC03A3">
        <w:t>non</w:t>
      </w:r>
      <w:r w:rsidR="00EC03A3">
        <w:noBreakHyphen/>
        <w:t>M</w:t>
      </w:r>
      <w:r w:rsidRPr="00181EF3">
        <w:t xml:space="preserve">āori </w:t>
      </w:r>
      <w:r w:rsidR="00EC03A3">
        <w:t>non</w:t>
      </w:r>
      <w:r w:rsidR="00EC03A3">
        <w:noBreakHyphen/>
        <w:t>P</w:t>
      </w:r>
      <w:r w:rsidRPr="00181EF3">
        <w:t>acific females at the same age group has also not changed much over time, with 23.7 registrations per 100,000 in 2001–03 to 23.8 registrations in 2011–13.</w:t>
      </w:r>
    </w:p>
    <w:p w14:paraId="0D9C45AD" w14:textId="77777777" w:rsidR="00AF3805" w:rsidRPr="00181EF3" w:rsidRDefault="00AF3805" w:rsidP="00BA4884"/>
    <w:p w14:paraId="4E6D92D4" w14:textId="78AB475F" w:rsidR="00BA4884" w:rsidRPr="00181EF3" w:rsidRDefault="00BA4884" w:rsidP="00DA0709">
      <w:pPr>
        <w:pStyle w:val="Heading4"/>
      </w:pPr>
      <w:r w:rsidRPr="00181EF3">
        <w:t xml:space="preserve">The difference in lung cancer registration rates between Māori and </w:t>
      </w:r>
      <w:r w:rsidR="00EC03A3">
        <w:t>non</w:t>
      </w:r>
      <w:r w:rsidR="00EC03A3">
        <w:noBreakHyphen/>
        <w:t>M</w:t>
      </w:r>
      <w:r w:rsidRPr="00181EF3">
        <w:t xml:space="preserve">āori </w:t>
      </w:r>
      <w:r w:rsidR="00EC03A3">
        <w:t>non</w:t>
      </w:r>
      <w:r w:rsidR="00EC03A3">
        <w:noBreakHyphen/>
        <w:t>P</w:t>
      </w:r>
      <w:r w:rsidRPr="00181EF3">
        <w:t>acific females remained similar over time</w:t>
      </w:r>
    </w:p>
    <w:p w14:paraId="5CA6AED9" w14:textId="2A2865AA" w:rsidR="00BA4884" w:rsidRPr="00181EF3" w:rsidRDefault="00BA4884" w:rsidP="00BA4884">
      <w:r w:rsidRPr="00181EF3">
        <w:t xml:space="preserve">The age-standardised lung cancer registration rate difference between Māori and </w:t>
      </w:r>
      <w:r w:rsidR="00EC03A3">
        <w:t>non</w:t>
      </w:r>
      <w:r w:rsidR="00EC03A3">
        <w:noBreakHyphen/>
        <w:t>M</w:t>
      </w:r>
      <w:r w:rsidRPr="00181EF3">
        <w:t xml:space="preserve">āori </w:t>
      </w:r>
      <w:r w:rsidR="00EC03A3">
        <w:t>non</w:t>
      </w:r>
      <w:r w:rsidR="00EC03A3">
        <w:noBreakHyphen/>
        <w:t>P</w:t>
      </w:r>
      <w:r w:rsidRPr="00181EF3">
        <w:t>acific females aged 25 years and over remained similar over time. Māori females aged 25 years and over had 69.9 more registrations per 100,000 in 2001–03 and 75.5 more registrations per 100,000 in 2011–13.</w:t>
      </w:r>
    </w:p>
    <w:p w14:paraId="018EA0E3" w14:textId="77777777" w:rsidR="00BA4884" w:rsidRPr="00181EF3" w:rsidRDefault="00BA4884" w:rsidP="00BA4884"/>
    <w:p w14:paraId="57BEE713" w14:textId="6A6BCFA6" w:rsidR="00BA4884" w:rsidRPr="00181EF3" w:rsidRDefault="00BA4884" w:rsidP="00BA4884">
      <w:r w:rsidRPr="00181EF3">
        <w:t xml:space="preserve">Māori females aged 25 years and over had a lung cancer registration rate more than four times that of </w:t>
      </w:r>
      <w:r w:rsidR="00EC03A3">
        <w:t>non</w:t>
      </w:r>
      <w:r w:rsidR="00EC03A3">
        <w:noBreakHyphen/>
        <w:t>M</w:t>
      </w:r>
      <w:r w:rsidRPr="00181EF3">
        <w:t xml:space="preserve">āori </w:t>
      </w:r>
      <w:r w:rsidR="00EC03A3">
        <w:t>non</w:t>
      </w:r>
      <w:r w:rsidR="00EC03A3">
        <w:noBreakHyphen/>
        <w:t>P</w:t>
      </w:r>
      <w:r w:rsidRPr="00181EF3">
        <w:t>acific females at the same age group over time.</w:t>
      </w:r>
    </w:p>
    <w:p w14:paraId="51B3B019" w14:textId="77777777" w:rsidR="00BA4884" w:rsidRPr="00181EF3" w:rsidRDefault="00BA4884" w:rsidP="00BA4884"/>
    <w:p w14:paraId="75779F79" w14:textId="460EE9E7" w:rsidR="00DA0709" w:rsidRDefault="00DA0709" w:rsidP="00DA0709">
      <w:pPr>
        <w:pStyle w:val="Figure"/>
      </w:pPr>
      <w:bookmarkStart w:id="478" w:name="_Toc19101997"/>
      <w:r w:rsidRPr="00181EF3">
        <w:t xml:space="preserve">Figure </w:t>
      </w:r>
      <w:r>
        <w:t>14</w:t>
      </w:r>
      <w:r w:rsidR="00572A9A">
        <w:t>6</w:t>
      </w:r>
      <w:r w:rsidRPr="00181EF3">
        <w:t>: Lung cancer mortality rate</w:t>
      </w:r>
      <w:r>
        <w:t>s</w:t>
      </w:r>
      <w:r w:rsidRPr="00181EF3">
        <w:t xml:space="preserve">, </w:t>
      </w:r>
      <w:r>
        <w:t xml:space="preserve">25+ years, </w:t>
      </w:r>
      <w:r w:rsidRPr="00181EF3">
        <w:t xml:space="preserve">Māori and </w:t>
      </w:r>
      <w:r w:rsidR="00EC03A3">
        <w:t>non</w:t>
      </w:r>
      <w:r w:rsidR="00EC03A3">
        <w:noBreakHyphen/>
        <w:t>M</w:t>
      </w:r>
      <w:r w:rsidRPr="00181EF3">
        <w:t xml:space="preserve">āori </w:t>
      </w:r>
      <w:r w:rsidR="00EC03A3">
        <w:t>non</w:t>
      </w:r>
      <w:r w:rsidR="00EC03A3">
        <w:noBreakHyphen/>
        <w:t>P</w:t>
      </w:r>
      <w:r w:rsidRPr="00181EF3">
        <w:t>acific males</w:t>
      </w:r>
      <w:r>
        <w:t>,</w:t>
      </w:r>
      <w:r w:rsidRPr="00181EF3">
        <w:t xml:space="preserve"> 2001–03 to 2011–13</w:t>
      </w:r>
      <w:bookmarkEnd w:id="478"/>
    </w:p>
    <w:p w14:paraId="092DD07C" w14:textId="77777777" w:rsidR="00DA0709" w:rsidRPr="00473E70" w:rsidRDefault="00DA0709" w:rsidP="00DA0709">
      <w:r w:rsidRPr="00473E70">
        <w:rPr>
          <w:noProof/>
          <w:lang w:eastAsia="en-NZ"/>
        </w:rPr>
        <w:drawing>
          <wp:inline distT="0" distB="0" distL="0" distR="0" wp14:anchorId="5E30B042" wp14:editId="58EEA500">
            <wp:extent cx="5130165" cy="2799119"/>
            <wp:effectExtent l="0" t="0" r="0" b="1270"/>
            <wp:docPr id="8" name="Picture 8" descr="Māori men have a higher rate of death from lung cancer than non-Māori men. The rates for both have declined over time." title="Figure 146: Lung cancer mortality rate, Māori and non-Māori non-Pacific males aged 25 years and over, from 2001–03 to 20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5130165" cy="2799119"/>
                    </a:xfrm>
                    <a:prstGeom prst="rect">
                      <a:avLst/>
                    </a:prstGeom>
                  </pic:spPr>
                </pic:pic>
              </a:graphicData>
            </a:graphic>
          </wp:inline>
        </w:drawing>
      </w:r>
    </w:p>
    <w:p w14:paraId="3DA3CB56" w14:textId="77777777" w:rsidR="00DA0709" w:rsidRDefault="00DA0709" w:rsidP="00DA0709">
      <w:pPr>
        <w:pStyle w:val="Note"/>
      </w:pPr>
      <w:r w:rsidRPr="00181EF3">
        <w:t>Note</w:t>
      </w:r>
      <w:r>
        <w:t>s</w:t>
      </w:r>
      <w:r w:rsidRPr="00181EF3">
        <w:t>:</w:t>
      </w:r>
    </w:p>
    <w:p w14:paraId="50455ED2" w14:textId="5BCE3828" w:rsidR="008A5642" w:rsidRDefault="00446D86" w:rsidP="00DA0709">
      <w:pPr>
        <w:pStyle w:val="Note"/>
      </w:pPr>
      <w:r>
        <w:t>Figures are age-standardised to the 2001 Census total Māori population</w:t>
      </w:r>
      <w:r w:rsidR="00DA0709" w:rsidRPr="00181EF3">
        <w:t>.</w:t>
      </w:r>
    </w:p>
    <w:p w14:paraId="0BE5AF55" w14:textId="0EEDB4FF" w:rsidR="00DA0709" w:rsidRPr="00181EF3" w:rsidRDefault="00DA0709" w:rsidP="00DA0709">
      <w:pPr>
        <w:pStyle w:val="Note"/>
      </w:pPr>
      <w:r>
        <w:t>Prioritised ethnicity has been used.</w:t>
      </w:r>
    </w:p>
    <w:p w14:paraId="6EE38842" w14:textId="77777777" w:rsidR="008A5642" w:rsidRDefault="00DA0709" w:rsidP="001C62E1">
      <w:pPr>
        <w:pStyle w:val="Note"/>
        <w:ind w:left="0" w:firstLine="0"/>
      </w:pPr>
      <w:r w:rsidRPr="00181EF3">
        <w:t xml:space="preserve">If the </w:t>
      </w:r>
      <w:r w:rsidRPr="001C62E1">
        <w:t>confidence</w:t>
      </w:r>
      <w:r w:rsidRPr="00181EF3">
        <w:t xml:space="preserv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3461ED27" w14:textId="1053835F" w:rsidR="00DA0709" w:rsidRPr="00181EF3" w:rsidRDefault="00DA0709" w:rsidP="00DA0709">
      <w:pPr>
        <w:pStyle w:val="Source"/>
        <w:rPr>
          <w:rFonts w:eastAsia="Calibri"/>
        </w:rPr>
      </w:pPr>
      <w:r w:rsidRPr="00181EF3">
        <w:rPr>
          <w:rFonts w:eastAsia="Calibri"/>
        </w:rPr>
        <w:t>Source: Mortality Collection Data Set (MORT), Ministry of Health</w:t>
      </w:r>
      <w:r>
        <w:rPr>
          <w:rFonts w:eastAsia="Calibri"/>
        </w:rPr>
        <w:t xml:space="preserve">, </w:t>
      </w:r>
      <w:r>
        <w:t>2001</w:t>
      </w:r>
      <w:r w:rsidRPr="00181EF3">
        <w:t>–</w:t>
      </w:r>
      <w:r>
        <w:t>03</w:t>
      </w:r>
      <w:r w:rsidRPr="00181EF3">
        <w:t xml:space="preserve"> to 201</w:t>
      </w:r>
      <w:r>
        <w:t>1</w:t>
      </w:r>
      <w:r w:rsidRPr="00181EF3">
        <w:t>–1</w:t>
      </w:r>
      <w:r>
        <w:t>3</w:t>
      </w:r>
      <w:r w:rsidRPr="00181EF3">
        <w:rPr>
          <w:rFonts w:eastAsia="Calibri"/>
        </w:rPr>
        <w:t>.</w:t>
      </w:r>
    </w:p>
    <w:p w14:paraId="2BD3D187" w14:textId="77777777" w:rsidR="00DA0709" w:rsidRPr="00181EF3" w:rsidRDefault="00DA0709" w:rsidP="00DA0709"/>
    <w:p w14:paraId="7819F225" w14:textId="495F6CB6" w:rsidR="00BA4884" w:rsidRDefault="00BA4884" w:rsidP="00BA4884">
      <w:r w:rsidRPr="00181EF3">
        <w:lastRenderedPageBreak/>
        <w:t xml:space="preserve">Figure </w:t>
      </w:r>
      <w:r w:rsidR="00DA0709">
        <w:t>14</w:t>
      </w:r>
      <w:r w:rsidR="001D6946">
        <w:t>6</w:t>
      </w:r>
      <w:r w:rsidRPr="00181EF3">
        <w:t xml:space="preserve"> shows that, after adjusting for age, Māori males aged 25 years and over have a higher lung cancer mortality rate than </w:t>
      </w:r>
      <w:r w:rsidR="00EC03A3">
        <w:t>non</w:t>
      </w:r>
      <w:r w:rsidR="00EC03A3">
        <w:noBreakHyphen/>
        <w:t>M</w:t>
      </w:r>
      <w:r w:rsidRPr="00181EF3">
        <w:t xml:space="preserve">āori </w:t>
      </w:r>
      <w:r w:rsidR="00EC03A3">
        <w:t>non</w:t>
      </w:r>
      <w:r w:rsidR="00EC03A3">
        <w:noBreakHyphen/>
        <w:t>P</w:t>
      </w:r>
      <w:r w:rsidRPr="00181EF3">
        <w:t>acific males at the same age group over time.</w:t>
      </w:r>
    </w:p>
    <w:p w14:paraId="3F29B991" w14:textId="77777777" w:rsidR="00AF3805" w:rsidRPr="00181EF3" w:rsidRDefault="00AF3805" w:rsidP="00BA4884"/>
    <w:p w14:paraId="166B67EF" w14:textId="77777777" w:rsidR="00BA4884" w:rsidRPr="00181EF3" w:rsidRDefault="00BA4884" w:rsidP="00DA0709">
      <w:pPr>
        <w:pStyle w:val="Heading4"/>
      </w:pPr>
      <w:r w:rsidRPr="00181EF3">
        <w:t>Lung cancer mortality rate decreased over time for Māori males</w:t>
      </w:r>
    </w:p>
    <w:p w14:paraId="317F0448" w14:textId="77777777" w:rsidR="00BA4884" w:rsidRPr="00181EF3" w:rsidRDefault="00BA4884" w:rsidP="00BA4884">
      <w:r w:rsidRPr="00181EF3">
        <w:t>The age-standardised lung cancer mortality rates for Māori males aged 25 years and over decreased by 24 percent, from 84.0 deaths per 100,000 in 2001–03 to 64.2 deaths per 100,000 in 2011–13.</w:t>
      </w:r>
    </w:p>
    <w:p w14:paraId="70D40A6E" w14:textId="77777777" w:rsidR="00BA4884" w:rsidRPr="00181EF3" w:rsidRDefault="00BA4884" w:rsidP="00BA4884"/>
    <w:p w14:paraId="11A11AB8" w14:textId="45CE94C6" w:rsidR="00BA4884" w:rsidRDefault="00BA4884" w:rsidP="00BA4884">
      <w:r w:rsidRPr="00181EF3">
        <w:t xml:space="preserve">The age-standardised lung cancer mortality rates for </w:t>
      </w:r>
      <w:r w:rsidR="00EC03A3">
        <w:t>non</w:t>
      </w:r>
      <w:r w:rsidR="00EC03A3">
        <w:noBreakHyphen/>
        <w:t>M</w:t>
      </w:r>
      <w:r w:rsidRPr="00181EF3">
        <w:t xml:space="preserve">āori </w:t>
      </w:r>
      <w:r w:rsidR="00EC03A3">
        <w:t>non</w:t>
      </w:r>
      <w:r w:rsidR="00EC03A3">
        <w:noBreakHyphen/>
        <w:t>P</w:t>
      </w:r>
      <w:r w:rsidRPr="00181EF3">
        <w:t>acific males at the same age group decreased by 27 percent, from 30.3 deaths per 100,000 in 2001–03 to 22.0 deaths per 100,000 in 2011–13.</w:t>
      </w:r>
    </w:p>
    <w:p w14:paraId="3EC0C099" w14:textId="77777777" w:rsidR="00AF3805" w:rsidRPr="00181EF3" w:rsidRDefault="00AF3805" w:rsidP="00BA4884"/>
    <w:p w14:paraId="6C8AC8F4" w14:textId="0855164B" w:rsidR="00BA4884" w:rsidRPr="00181EF3" w:rsidRDefault="00BA4884" w:rsidP="00DA0709">
      <w:pPr>
        <w:pStyle w:val="Heading4"/>
      </w:pPr>
      <w:r w:rsidRPr="00181EF3">
        <w:t xml:space="preserve">The difference in lung cancer mortality rate between Māori and </w:t>
      </w:r>
      <w:r w:rsidR="00EC03A3">
        <w:t>non</w:t>
      </w:r>
      <w:r w:rsidR="00EC03A3">
        <w:noBreakHyphen/>
        <w:t>M</w:t>
      </w:r>
      <w:r w:rsidRPr="00181EF3">
        <w:t xml:space="preserve">āori </w:t>
      </w:r>
      <w:r w:rsidR="00EC03A3">
        <w:t>non</w:t>
      </w:r>
      <w:r w:rsidR="00EC03A3">
        <w:noBreakHyphen/>
        <w:t>P</w:t>
      </w:r>
      <w:r w:rsidRPr="00181EF3">
        <w:t>acific males decreased over time</w:t>
      </w:r>
    </w:p>
    <w:p w14:paraId="234C16C1" w14:textId="46CBFDC6" w:rsidR="00BA4884" w:rsidRPr="00181EF3" w:rsidRDefault="00BA4884" w:rsidP="00BA4884">
      <w:r w:rsidRPr="00181EF3">
        <w:t xml:space="preserve">The age-standardised lung cancer mortality rate difference between Māori and </w:t>
      </w:r>
      <w:r w:rsidR="00EC03A3">
        <w:t>non</w:t>
      </w:r>
      <w:r w:rsidR="00EC03A3">
        <w:noBreakHyphen/>
        <w:t>M</w:t>
      </w:r>
      <w:r w:rsidRPr="00181EF3">
        <w:t xml:space="preserve">āori </w:t>
      </w:r>
      <w:r w:rsidR="00EC03A3">
        <w:t>non</w:t>
      </w:r>
      <w:r w:rsidR="00EC03A3">
        <w:noBreakHyphen/>
        <w:t>P</w:t>
      </w:r>
      <w:r w:rsidRPr="00181EF3">
        <w:t>acific males aged 25 years and over decreased by 21</w:t>
      </w:r>
      <w:r w:rsidR="00AF3805">
        <w:t> percent</w:t>
      </w:r>
      <w:r w:rsidRPr="00181EF3">
        <w:t xml:space="preserve"> over time. Māori males aged 25 years and over had 53.7 more deaths per 100,000 in</w:t>
      </w:r>
      <w:r w:rsidR="00AF3805">
        <w:br/>
      </w:r>
      <w:r w:rsidRPr="00181EF3">
        <w:t>2001–03 and 42.2 more deaths per 100,000 in 2011–13.</w:t>
      </w:r>
    </w:p>
    <w:p w14:paraId="3911A2FC" w14:textId="77777777" w:rsidR="00BA4884" w:rsidRPr="00181EF3" w:rsidRDefault="00BA4884" w:rsidP="00BA4884"/>
    <w:p w14:paraId="74A67237" w14:textId="3EA8F215" w:rsidR="00BA4884" w:rsidRPr="00181EF3" w:rsidRDefault="00BA4884" w:rsidP="00BA4884">
      <w:r w:rsidRPr="00181EF3">
        <w:t xml:space="preserve">Māori males aged 25 years and over were almost three times as likely to die from lung cancer as </w:t>
      </w:r>
      <w:r w:rsidR="00EC03A3">
        <w:t>non</w:t>
      </w:r>
      <w:r w:rsidR="00EC03A3">
        <w:noBreakHyphen/>
        <w:t>M</w:t>
      </w:r>
      <w:r w:rsidRPr="00181EF3">
        <w:t xml:space="preserve">āori </w:t>
      </w:r>
      <w:r w:rsidR="00EC03A3">
        <w:t>non</w:t>
      </w:r>
      <w:r w:rsidR="00EC03A3">
        <w:noBreakHyphen/>
        <w:t>P</w:t>
      </w:r>
      <w:r w:rsidRPr="00181EF3">
        <w:t>acific males at the same age group over time.</w:t>
      </w:r>
    </w:p>
    <w:p w14:paraId="30788B90" w14:textId="77777777" w:rsidR="00BA4884" w:rsidRPr="00181EF3" w:rsidRDefault="00BA4884" w:rsidP="00BA4884"/>
    <w:p w14:paraId="1B8ED63A" w14:textId="613696DF" w:rsidR="00DA0709" w:rsidRDefault="00DA0709" w:rsidP="00DA0709">
      <w:pPr>
        <w:pStyle w:val="Figure"/>
      </w:pPr>
      <w:bookmarkStart w:id="479" w:name="_Toc19101998"/>
      <w:r w:rsidRPr="00181EF3">
        <w:t xml:space="preserve">Figure </w:t>
      </w:r>
      <w:r>
        <w:t>14</w:t>
      </w:r>
      <w:r w:rsidR="00572A9A">
        <w:t>7</w:t>
      </w:r>
      <w:r w:rsidRPr="00181EF3">
        <w:t>: Lung cancer mortality rate</w:t>
      </w:r>
      <w:r>
        <w:t>s</w:t>
      </w:r>
      <w:r w:rsidRPr="00181EF3">
        <w:t xml:space="preserve">, </w:t>
      </w:r>
      <w:r>
        <w:t xml:space="preserve">25+ years, </w:t>
      </w:r>
      <w:r w:rsidRPr="00181EF3">
        <w:t xml:space="preserve">Māori and </w:t>
      </w:r>
      <w:r w:rsidR="00EC03A3">
        <w:t>non</w:t>
      </w:r>
      <w:r w:rsidR="00EC03A3">
        <w:noBreakHyphen/>
        <w:t>M</w:t>
      </w:r>
      <w:r w:rsidRPr="00181EF3">
        <w:t xml:space="preserve">āori </w:t>
      </w:r>
      <w:r w:rsidR="00EC03A3">
        <w:t>non</w:t>
      </w:r>
      <w:r w:rsidR="00EC03A3">
        <w:noBreakHyphen/>
        <w:t>P</w:t>
      </w:r>
      <w:r w:rsidRPr="00181EF3">
        <w:t>acific females</w:t>
      </w:r>
      <w:r>
        <w:t>,</w:t>
      </w:r>
      <w:r w:rsidRPr="00181EF3">
        <w:t xml:space="preserve"> 2001–03 to 2011–13</w:t>
      </w:r>
      <w:bookmarkEnd w:id="479"/>
    </w:p>
    <w:p w14:paraId="51BD2A6A" w14:textId="77777777" w:rsidR="00DA0709" w:rsidRPr="00473E70" w:rsidRDefault="00DA0709" w:rsidP="00DA0709">
      <w:r w:rsidRPr="00473E70">
        <w:rPr>
          <w:noProof/>
          <w:lang w:eastAsia="en-NZ"/>
        </w:rPr>
        <w:drawing>
          <wp:inline distT="0" distB="0" distL="0" distR="0" wp14:anchorId="0864DF93" wp14:editId="72869B18">
            <wp:extent cx="5130165" cy="2799119"/>
            <wp:effectExtent l="0" t="0" r="0" b="1270"/>
            <wp:docPr id="24" name="Picture 24" descr="Lung cancer death rates are higher among Māori women than non-Māori women. The rate for non-Māori women has remained steady over time, but the rate for Māori women has decreased somewhat over time." title="Figure 147: Lung cancer mortality rate, Māori and non-Māori non-Pacific females aged 25 years and over, from 2001–03 to 20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5130165" cy="2799119"/>
                    </a:xfrm>
                    <a:prstGeom prst="rect">
                      <a:avLst/>
                    </a:prstGeom>
                  </pic:spPr>
                </pic:pic>
              </a:graphicData>
            </a:graphic>
          </wp:inline>
        </w:drawing>
      </w:r>
    </w:p>
    <w:p w14:paraId="6110F8F3" w14:textId="77777777" w:rsidR="00DA0709" w:rsidRDefault="00DA0709" w:rsidP="00DA0709">
      <w:pPr>
        <w:pStyle w:val="Note"/>
      </w:pPr>
      <w:r w:rsidRPr="00181EF3">
        <w:t>Note</w:t>
      </w:r>
      <w:r>
        <w:t>s</w:t>
      </w:r>
      <w:r w:rsidRPr="00181EF3">
        <w:t>:</w:t>
      </w:r>
    </w:p>
    <w:p w14:paraId="5B925ABC" w14:textId="5BC3A179" w:rsidR="008A5642" w:rsidRDefault="00446D86" w:rsidP="00AF3805">
      <w:pPr>
        <w:pStyle w:val="Note"/>
        <w:spacing w:before="40"/>
      </w:pPr>
      <w:r>
        <w:t>Figures are age-standardised to the 2001 Census total Māori population</w:t>
      </w:r>
      <w:r w:rsidR="00DA0709" w:rsidRPr="00181EF3">
        <w:t>.</w:t>
      </w:r>
    </w:p>
    <w:p w14:paraId="158D2DA1" w14:textId="29EF4763" w:rsidR="00DA0709" w:rsidRPr="00181EF3" w:rsidRDefault="00DA0709" w:rsidP="00AF3805">
      <w:pPr>
        <w:pStyle w:val="Note"/>
        <w:spacing w:before="40"/>
      </w:pPr>
      <w:r>
        <w:t>Prioritised ethnicity has been used.</w:t>
      </w:r>
    </w:p>
    <w:p w14:paraId="287A056A" w14:textId="77777777" w:rsidR="008A5642" w:rsidRPr="00AF3805" w:rsidRDefault="00DA0709" w:rsidP="00AF3805">
      <w:pPr>
        <w:pStyle w:val="Note"/>
        <w:spacing w:before="40"/>
        <w:ind w:left="0" w:right="-284" w:firstLine="0"/>
        <w:rPr>
          <w:spacing w:val="-2"/>
        </w:rPr>
      </w:pPr>
      <w:r w:rsidRPr="00AF3805">
        <w:rPr>
          <w:spacing w:val="-2"/>
        </w:rPr>
        <w:t>If the confidence intervals of two rates do not overlap, the difference in rates is said to be statistically significant.</w:t>
      </w:r>
    </w:p>
    <w:p w14:paraId="27ED31CB" w14:textId="18AFB9DD" w:rsidR="00DA0709" w:rsidRPr="00181EF3" w:rsidRDefault="00DA0709" w:rsidP="00AF3805">
      <w:pPr>
        <w:pStyle w:val="Source"/>
        <w:spacing w:before="40"/>
        <w:rPr>
          <w:rFonts w:eastAsia="Calibri"/>
        </w:rPr>
      </w:pPr>
      <w:r w:rsidRPr="00181EF3">
        <w:rPr>
          <w:rFonts w:eastAsia="Calibri"/>
        </w:rPr>
        <w:t>Source: Mortality Collection Data Set (MORT), Ministry of Health</w:t>
      </w:r>
      <w:r>
        <w:rPr>
          <w:rFonts w:eastAsia="Calibri"/>
        </w:rPr>
        <w:t xml:space="preserve">, </w:t>
      </w:r>
      <w:r>
        <w:t>2001</w:t>
      </w:r>
      <w:r w:rsidRPr="00181EF3">
        <w:t>–</w:t>
      </w:r>
      <w:r>
        <w:t>03</w:t>
      </w:r>
      <w:r w:rsidRPr="00181EF3">
        <w:t xml:space="preserve"> to 201</w:t>
      </w:r>
      <w:r>
        <w:t>1</w:t>
      </w:r>
      <w:r w:rsidRPr="00181EF3">
        <w:t>–1</w:t>
      </w:r>
      <w:r>
        <w:t>3</w:t>
      </w:r>
      <w:r w:rsidRPr="00181EF3">
        <w:rPr>
          <w:rFonts w:eastAsia="Calibri"/>
        </w:rPr>
        <w:t>.</w:t>
      </w:r>
    </w:p>
    <w:p w14:paraId="678B23D0" w14:textId="0DA53319" w:rsidR="00BA4884" w:rsidRDefault="00BA4884" w:rsidP="00AF3805">
      <w:pPr>
        <w:spacing w:before="240"/>
      </w:pPr>
      <w:r w:rsidRPr="00181EF3">
        <w:lastRenderedPageBreak/>
        <w:t xml:space="preserve">Figure </w:t>
      </w:r>
      <w:r w:rsidR="00DA0709">
        <w:t>14</w:t>
      </w:r>
      <w:r w:rsidR="001D6946">
        <w:t>7</w:t>
      </w:r>
      <w:r w:rsidRPr="00181EF3">
        <w:t xml:space="preserve"> shows that Māori females aged 25 years and over have a higher lung cancer mortality rate than </w:t>
      </w:r>
      <w:r w:rsidR="00EC03A3">
        <w:t>non</w:t>
      </w:r>
      <w:r w:rsidR="00EC03A3">
        <w:noBreakHyphen/>
        <w:t>M</w:t>
      </w:r>
      <w:r w:rsidRPr="00181EF3">
        <w:t xml:space="preserve">āori </w:t>
      </w:r>
      <w:r w:rsidR="00EC03A3">
        <w:t>non</w:t>
      </w:r>
      <w:r w:rsidR="00EC03A3">
        <w:noBreakHyphen/>
        <w:t>P</w:t>
      </w:r>
      <w:r w:rsidRPr="00181EF3">
        <w:t>acific females at the same age group over time.</w:t>
      </w:r>
    </w:p>
    <w:p w14:paraId="078B34C5" w14:textId="77777777" w:rsidR="00AF3805" w:rsidRPr="00181EF3" w:rsidRDefault="00AF3805" w:rsidP="00AF3805"/>
    <w:p w14:paraId="5FE9DF3E" w14:textId="77777777" w:rsidR="00BA4884" w:rsidRPr="00181EF3" w:rsidRDefault="00BA4884" w:rsidP="00DA0709">
      <w:pPr>
        <w:pStyle w:val="Heading4"/>
      </w:pPr>
      <w:r w:rsidRPr="00181EF3">
        <w:t>Lung cancer mortality rate decreased over time for Māori females</w:t>
      </w:r>
    </w:p>
    <w:p w14:paraId="2A2630F4" w14:textId="77777777" w:rsidR="00BA4884" w:rsidRPr="00181EF3" w:rsidRDefault="00BA4884" w:rsidP="00BA4884">
      <w:r w:rsidRPr="00181EF3">
        <w:t>The age-standardised lung cancer mortality rates for Māori females aged 25 years and over decreased by 13 percent, from 80.2 deaths per 100,000 in 2001–03 to 70.1 deaths per 100,000 in 2011–13.</w:t>
      </w:r>
    </w:p>
    <w:p w14:paraId="1630DBE8" w14:textId="77777777" w:rsidR="00BA4884" w:rsidRPr="00181EF3" w:rsidRDefault="00BA4884" w:rsidP="00BA4884"/>
    <w:p w14:paraId="6B710FE5" w14:textId="4ED2E86B" w:rsidR="00BA4884" w:rsidRDefault="00BA4884" w:rsidP="00BA4884">
      <w:r w:rsidRPr="00181EF3">
        <w:t xml:space="preserve">The age-standardised lung cancer mortality rates for </w:t>
      </w:r>
      <w:r w:rsidR="00EC03A3">
        <w:t>non</w:t>
      </w:r>
      <w:r w:rsidR="00EC03A3">
        <w:noBreakHyphen/>
        <w:t>M</w:t>
      </w:r>
      <w:r w:rsidRPr="00181EF3">
        <w:t xml:space="preserve">āori </w:t>
      </w:r>
      <w:r w:rsidR="00EC03A3">
        <w:t>non</w:t>
      </w:r>
      <w:r w:rsidR="00EC03A3">
        <w:noBreakHyphen/>
        <w:t>P</w:t>
      </w:r>
      <w:r w:rsidRPr="00181EF3">
        <w:t>acific females at the same age group did not change much, with 18.5 deaths per 100,000 in 2001–03 and 17.1 deaths per 100,000 in 2011–13.</w:t>
      </w:r>
    </w:p>
    <w:p w14:paraId="02742E6E" w14:textId="77777777" w:rsidR="00AF3805" w:rsidRPr="00181EF3" w:rsidRDefault="00AF3805" w:rsidP="00BA4884"/>
    <w:p w14:paraId="6B7BC25E" w14:textId="6EA51EB3" w:rsidR="00BA4884" w:rsidRPr="00181EF3" w:rsidRDefault="00BA4884" w:rsidP="00DA0709">
      <w:pPr>
        <w:pStyle w:val="Heading4"/>
      </w:pPr>
      <w:r w:rsidRPr="00181EF3">
        <w:t xml:space="preserve">The difference in lung cancer mortality rate between Māori and </w:t>
      </w:r>
      <w:r w:rsidR="00EC03A3">
        <w:t>non</w:t>
      </w:r>
      <w:r w:rsidR="00EC03A3">
        <w:noBreakHyphen/>
        <w:t>M</w:t>
      </w:r>
      <w:r w:rsidRPr="00181EF3">
        <w:t xml:space="preserve">āori </w:t>
      </w:r>
      <w:r w:rsidR="00EC03A3">
        <w:t>non</w:t>
      </w:r>
      <w:r w:rsidR="00EC03A3">
        <w:noBreakHyphen/>
        <w:t>P</w:t>
      </w:r>
      <w:r w:rsidRPr="00181EF3">
        <w:t>acific females decreased over time</w:t>
      </w:r>
    </w:p>
    <w:p w14:paraId="05DC8BDC" w14:textId="0B115987" w:rsidR="00BA4884" w:rsidRPr="00181EF3" w:rsidRDefault="00BA4884" w:rsidP="00BA4884">
      <w:r w:rsidRPr="00181EF3">
        <w:t xml:space="preserve">The age-standardised lung cancer mortality rate difference between Māori and </w:t>
      </w:r>
      <w:r w:rsidR="00EC03A3">
        <w:t>non</w:t>
      </w:r>
      <w:r w:rsidR="00EC03A3">
        <w:noBreakHyphen/>
        <w:t>M</w:t>
      </w:r>
      <w:r w:rsidRPr="00181EF3">
        <w:t xml:space="preserve">āori </w:t>
      </w:r>
      <w:r w:rsidR="00EC03A3">
        <w:t>non</w:t>
      </w:r>
      <w:r w:rsidR="00EC03A3">
        <w:noBreakHyphen/>
        <w:t>P</w:t>
      </w:r>
      <w:r w:rsidRPr="00181EF3">
        <w:t>acific females aged 25 years and over decreased by 14 percent over time. Māori females aged 25 years and over had 61.7 more deaths per 100,000 in 2001–03 and 53.0 more deaths per 100,000 in 2011–13.</w:t>
      </w:r>
    </w:p>
    <w:p w14:paraId="78EE2633" w14:textId="77777777" w:rsidR="00BA4884" w:rsidRPr="00181EF3" w:rsidRDefault="00BA4884" w:rsidP="00BA4884"/>
    <w:p w14:paraId="633C63F8" w14:textId="417CA2F1" w:rsidR="00BA4884" w:rsidRPr="00181EF3" w:rsidRDefault="00BA4884" w:rsidP="00BA4884">
      <w:r w:rsidRPr="00181EF3">
        <w:t xml:space="preserve">Māori females aged 25 years and over were about four times as likely to die from lung cancer as </w:t>
      </w:r>
      <w:r w:rsidR="00EC03A3">
        <w:t>non</w:t>
      </w:r>
      <w:r w:rsidR="00EC03A3">
        <w:noBreakHyphen/>
        <w:t>M</w:t>
      </w:r>
      <w:r w:rsidRPr="00181EF3">
        <w:t xml:space="preserve">āori </w:t>
      </w:r>
      <w:r w:rsidR="00EC03A3">
        <w:t>non</w:t>
      </w:r>
      <w:r w:rsidR="00EC03A3">
        <w:noBreakHyphen/>
        <w:t>P</w:t>
      </w:r>
      <w:r w:rsidRPr="00181EF3">
        <w:t>acific females at the same age group over time.</w:t>
      </w:r>
    </w:p>
    <w:p w14:paraId="1ED3FB3C" w14:textId="77777777" w:rsidR="00BA4884" w:rsidRPr="00181EF3" w:rsidRDefault="00BA4884" w:rsidP="00BA4884"/>
    <w:p w14:paraId="208A1B15" w14:textId="77777777" w:rsidR="00BA4884" w:rsidRPr="00181EF3" w:rsidRDefault="00BA4884" w:rsidP="00AF3805">
      <w:pPr>
        <w:pStyle w:val="Heading3"/>
        <w:pageBreakBefore/>
        <w:spacing w:before="0"/>
      </w:pPr>
      <w:bookmarkStart w:id="480" w:name="_Toc19102483"/>
      <w:r w:rsidRPr="00181EF3">
        <w:lastRenderedPageBreak/>
        <w:t>Colorectal cancer</w:t>
      </w:r>
      <w:bookmarkEnd w:id="480"/>
    </w:p>
    <w:p w14:paraId="6D3DB24B" w14:textId="66FB10D8" w:rsidR="00DA0709" w:rsidRDefault="00DA0709" w:rsidP="00DA0709">
      <w:pPr>
        <w:pStyle w:val="Figure"/>
      </w:pPr>
      <w:bookmarkStart w:id="481" w:name="_Toc19101999"/>
      <w:r w:rsidRPr="00181EF3">
        <w:t xml:space="preserve">Figure </w:t>
      </w:r>
      <w:r>
        <w:t>14</w:t>
      </w:r>
      <w:r w:rsidR="00572A9A">
        <w:t>8</w:t>
      </w:r>
      <w:r w:rsidRPr="00181EF3">
        <w:t>: Colorectal cancer registration rate</w:t>
      </w:r>
      <w:r>
        <w:t>s</w:t>
      </w:r>
      <w:r w:rsidRPr="00181EF3">
        <w:t xml:space="preserve">, </w:t>
      </w:r>
      <w:r>
        <w:t xml:space="preserve">25+ years, </w:t>
      </w:r>
      <w:r w:rsidRPr="00181EF3">
        <w:t xml:space="preserve">Māori and </w:t>
      </w:r>
      <w:r w:rsidR="00EC03A3">
        <w:t>non</w:t>
      </w:r>
      <w:r w:rsidR="00EC03A3">
        <w:noBreakHyphen/>
        <w:t>M</w:t>
      </w:r>
      <w:r w:rsidRPr="00181EF3">
        <w:t xml:space="preserve">āori </w:t>
      </w:r>
      <w:r w:rsidR="00EC03A3">
        <w:t>non</w:t>
      </w:r>
      <w:r w:rsidR="00EC03A3">
        <w:noBreakHyphen/>
        <w:t>P</w:t>
      </w:r>
      <w:r w:rsidRPr="00181EF3">
        <w:t>acific males</w:t>
      </w:r>
      <w:r>
        <w:t>,</w:t>
      </w:r>
      <w:r w:rsidRPr="00181EF3">
        <w:t xml:space="preserve"> 2001–03 to 2011–13</w:t>
      </w:r>
      <w:bookmarkEnd w:id="481"/>
    </w:p>
    <w:p w14:paraId="72EDD3E4" w14:textId="77777777" w:rsidR="00DA0709" w:rsidRPr="00473E70" w:rsidRDefault="00DA0709" w:rsidP="00DA0709">
      <w:r w:rsidRPr="00473E70">
        <w:rPr>
          <w:noProof/>
          <w:lang w:eastAsia="en-NZ"/>
        </w:rPr>
        <w:drawing>
          <wp:inline distT="0" distB="0" distL="0" distR="0" wp14:anchorId="11E1B406" wp14:editId="243594A0">
            <wp:extent cx="5130165" cy="2799119"/>
            <wp:effectExtent l="0" t="0" r="0" b="1270"/>
            <wp:docPr id="13" name="Picture 13" descr="Non-Māori men have a slightly higher rate of colorectal cancer than Māori men and the rates for both have decreased slightly over time." title="Figure 148: Colorectal cancer registration rate, Māori and non-Māori non-Pacific males aged 25 years and over, from 2001–03 to 20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5130165" cy="2799119"/>
                    </a:xfrm>
                    <a:prstGeom prst="rect">
                      <a:avLst/>
                    </a:prstGeom>
                  </pic:spPr>
                </pic:pic>
              </a:graphicData>
            </a:graphic>
          </wp:inline>
        </w:drawing>
      </w:r>
    </w:p>
    <w:p w14:paraId="28E6BA5B" w14:textId="77777777" w:rsidR="00DA0709" w:rsidRDefault="00DA0709" w:rsidP="00DA0709">
      <w:pPr>
        <w:pStyle w:val="Note"/>
      </w:pPr>
      <w:r w:rsidRPr="00181EF3">
        <w:t>Note</w:t>
      </w:r>
      <w:r>
        <w:t>s</w:t>
      </w:r>
      <w:r w:rsidRPr="00181EF3">
        <w:t>:</w:t>
      </w:r>
    </w:p>
    <w:p w14:paraId="4E2B60F2" w14:textId="28F3F279" w:rsidR="008A5642" w:rsidRDefault="00446D86" w:rsidP="00DA0709">
      <w:pPr>
        <w:pStyle w:val="Note"/>
      </w:pPr>
      <w:r>
        <w:t>Figures are age-standardised to the 2001 Census total Māori population</w:t>
      </w:r>
      <w:r w:rsidR="00DA0709" w:rsidRPr="00181EF3">
        <w:t>.</w:t>
      </w:r>
    </w:p>
    <w:p w14:paraId="192F8794" w14:textId="6C2E7AD6" w:rsidR="00DA0709" w:rsidRPr="00181EF3" w:rsidRDefault="00DA0709" w:rsidP="00DA0709">
      <w:pPr>
        <w:pStyle w:val="Note"/>
      </w:pPr>
      <w:r>
        <w:t>Prioritised ethnicity has been used.</w:t>
      </w:r>
    </w:p>
    <w:p w14:paraId="4F400420" w14:textId="77777777" w:rsidR="008A5642" w:rsidRDefault="00DA0709" w:rsidP="001C62E1">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3D0976D4" w14:textId="713311D5" w:rsidR="00DA0709" w:rsidRPr="00181EF3" w:rsidRDefault="00DA0709" w:rsidP="00DA0709">
      <w:pPr>
        <w:pStyle w:val="Source"/>
        <w:rPr>
          <w:rFonts w:eastAsia="Calibri"/>
        </w:rPr>
      </w:pPr>
      <w:r w:rsidRPr="00181EF3">
        <w:rPr>
          <w:rFonts w:eastAsia="Calibri"/>
        </w:rPr>
        <w:t>Source: New Zealand Cancer Registry (NZCR), Ministry of Health</w:t>
      </w:r>
      <w:r>
        <w:rPr>
          <w:rFonts w:eastAsia="Calibri"/>
        </w:rPr>
        <w:t xml:space="preserve">, </w:t>
      </w:r>
      <w:r>
        <w:t>2001</w:t>
      </w:r>
      <w:r w:rsidRPr="00181EF3">
        <w:t>–</w:t>
      </w:r>
      <w:r>
        <w:t>03</w:t>
      </w:r>
      <w:r w:rsidRPr="00181EF3">
        <w:t xml:space="preserve"> to 201</w:t>
      </w:r>
      <w:r>
        <w:t>1</w:t>
      </w:r>
      <w:r w:rsidRPr="00181EF3">
        <w:t>–1</w:t>
      </w:r>
      <w:r>
        <w:t>3</w:t>
      </w:r>
      <w:r w:rsidRPr="00181EF3">
        <w:rPr>
          <w:rFonts w:eastAsia="Calibri"/>
        </w:rPr>
        <w:t>.</w:t>
      </w:r>
    </w:p>
    <w:p w14:paraId="2F208759" w14:textId="77777777" w:rsidR="00DA0709" w:rsidRDefault="00DA0709" w:rsidP="00BA4884"/>
    <w:p w14:paraId="0DF51D21" w14:textId="1A0AC425" w:rsidR="00BA4884" w:rsidRDefault="00BA4884" w:rsidP="00BA4884">
      <w:r w:rsidRPr="00181EF3">
        <w:t xml:space="preserve">Figure </w:t>
      </w:r>
      <w:r w:rsidR="00DA0709">
        <w:t>14</w:t>
      </w:r>
      <w:r w:rsidR="001D6946">
        <w:t>8</w:t>
      </w:r>
      <w:r w:rsidRPr="00181EF3">
        <w:t xml:space="preserve"> shows that Māori males aged 25 years and over had a lower colorectal cancer registration rate than </w:t>
      </w:r>
      <w:r w:rsidR="00EC03A3">
        <w:t>non</w:t>
      </w:r>
      <w:r w:rsidR="00EC03A3">
        <w:noBreakHyphen/>
        <w:t>M</w:t>
      </w:r>
      <w:r w:rsidRPr="00181EF3">
        <w:t xml:space="preserve">āori </w:t>
      </w:r>
      <w:r w:rsidR="00EC03A3">
        <w:t>non</w:t>
      </w:r>
      <w:r w:rsidR="00EC03A3">
        <w:noBreakHyphen/>
        <w:t>P</w:t>
      </w:r>
      <w:r w:rsidRPr="00181EF3">
        <w:t>acific males at the same age group, after adjusting for age, and this remains the same over time.</w:t>
      </w:r>
    </w:p>
    <w:p w14:paraId="63EADBF5" w14:textId="77777777" w:rsidR="00AF3805" w:rsidRPr="00181EF3" w:rsidRDefault="00AF3805" w:rsidP="00BA4884"/>
    <w:p w14:paraId="0F6B2C85" w14:textId="77777777" w:rsidR="00BA4884" w:rsidRPr="00181EF3" w:rsidRDefault="00BA4884" w:rsidP="00DA0709">
      <w:pPr>
        <w:pStyle w:val="Heading4"/>
      </w:pPr>
      <w:r w:rsidRPr="00181EF3">
        <w:t>Colorectal cancer registration rate decreased over time for Māori males</w:t>
      </w:r>
    </w:p>
    <w:p w14:paraId="1D97A044" w14:textId="77777777" w:rsidR="00BA4884" w:rsidRPr="00181EF3" w:rsidRDefault="00BA4884" w:rsidP="00BA4884">
      <w:r w:rsidRPr="00181EF3">
        <w:t>The age-standardised colorectal cancer registration rates for Māori males aged 25 years and over decreased by 9 percent, from 50.1 registrations per 100,000 in</w:t>
      </w:r>
      <w:r w:rsidRPr="00181EF3">
        <w:br/>
        <w:t>2001–03 to 45.8 registrations per 100,000 in 2011–13.</w:t>
      </w:r>
    </w:p>
    <w:p w14:paraId="5CEC2226" w14:textId="77777777" w:rsidR="00BA4884" w:rsidRPr="00181EF3" w:rsidRDefault="00BA4884" w:rsidP="00BA4884"/>
    <w:p w14:paraId="69E6F6A6" w14:textId="493D7566" w:rsidR="00BA4884" w:rsidRDefault="00BA4884" w:rsidP="00BA4884">
      <w:r w:rsidRPr="00181EF3">
        <w:t xml:space="preserve">The age-standardised colorectal cancer registration rates for </w:t>
      </w:r>
      <w:r w:rsidR="00EC03A3">
        <w:t>non</w:t>
      </w:r>
      <w:r w:rsidR="00EC03A3">
        <w:noBreakHyphen/>
        <w:t>M</w:t>
      </w:r>
      <w:r w:rsidRPr="00181EF3">
        <w:t xml:space="preserve">āori </w:t>
      </w:r>
      <w:r w:rsidR="00EC03A3">
        <w:t>non</w:t>
      </w:r>
      <w:r w:rsidR="00EC03A3">
        <w:noBreakHyphen/>
        <w:t>P</w:t>
      </w:r>
      <w:r w:rsidRPr="00181EF3">
        <w:t>acific males at the same age group decreased by 11 percent, from 60.8 registrations per 100,000 in 2001–03 to 54.3 registrations per 100,000 in 2011–13.</w:t>
      </w:r>
    </w:p>
    <w:p w14:paraId="440532BA" w14:textId="77777777" w:rsidR="00AF3805" w:rsidRPr="00181EF3" w:rsidRDefault="00AF3805" w:rsidP="00BA4884"/>
    <w:p w14:paraId="5C913F41" w14:textId="4AF6124E" w:rsidR="00BA4884" w:rsidRPr="00181EF3" w:rsidRDefault="00BA4884" w:rsidP="00DA0709">
      <w:pPr>
        <w:pStyle w:val="Heading4"/>
      </w:pPr>
      <w:r w:rsidRPr="00181EF3">
        <w:lastRenderedPageBreak/>
        <w:t xml:space="preserve">The difference in colorectal cancer registration rate between Māori and </w:t>
      </w:r>
      <w:r w:rsidR="00EC03A3">
        <w:t>non</w:t>
      </w:r>
      <w:r w:rsidR="00EC03A3">
        <w:noBreakHyphen/>
        <w:t>M</w:t>
      </w:r>
      <w:r w:rsidRPr="00181EF3">
        <w:t xml:space="preserve">āori </w:t>
      </w:r>
      <w:r w:rsidR="00EC03A3">
        <w:t>non</w:t>
      </w:r>
      <w:r w:rsidR="00EC03A3">
        <w:noBreakHyphen/>
        <w:t>P</w:t>
      </w:r>
      <w:r w:rsidRPr="00181EF3">
        <w:t>acific males has not changed much over time</w:t>
      </w:r>
    </w:p>
    <w:p w14:paraId="4B34919B" w14:textId="0DA420C1" w:rsidR="00BA4884" w:rsidRPr="00181EF3" w:rsidRDefault="00BA4884" w:rsidP="00AF3805">
      <w:pPr>
        <w:keepLines/>
      </w:pPr>
      <w:r w:rsidRPr="00181EF3">
        <w:t xml:space="preserve">The age-standardised colorectal cancer registration rate difference between Māori and </w:t>
      </w:r>
      <w:r w:rsidR="00EC03A3">
        <w:t>non</w:t>
      </w:r>
      <w:r w:rsidR="00EC03A3">
        <w:noBreakHyphen/>
        <w:t>M</w:t>
      </w:r>
      <w:r w:rsidRPr="00181EF3">
        <w:t xml:space="preserve">āori </w:t>
      </w:r>
      <w:r w:rsidR="00EC03A3">
        <w:t>non</w:t>
      </w:r>
      <w:r w:rsidR="00EC03A3">
        <w:noBreakHyphen/>
        <w:t>P</w:t>
      </w:r>
      <w:r w:rsidRPr="00181EF3">
        <w:t>acific males aged 25 years has remained relatively constant over time. Māori males aged 25 years and over had 10.7 fewer registrations per 100,000 in</w:t>
      </w:r>
      <w:r w:rsidRPr="00181EF3">
        <w:br/>
        <w:t>2001–03 and 8.5 fewer registrations per 100,000 in 2011–13.</w:t>
      </w:r>
    </w:p>
    <w:p w14:paraId="3AC2BDDA" w14:textId="77777777" w:rsidR="00BA4884" w:rsidRPr="00181EF3" w:rsidRDefault="00BA4884" w:rsidP="00BA4884"/>
    <w:p w14:paraId="5BFA262A" w14:textId="683F76B0" w:rsidR="00BA4884" w:rsidRPr="00181EF3" w:rsidRDefault="00BA4884" w:rsidP="00BA4884">
      <w:r w:rsidRPr="00181EF3">
        <w:t xml:space="preserve">Māori males aged 25 years over had a lower colorectal cancer registration rate than </w:t>
      </w:r>
      <w:r w:rsidR="00EC03A3">
        <w:t>non</w:t>
      </w:r>
      <w:r w:rsidR="00EC03A3">
        <w:noBreakHyphen/>
        <w:t>M</w:t>
      </w:r>
      <w:r w:rsidRPr="00181EF3">
        <w:t xml:space="preserve">āori </w:t>
      </w:r>
      <w:r w:rsidR="00EC03A3">
        <w:t>non</w:t>
      </w:r>
      <w:r w:rsidR="00EC03A3">
        <w:noBreakHyphen/>
        <w:t>P</w:t>
      </w:r>
      <w:r w:rsidRPr="00181EF3">
        <w:t>acific males at the same age group over time.</w:t>
      </w:r>
    </w:p>
    <w:p w14:paraId="26970E86" w14:textId="77777777" w:rsidR="00BA4884" w:rsidRPr="00181EF3" w:rsidRDefault="00BA4884" w:rsidP="00BA4884"/>
    <w:p w14:paraId="0C14E86D" w14:textId="591B7578" w:rsidR="00DA0709" w:rsidRDefault="00DA0709" w:rsidP="00DA0709">
      <w:pPr>
        <w:pStyle w:val="Figure"/>
      </w:pPr>
      <w:bookmarkStart w:id="482" w:name="_Toc19102000"/>
      <w:r w:rsidRPr="00181EF3">
        <w:t>Figure 1</w:t>
      </w:r>
      <w:r>
        <w:t>4</w:t>
      </w:r>
      <w:r w:rsidR="00572A9A">
        <w:t>9</w:t>
      </w:r>
      <w:r w:rsidRPr="00181EF3">
        <w:t>: Colorectal cancer registration rate</w:t>
      </w:r>
      <w:r>
        <w:t>s</w:t>
      </w:r>
      <w:r w:rsidRPr="00181EF3">
        <w:t xml:space="preserve">, </w:t>
      </w:r>
      <w:r>
        <w:t xml:space="preserve">25+ years, </w:t>
      </w:r>
      <w:r w:rsidRPr="00181EF3">
        <w:t xml:space="preserve">Māori and </w:t>
      </w:r>
      <w:r w:rsidR="00EC03A3">
        <w:t>non</w:t>
      </w:r>
      <w:r w:rsidR="00EC03A3">
        <w:noBreakHyphen/>
        <w:t>M</w:t>
      </w:r>
      <w:r w:rsidRPr="00181EF3">
        <w:t xml:space="preserve">āori </w:t>
      </w:r>
      <w:r w:rsidR="00EC03A3">
        <w:t>non</w:t>
      </w:r>
      <w:r w:rsidR="00EC03A3">
        <w:noBreakHyphen/>
        <w:t>P</w:t>
      </w:r>
      <w:r w:rsidRPr="00181EF3">
        <w:t>acific females</w:t>
      </w:r>
      <w:r>
        <w:t>,</w:t>
      </w:r>
      <w:r w:rsidRPr="00181EF3">
        <w:t xml:space="preserve"> 2001–03 to 2011–13</w:t>
      </w:r>
      <w:bookmarkEnd w:id="482"/>
    </w:p>
    <w:p w14:paraId="1925447D" w14:textId="77777777" w:rsidR="00DA0709" w:rsidRPr="00473E70" w:rsidRDefault="00DA0709" w:rsidP="00DA0709">
      <w:r w:rsidRPr="00473E70">
        <w:rPr>
          <w:noProof/>
          <w:lang w:eastAsia="en-NZ"/>
        </w:rPr>
        <w:drawing>
          <wp:inline distT="0" distB="0" distL="0" distR="0" wp14:anchorId="6A6E58A4" wp14:editId="35EA9514">
            <wp:extent cx="5130165" cy="2799119"/>
            <wp:effectExtent l="0" t="0" r="0" b="1270"/>
            <wp:docPr id="14" name="Picture 14" descr="Non-Māori women have a higher rate of colorectal cancer registration than Māori women. The rate for non-Māori women has gone down slightly while the rate for Māori women has remained relatively steady." title="Figure 149: Colorectal cancer registration rate, Māori and non-Māori non-Pacific females aged 25 years and over, from 2001–03 to 20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5130165" cy="2799119"/>
                    </a:xfrm>
                    <a:prstGeom prst="rect">
                      <a:avLst/>
                    </a:prstGeom>
                  </pic:spPr>
                </pic:pic>
              </a:graphicData>
            </a:graphic>
          </wp:inline>
        </w:drawing>
      </w:r>
    </w:p>
    <w:p w14:paraId="45C12D4D" w14:textId="77777777" w:rsidR="00DA0709" w:rsidRDefault="00DA0709" w:rsidP="00DA0709">
      <w:pPr>
        <w:pStyle w:val="Note"/>
      </w:pPr>
      <w:r w:rsidRPr="00181EF3">
        <w:t>Note</w:t>
      </w:r>
      <w:r>
        <w:t>s</w:t>
      </w:r>
      <w:r w:rsidRPr="00181EF3">
        <w:t>:</w:t>
      </w:r>
    </w:p>
    <w:p w14:paraId="0861EEB7" w14:textId="599D45EC" w:rsidR="008A5642" w:rsidRDefault="00446D86" w:rsidP="00DA0709">
      <w:pPr>
        <w:pStyle w:val="Note"/>
      </w:pPr>
      <w:r>
        <w:t>Figures are age-standardised to the 2001 Census total Māori population</w:t>
      </w:r>
      <w:r w:rsidR="00DA0709" w:rsidRPr="00181EF3">
        <w:t>.</w:t>
      </w:r>
    </w:p>
    <w:p w14:paraId="07D306E9" w14:textId="65EB211B" w:rsidR="00DA0709" w:rsidRPr="00181EF3" w:rsidRDefault="00DA0709" w:rsidP="00DA0709">
      <w:pPr>
        <w:pStyle w:val="Note"/>
      </w:pPr>
      <w:r>
        <w:t>Prioritised ethnicity has been used.</w:t>
      </w:r>
    </w:p>
    <w:p w14:paraId="6126A79B" w14:textId="77777777" w:rsidR="008A5642" w:rsidRDefault="00DA0709" w:rsidP="001C62E1">
      <w:pPr>
        <w:pStyle w:val="Note"/>
        <w:ind w:left="0" w:firstLine="0"/>
      </w:pPr>
      <w:r w:rsidRPr="00181EF3">
        <w:t xml:space="preserve">If the </w:t>
      </w:r>
      <w:r w:rsidRPr="001C62E1">
        <w:t>confidence</w:t>
      </w:r>
      <w:r w:rsidRPr="00181EF3">
        <w:t xml:space="preserv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77400F4F" w14:textId="300F9728" w:rsidR="00DA0709" w:rsidRPr="00181EF3" w:rsidRDefault="00DA0709" w:rsidP="00DA0709">
      <w:pPr>
        <w:pStyle w:val="Source"/>
        <w:rPr>
          <w:rFonts w:eastAsia="Calibri"/>
        </w:rPr>
      </w:pPr>
      <w:r w:rsidRPr="00181EF3">
        <w:rPr>
          <w:rFonts w:eastAsia="Calibri"/>
        </w:rPr>
        <w:t>Source: New Zealand Cancer Registry (NZCR), Ministry of Health</w:t>
      </w:r>
      <w:r>
        <w:rPr>
          <w:rFonts w:eastAsia="Calibri"/>
        </w:rPr>
        <w:t xml:space="preserve">, </w:t>
      </w:r>
      <w:r>
        <w:t>2001</w:t>
      </w:r>
      <w:r w:rsidRPr="00181EF3">
        <w:t>–</w:t>
      </w:r>
      <w:r>
        <w:t>03</w:t>
      </w:r>
      <w:r w:rsidRPr="00181EF3">
        <w:t xml:space="preserve"> to 201</w:t>
      </w:r>
      <w:r>
        <w:t>1</w:t>
      </w:r>
      <w:r w:rsidRPr="00181EF3">
        <w:t>–1</w:t>
      </w:r>
      <w:r>
        <w:t>3</w:t>
      </w:r>
      <w:r w:rsidRPr="00181EF3">
        <w:rPr>
          <w:rFonts w:eastAsia="Calibri"/>
        </w:rPr>
        <w:t>.</w:t>
      </w:r>
    </w:p>
    <w:p w14:paraId="6F984926" w14:textId="77777777" w:rsidR="00BA4884" w:rsidRPr="00181EF3" w:rsidRDefault="00BA4884" w:rsidP="00BA4884"/>
    <w:p w14:paraId="403B35F5" w14:textId="467A3B10" w:rsidR="00BA4884" w:rsidRDefault="00BA4884" w:rsidP="00BA4884">
      <w:r w:rsidRPr="00181EF3">
        <w:t>Figure 1</w:t>
      </w:r>
      <w:r w:rsidR="00DA0709">
        <w:t>4</w:t>
      </w:r>
      <w:r w:rsidR="001D6946">
        <w:t>9</w:t>
      </w:r>
      <w:r w:rsidRPr="00181EF3">
        <w:t xml:space="preserve"> shows that Māori females aged 25 years and over had a lower colorectal cancer registration rate than </w:t>
      </w:r>
      <w:r w:rsidR="00EC03A3">
        <w:t>non</w:t>
      </w:r>
      <w:r w:rsidR="00EC03A3">
        <w:noBreakHyphen/>
        <w:t>M</w:t>
      </w:r>
      <w:r w:rsidRPr="00181EF3">
        <w:t xml:space="preserve">āori </w:t>
      </w:r>
      <w:r w:rsidR="00EC03A3">
        <w:t>non</w:t>
      </w:r>
      <w:r w:rsidR="00EC03A3">
        <w:noBreakHyphen/>
        <w:t>P</w:t>
      </w:r>
      <w:r w:rsidRPr="00181EF3">
        <w:t>acific females at the same age group over time.</w:t>
      </w:r>
    </w:p>
    <w:p w14:paraId="5AF6EC65" w14:textId="77777777" w:rsidR="00AF3805" w:rsidRPr="00181EF3" w:rsidRDefault="00AF3805" w:rsidP="00BA4884"/>
    <w:p w14:paraId="3A91DB49" w14:textId="77777777" w:rsidR="00BA4884" w:rsidRPr="00181EF3" w:rsidRDefault="00BA4884" w:rsidP="00DA0709">
      <w:pPr>
        <w:pStyle w:val="Heading4"/>
      </w:pPr>
      <w:r w:rsidRPr="00181EF3">
        <w:t>Colorectal cancer registration rate decreased over time for Māori females</w:t>
      </w:r>
    </w:p>
    <w:p w14:paraId="08964CD9" w14:textId="77777777" w:rsidR="00BA4884" w:rsidRPr="00181EF3" w:rsidRDefault="00BA4884" w:rsidP="00BA4884">
      <w:r w:rsidRPr="00181EF3">
        <w:t>The age-standardised colorectal cancer registration rates for Māori females aged 25 years and over decreased by 6 percent, from 35.2 registrations per 100,000 in</w:t>
      </w:r>
      <w:r w:rsidRPr="00181EF3">
        <w:br/>
        <w:t>2001–03 to 33.0 registrations per 100,000 in 2011–13.</w:t>
      </w:r>
    </w:p>
    <w:p w14:paraId="090EE5B2" w14:textId="77777777" w:rsidR="00BA4884" w:rsidRPr="00181EF3" w:rsidRDefault="00BA4884" w:rsidP="00BA4884"/>
    <w:p w14:paraId="1B8E8E5F" w14:textId="3B2B2C64" w:rsidR="00BA4884" w:rsidRDefault="00BA4884" w:rsidP="00BA4884">
      <w:r w:rsidRPr="00181EF3">
        <w:lastRenderedPageBreak/>
        <w:t xml:space="preserve">The age-standardised colorectal cancer registration rates for </w:t>
      </w:r>
      <w:r w:rsidR="00EC03A3">
        <w:t>non</w:t>
      </w:r>
      <w:r w:rsidR="00EC03A3">
        <w:noBreakHyphen/>
        <w:t>M</w:t>
      </w:r>
      <w:r w:rsidRPr="00181EF3">
        <w:t xml:space="preserve">āori </w:t>
      </w:r>
      <w:r w:rsidR="00EC03A3">
        <w:t>non</w:t>
      </w:r>
      <w:r w:rsidR="00EC03A3">
        <w:noBreakHyphen/>
        <w:t>P</w:t>
      </w:r>
      <w:r w:rsidRPr="00181EF3">
        <w:t>acific females at the same age group decreased by 14 percent, from 49.1 registrations per 100,000 in 2001–03 to 42.0 registrations per 100,000 in 2011–13.</w:t>
      </w:r>
    </w:p>
    <w:p w14:paraId="4DD7CB43" w14:textId="77777777" w:rsidR="00AF3805" w:rsidRPr="00181EF3" w:rsidRDefault="00AF3805" w:rsidP="00BA4884"/>
    <w:p w14:paraId="46F88889" w14:textId="3EF6860D" w:rsidR="00BA4884" w:rsidRPr="00181EF3" w:rsidRDefault="00BA4884" w:rsidP="00DA0709">
      <w:pPr>
        <w:pStyle w:val="Heading4"/>
      </w:pPr>
      <w:r w:rsidRPr="00181EF3">
        <w:t xml:space="preserve">The difference in colorectal cancer registration rate between Māori and </w:t>
      </w:r>
      <w:r w:rsidR="00EC03A3">
        <w:t>non</w:t>
      </w:r>
      <w:r w:rsidR="00EC03A3">
        <w:noBreakHyphen/>
        <w:t>M</w:t>
      </w:r>
      <w:r w:rsidRPr="00181EF3">
        <w:t xml:space="preserve">āori </w:t>
      </w:r>
      <w:r w:rsidR="00EC03A3">
        <w:t>non</w:t>
      </w:r>
      <w:r w:rsidR="00EC03A3">
        <w:noBreakHyphen/>
        <w:t>P</w:t>
      </w:r>
      <w:r w:rsidRPr="00181EF3">
        <w:t>acific females decreased over time</w:t>
      </w:r>
    </w:p>
    <w:p w14:paraId="479AC82F" w14:textId="0C1F90CD" w:rsidR="00BA4884" w:rsidRPr="00181EF3" w:rsidRDefault="00BA4884" w:rsidP="00BA4884">
      <w:r w:rsidRPr="00181EF3">
        <w:t xml:space="preserve">The age-standardised colorectal cancer registration rate difference between Māori and </w:t>
      </w:r>
      <w:r w:rsidR="00EC03A3">
        <w:t>non</w:t>
      </w:r>
      <w:r w:rsidR="00EC03A3">
        <w:noBreakHyphen/>
        <w:t>M</w:t>
      </w:r>
      <w:r w:rsidRPr="00181EF3">
        <w:t xml:space="preserve">āori </w:t>
      </w:r>
      <w:r w:rsidR="00EC03A3">
        <w:t>non</w:t>
      </w:r>
      <w:r w:rsidR="00EC03A3">
        <w:noBreakHyphen/>
        <w:t>P</w:t>
      </w:r>
      <w:r w:rsidRPr="00181EF3">
        <w:t>acific females aged 25 years and over decreased by 35 percent over time. Māori females aged 25 years and over had 13.9 fewer registrations per 100,000 in 2001–03 and 9.0 fewer registrations per 100,000 in 2011–13.</w:t>
      </w:r>
    </w:p>
    <w:p w14:paraId="17FE99CE" w14:textId="77777777" w:rsidR="00BA4884" w:rsidRPr="00181EF3" w:rsidRDefault="00BA4884" w:rsidP="00BA4884"/>
    <w:p w14:paraId="1D5F2870" w14:textId="2F69BA02" w:rsidR="00BA4884" w:rsidRPr="00181EF3" w:rsidRDefault="00BA4884" w:rsidP="00BA4884">
      <w:r w:rsidRPr="00181EF3">
        <w:t xml:space="preserve">Māori females aged 25 years over had a significantly lower colorectal cancer registration rate than </w:t>
      </w:r>
      <w:r w:rsidR="00EC03A3">
        <w:t>non</w:t>
      </w:r>
      <w:r w:rsidR="00EC03A3">
        <w:noBreakHyphen/>
        <w:t>M</w:t>
      </w:r>
      <w:r w:rsidRPr="00181EF3">
        <w:t xml:space="preserve">āori </w:t>
      </w:r>
      <w:r w:rsidR="00EC03A3">
        <w:t>non</w:t>
      </w:r>
      <w:r w:rsidR="00EC03A3">
        <w:noBreakHyphen/>
        <w:t>P</w:t>
      </w:r>
      <w:r w:rsidRPr="00181EF3">
        <w:t>acific females at the same age group over time.</w:t>
      </w:r>
    </w:p>
    <w:p w14:paraId="669F17CB" w14:textId="77777777" w:rsidR="00BA4884" w:rsidRPr="00181EF3" w:rsidRDefault="00BA4884" w:rsidP="00BA4884"/>
    <w:p w14:paraId="0060AF0D" w14:textId="1423DCF3" w:rsidR="00DA0709" w:rsidRDefault="00DA0709" w:rsidP="00DA0709">
      <w:pPr>
        <w:pStyle w:val="Figure"/>
      </w:pPr>
      <w:bookmarkStart w:id="483" w:name="_Toc19102001"/>
      <w:r w:rsidRPr="00181EF3">
        <w:t>Figure 1</w:t>
      </w:r>
      <w:r w:rsidR="00572A9A">
        <w:t>50</w:t>
      </w:r>
      <w:r w:rsidRPr="00181EF3">
        <w:t>: Colorectal cancer mortality rate</w:t>
      </w:r>
      <w:r>
        <w:t>s</w:t>
      </w:r>
      <w:r w:rsidRPr="00181EF3">
        <w:t xml:space="preserve">, </w:t>
      </w:r>
      <w:r>
        <w:t xml:space="preserve">25+ years, </w:t>
      </w:r>
      <w:r w:rsidRPr="00181EF3">
        <w:t xml:space="preserve">Māori and </w:t>
      </w:r>
      <w:r w:rsidR="00EC03A3">
        <w:t>non</w:t>
      </w:r>
      <w:r w:rsidR="00EC03A3">
        <w:noBreakHyphen/>
        <w:t>M</w:t>
      </w:r>
      <w:r w:rsidRPr="00181EF3">
        <w:t xml:space="preserve">āori </w:t>
      </w:r>
      <w:r w:rsidR="00EC03A3">
        <w:t>non</w:t>
      </w:r>
      <w:r w:rsidR="00EC03A3">
        <w:noBreakHyphen/>
        <w:t>P</w:t>
      </w:r>
      <w:r w:rsidRPr="00181EF3">
        <w:t>acific males</w:t>
      </w:r>
      <w:r>
        <w:t>,</w:t>
      </w:r>
      <w:r w:rsidRPr="00181EF3">
        <w:t xml:space="preserve"> 2001–03 to 2011–13</w:t>
      </w:r>
      <w:bookmarkEnd w:id="483"/>
    </w:p>
    <w:p w14:paraId="18283335" w14:textId="77777777" w:rsidR="00DA0709" w:rsidRPr="00473E70" w:rsidRDefault="00DA0709" w:rsidP="00DA0709">
      <w:r w:rsidRPr="00473E70">
        <w:rPr>
          <w:noProof/>
          <w:lang w:eastAsia="en-NZ"/>
        </w:rPr>
        <w:drawing>
          <wp:inline distT="0" distB="0" distL="0" distR="0" wp14:anchorId="3B976552" wp14:editId="1567913B">
            <wp:extent cx="5130165" cy="2799119"/>
            <wp:effectExtent l="0" t="0" r="0" b="1270"/>
            <wp:docPr id="15" name="Picture 15" descr="Māori men and non-Māori men have a very similar rate of death from colorectal cancer, which has slightly decreased over time." title="Figure 150: Colorectal cancer mortality rate, Māori and non-Māori non-Pacific males aged 25 years and over, from 2001–03 to 20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5130165" cy="2799119"/>
                    </a:xfrm>
                    <a:prstGeom prst="rect">
                      <a:avLst/>
                    </a:prstGeom>
                  </pic:spPr>
                </pic:pic>
              </a:graphicData>
            </a:graphic>
          </wp:inline>
        </w:drawing>
      </w:r>
    </w:p>
    <w:p w14:paraId="5941358C" w14:textId="77777777" w:rsidR="00DA0709" w:rsidRDefault="00DA0709" w:rsidP="00DA0709">
      <w:pPr>
        <w:pStyle w:val="Note"/>
      </w:pPr>
      <w:r w:rsidRPr="00181EF3">
        <w:t>Note</w:t>
      </w:r>
      <w:r>
        <w:t>s</w:t>
      </w:r>
      <w:r w:rsidRPr="00181EF3">
        <w:t>:</w:t>
      </w:r>
    </w:p>
    <w:p w14:paraId="3D5694A1" w14:textId="1BE30B89" w:rsidR="008A5642" w:rsidRDefault="00446D86" w:rsidP="00DA0709">
      <w:pPr>
        <w:pStyle w:val="Note"/>
      </w:pPr>
      <w:r>
        <w:t>Figures are age-standardised to the 2001 Census total Māori population</w:t>
      </w:r>
      <w:r w:rsidR="00DA0709" w:rsidRPr="00181EF3">
        <w:t>.</w:t>
      </w:r>
    </w:p>
    <w:p w14:paraId="3EFD5099" w14:textId="22F8C97D" w:rsidR="00DA0709" w:rsidRPr="00181EF3" w:rsidRDefault="00DA0709" w:rsidP="00DA0709">
      <w:pPr>
        <w:pStyle w:val="Note"/>
      </w:pPr>
      <w:r>
        <w:t>Prioritised ethnicity has been used.</w:t>
      </w:r>
    </w:p>
    <w:p w14:paraId="75D3E352" w14:textId="77777777" w:rsidR="008A5642" w:rsidRDefault="00DA0709" w:rsidP="001C62E1">
      <w:pPr>
        <w:pStyle w:val="Note"/>
        <w:ind w:left="0" w:firstLine="0"/>
      </w:pPr>
      <w:r w:rsidRPr="00181EF3">
        <w:t xml:space="preserve">If the </w:t>
      </w:r>
      <w:r w:rsidRPr="001C62E1">
        <w:t>confidence</w:t>
      </w:r>
      <w:r w:rsidRPr="00181EF3">
        <w:t xml:space="preserv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6C4A220E" w14:textId="3D90C49F" w:rsidR="00DA0709" w:rsidRPr="00181EF3" w:rsidRDefault="00DA0709" w:rsidP="00DA0709">
      <w:pPr>
        <w:pStyle w:val="Source"/>
        <w:rPr>
          <w:rFonts w:eastAsia="Calibri"/>
        </w:rPr>
      </w:pPr>
      <w:r w:rsidRPr="00181EF3">
        <w:rPr>
          <w:rFonts w:eastAsia="Calibri"/>
        </w:rPr>
        <w:t>Source: Mortality Collection Data Set (MORT), Ministry of Health</w:t>
      </w:r>
      <w:r>
        <w:rPr>
          <w:rFonts w:eastAsia="Calibri"/>
        </w:rPr>
        <w:t xml:space="preserve">, </w:t>
      </w:r>
      <w:r>
        <w:t>2001</w:t>
      </w:r>
      <w:r w:rsidRPr="00181EF3">
        <w:t>–</w:t>
      </w:r>
      <w:r>
        <w:t>03</w:t>
      </w:r>
      <w:r w:rsidRPr="00181EF3">
        <w:t xml:space="preserve"> to 201</w:t>
      </w:r>
      <w:r>
        <w:t>1</w:t>
      </w:r>
      <w:r w:rsidRPr="00181EF3">
        <w:t>–1</w:t>
      </w:r>
      <w:r>
        <w:t>3</w:t>
      </w:r>
      <w:r w:rsidRPr="00181EF3">
        <w:rPr>
          <w:rFonts w:eastAsia="Calibri"/>
        </w:rPr>
        <w:t>.</w:t>
      </w:r>
    </w:p>
    <w:p w14:paraId="730966EC" w14:textId="77777777" w:rsidR="00DA0709" w:rsidRDefault="00DA0709" w:rsidP="00AF3805"/>
    <w:p w14:paraId="4ABE650B" w14:textId="1BD1CCB3" w:rsidR="00BA4884" w:rsidRDefault="00BA4884" w:rsidP="00AF3805">
      <w:r w:rsidRPr="00181EF3">
        <w:t xml:space="preserve">Māori males aged 25 years and over had a lower colorectal cancer registration rate than </w:t>
      </w:r>
      <w:r w:rsidR="00EC03A3">
        <w:t>non</w:t>
      </w:r>
      <w:r w:rsidR="00EC03A3">
        <w:noBreakHyphen/>
        <w:t>M</w:t>
      </w:r>
      <w:r w:rsidRPr="00181EF3">
        <w:t xml:space="preserve">āori </w:t>
      </w:r>
      <w:r w:rsidR="00EC03A3">
        <w:t>non</w:t>
      </w:r>
      <w:r w:rsidR="00EC03A3">
        <w:noBreakHyphen/>
        <w:t>P</w:t>
      </w:r>
      <w:r w:rsidRPr="00181EF3">
        <w:t xml:space="preserve">acific males at the same age group (Figure </w:t>
      </w:r>
      <w:r w:rsidR="00DA0709">
        <w:t>14</w:t>
      </w:r>
      <w:r w:rsidR="00B74586">
        <w:t>8</w:t>
      </w:r>
      <w:r w:rsidRPr="00181EF3">
        <w:t xml:space="preserve">), but Māori males aged 25 years and over had a similar colorectal cancer mortality rate to </w:t>
      </w:r>
      <w:r w:rsidR="00EC03A3">
        <w:t>non</w:t>
      </w:r>
      <w:r w:rsidR="00EC03A3">
        <w:noBreakHyphen/>
        <w:t>M</w:t>
      </w:r>
      <w:r w:rsidRPr="00181EF3">
        <w:t xml:space="preserve">āori </w:t>
      </w:r>
      <w:r w:rsidR="00EC03A3">
        <w:t>non</w:t>
      </w:r>
      <w:r w:rsidR="00EC03A3">
        <w:noBreakHyphen/>
        <w:t>P</w:t>
      </w:r>
      <w:r w:rsidRPr="00181EF3">
        <w:t>acific males at the same age group over time (Figure 1</w:t>
      </w:r>
      <w:r w:rsidR="00B74586">
        <w:t>50</w:t>
      </w:r>
      <w:r w:rsidRPr="00181EF3">
        <w:t>).</w:t>
      </w:r>
    </w:p>
    <w:p w14:paraId="6A9DAABF" w14:textId="77777777" w:rsidR="00AF3805" w:rsidRPr="00181EF3" w:rsidRDefault="00AF3805" w:rsidP="00AF3805"/>
    <w:p w14:paraId="053733D6" w14:textId="77777777" w:rsidR="00BA4884" w:rsidRPr="00181EF3" w:rsidRDefault="00BA4884" w:rsidP="00DA0709">
      <w:pPr>
        <w:pStyle w:val="Heading4"/>
      </w:pPr>
      <w:r w:rsidRPr="00181EF3">
        <w:lastRenderedPageBreak/>
        <w:t>Colorectal cancer mortality rate decreased over time for Māori males</w:t>
      </w:r>
    </w:p>
    <w:p w14:paraId="31CC4E3E" w14:textId="77777777" w:rsidR="00BA4884" w:rsidRPr="00181EF3" w:rsidRDefault="00BA4884" w:rsidP="00BA4884">
      <w:r w:rsidRPr="00181EF3">
        <w:t>The age-standardised colorectal cancer mortality rates for Māori males aged 25 years and over decreased by 20 percent, from 24.8 deaths per 100,000 in 2001–03 to 19.9 deaths per 100,000 in 2011–13.</w:t>
      </w:r>
    </w:p>
    <w:p w14:paraId="05E26E87" w14:textId="77777777" w:rsidR="00BA4884" w:rsidRPr="00181EF3" w:rsidRDefault="00BA4884" w:rsidP="00BA4884"/>
    <w:p w14:paraId="5AB6E7E4" w14:textId="3737049C" w:rsidR="00BA4884" w:rsidRDefault="00BA4884" w:rsidP="00BA4884">
      <w:r w:rsidRPr="00181EF3">
        <w:t xml:space="preserve">The age-standardised colorectal cancer mortality rates for </w:t>
      </w:r>
      <w:r w:rsidR="00EC03A3">
        <w:t>non</w:t>
      </w:r>
      <w:r w:rsidR="00EC03A3">
        <w:noBreakHyphen/>
        <w:t>M</w:t>
      </w:r>
      <w:r w:rsidRPr="00181EF3">
        <w:t xml:space="preserve">āori </w:t>
      </w:r>
      <w:r w:rsidR="00EC03A3">
        <w:t>non</w:t>
      </w:r>
      <w:r w:rsidR="00EC03A3">
        <w:noBreakHyphen/>
        <w:t>P</w:t>
      </w:r>
      <w:r w:rsidRPr="00181EF3">
        <w:t>acific males at the same age group decreased by 22 percent, from 23.5 deaths per 100,000 in</w:t>
      </w:r>
      <w:r w:rsidRPr="00181EF3">
        <w:br/>
        <w:t>2001–03 to 18.3 deaths per 100,000 in 2011–13.</w:t>
      </w:r>
    </w:p>
    <w:p w14:paraId="3DAC4052" w14:textId="77777777" w:rsidR="00AF3805" w:rsidRPr="00181EF3" w:rsidRDefault="00AF3805" w:rsidP="00BA4884"/>
    <w:p w14:paraId="35EAEE2B" w14:textId="486E12E8" w:rsidR="00BA4884" w:rsidRPr="00181EF3" w:rsidRDefault="00BA4884" w:rsidP="00DA0709">
      <w:pPr>
        <w:pStyle w:val="Heading4"/>
      </w:pPr>
      <w:r w:rsidRPr="00181EF3">
        <w:t xml:space="preserve">The difference in colorectal cancer mortality rate between Māori and </w:t>
      </w:r>
      <w:r w:rsidR="00EC03A3">
        <w:t>non</w:t>
      </w:r>
      <w:r w:rsidR="00EC03A3">
        <w:noBreakHyphen/>
        <w:t>M</w:t>
      </w:r>
      <w:r w:rsidRPr="00181EF3">
        <w:t xml:space="preserve">āori </w:t>
      </w:r>
      <w:r w:rsidR="00EC03A3">
        <w:t>non</w:t>
      </w:r>
      <w:r w:rsidR="00EC03A3">
        <w:noBreakHyphen/>
        <w:t>P</w:t>
      </w:r>
      <w:r w:rsidRPr="00181EF3">
        <w:t>acific males remained similar over time</w:t>
      </w:r>
    </w:p>
    <w:p w14:paraId="10BFC762" w14:textId="1A1B1ADF" w:rsidR="00BA4884" w:rsidRPr="00181EF3" w:rsidRDefault="00BA4884" w:rsidP="00BA4884">
      <w:r w:rsidRPr="00181EF3">
        <w:t xml:space="preserve">The age-standardised colorectal cancer mortality rate difference between Māori and </w:t>
      </w:r>
      <w:r w:rsidR="00EC03A3">
        <w:t>non</w:t>
      </w:r>
      <w:r w:rsidR="00EC03A3">
        <w:noBreakHyphen/>
        <w:t>M</w:t>
      </w:r>
      <w:r w:rsidRPr="00181EF3">
        <w:t xml:space="preserve">āori </w:t>
      </w:r>
      <w:r w:rsidR="00EC03A3">
        <w:t>non</w:t>
      </w:r>
      <w:r w:rsidR="00EC03A3">
        <w:noBreakHyphen/>
        <w:t>P</w:t>
      </w:r>
      <w:r w:rsidRPr="00181EF3">
        <w:t>acific males aged 25 years remained similar over time. Māori males aged 25 years and over had 1.3 more deaths per 100,000 in 2001–03 and 1.6 more deaths per 100,000 in 2011–13.</w:t>
      </w:r>
    </w:p>
    <w:p w14:paraId="2850B353" w14:textId="77777777" w:rsidR="00BA4884" w:rsidRPr="00181EF3" w:rsidRDefault="00BA4884" w:rsidP="00BA4884"/>
    <w:p w14:paraId="3AFC3DE3" w14:textId="3BE79069" w:rsidR="00BA4884" w:rsidRPr="00181EF3" w:rsidRDefault="00BA4884" w:rsidP="00BA4884">
      <w:r w:rsidRPr="00181EF3">
        <w:t xml:space="preserve">The absolute difference was around five fewer deaths in each ethnic group per 100,000. There was no significant difference in colorectal mortality rates between Māori males aged 25 years and over and </w:t>
      </w:r>
      <w:r w:rsidR="00EC03A3">
        <w:t>non</w:t>
      </w:r>
      <w:r w:rsidR="00EC03A3">
        <w:noBreakHyphen/>
        <w:t>M</w:t>
      </w:r>
      <w:r w:rsidRPr="00181EF3">
        <w:t xml:space="preserve">āori </w:t>
      </w:r>
      <w:r w:rsidR="00EC03A3">
        <w:t>non</w:t>
      </w:r>
      <w:r w:rsidR="00EC03A3">
        <w:noBreakHyphen/>
        <w:t>P</w:t>
      </w:r>
      <w:r w:rsidRPr="00181EF3">
        <w:t>acific males at the same age group over time.</w:t>
      </w:r>
    </w:p>
    <w:p w14:paraId="79DEF2EC" w14:textId="77777777" w:rsidR="00BA4884" w:rsidRPr="00181EF3" w:rsidRDefault="00BA4884" w:rsidP="00BA4884"/>
    <w:p w14:paraId="791A302E" w14:textId="336D2817" w:rsidR="00DA0709" w:rsidRDefault="00DA0709" w:rsidP="00DA0709">
      <w:pPr>
        <w:pStyle w:val="Figure"/>
      </w:pPr>
      <w:bookmarkStart w:id="484" w:name="_Toc19102002"/>
      <w:r w:rsidRPr="00181EF3">
        <w:t>Figure 1</w:t>
      </w:r>
      <w:r>
        <w:t>5</w:t>
      </w:r>
      <w:r w:rsidR="00572A9A">
        <w:t>1</w:t>
      </w:r>
      <w:r w:rsidRPr="00181EF3">
        <w:t>: Colorectal cancer mortality rate</w:t>
      </w:r>
      <w:r>
        <w:t>s</w:t>
      </w:r>
      <w:r w:rsidRPr="00181EF3">
        <w:t xml:space="preserve">, </w:t>
      </w:r>
      <w:r>
        <w:t xml:space="preserve">25+ years, </w:t>
      </w:r>
      <w:r w:rsidRPr="00181EF3">
        <w:t xml:space="preserve">Māori and </w:t>
      </w:r>
      <w:r w:rsidR="00EC03A3">
        <w:t>non</w:t>
      </w:r>
      <w:r w:rsidR="00EC03A3">
        <w:noBreakHyphen/>
        <w:t>M</w:t>
      </w:r>
      <w:r w:rsidRPr="00181EF3">
        <w:t xml:space="preserve">āori </w:t>
      </w:r>
      <w:r w:rsidR="00EC03A3">
        <w:t>non</w:t>
      </w:r>
      <w:r w:rsidR="00EC03A3">
        <w:noBreakHyphen/>
        <w:t>P</w:t>
      </w:r>
      <w:r w:rsidRPr="00181EF3">
        <w:t>acific females</w:t>
      </w:r>
      <w:r>
        <w:t>,</w:t>
      </w:r>
      <w:r w:rsidRPr="00181EF3">
        <w:t xml:space="preserve"> 2001–03 to 2011–13</w:t>
      </w:r>
      <w:bookmarkEnd w:id="484"/>
    </w:p>
    <w:p w14:paraId="7CB75D01" w14:textId="77777777" w:rsidR="00DA0709" w:rsidRPr="00473E70" w:rsidRDefault="00DA0709" w:rsidP="00DA0709">
      <w:r w:rsidRPr="00473E70">
        <w:rPr>
          <w:noProof/>
          <w:lang w:eastAsia="en-NZ"/>
        </w:rPr>
        <w:drawing>
          <wp:inline distT="0" distB="0" distL="0" distR="0" wp14:anchorId="16F0ECCC" wp14:editId="099C5487">
            <wp:extent cx="5130165" cy="2799119"/>
            <wp:effectExtent l="0" t="0" r="0" b="1270"/>
            <wp:docPr id="16" name="Picture 16" descr="Non-Māori women have a higher rate of death from colorectal cancer than non-Māori women, but their rate has decreased slightly over time while the rate for Māori women has fluctuated without substantially decreasing." title="Figure 151: Colorectal cancer mortality rate, Māori and non-Māori non-Pacific females aged 25 years and over, from 2001–03 to 20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5130165" cy="2799119"/>
                    </a:xfrm>
                    <a:prstGeom prst="rect">
                      <a:avLst/>
                    </a:prstGeom>
                  </pic:spPr>
                </pic:pic>
              </a:graphicData>
            </a:graphic>
          </wp:inline>
        </w:drawing>
      </w:r>
    </w:p>
    <w:p w14:paraId="2177D8CA" w14:textId="77777777" w:rsidR="00DA0709" w:rsidRDefault="00DA0709" w:rsidP="00DA0709">
      <w:pPr>
        <w:pStyle w:val="Note"/>
      </w:pPr>
      <w:r w:rsidRPr="00181EF3">
        <w:t>Note</w:t>
      </w:r>
      <w:r>
        <w:t>s</w:t>
      </w:r>
      <w:r w:rsidRPr="00181EF3">
        <w:t>:</w:t>
      </w:r>
    </w:p>
    <w:p w14:paraId="02F8E45A" w14:textId="21443DEC" w:rsidR="008A5642" w:rsidRDefault="00446D86" w:rsidP="00DA0709">
      <w:pPr>
        <w:pStyle w:val="Note"/>
      </w:pPr>
      <w:r>
        <w:t>Figures are age-standardised to the 2001 Census total Māori population</w:t>
      </w:r>
      <w:r w:rsidR="00DA0709" w:rsidRPr="00181EF3">
        <w:t>.</w:t>
      </w:r>
    </w:p>
    <w:p w14:paraId="4771D3D5" w14:textId="5CC4BFA4" w:rsidR="00DA0709" w:rsidRPr="00181EF3" w:rsidRDefault="00DA0709" w:rsidP="00DA0709">
      <w:pPr>
        <w:pStyle w:val="Note"/>
      </w:pPr>
      <w:r>
        <w:t>Prioritised ethnicity has been used.</w:t>
      </w:r>
    </w:p>
    <w:p w14:paraId="090E36CF" w14:textId="77777777" w:rsidR="008A5642" w:rsidRDefault="00DA0709" w:rsidP="001C62E1">
      <w:pPr>
        <w:pStyle w:val="Note"/>
        <w:ind w:left="0" w:firstLine="0"/>
      </w:pPr>
      <w:r w:rsidRPr="00181EF3">
        <w:t xml:space="preserve">If the </w:t>
      </w:r>
      <w:r w:rsidRPr="001C62E1">
        <w:t>confidence</w:t>
      </w:r>
      <w:r w:rsidRPr="00181EF3">
        <w:t xml:space="preserv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2B8ECB1B" w14:textId="215D0825" w:rsidR="00DA0709" w:rsidRPr="00181EF3" w:rsidRDefault="00DA0709" w:rsidP="00DA0709">
      <w:pPr>
        <w:pStyle w:val="Source"/>
        <w:rPr>
          <w:rFonts w:eastAsia="Calibri"/>
        </w:rPr>
      </w:pPr>
      <w:r w:rsidRPr="00181EF3">
        <w:rPr>
          <w:rFonts w:eastAsia="Calibri"/>
        </w:rPr>
        <w:t>Source: Mortality Collection Data Set (MORT), Ministry of Health</w:t>
      </w:r>
      <w:r>
        <w:rPr>
          <w:rFonts w:eastAsia="Calibri"/>
        </w:rPr>
        <w:t xml:space="preserve">, </w:t>
      </w:r>
      <w:r>
        <w:t>2001</w:t>
      </w:r>
      <w:r w:rsidRPr="00181EF3">
        <w:t>–</w:t>
      </w:r>
      <w:r>
        <w:t>03</w:t>
      </w:r>
      <w:r w:rsidRPr="00181EF3">
        <w:t xml:space="preserve"> to 201</w:t>
      </w:r>
      <w:r>
        <w:t>1</w:t>
      </w:r>
      <w:r w:rsidRPr="00181EF3">
        <w:t>–1</w:t>
      </w:r>
      <w:r>
        <w:t>3</w:t>
      </w:r>
      <w:r w:rsidRPr="00181EF3">
        <w:rPr>
          <w:rFonts w:eastAsia="Calibri"/>
        </w:rPr>
        <w:t>.</w:t>
      </w:r>
    </w:p>
    <w:p w14:paraId="20129E0E" w14:textId="77777777" w:rsidR="00DA0709" w:rsidRDefault="00DA0709" w:rsidP="00BA4884"/>
    <w:p w14:paraId="0546515C" w14:textId="48868013" w:rsidR="00BA4884" w:rsidRDefault="00BA4884" w:rsidP="00BA4884">
      <w:r w:rsidRPr="00181EF3">
        <w:lastRenderedPageBreak/>
        <w:t>Figure 1</w:t>
      </w:r>
      <w:r w:rsidR="00DA0709">
        <w:t>5</w:t>
      </w:r>
      <w:r w:rsidR="00B74586">
        <w:t>1</w:t>
      </w:r>
      <w:r w:rsidRPr="00181EF3">
        <w:t xml:space="preserve"> shows that Māori females aged 25 years and over had a lower colorectal cancer mortality rate than </w:t>
      </w:r>
      <w:r w:rsidR="00EC03A3">
        <w:t>non</w:t>
      </w:r>
      <w:r w:rsidR="00EC03A3">
        <w:noBreakHyphen/>
        <w:t>M</w:t>
      </w:r>
      <w:r w:rsidRPr="00181EF3">
        <w:t xml:space="preserve">āori </w:t>
      </w:r>
      <w:r w:rsidR="00EC03A3">
        <w:t>non</w:t>
      </w:r>
      <w:r w:rsidR="00EC03A3">
        <w:noBreakHyphen/>
        <w:t>P</w:t>
      </w:r>
      <w:r w:rsidRPr="00181EF3">
        <w:t>acific females at the same age group over time.</w:t>
      </w:r>
    </w:p>
    <w:p w14:paraId="142C68F3" w14:textId="77777777" w:rsidR="00AF3805" w:rsidRPr="00181EF3" w:rsidRDefault="00AF3805" w:rsidP="00BA4884"/>
    <w:p w14:paraId="75ABFAD4" w14:textId="77777777" w:rsidR="00BA4884" w:rsidRPr="00181EF3" w:rsidRDefault="00BA4884" w:rsidP="00DA0709">
      <w:pPr>
        <w:pStyle w:val="Heading4"/>
      </w:pPr>
      <w:r w:rsidRPr="00181EF3">
        <w:t>Colorectal cancer mortality rates have not changed over time for Māori females</w:t>
      </w:r>
    </w:p>
    <w:p w14:paraId="61C290FF" w14:textId="77777777" w:rsidR="00BA4884" w:rsidRPr="00181EF3" w:rsidRDefault="00BA4884" w:rsidP="00BA4884">
      <w:r w:rsidRPr="00181EF3">
        <w:t>The age-standardised colorectal cancer mortality rates for Māori females aged 25 years and over have not changed much over time, with 13.3 deaths per 100,000 in 2001–03 and 13.4 deaths per 100,000 in 2011–13.</w:t>
      </w:r>
    </w:p>
    <w:p w14:paraId="00417BC1" w14:textId="77777777" w:rsidR="00BA4884" w:rsidRPr="00181EF3" w:rsidRDefault="00BA4884" w:rsidP="00BA4884"/>
    <w:p w14:paraId="6B354AEA" w14:textId="229CCD20" w:rsidR="00BA4884" w:rsidRDefault="00BA4884" w:rsidP="00BA4884">
      <w:r w:rsidRPr="00181EF3">
        <w:t xml:space="preserve">The age-standardised colorectal cancer mortality rates for </w:t>
      </w:r>
      <w:r w:rsidR="00EC03A3">
        <w:t>non</w:t>
      </w:r>
      <w:r w:rsidR="00EC03A3">
        <w:noBreakHyphen/>
        <w:t>M</w:t>
      </w:r>
      <w:r w:rsidRPr="00181EF3">
        <w:t xml:space="preserve">āori </w:t>
      </w:r>
      <w:r w:rsidR="00EC03A3">
        <w:t>non</w:t>
      </w:r>
      <w:r w:rsidR="00EC03A3">
        <w:noBreakHyphen/>
        <w:t>P</w:t>
      </w:r>
      <w:r w:rsidRPr="00181EF3">
        <w:t>acific females at the same age group decreased slightly, with 18.0 deaths per 100,000 in 2001–03 and 14.8 deaths per 100,000 in 2011–13.</w:t>
      </w:r>
    </w:p>
    <w:p w14:paraId="06C2FFFB" w14:textId="77777777" w:rsidR="00AF3805" w:rsidRPr="00181EF3" w:rsidRDefault="00AF3805" w:rsidP="00BA4884"/>
    <w:p w14:paraId="7687EEDD" w14:textId="70CC604C" w:rsidR="00BA4884" w:rsidRPr="00181EF3" w:rsidRDefault="00BA4884" w:rsidP="00DA0709">
      <w:pPr>
        <w:pStyle w:val="Heading4"/>
      </w:pPr>
      <w:r w:rsidRPr="00181EF3">
        <w:t xml:space="preserve">The difference in colorectal cancer mortality rate between Māori and </w:t>
      </w:r>
      <w:r w:rsidR="00EC03A3">
        <w:t>non</w:t>
      </w:r>
      <w:r w:rsidR="00EC03A3">
        <w:noBreakHyphen/>
        <w:t>M</w:t>
      </w:r>
      <w:r w:rsidRPr="00181EF3">
        <w:t xml:space="preserve">āori </w:t>
      </w:r>
      <w:r w:rsidR="00EC03A3">
        <w:t>non</w:t>
      </w:r>
      <w:r w:rsidR="00EC03A3">
        <w:noBreakHyphen/>
        <w:t>P</w:t>
      </w:r>
      <w:r w:rsidRPr="00181EF3">
        <w:t>acific females decreased over time</w:t>
      </w:r>
    </w:p>
    <w:p w14:paraId="57E38640" w14:textId="25A6CD96" w:rsidR="00BA4884" w:rsidRPr="00181EF3" w:rsidRDefault="00BA4884" w:rsidP="00BA4884">
      <w:r w:rsidRPr="00181EF3">
        <w:t xml:space="preserve">The age-standardised colorectal cancer mortality rate difference between Māori and </w:t>
      </w:r>
      <w:r w:rsidR="00EC03A3">
        <w:t>non</w:t>
      </w:r>
      <w:r w:rsidR="00EC03A3">
        <w:noBreakHyphen/>
        <w:t>M</w:t>
      </w:r>
      <w:r w:rsidRPr="00181EF3">
        <w:t xml:space="preserve">āori </w:t>
      </w:r>
      <w:r w:rsidR="00EC03A3">
        <w:t>non</w:t>
      </w:r>
      <w:r w:rsidR="00EC03A3">
        <w:noBreakHyphen/>
        <w:t>P</w:t>
      </w:r>
      <w:r w:rsidRPr="00181EF3">
        <w:t>acific is decreasing over time. Māori females aged 25 years and over had 4.7 fewer deaths per 100,000 in 2001–03 and 1.4 fewer deaths per 100,000 in 2011–13.</w:t>
      </w:r>
    </w:p>
    <w:p w14:paraId="4EA229BA" w14:textId="77777777" w:rsidR="00BA4884" w:rsidRPr="00181EF3" w:rsidRDefault="00BA4884" w:rsidP="00BA4884"/>
    <w:p w14:paraId="3E27B4AA" w14:textId="5B55A2F7" w:rsidR="00BA4884" w:rsidRPr="00181EF3" w:rsidRDefault="00BA4884" w:rsidP="00BA4884">
      <w:r w:rsidRPr="00181EF3">
        <w:t xml:space="preserve">There was no significant difference in colorectal mortality rates between Māori females aged 25 years and over and </w:t>
      </w:r>
      <w:r w:rsidR="00EC03A3">
        <w:t>non</w:t>
      </w:r>
      <w:r w:rsidR="00EC03A3">
        <w:noBreakHyphen/>
        <w:t>M</w:t>
      </w:r>
      <w:r w:rsidRPr="00181EF3">
        <w:t xml:space="preserve">āori </w:t>
      </w:r>
      <w:r w:rsidR="00EC03A3">
        <w:t>non</w:t>
      </w:r>
      <w:r w:rsidR="00EC03A3">
        <w:noBreakHyphen/>
        <w:t>P</w:t>
      </w:r>
      <w:r w:rsidRPr="00181EF3">
        <w:t>acific females at the same age group in 2011–13, after adjusting for age. The age-standardised rate ratio increased by 22 percent over time, from 0.74 (significantly lower) in 2001–03 to 0.90 (no significant difference) in 2011–13.</w:t>
      </w:r>
    </w:p>
    <w:p w14:paraId="144AAD69" w14:textId="77777777" w:rsidR="00BA4884" w:rsidRPr="00181EF3" w:rsidRDefault="00BA4884" w:rsidP="00BA4884"/>
    <w:p w14:paraId="59A2BE03" w14:textId="77777777" w:rsidR="00BA4884" w:rsidRDefault="00BA4884" w:rsidP="00AF3805">
      <w:pPr>
        <w:pStyle w:val="Heading3"/>
        <w:pageBreakBefore/>
        <w:spacing w:before="0"/>
      </w:pPr>
      <w:bookmarkStart w:id="485" w:name="_Toc19102484"/>
      <w:r w:rsidRPr="00181EF3">
        <w:lastRenderedPageBreak/>
        <w:t>Cervical cancer</w:t>
      </w:r>
      <w:bookmarkEnd w:id="485"/>
    </w:p>
    <w:p w14:paraId="5360576C" w14:textId="27065C0F" w:rsidR="00DA0709" w:rsidRDefault="00DA0709" w:rsidP="00DA0709">
      <w:pPr>
        <w:pStyle w:val="Figure"/>
      </w:pPr>
      <w:bookmarkStart w:id="486" w:name="_Toc19102003"/>
      <w:r w:rsidRPr="00181EF3">
        <w:t>Figure 1</w:t>
      </w:r>
      <w:r>
        <w:t>5</w:t>
      </w:r>
      <w:r w:rsidR="00572A9A">
        <w:t>2</w:t>
      </w:r>
      <w:r w:rsidRPr="00181EF3">
        <w:t>: Cervical cancer registration rate</w:t>
      </w:r>
      <w:r>
        <w:t>s</w:t>
      </w:r>
      <w:r w:rsidRPr="00181EF3">
        <w:t xml:space="preserve">, </w:t>
      </w:r>
      <w:r>
        <w:t xml:space="preserve">25+ years, </w:t>
      </w:r>
      <w:r w:rsidRPr="00181EF3">
        <w:t xml:space="preserve">Māori and </w:t>
      </w:r>
      <w:r w:rsidR="00EC03A3">
        <w:t>non</w:t>
      </w:r>
      <w:r w:rsidR="00EC03A3">
        <w:noBreakHyphen/>
        <w:t>M</w:t>
      </w:r>
      <w:r w:rsidRPr="00181EF3">
        <w:t xml:space="preserve">āori </w:t>
      </w:r>
      <w:r w:rsidR="00EC03A3">
        <w:t>non</w:t>
      </w:r>
      <w:r w:rsidR="00EC03A3">
        <w:noBreakHyphen/>
        <w:t>P</w:t>
      </w:r>
      <w:r w:rsidRPr="00181EF3">
        <w:t>acific females</w:t>
      </w:r>
      <w:r>
        <w:t>,</w:t>
      </w:r>
      <w:r w:rsidRPr="00181EF3">
        <w:t xml:space="preserve"> 2001–03 to 2011–13</w:t>
      </w:r>
      <w:bookmarkEnd w:id="486"/>
    </w:p>
    <w:p w14:paraId="3206BE60" w14:textId="77777777" w:rsidR="00DA0709" w:rsidRPr="00473E70" w:rsidRDefault="00DA0709" w:rsidP="00DA0709">
      <w:r w:rsidRPr="00473E70">
        <w:rPr>
          <w:noProof/>
          <w:lang w:eastAsia="en-NZ"/>
        </w:rPr>
        <w:drawing>
          <wp:inline distT="0" distB="0" distL="0" distR="0" wp14:anchorId="5A455742" wp14:editId="5FB6C0BE">
            <wp:extent cx="5130165" cy="2799119"/>
            <wp:effectExtent l="0" t="0" r="0" b="1270"/>
            <wp:docPr id="29" name="Picture 29" descr="Māori women have a higher rate of cervical cancer than non-Māori women. The rates for both groups have remained relatively steady since 2006-08." title="Figure 152: Cervical cancer registration rate, Māori and non-Māori non-Pacific females aged 25 years and over, from 2001–03 to 20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5130165" cy="2799119"/>
                    </a:xfrm>
                    <a:prstGeom prst="rect">
                      <a:avLst/>
                    </a:prstGeom>
                  </pic:spPr>
                </pic:pic>
              </a:graphicData>
            </a:graphic>
          </wp:inline>
        </w:drawing>
      </w:r>
    </w:p>
    <w:p w14:paraId="47C2312E" w14:textId="77777777" w:rsidR="00DA0709" w:rsidRDefault="00DA0709" w:rsidP="00DA0709">
      <w:pPr>
        <w:pStyle w:val="Note"/>
      </w:pPr>
      <w:r w:rsidRPr="00181EF3">
        <w:t>Note</w:t>
      </w:r>
      <w:r>
        <w:t>s</w:t>
      </w:r>
      <w:r w:rsidRPr="00181EF3">
        <w:t>:</w:t>
      </w:r>
    </w:p>
    <w:p w14:paraId="5AC3C380" w14:textId="20BF3A84" w:rsidR="008A5642" w:rsidRDefault="00446D86" w:rsidP="00DA0709">
      <w:pPr>
        <w:pStyle w:val="Note"/>
      </w:pPr>
      <w:r>
        <w:t>Figures are age-standardised to the 2001 Census total Māori population</w:t>
      </w:r>
      <w:r w:rsidR="00DA0709" w:rsidRPr="00181EF3">
        <w:t>.</w:t>
      </w:r>
    </w:p>
    <w:p w14:paraId="25C83F25" w14:textId="015952A2" w:rsidR="00DA0709" w:rsidRPr="00181EF3" w:rsidRDefault="00DA0709" w:rsidP="00DA0709">
      <w:pPr>
        <w:pStyle w:val="Note"/>
      </w:pPr>
      <w:r>
        <w:t>Prioritised ethnicity has been used.</w:t>
      </w:r>
    </w:p>
    <w:p w14:paraId="0321357F" w14:textId="77777777" w:rsidR="008A5642" w:rsidRDefault="00DA0709" w:rsidP="001C62E1">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2A226AA1" w14:textId="232FFD9D" w:rsidR="00DA0709" w:rsidRPr="00181EF3" w:rsidRDefault="00DA0709" w:rsidP="00DA0709">
      <w:pPr>
        <w:pStyle w:val="Source"/>
        <w:rPr>
          <w:rFonts w:eastAsia="Calibri"/>
        </w:rPr>
      </w:pPr>
      <w:r w:rsidRPr="00181EF3">
        <w:rPr>
          <w:rFonts w:eastAsia="Calibri"/>
        </w:rPr>
        <w:t>Source: New Zealand Cancer Registry (NZCR), Ministry of Health</w:t>
      </w:r>
      <w:r>
        <w:rPr>
          <w:rFonts w:eastAsia="Calibri"/>
        </w:rPr>
        <w:t xml:space="preserve">, </w:t>
      </w:r>
      <w:r>
        <w:t>2001</w:t>
      </w:r>
      <w:r w:rsidRPr="00181EF3">
        <w:t>–</w:t>
      </w:r>
      <w:r>
        <w:t>03</w:t>
      </w:r>
      <w:r w:rsidRPr="00181EF3">
        <w:t xml:space="preserve"> to 201</w:t>
      </w:r>
      <w:r>
        <w:t>1</w:t>
      </w:r>
      <w:r w:rsidRPr="00181EF3">
        <w:t>–1</w:t>
      </w:r>
      <w:r>
        <w:t>3</w:t>
      </w:r>
      <w:r w:rsidRPr="00181EF3">
        <w:rPr>
          <w:rFonts w:eastAsia="Calibri"/>
        </w:rPr>
        <w:t>.</w:t>
      </w:r>
    </w:p>
    <w:p w14:paraId="05615E36" w14:textId="77777777" w:rsidR="00DA0709" w:rsidRPr="00DA0709" w:rsidRDefault="00DA0709" w:rsidP="00DA0709"/>
    <w:p w14:paraId="0367E82E" w14:textId="0288D305" w:rsidR="00BA4884" w:rsidRDefault="00BA4884" w:rsidP="00BA4884">
      <w:r w:rsidRPr="00181EF3">
        <w:t>Figure 1</w:t>
      </w:r>
      <w:r w:rsidR="00DA0709">
        <w:t>5</w:t>
      </w:r>
      <w:r w:rsidR="00B74586">
        <w:t>2</w:t>
      </w:r>
      <w:r w:rsidRPr="00181EF3">
        <w:t xml:space="preserve"> shows that Māori females aged 25 years and over had a higher cervical cancer registration rate than </w:t>
      </w:r>
      <w:r w:rsidR="00EC03A3">
        <w:t>non</w:t>
      </w:r>
      <w:r w:rsidR="00EC03A3">
        <w:noBreakHyphen/>
        <w:t>M</w:t>
      </w:r>
      <w:r w:rsidRPr="00181EF3">
        <w:t xml:space="preserve">āori </w:t>
      </w:r>
      <w:r w:rsidR="00EC03A3">
        <w:t>non</w:t>
      </w:r>
      <w:r w:rsidR="00EC03A3">
        <w:noBreakHyphen/>
        <w:t>P</w:t>
      </w:r>
      <w:r w:rsidRPr="00181EF3">
        <w:t>acific females at the same age group, after adjusting for age. This remains the same over time.</w:t>
      </w:r>
    </w:p>
    <w:p w14:paraId="3B431969" w14:textId="77777777" w:rsidR="00D46D7A" w:rsidRPr="00181EF3" w:rsidRDefault="00D46D7A" w:rsidP="00BA4884"/>
    <w:p w14:paraId="4442E6C8" w14:textId="77777777" w:rsidR="00BA4884" w:rsidRPr="00181EF3" w:rsidRDefault="00BA4884" w:rsidP="00DA0709">
      <w:pPr>
        <w:pStyle w:val="Heading4"/>
      </w:pPr>
      <w:r w:rsidRPr="00181EF3">
        <w:t>Cervical cancer registration rate decreased over time for Māori females</w:t>
      </w:r>
    </w:p>
    <w:p w14:paraId="559C57BA" w14:textId="77777777" w:rsidR="00BA4884" w:rsidRPr="00181EF3" w:rsidRDefault="00BA4884" w:rsidP="00BA4884">
      <w:r w:rsidRPr="00181EF3">
        <w:t>The age-standardised cervical cancer registration rates for Māori females aged 25 years and over decreased, from 22.5 registrations per 100,000 in 2001–03 to 20.5 registrations per 100,000 in 2011–13.</w:t>
      </w:r>
    </w:p>
    <w:p w14:paraId="69DE68F0" w14:textId="77777777" w:rsidR="00BA4884" w:rsidRPr="00181EF3" w:rsidRDefault="00BA4884" w:rsidP="00BA4884"/>
    <w:p w14:paraId="146CAE62" w14:textId="49400CAE" w:rsidR="00BA4884" w:rsidRDefault="00BA4884" w:rsidP="00BA4884">
      <w:r w:rsidRPr="00181EF3">
        <w:t xml:space="preserve">The age-standardised cervical cancer registration rates for </w:t>
      </w:r>
      <w:r w:rsidR="00EC03A3">
        <w:t>non</w:t>
      </w:r>
      <w:r w:rsidR="00EC03A3">
        <w:noBreakHyphen/>
        <w:t>M</w:t>
      </w:r>
      <w:r w:rsidRPr="00181EF3">
        <w:t xml:space="preserve">āori </w:t>
      </w:r>
      <w:r w:rsidR="00EC03A3">
        <w:t>non</w:t>
      </w:r>
      <w:r w:rsidR="00EC03A3">
        <w:noBreakHyphen/>
        <w:t>P</w:t>
      </w:r>
      <w:r w:rsidRPr="00181EF3">
        <w:t>acific females at the same age group also decreased, from 12.6 registrations per 100,000 in 2001–03 to 9.5 registrations per 100,000 in 2011–13.</w:t>
      </w:r>
    </w:p>
    <w:p w14:paraId="1832AAD6" w14:textId="77777777" w:rsidR="00D46D7A" w:rsidRPr="00181EF3" w:rsidRDefault="00D46D7A" w:rsidP="00BA4884"/>
    <w:p w14:paraId="286AAE5C" w14:textId="00D3BA66" w:rsidR="00BA4884" w:rsidRPr="00181EF3" w:rsidRDefault="00BA4884" w:rsidP="00DA0709">
      <w:pPr>
        <w:pStyle w:val="Heading4"/>
      </w:pPr>
      <w:r w:rsidRPr="00181EF3">
        <w:lastRenderedPageBreak/>
        <w:t xml:space="preserve">The difference in cervical cancer registration rate between Māori and </w:t>
      </w:r>
      <w:r w:rsidR="00EC03A3">
        <w:t>non</w:t>
      </w:r>
      <w:r w:rsidR="00EC03A3">
        <w:noBreakHyphen/>
        <w:t>M</w:t>
      </w:r>
      <w:r w:rsidRPr="00181EF3">
        <w:t xml:space="preserve">āori </w:t>
      </w:r>
      <w:r w:rsidR="00EC03A3">
        <w:t>non</w:t>
      </w:r>
      <w:r w:rsidR="00EC03A3">
        <w:noBreakHyphen/>
        <w:t>P</w:t>
      </w:r>
      <w:r w:rsidRPr="00181EF3">
        <w:t>acific females has not changed much over time</w:t>
      </w:r>
    </w:p>
    <w:p w14:paraId="1FAFC136" w14:textId="57104D2B" w:rsidR="00BA4884" w:rsidRPr="00181EF3" w:rsidRDefault="00BA4884" w:rsidP="00D46D7A">
      <w:pPr>
        <w:keepNext/>
        <w:keepLines/>
      </w:pPr>
      <w:r w:rsidRPr="00181EF3">
        <w:t xml:space="preserve">The age-standardised cervical cancer registration rate difference between Māori and </w:t>
      </w:r>
      <w:r w:rsidR="00EC03A3">
        <w:t>non</w:t>
      </w:r>
      <w:r w:rsidR="00EC03A3">
        <w:noBreakHyphen/>
        <w:t>M</w:t>
      </w:r>
      <w:r w:rsidRPr="00181EF3">
        <w:t xml:space="preserve">āori </w:t>
      </w:r>
      <w:r w:rsidR="00EC03A3">
        <w:t>non</w:t>
      </w:r>
      <w:r w:rsidR="00EC03A3">
        <w:noBreakHyphen/>
        <w:t>P</w:t>
      </w:r>
      <w:r w:rsidRPr="00181EF3">
        <w:t xml:space="preserve">acific females aged 25 years </w:t>
      </w:r>
      <w:r w:rsidR="00285716">
        <w:t xml:space="preserve">and over </w:t>
      </w:r>
      <w:r w:rsidRPr="00181EF3">
        <w:t xml:space="preserve">did not change much over time. Māori females aged 25 years and over had 9.9 more registrations per 100,000 than </w:t>
      </w:r>
      <w:r w:rsidR="00EC03A3">
        <w:t>non</w:t>
      </w:r>
      <w:r w:rsidR="00EC03A3">
        <w:noBreakHyphen/>
        <w:t>M</w:t>
      </w:r>
      <w:r w:rsidRPr="00181EF3">
        <w:t xml:space="preserve">āori </w:t>
      </w:r>
      <w:r w:rsidR="00EC03A3">
        <w:t>non</w:t>
      </w:r>
      <w:r w:rsidR="00EC03A3">
        <w:noBreakHyphen/>
        <w:t>P</w:t>
      </w:r>
      <w:r w:rsidRPr="00181EF3">
        <w:t>acific in 2001–03, and 11.0 more registrations per 100,000 in 2011–13.</w:t>
      </w:r>
    </w:p>
    <w:p w14:paraId="435D759A" w14:textId="77777777" w:rsidR="00D46D7A" w:rsidRDefault="00D46D7A" w:rsidP="00BA4884"/>
    <w:p w14:paraId="2BFED294" w14:textId="75E67893" w:rsidR="00BA4884" w:rsidRPr="00181EF3" w:rsidRDefault="00BA4884" w:rsidP="00BA4884">
      <w:r w:rsidRPr="00181EF3">
        <w:t xml:space="preserve">Māori females aged 25 years and over had a cervical cancer registration rate 2.2 times that of </w:t>
      </w:r>
      <w:r w:rsidR="00EC03A3">
        <w:t>non</w:t>
      </w:r>
      <w:r w:rsidR="00EC03A3">
        <w:noBreakHyphen/>
        <w:t>M</w:t>
      </w:r>
      <w:r w:rsidRPr="00181EF3">
        <w:t xml:space="preserve">āori </w:t>
      </w:r>
      <w:r w:rsidR="00EC03A3">
        <w:t>non</w:t>
      </w:r>
      <w:r w:rsidR="00EC03A3">
        <w:noBreakHyphen/>
        <w:t>P</w:t>
      </w:r>
      <w:r w:rsidRPr="00181EF3">
        <w:t>acific females at the same age group in 2011–13.</w:t>
      </w:r>
    </w:p>
    <w:p w14:paraId="69E140D2" w14:textId="77777777" w:rsidR="00BA4884" w:rsidRPr="00181EF3" w:rsidRDefault="00BA4884" w:rsidP="00BA4884"/>
    <w:p w14:paraId="018095F4" w14:textId="23BEE164" w:rsidR="00B97D7F" w:rsidRDefault="00B97D7F" w:rsidP="00B97D7F">
      <w:pPr>
        <w:pStyle w:val="Figure"/>
      </w:pPr>
      <w:bookmarkStart w:id="487" w:name="_Toc19102004"/>
      <w:r w:rsidRPr="00181EF3">
        <w:t>Figure 1</w:t>
      </w:r>
      <w:r>
        <w:t>5</w:t>
      </w:r>
      <w:r w:rsidR="00572A9A">
        <w:t>3</w:t>
      </w:r>
      <w:r w:rsidRPr="00181EF3">
        <w:t>: Cervical cancer mortality rate</w:t>
      </w:r>
      <w:r>
        <w:t>s</w:t>
      </w:r>
      <w:r w:rsidRPr="00181EF3">
        <w:t xml:space="preserve">, </w:t>
      </w:r>
      <w:r>
        <w:t xml:space="preserve">25+ years, </w:t>
      </w:r>
      <w:r w:rsidRPr="00181EF3">
        <w:t xml:space="preserve">Māori and </w:t>
      </w:r>
      <w:r w:rsidR="00EC03A3">
        <w:t>non</w:t>
      </w:r>
      <w:r w:rsidR="00EC03A3">
        <w:noBreakHyphen/>
        <w:t>M</w:t>
      </w:r>
      <w:r w:rsidRPr="00181EF3">
        <w:t xml:space="preserve">āori </w:t>
      </w:r>
      <w:r w:rsidR="00EC03A3">
        <w:t>non</w:t>
      </w:r>
      <w:r w:rsidR="00EC03A3">
        <w:noBreakHyphen/>
        <w:t>P</w:t>
      </w:r>
      <w:r w:rsidRPr="00181EF3">
        <w:t>acific females</w:t>
      </w:r>
      <w:r>
        <w:t>,</w:t>
      </w:r>
      <w:r w:rsidRPr="00181EF3">
        <w:t xml:space="preserve"> 2001–03 to 2011–13</w:t>
      </w:r>
      <w:bookmarkEnd w:id="487"/>
    </w:p>
    <w:p w14:paraId="3D056711" w14:textId="77777777" w:rsidR="00B97D7F" w:rsidRPr="00473E70" w:rsidRDefault="00B97D7F" w:rsidP="00B97D7F">
      <w:r w:rsidRPr="00473E70">
        <w:rPr>
          <w:noProof/>
          <w:lang w:eastAsia="en-NZ"/>
        </w:rPr>
        <w:drawing>
          <wp:inline distT="0" distB="0" distL="0" distR="0" wp14:anchorId="512B4D6D" wp14:editId="38B4336B">
            <wp:extent cx="5130165" cy="2799119"/>
            <wp:effectExtent l="0" t="0" r="0" b="1270"/>
            <wp:docPr id="30" name="Picture 30" descr="Māori women die of cervical cancer at a higher rate than non-Māori women. The rates for both have declined slightly since 2001-03." title="Figure 153: Cervical cancer mortality rate, Māori and non-Māori non-Pacific females aged 25 years and over, from 2001–03 to 20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5130165" cy="2799119"/>
                    </a:xfrm>
                    <a:prstGeom prst="rect">
                      <a:avLst/>
                    </a:prstGeom>
                  </pic:spPr>
                </pic:pic>
              </a:graphicData>
            </a:graphic>
          </wp:inline>
        </w:drawing>
      </w:r>
    </w:p>
    <w:p w14:paraId="134FBE36" w14:textId="77777777" w:rsidR="00B97D7F" w:rsidRDefault="00B97D7F" w:rsidP="00B97D7F">
      <w:pPr>
        <w:pStyle w:val="Note"/>
      </w:pPr>
      <w:r w:rsidRPr="00181EF3">
        <w:t>Note</w:t>
      </w:r>
      <w:r>
        <w:t>s</w:t>
      </w:r>
      <w:r w:rsidRPr="00181EF3">
        <w:t>:</w:t>
      </w:r>
    </w:p>
    <w:p w14:paraId="31D16B7E" w14:textId="741C6FDE" w:rsidR="008A5642" w:rsidRDefault="00446D86" w:rsidP="00B97D7F">
      <w:pPr>
        <w:pStyle w:val="Note"/>
      </w:pPr>
      <w:r>
        <w:t>Figures are age-standardised to the 2001 Census total Māori population</w:t>
      </w:r>
      <w:r w:rsidR="00B97D7F" w:rsidRPr="00181EF3">
        <w:t>.</w:t>
      </w:r>
    </w:p>
    <w:p w14:paraId="557996AC" w14:textId="2C0E0B3A" w:rsidR="00B97D7F" w:rsidRPr="00181EF3" w:rsidRDefault="00B97D7F" w:rsidP="00B97D7F">
      <w:pPr>
        <w:pStyle w:val="Note"/>
      </w:pPr>
      <w:r>
        <w:t>Prioritised ethnicity has been used.</w:t>
      </w:r>
    </w:p>
    <w:p w14:paraId="37C86281" w14:textId="77777777" w:rsidR="008A5642" w:rsidRDefault="00B97D7F" w:rsidP="001C62E1">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7D02343C" w14:textId="4A158CD3" w:rsidR="00B97D7F" w:rsidRPr="00181EF3" w:rsidRDefault="00B97D7F" w:rsidP="00B97D7F">
      <w:pPr>
        <w:pStyle w:val="Source"/>
        <w:rPr>
          <w:rFonts w:eastAsia="Calibri"/>
        </w:rPr>
      </w:pPr>
      <w:r w:rsidRPr="00181EF3">
        <w:rPr>
          <w:rFonts w:eastAsia="Calibri"/>
        </w:rPr>
        <w:t>Source: Mortality Collection Data Set (MORT), Ministry of Health</w:t>
      </w:r>
      <w:r>
        <w:rPr>
          <w:rFonts w:eastAsia="Calibri"/>
        </w:rPr>
        <w:t xml:space="preserve">, </w:t>
      </w:r>
      <w:r>
        <w:t>2001</w:t>
      </w:r>
      <w:r w:rsidRPr="00181EF3">
        <w:t>–</w:t>
      </w:r>
      <w:r>
        <w:t>03</w:t>
      </w:r>
      <w:r w:rsidRPr="00181EF3">
        <w:t xml:space="preserve"> to 201</w:t>
      </w:r>
      <w:r>
        <w:t>1</w:t>
      </w:r>
      <w:r w:rsidRPr="00181EF3">
        <w:t>–1</w:t>
      </w:r>
      <w:r>
        <w:t>3</w:t>
      </w:r>
      <w:r w:rsidRPr="00181EF3">
        <w:rPr>
          <w:rFonts w:eastAsia="Calibri"/>
        </w:rPr>
        <w:t>.</w:t>
      </w:r>
    </w:p>
    <w:p w14:paraId="589AED89" w14:textId="77777777" w:rsidR="00B97D7F" w:rsidRDefault="00B97D7F" w:rsidP="00BA4884"/>
    <w:p w14:paraId="4A9797D5" w14:textId="59EB9BD2" w:rsidR="00BA4884" w:rsidRDefault="00BA4884" w:rsidP="00BA4884">
      <w:r w:rsidRPr="00181EF3">
        <w:t>Figure 1</w:t>
      </w:r>
      <w:r w:rsidR="00B97D7F">
        <w:t>5</w:t>
      </w:r>
      <w:r w:rsidR="00B74586">
        <w:t>3</w:t>
      </w:r>
      <w:r w:rsidRPr="00181EF3">
        <w:t xml:space="preserve"> shows that Māori females aged 25 years and over had a higher cervical cancer mortality rate than </w:t>
      </w:r>
      <w:r w:rsidR="00EC03A3">
        <w:t>non</w:t>
      </w:r>
      <w:r w:rsidR="00EC03A3">
        <w:noBreakHyphen/>
        <w:t>M</w:t>
      </w:r>
      <w:r w:rsidRPr="00181EF3">
        <w:t xml:space="preserve">āori </w:t>
      </w:r>
      <w:r w:rsidR="00EC03A3">
        <w:t>non</w:t>
      </w:r>
      <w:r w:rsidR="00EC03A3">
        <w:noBreakHyphen/>
        <w:t>P</w:t>
      </w:r>
      <w:r w:rsidRPr="00181EF3">
        <w:t>acific females at the same age group</w:t>
      </w:r>
      <w:r w:rsidR="00285716">
        <w:t xml:space="preserve"> over time</w:t>
      </w:r>
      <w:r w:rsidRPr="00181EF3">
        <w:t>, after adjusting for age.</w:t>
      </w:r>
    </w:p>
    <w:p w14:paraId="08019B2F" w14:textId="77777777" w:rsidR="00D46D7A" w:rsidRPr="00181EF3" w:rsidRDefault="00D46D7A" w:rsidP="00BA4884"/>
    <w:p w14:paraId="34A891E8" w14:textId="77777777" w:rsidR="00BA4884" w:rsidRPr="00181EF3" w:rsidRDefault="00BA4884" w:rsidP="00B97D7F">
      <w:pPr>
        <w:pStyle w:val="Heading4"/>
      </w:pPr>
      <w:r w:rsidRPr="00181EF3">
        <w:lastRenderedPageBreak/>
        <w:t>Cervical cancer mortality rate decreased over time for Māori females</w:t>
      </w:r>
    </w:p>
    <w:p w14:paraId="41F24EB8" w14:textId="77777777" w:rsidR="00BA4884" w:rsidRPr="00181EF3" w:rsidRDefault="00BA4884" w:rsidP="00D46D7A">
      <w:pPr>
        <w:keepNext/>
      </w:pPr>
      <w:r w:rsidRPr="00181EF3">
        <w:t>The age-standardised cervical cancer mortality rates for Māori females aged 25 years and over decreased slightly, from 7.2 deaths per 100,000 in 2001–03 to 5.9 deaths per 100,000 in 2011–13.</w:t>
      </w:r>
    </w:p>
    <w:p w14:paraId="07C2AFBB" w14:textId="77777777" w:rsidR="00BA4884" w:rsidRPr="00181EF3" w:rsidRDefault="00BA4884" w:rsidP="00D46D7A">
      <w:pPr>
        <w:keepNext/>
      </w:pPr>
    </w:p>
    <w:p w14:paraId="52DC45F7" w14:textId="3721BAD6" w:rsidR="00BA4884" w:rsidRDefault="00BA4884" w:rsidP="00BA4884">
      <w:r w:rsidRPr="00181EF3">
        <w:t xml:space="preserve">The age-standardised cervical cancer mortality rates for </w:t>
      </w:r>
      <w:r w:rsidR="00EC03A3">
        <w:t>non</w:t>
      </w:r>
      <w:r w:rsidR="00EC03A3">
        <w:noBreakHyphen/>
        <w:t>M</w:t>
      </w:r>
      <w:r w:rsidRPr="00181EF3">
        <w:t xml:space="preserve">āori </w:t>
      </w:r>
      <w:r w:rsidR="00EC03A3">
        <w:t>non</w:t>
      </w:r>
      <w:r w:rsidR="00EC03A3">
        <w:noBreakHyphen/>
        <w:t>P</w:t>
      </w:r>
      <w:r w:rsidRPr="00181EF3">
        <w:t>acific females at the same age group also showed a small decrease, from 2.6 deaths per 100,000 in 2001–03 to 1.6 deaths per 100,000 in 2011–13.</w:t>
      </w:r>
    </w:p>
    <w:p w14:paraId="1CA734A7" w14:textId="77777777" w:rsidR="00D46D7A" w:rsidRPr="00181EF3" w:rsidRDefault="00D46D7A" w:rsidP="00BA4884"/>
    <w:p w14:paraId="6774F4F0" w14:textId="1BE70602" w:rsidR="00BA4884" w:rsidRPr="00181EF3" w:rsidRDefault="00BA4884" w:rsidP="00B97D7F">
      <w:pPr>
        <w:pStyle w:val="Heading4"/>
      </w:pPr>
      <w:r w:rsidRPr="00181EF3">
        <w:t xml:space="preserve">The difference in cervical cancer mortality rate between Māori and </w:t>
      </w:r>
      <w:r w:rsidR="00EC03A3">
        <w:t>non</w:t>
      </w:r>
      <w:r w:rsidR="00EC03A3">
        <w:noBreakHyphen/>
        <w:t>M</w:t>
      </w:r>
      <w:r w:rsidRPr="00181EF3">
        <w:t xml:space="preserve">āori </w:t>
      </w:r>
      <w:r w:rsidR="00EC03A3">
        <w:t>non</w:t>
      </w:r>
      <w:r w:rsidR="00EC03A3">
        <w:noBreakHyphen/>
        <w:t>P</w:t>
      </w:r>
      <w:r w:rsidRPr="00181EF3">
        <w:t>acific females has not changed much over time</w:t>
      </w:r>
    </w:p>
    <w:p w14:paraId="0CE57DB9" w14:textId="528D654C" w:rsidR="00BA4884" w:rsidRPr="00181EF3" w:rsidRDefault="00BA4884" w:rsidP="00BA4884">
      <w:r w:rsidRPr="00181EF3">
        <w:t xml:space="preserve">The age-standardised cervical cancer mortality rate difference between Māori and </w:t>
      </w:r>
      <w:r w:rsidR="00EC03A3">
        <w:t>non</w:t>
      </w:r>
      <w:r w:rsidR="00EC03A3">
        <w:noBreakHyphen/>
        <w:t>M</w:t>
      </w:r>
      <w:r w:rsidRPr="00181EF3">
        <w:t xml:space="preserve">āori </w:t>
      </w:r>
      <w:r w:rsidR="00EC03A3">
        <w:t>non</w:t>
      </w:r>
      <w:r w:rsidR="00EC03A3">
        <w:noBreakHyphen/>
        <w:t>P</w:t>
      </w:r>
      <w:r w:rsidRPr="00181EF3">
        <w:t>acific females aged 25 years and over remained similar over time. Māori females aged 25 years and over had 4.6 more deaths per 100,000 in 2001–03 and 4.3 more deaths per 100,000 in 2011–13.</w:t>
      </w:r>
    </w:p>
    <w:p w14:paraId="5B14D036" w14:textId="77777777" w:rsidR="00BA4884" w:rsidRPr="00181EF3" w:rsidRDefault="00BA4884" w:rsidP="00BA4884"/>
    <w:p w14:paraId="488495B0" w14:textId="1DCE6996" w:rsidR="00BA4884" w:rsidRPr="00181EF3" w:rsidRDefault="00BA4884" w:rsidP="00BA4884">
      <w:r w:rsidRPr="00181EF3">
        <w:t xml:space="preserve">Māori females aged 25 years and over had a cervical cancer mortality rate almost four times that of </w:t>
      </w:r>
      <w:r w:rsidR="00EC03A3">
        <w:t>non</w:t>
      </w:r>
      <w:r w:rsidR="00EC03A3">
        <w:noBreakHyphen/>
        <w:t>M</w:t>
      </w:r>
      <w:r w:rsidRPr="00181EF3">
        <w:t xml:space="preserve">āori </w:t>
      </w:r>
      <w:r w:rsidR="00EC03A3">
        <w:t>non</w:t>
      </w:r>
      <w:r w:rsidR="00EC03A3">
        <w:noBreakHyphen/>
        <w:t>P</w:t>
      </w:r>
      <w:r w:rsidRPr="00181EF3">
        <w:t>acific females at the same age group in 2011–13.</w:t>
      </w:r>
    </w:p>
    <w:p w14:paraId="216F5443" w14:textId="77777777" w:rsidR="00BA4884" w:rsidRPr="00181EF3" w:rsidRDefault="00BA4884" w:rsidP="00BA4884"/>
    <w:p w14:paraId="035B37DA" w14:textId="77777777" w:rsidR="00BA4884" w:rsidRPr="00181EF3" w:rsidRDefault="00BA4884" w:rsidP="00D46D7A">
      <w:pPr>
        <w:pStyle w:val="Heading3"/>
        <w:pageBreakBefore/>
        <w:spacing w:before="0"/>
      </w:pPr>
      <w:bookmarkStart w:id="488" w:name="_Toc19102485"/>
      <w:r w:rsidRPr="00181EF3">
        <w:lastRenderedPageBreak/>
        <w:t>Breast cancer</w:t>
      </w:r>
      <w:bookmarkEnd w:id="488"/>
    </w:p>
    <w:p w14:paraId="5D7A4B22" w14:textId="6C9D2797" w:rsidR="00B97D7F" w:rsidRDefault="00B97D7F" w:rsidP="00B97D7F">
      <w:pPr>
        <w:pStyle w:val="Figure"/>
      </w:pPr>
      <w:bookmarkStart w:id="489" w:name="_Toc19102005"/>
      <w:r w:rsidRPr="00181EF3">
        <w:t>Figure 15</w:t>
      </w:r>
      <w:r w:rsidR="00572A9A">
        <w:t>4</w:t>
      </w:r>
      <w:r w:rsidRPr="00181EF3">
        <w:t>: Breast cancer registration rate</w:t>
      </w:r>
      <w:r>
        <w:t>s</w:t>
      </w:r>
      <w:r w:rsidRPr="00181EF3">
        <w:t xml:space="preserve">, </w:t>
      </w:r>
      <w:r>
        <w:t xml:space="preserve">25+ years, </w:t>
      </w:r>
      <w:r w:rsidRPr="00181EF3">
        <w:t xml:space="preserve">Māori and </w:t>
      </w:r>
      <w:r w:rsidR="00EC03A3">
        <w:t>non</w:t>
      </w:r>
      <w:r w:rsidR="00EC03A3">
        <w:noBreakHyphen/>
        <w:t>M</w:t>
      </w:r>
      <w:r w:rsidRPr="00181EF3">
        <w:t xml:space="preserve">āori </w:t>
      </w:r>
      <w:r w:rsidR="00EC03A3">
        <w:t>non</w:t>
      </w:r>
      <w:r w:rsidR="00EC03A3">
        <w:noBreakHyphen/>
        <w:t>P</w:t>
      </w:r>
      <w:r w:rsidRPr="00181EF3">
        <w:t>acific females</w:t>
      </w:r>
      <w:r>
        <w:t>,</w:t>
      </w:r>
      <w:r w:rsidRPr="00181EF3">
        <w:t xml:space="preserve"> 2001–03 to 2011–13</w:t>
      </w:r>
      <w:bookmarkEnd w:id="489"/>
    </w:p>
    <w:p w14:paraId="37A1463F" w14:textId="77777777" w:rsidR="00B97D7F" w:rsidRPr="00473E70" w:rsidRDefault="00B97D7F" w:rsidP="00B97D7F">
      <w:r w:rsidRPr="00473E70">
        <w:rPr>
          <w:noProof/>
          <w:lang w:eastAsia="en-NZ"/>
        </w:rPr>
        <w:drawing>
          <wp:inline distT="0" distB="0" distL="0" distR="0" wp14:anchorId="73361811" wp14:editId="3F18E9DB">
            <wp:extent cx="5130165" cy="2799119"/>
            <wp:effectExtent l="0" t="0" r="0" b="1270"/>
            <wp:docPr id="31" name="Picture 31" descr="Māori women have a higher rate of breast cancer diagnosis than non-Māori women. The rates for both have remained relatively steady over time." title="Figure 154: Breast cancer registration rate, Māori and non-Māori non-Pacific females aged 25 years and over, from 2001–03 to 20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5130165" cy="2799119"/>
                    </a:xfrm>
                    <a:prstGeom prst="rect">
                      <a:avLst/>
                    </a:prstGeom>
                  </pic:spPr>
                </pic:pic>
              </a:graphicData>
            </a:graphic>
          </wp:inline>
        </w:drawing>
      </w:r>
    </w:p>
    <w:p w14:paraId="4110B222" w14:textId="77777777" w:rsidR="00B97D7F" w:rsidRDefault="00B97D7F" w:rsidP="00B97D7F">
      <w:pPr>
        <w:pStyle w:val="Note"/>
      </w:pPr>
      <w:r w:rsidRPr="00181EF3">
        <w:t>Note</w:t>
      </w:r>
      <w:r>
        <w:t>s</w:t>
      </w:r>
      <w:r w:rsidRPr="00181EF3">
        <w:t>:</w:t>
      </w:r>
    </w:p>
    <w:p w14:paraId="15F1435C" w14:textId="52D31282" w:rsidR="008A5642" w:rsidRDefault="00446D86" w:rsidP="00B97D7F">
      <w:pPr>
        <w:pStyle w:val="Note"/>
      </w:pPr>
      <w:r>
        <w:t>Figures are age-standardised to the 2001 Census total Māori population</w:t>
      </w:r>
      <w:r w:rsidR="00B97D7F" w:rsidRPr="00181EF3">
        <w:t>.</w:t>
      </w:r>
    </w:p>
    <w:p w14:paraId="50E88289" w14:textId="1D77BF44" w:rsidR="00B97D7F" w:rsidRPr="00181EF3" w:rsidRDefault="00B97D7F" w:rsidP="00B97D7F">
      <w:pPr>
        <w:pStyle w:val="Note"/>
      </w:pPr>
      <w:r>
        <w:t>Prioritised ethnicity has been used.</w:t>
      </w:r>
    </w:p>
    <w:p w14:paraId="3B1D4D91" w14:textId="77777777" w:rsidR="008A5642" w:rsidRDefault="00B97D7F" w:rsidP="001C62E1">
      <w:pPr>
        <w:pStyle w:val="Note"/>
        <w:ind w:left="0" w:firstLine="0"/>
      </w:pPr>
      <w:r w:rsidRPr="00181EF3">
        <w:t xml:space="preserve">If the </w:t>
      </w:r>
      <w:r w:rsidRPr="001C62E1">
        <w:t>confidence</w:t>
      </w:r>
      <w:r w:rsidRPr="00181EF3">
        <w:t xml:space="preserv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1643EC15" w14:textId="63B1E7FA" w:rsidR="00B97D7F" w:rsidRPr="00181EF3" w:rsidRDefault="00B97D7F" w:rsidP="00B97D7F">
      <w:pPr>
        <w:pStyle w:val="Source"/>
        <w:rPr>
          <w:rFonts w:eastAsia="Calibri"/>
        </w:rPr>
      </w:pPr>
      <w:r w:rsidRPr="00181EF3">
        <w:rPr>
          <w:rFonts w:eastAsia="Calibri"/>
        </w:rPr>
        <w:t>Source: New Zealand Cancer Registry (NZCR), Ministry of Health</w:t>
      </w:r>
      <w:r>
        <w:rPr>
          <w:rFonts w:eastAsia="Calibri"/>
        </w:rPr>
        <w:t xml:space="preserve">, </w:t>
      </w:r>
      <w:r>
        <w:t>2001</w:t>
      </w:r>
      <w:r w:rsidRPr="00181EF3">
        <w:t>–</w:t>
      </w:r>
      <w:r>
        <w:t>03</w:t>
      </w:r>
      <w:r w:rsidRPr="00181EF3">
        <w:t xml:space="preserve"> to 201</w:t>
      </w:r>
      <w:r>
        <w:t>1</w:t>
      </w:r>
      <w:r w:rsidRPr="00181EF3">
        <w:t>–1</w:t>
      </w:r>
      <w:r>
        <w:t>3</w:t>
      </w:r>
      <w:r w:rsidRPr="00181EF3">
        <w:rPr>
          <w:rFonts w:eastAsia="Calibri"/>
        </w:rPr>
        <w:t>.</w:t>
      </w:r>
    </w:p>
    <w:p w14:paraId="46C4916F" w14:textId="77777777" w:rsidR="00B97D7F" w:rsidRDefault="00B97D7F" w:rsidP="00BA4884"/>
    <w:p w14:paraId="7E0C3BD1" w14:textId="3E5EA530" w:rsidR="00BA4884" w:rsidRDefault="00BA4884" w:rsidP="00BA4884">
      <w:r w:rsidRPr="00181EF3">
        <w:t>Figure 15</w:t>
      </w:r>
      <w:r w:rsidR="00B74586">
        <w:t>4</w:t>
      </w:r>
      <w:r w:rsidRPr="00181EF3">
        <w:t xml:space="preserve"> shows that Māori females aged 25 years and over had higher breast cancer registration rates than </w:t>
      </w:r>
      <w:r w:rsidR="00EC03A3">
        <w:t>non</w:t>
      </w:r>
      <w:r w:rsidR="00EC03A3">
        <w:noBreakHyphen/>
        <w:t>M</w:t>
      </w:r>
      <w:r w:rsidRPr="00181EF3">
        <w:t xml:space="preserve">āori </w:t>
      </w:r>
      <w:r w:rsidR="00EC03A3">
        <w:t>non</w:t>
      </w:r>
      <w:r w:rsidR="00EC03A3">
        <w:noBreakHyphen/>
        <w:t>P</w:t>
      </w:r>
      <w:r w:rsidRPr="00181EF3">
        <w:t>acific females at the same age group over time.</w:t>
      </w:r>
    </w:p>
    <w:p w14:paraId="586ED6B1" w14:textId="77777777" w:rsidR="00D46D7A" w:rsidRPr="00181EF3" w:rsidRDefault="00D46D7A" w:rsidP="00BA4884"/>
    <w:p w14:paraId="365FC1BA" w14:textId="77777777" w:rsidR="00BA4884" w:rsidRPr="00181EF3" w:rsidRDefault="00BA4884" w:rsidP="00B97D7F">
      <w:pPr>
        <w:pStyle w:val="Heading4"/>
      </w:pPr>
      <w:r w:rsidRPr="00181EF3">
        <w:t>Breast cancer registration rate increased over time for Māori females</w:t>
      </w:r>
    </w:p>
    <w:p w14:paraId="1297DFB4" w14:textId="77777777" w:rsidR="00BA4884" w:rsidRPr="00181EF3" w:rsidRDefault="00BA4884" w:rsidP="00BA4884">
      <w:r w:rsidRPr="00181EF3">
        <w:t>The age-standardised breast cancer registration rates for Māori females aged 25 years and over increased by 8 percent, from 160.1 registrations per 100,000 in 2001–03 to 172.6 registrations per 100,000 in 2011–13.</w:t>
      </w:r>
    </w:p>
    <w:p w14:paraId="676DBBC7" w14:textId="77777777" w:rsidR="00BA4884" w:rsidRPr="00181EF3" w:rsidRDefault="00BA4884" w:rsidP="00BA4884"/>
    <w:p w14:paraId="77C9B4C1" w14:textId="2BC75276" w:rsidR="00BA4884" w:rsidRDefault="00BA4884" w:rsidP="00BA4884">
      <w:r w:rsidRPr="00181EF3">
        <w:t xml:space="preserve">The age-standardised breast cancer registration rates for </w:t>
      </w:r>
      <w:r w:rsidR="00EC03A3">
        <w:t>non</w:t>
      </w:r>
      <w:r w:rsidR="00EC03A3">
        <w:noBreakHyphen/>
        <w:t>M</w:t>
      </w:r>
      <w:r w:rsidRPr="00181EF3">
        <w:t xml:space="preserve">āori </w:t>
      </w:r>
      <w:r w:rsidR="00EC03A3">
        <w:t>non</w:t>
      </w:r>
      <w:r w:rsidR="00EC03A3">
        <w:noBreakHyphen/>
        <w:t>P</w:t>
      </w:r>
      <w:r w:rsidRPr="00181EF3">
        <w:t>acific females at the same age group remained similar over time, with 127.7 registrations per 100,000 in 2001–03 and 128.4 registrations per 100,000 in 2011–13.</w:t>
      </w:r>
    </w:p>
    <w:p w14:paraId="2F2F2E67" w14:textId="77777777" w:rsidR="00D46D7A" w:rsidRPr="00181EF3" w:rsidRDefault="00D46D7A" w:rsidP="00BA4884"/>
    <w:p w14:paraId="10284CCC" w14:textId="3136C9E9" w:rsidR="00BA4884" w:rsidRPr="00181EF3" w:rsidRDefault="00BA4884" w:rsidP="00B97D7F">
      <w:pPr>
        <w:pStyle w:val="Heading4"/>
      </w:pPr>
      <w:r w:rsidRPr="00181EF3">
        <w:lastRenderedPageBreak/>
        <w:t xml:space="preserve">The difference in breast cancer registration rate between Māori and </w:t>
      </w:r>
      <w:r w:rsidR="00EC03A3">
        <w:t>non</w:t>
      </w:r>
      <w:r w:rsidR="00EC03A3">
        <w:noBreakHyphen/>
        <w:t>M</w:t>
      </w:r>
      <w:r w:rsidRPr="00181EF3">
        <w:t xml:space="preserve">āori </w:t>
      </w:r>
      <w:r w:rsidR="00EC03A3">
        <w:t>non</w:t>
      </w:r>
      <w:r w:rsidR="00EC03A3">
        <w:noBreakHyphen/>
        <w:t>P</w:t>
      </w:r>
      <w:r w:rsidRPr="00181EF3">
        <w:t>acific females increased slightly over time</w:t>
      </w:r>
    </w:p>
    <w:p w14:paraId="7516EB2C" w14:textId="6B652D0C" w:rsidR="00BA4884" w:rsidRPr="00181EF3" w:rsidRDefault="00BA4884" w:rsidP="00D46D7A">
      <w:pPr>
        <w:keepLines/>
      </w:pPr>
      <w:r w:rsidRPr="00181EF3">
        <w:t xml:space="preserve">The age-standardised breast cancer registration rate difference between Māori and </w:t>
      </w:r>
      <w:r w:rsidR="00EC03A3">
        <w:t>non</w:t>
      </w:r>
      <w:r w:rsidR="00EC03A3">
        <w:noBreakHyphen/>
        <w:t>M</w:t>
      </w:r>
      <w:r w:rsidRPr="00181EF3">
        <w:t xml:space="preserve">āori </w:t>
      </w:r>
      <w:r w:rsidR="00EC03A3">
        <w:t>non</w:t>
      </w:r>
      <w:r w:rsidR="00EC03A3">
        <w:noBreakHyphen/>
        <w:t>P</w:t>
      </w:r>
      <w:r w:rsidRPr="00181EF3">
        <w:t xml:space="preserve">acific females aged 25 years and over showed a slight increase over time. Māori females aged 25 years and over had 32.4 more registrations than </w:t>
      </w:r>
      <w:r w:rsidR="00EC03A3">
        <w:t>non</w:t>
      </w:r>
      <w:r w:rsidR="00EC03A3">
        <w:noBreakHyphen/>
        <w:t>M</w:t>
      </w:r>
      <w:r w:rsidRPr="00181EF3">
        <w:t xml:space="preserve">āori </w:t>
      </w:r>
      <w:r w:rsidR="00EC03A3">
        <w:t>non</w:t>
      </w:r>
      <w:r w:rsidR="00EC03A3">
        <w:noBreakHyphen/>
        <w:t>P</w:t>
      </w:r>
      <w:r w:rsidRPr="00181EF3">
        <w:t>acific per 100,000 in 2001–03, and 44.2 more registrations per 100,000 in 2011–13.</w:t>
      </w:r>
    </w:p>
    <w:p w14:paraId="052E0FA0" w14:textId="77777777" w:rsidR="00D46D7A" w:rsidRDefault="00D46D7A" w:rsidP="00BA4884"/>
    <w:p w14:paraId="0B48F89D" w14:textId="37D029F1" w:rsidR="00BA4884" w:rsidRPr="00181EF3" w:rsidRDefault="00BA4884" w:rsidP="00BA4884">
      <w:r w:rsidRPr="00181EF3">
        <w:t>The breast cancer registration rate was 34</w:t>
      </w:r>
      <w:r>
        <w:t xml:space="preserve"> percent</w:t>
      </w:r>
      <w:r w:rsidRPr="00181EF3">
        <w:t xml:space="preserve"> higher in Māori females aged 25</w:t>
      </w:r>
      <w:r w:rsidR="00D46D7A">
        <w:t> </w:t>
      </w:r>
      <w:r w:rsidRPr="00181EF3">
        <w:t xml:space="preserve">years and over than in </w:t>
      </w:r>
      <w:r w:rsidR="00EC03A3">
        <w:t>non</w:t>
      </w:r>
      <w:r w:rsidR="00EC03A3">
        <w:noBreakHyphen/>
        <w:t>M</w:t>
      </w:r>
      <w:r w:rsidRPr="00181EF3">
        <w:t xml:space="preserve">āori </w:t>
      </w:r>
      <w:r w:rsidR="00EC03A3">
        <w:t>non</w:t>
      </w:r>
      <w:r w:rsidR="00EC03A3">
        <w:noBreakHyphen/>
        <w:t>P</w:t>
      </w:r>
      <w:r w:rsidRPr="00181EF3">
        <w:t>acific females at the same age group in 2011–13. This gap has increased over time: the age-standardised rate ratio increased from 1.25 in 2001–03 to 1.34 in 2011–13.</w:t>
      </w:r>
    </w:p>
    <w:p w14:paraId="09765BCE" w14:textId="77777777" w:rsidR="00BA4884" w:rsidRPr="00181EF3" w:rsidRDefault="00BA4884" w:rsidP="00BA4884"/>
    <w:p w14:paraId="277E572C" w14:textId="268B3368" w:rsidR="00B97D7F" w:rsidRDefault="00B97D7F" w:rsidP="00B97D7F">
      <w:pPr>
        <w:pStyle w:val="Figure"/>
      </w:pPr>
      <w:bookmarkStart w:id="490" w:name="_Toc19102006"/>
      <w:r w:rsidRPr="00181EF3">
        <w:t>Figure 1</w:t>
      </w:r>
      <w:r>
        <w:t>5</w:t>
      </w:r>
      <w:r w:rsidR="00572A9A">
        <w:t>5</w:t>
      </w:r>
      <w:r w:rsidRPr="00181EF3">
        <w:t xml:space="preserve">: Breast cancer mortality rate, Māori and </w:t>
      </w:r>
      <w:r w:rsidR="00EC03A3">
        <w:t>non</w:t>
      </w:r>
      <w:r w:rsidR="00EC03A3">
        <w:noBreakHyphen/>
        <w:t>M</w:t>
      </w:r>
      <w:r w:rsidRPr="00181EF3">
        <w:t xml:space="preserve">āori </w:t>
      </w:r>
      <w:r w:rsidR="00EC03A3">
        <w:t>non</w:t>
      </w:r>
      <w:r w:rsidR="00EC03A3">
        <w:noBreakHyphen/>
        <w:t>P</w:t>
      </w:r>
      <w:r w:rsidRPr="00181EF3">
        <w:t>acific females aged 25 years and over, from 2001–03 to 2011–13</w:t>
      </w:r>
      <w:bookmarkEnd w:id="490"/>
    </w:p>
    <w:p w14:paraId="34E3094E" w14:textId="77777777" w:rsidR="00B97D7F" w:rsidRPr="00473E70" w:rsidRDefault="00B97D7F" w:rsidP="00B97D7F">
      <w:r w:rsidRPr="00473E70">
        <w:rPr>
          <w:noProof/>
          <w:lang w:eastAsia="en-NZ"/>
        </w:rPr>
        <w:drawing>
          <wp:inline distT="0" distB="0" distL="0" distR="0" wp14:anchorId="0AEDF819" wp14:editId="022A8A79">
            <wp:extent cx="5130165" cy="2799119"/>
            <wp:effectExtent l="0" t="0" r="0" b="1270"/>
            <wp:docPr id="288" name="Picture 288" descr="Māori women die of breast cancer at a higher rate than non-Māori women. The rates for both have gone down over time." title="Figure 155: Breast cancer mortality rate, Māori and non-Māori non-Pacific females aged 25 years and over, from 2001–03 to 20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5130165" cy="2799119"/>
                    </a:xfrm>
                    <a:prstGeom prst="rect">
                      <a:avLst/>
                    </a:prstGeom>
                  </pic:spPr>
                </pic:pic>
              </a:graphicData>
            </a:graphic>
          </wp:inline>
        </w:drawing>
      </w:r>
    </w:p>
    <w:p w14:paraId="04E8B268" w14:textId="77777777" w:rsidR="00B97D7F" w:rsidRDefault="00B97D7F" w:rsidP="00B97D7F">
      <w:pPr>
        <w:pStyle w:val="Note"/>
      </w:pPr>
      <w:r w:rsidRPr="00181EF3">
        <w:t>Note</w:t>
      </w:r>
      <w:r>
        <w:t>s</w:t>
      </w:r>
      <w:r w:rsidRPr="00181EF3">
        <w:t>:</w:t>
      </w:r>
    </w:p>
    <w:p w14:paraId="18A80570" w14:textId="10382C45" w:rsidR="008A5642" w:rsidRDefault="00446D86" w:rsidP="00B97D7F">
      <w:pPr>
        <w:pStyle w:val="Note"/>
      </w:pPr>
      <w:r>
        <w:t>Figures are age-standardised to the 2001 Census total Māori population</w:t>
      </w:r>
      <w:r w:rsidR="00B97D7F" w:rsidRPr="00181EF3">
        <w:t>.</w:t>
      </w:r>
    </w:p>
    <w:p w14:paraId="1B879A32" w14:textId="6E359528" w:rsidR="00B97D7F" w:rsidRPr="00181EF3" w:rsidRDefault="00B97D7F" w:rsidP="00B97D7F">
      <w:pPr>
        <w:pStyle w:val="Note"/>
      </w:pPr>
      <w:r>
        <w:t>Prioritised ethnicity has been used.</w:t>
      </w:r>
    </w:p>
    <w:p w14:paraId="77FC13DB" w14:textId="77777777" w:rsidR="008A5642" w:rsidRDefault="00B97D7F" w:rsidP="001C62E1">
      <w:pPr>
        <w:pStyle w:val="Note"/>
        <w:ind w:left="0" w:firstLine="0"/>
      </w:pPr>
      <w:r w:rsidRPr="00181EF3">
        <w:t xml:space="preserve">If the </w:t>
      </w:r>
      <w:r w:rsidRPr="001C62E1">
        <w:t>confidence</w:t>
      </w:r>
      <w:r w:rsidRPr="00181EF3">
        <w:t xml:space="preserv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10A05F9E" w14:textId="00E54E5E" w:rsidR="00B97D7F" w:rsidRPr="00181EF3" w:rsidRDefault="00B97D7F" w:rsidP="00B97D7F">
      <w:pPr>
        <w:pStyle w:val="Source"/>
        <w:rPr>
          <w:rFonts w:eastAsia="Calibri"/>
        </w:rPr>
      </w:pPr>
      <w:r w:rsidRPr="00181EF3">
        <w:rPr>
          <w:rFonts w:eastAsia="Calibri"/>
        </w:rPr>
        <w:t>Source: Mortality Collection Data Set (MORT), Ministry of Health</w:t>
      </w:r>
      <w:r>
        <w:rPr>
          <w:rFonts w:eastAsia="Calibri"/>
        </w:rPr>
        <w:t xml:space="preserve">, </w:t>
      </w:r>
      <w:r>
        <w:t>2001</w:t>
      </w:r>
      <w:r w:rsidRPr="00181EF3">
        <w:t>–</w:t>
      </w:r>
      <w:r>
        <w:t>03</w:t>
      </w:r>
      <w:r w:rsidRPr="00181EF3">
        <w:t xml:space="preserve"> to 201</w:t>
      </w:r>
      <w:r>
        <w:t>1</w:t>
      </w:r>
      <w:r w:rsidRPr="00181EF3">
        <w:t>–1</w:t>
      </w:r>
      <w:r>
        <w:t>3</w:t>
      </w:r>
      <w:r w:rsidRPr="00181EF3">
        <w:rPr>
          <w:rFonts w:eastAsia="Calibri"/>
        </w:rPr>
        <w:t>.</w:t>
      </w:r>
    </w:p>
    <w:p w14:paraId="7380DB7B" w14:textId="77777777" w:rsidR="00B97D7F" w:rsidRDefault="00B97D7F" w:rsidP="00BA4884"/>
    <w:p w14:paraId="3170E888" w14:textId="5CAF3225" w:rsidR="00BA4884" w:rsidRDefault="00BA4884" w:rsidP="00BA4884">
      <w:r w:rsidRPr="00181EF3">
        <w:t>Figure 1</w:t>
      </w:r>
      <w:r w:rsidR="00B97D7F">
        <w:t>5</w:t>
      </w:r>
      <w:r w:rsidR="00B74586">
        <w:t>5</w:t>
      </w:r>
      <w:r w:rsidRPr="00181EF3">
        <w:t xml:space="preserve"> shows that Māori females aged 25 years and over had a higher breast cancer mortality rate than </w:t>
      </w:r>
      <w:r w:rsidR="00EC03A3">
        <w:t>non</w:t>
      </w:r>
      <w:r w:rsidR="00EC03A3">
        <w:noBreakHyphen/>
        <w:t>M</w:t>
      </w:r>
      <w:r w:rsidRPr="00181EF3">
        <w:t xml:space="preserve">āori </w:t>
      </w:r>
      <w:r w:rsidR="00EC03A3">
        <w:t>non</w:t>
      </w:r>
      <w:r w:rsidR="00EC03A3">
        <w:noBreakHyphen/>
        <w:t>P</w:t>
      </w:r>
      <w:r w:rsidRPr="00181EF3">
        <w:t>acific females at the same age group over time.</w:t>
      </w:r>
    </w:p>
    <w:p w14:paraId="531A1D4E" w14:textId="77777777" w:rsidR="00D46D7A" w:rsidRPr="00181EF3" w:rsidRDefault="00D46D7A" w:rsidP="00BA4884"/>
    <w:p w14:paraId="53958425" w14:textId="77777777" w:rsidR="00BA4884" w:rsidRPr="00181EF3" w:rsidRDefault="00BA4884" w:rsidP="00B97D7F">
      <w:pPr>
        <w:pStyle w:val="Heading4"/>
      </w:pPr>
      <w:r w:rsidRPr="00181EF3">
        <w:lastRenderedPageBreak/>
        <w:t>Breast cancer mortality rate decreased over time for Māori females</w:t>
      </w:r>
    </w:p>
    <w:p w14:paraId="29FB5802" w14:textId="77777777" w:rsidR="00BA4884" w:rsidRPr="00181EF3" w:rsidRDefault="00BA4884" w:rsidP="00D46D7A">
      <w:pPr>
        <w:keepNext/>
      </w:pPr>
      <w:r w:rsidRPr="00181EF3">
        <w:t>The age-standardised breast cancer mortality rates for Māori females aged 25 years and over decreased by 27 percent, from 47.9 deaths per 100,000 in 2001–03 to 35.0 deaths per 100,000 in 2011–13.</w:t>
      </w:r>
    </w:p>
    <w:p w14:paraId="2A6C1307" w14:textId="77777777" w:rsidR="00BA4884" w:rsidRPr="00181EF3" w:rsidRDefault="00BA4884" w:rsidP="00BA4884"/>
    <w:p w14:paraId="0F22C644" w14:textId="3504D39A" w:rsidR="00BA4884" w:rsidRDefault="00BA4884" w:rsidP="00BA4884">
      <w:r w:rsidRPr="00181EF3">
        <w:t xml:space="preserve">The age-standardised breast cancer mortality rates for </w:t>
      </w:r>
      <w:r w:rsidR="00EC03A3">
        <w:t>non</w:t>
      </w:r>
      <w:r w:rsidR="00EC03A3">
        <w:noBreakHyphen/>
        <w:t>M</w:t>
      </w:r>
      <w:r w:rsidRPr="00181EF3">
        <w:t xml:space="preserve">āori </w:t>
      </w:r>
      <w:r w:rsidR="00EC03A3">
        <w:t>non</w:t>
      </w:r>
      <w:r w:rsidR="00EC03A3">
        <w:noBreakHyphen/>
        <w:t>P</w:t>
      </w:r>
      <w:r w:rsidRPr="00181EF3">
        <w:t>acific females at the same age group decreased by 21 percent, from 26.4 deaths per 100,000 in</w:t>
      </w:r>
      <w:r w:rsidRPr="00181EF3">
        <w:br/>
        <w:t>2001–03 to 20.8 deaths per 100,000 in 2011–13.</w:t>
      </w:r>
    </w:p>
    <w:p w14:paraId="4D95BBB1" w14:textId="77777777" w:rsidR="00D46D7A" w:rsidRPr="00181EF3" w:rsidRDefault="00D46D7A" w:rsidP="00BA4884"/>
    <w:p w14:paraId="441CE68F" w14:textId="6739543F" w:rsidR="00BA4884" w:rsidRPr="00181EF3" w:rsidRDefault="00BA4884" w:rsidP="00B97D7F">
      <w:pPr>
        <w:pStyle w:val="Heading4"/>
      </w:pPr>
      <w:r w:rsidRPr="00181EF3">
        <w:t xml:space="preserve">The difference in breast cancer mortality rate between Māori and </w:t>
      </w:r>
      <w:r w:rsidR="00EC03A3">
        <w:t>non</w:t>
      </w:r>
      <w:r w:rsidR="00EC03A3">
        <w:noBreakHyphen/>
        <w:t>M</w:t>
      </w:r>
      <w:r w:rsidRPr="00181EF3">
        <w:t xml:space="preserve">āori </w:t>
      </w:r>
      <w:r w:rsidR="00EC03A3">
        <w:t>non</w:t>
      </w:r>
      <w:r w:rsidR="00EC03A3">
        <w:noBreakHyphen/>
        <w:t>P</w:t>
      </w:r>
      <w:r w:rsidRPr="00181EF3">
        <w:t>acific females decreased over time</w:t>
      </w:r>
    </w:p>
    <w:p w14:paraId="23C5DD35" w14:textId="4D69BA0D" w:rsidR="00BA4884" w:rsidRPr="00181EF3" w:rsidRDefault="00BA4884" w:rsidP="00BA4884">
      <w:r w:rsidRPr="00181EF3">
        <w:t xml:space="preserve">The age-standardised breast cancer mortality rate difference between Māori and </w:t>
      </w:r>
      <w:r w:rsidR="00EC03A3">
        <w:t>non</w:t>
      </w:r>
      <w:r w:rsidR="00EC03A3">
        <w:noBreakHyphen/>
        <w:t>M</w:t>
      </w:r>
      <w:r w:rsidRPr="00181EF3">
        <w:t xml:space="preserve">āori </w:t>
      </w:r>
      <w:r w:rsidR="00EC03A3">
        <w:t>non</w:t>
      </w:r>
      <w:r w:rsidR="00EC03A3">
        <w:noBreakHyphen/>
        <w:t>P</w:t>
      </w:r>
      <w:r w:rsidRPr="00181EF3">
        <w:t>acific females aged 25 years and over decreased by 34 percent over time. Māori females aged 25 years and over had 21.5 more deaths per 100,000 in 2001–03, and 14.2 more deaths per 100,000 in 2011–13.</w:t>
      </w:r>
    </w:p>
    <w:p w14:paraId="78C40B40" w14:textId="77777777" w:rsidR="00BA4884" w:rsidRPr="00181EF3" w:rsidRDefault="00BA4884" w:rsidP="00BA4884"/>
    <w:p w14:paraId="13F07DA7" w14:textId="77777777" w:rsidR="00BA4884" w:rsidRPr="00181EF3" w:rsidRDefault="00B97D7F" w:rsidP="00BA4884">
      <w:r>
        <w:t>T</w:t>
      </w:r>
      <w:r w:rsidR="00BA4884" w:rsidRPr="00181EF3">
        <w:t>he age-standardised rate ratio decreased from 1.81 in 2001–03 to 1.68 in 2011–13.</w:t>
      </w:r>
    </w:p>
    <w:p w14:paraId="0C113C9F" w14:textId="77777777" w:rsidR="00BA4884" w:rsidRPr="00181EF3" w:rsidRDefault="00BA4884" w:rsidP="00BA4884"/>
    <w:p w14:paraId="0AD15844" w14:textId="77777777" w:rsidR="00764DE1" w:rsidRPr="00181EF3" w:rsidRDefault="00764DE1" w:rsidP="00D46D7A">
      <w:pPr>
        <w:pStyle w:val="Heading2"/>
        <w:pageBreakBefore/>
        <w:spacing w:before="0"/>
        <w:rPr>
          <w:noProof/>
          <w:lang w:eastAsia="en-NZ"/>
        </w:rPr>
      </w:pPr>
      <w:bookmarkStart w:id="491" w:name="_Toc14718641"/>
      <w:bookmarkStart w:id="492" w:name="_Toc14775064"/>
      <w:bookmarkStart w:id="493" w:name="_Toc19102486"/>
      <w:r>
        <w:rPr>
          <w:noProof/>
          <w:lang w:eastAsia="en-NZ"/>
        </w:rPr>
        <w:lastRenderedPageBreak/>
        <w:t>R</w:t>
      </w:r>
      <w:r w:rsidRPr="00181EF3">
        <w:rPr>
          <w:noProof/>
          <w:lang w:eastAsia="en-NZ"/>
        </w:rPr>
        <w:t>espiratory disease</w:t>
      </w:r>
      <w:bookmarkEnd w:id="491"/>
      <w:bookmarkEnd w:id="492"/>
      <w:bookmarkEnd w:id="493"/>
    </w:p>
    <w:p w14:paraId="1C33EC5E" w14:textId="3E4D89EA" w:rsidR="00764DE1" w:rsidRPr="00181EF3" w:rsidRDefault="00764DE1" w:rsidP="00764DE1">
      <w:r w:rsidRPr="00181EF3">
        <w:rPr>
          <w:noProof/>
          <w:color w:val="000000" w:themeColor="text1"/>
          <w:lang w:eastAsia="en-NZ"/>
        </w:rPr>
        <w:t xml:space="preserve">This </w:t>
      </w:r>
      <w:r w:rsidR="00FC3AAE">
        <w:rPr>
          <w:noProof/>
          <w:color w:val="000000" w:themeColor="text1"/>
          <w:lang w:eastAsia="en-NZ"/>
        </w:rPr>
        <w:t>section presents</w:t>
      </w:r>
      <w:r w:rsidRPr="00181EF3">
        <w:rPr>
          <w:noProof/>
          <w:color w:val="000000" w:themeColor="text1"/>
          <w:lang w:eastAsia="en-NZ"/>
        </w:rPr>
        <w:t xml:space="preserve"> the trends</w:t>
      </w:r>
      <w:r w:rsidRPr="00181EF3">
        <w:t xml:space="preserve"> in respiratory disease for Māori compared </w:t>
      </w:r>
      <w:r w:rsidR="00FF1892">
        <w:t>with</w:t>
      </w:r>
      <w:r w:rsidR="00FF1892" w:rsidRPr="00181EF3">
        <w:t xml:space="preserve"> </w:t>
      </w:r>
      <w:r w:rsidR="00EC03A3">
        <w:t>non</w:t>
      </w:r>
      <w:r w:rsidR="00EC03A3">
        <w:noBreakHyphen/>
        <w:t>M</w:t>
      </w:r>
      <w:r w:rsidRPr="00181EF3">
        <w:t xml:space="preserve">āori </w:t>
      </w:r>
      <w:r w:rsidR="00EC03A3">
        <w:t>non</w:t>
      </w:r>
      <w:r w:rsidR="00EC03A3">
        <w:noBreakHyphen/>
        <w:t>P</w:t>
      </w:r>
      <w:r w:rsidRPr="00181EF3">
        <w:t>acific. Respiratory diseases presented include</w:t>
      </w:r>
      <w:r>
        <w:t>:</w:t>
      </w:r>
      <w:r w:rsidRPr="00181EF3">
        <w:t xml:space="preserve"> asthma hospitalisations, diagnosed asthma, bronchiectasis hospitalisations, bronchiolitis hospitalisations, chronic obstructive pulmonary disease mortality and hospitalisations.</w:t>
      </w:r>
    </w:p>
    <w:p w14:paraId="0EFF8674" w14:textId="77777777" w:rsidR="00764DE1" w:rsidRPr="00181EF3" w:rsidRDefault="00764DE1" w:rsidP="00764DE1"/>
    <w:p w14:paraId="7BD5BB5F" w14:textId="77777777" w:rsidR="00764DE1" w:rsidRPr="00181EF3" w:rsidRDefault="00764DE1" w:rsidP="00FC3AAE">
      <w:pPr>
        <w:pStyle w:val="Heading3"/>
      </w:pPr>
      <w:bookmarkStart w:id="494" w:name="_Toc19102487"/>
      <w:r w:rsidRPr="00181EF3">
        <w:t>What is the data telling us?</w:t>
      </w:r>
      <w:bookmarkEnd w:id="494"/>
    </w:p>
    <w:p w14:paraId="5182244C" w14:textId="77777777" w:rsidR="00764DE1" w:rsidRPr="00181EF3" w:rsidRDefault="00764DE1" w:rsidP="00764DE1">
      <w:pPr>
        <w:pStyle w:val="Shadedboxheading"/>
      </w:pPr>
      <w:r w:rsidRPr="00181EF3">
        <w:t>Asthma</w:t>
      </w:r>
    </w:p>
    <w:p w14:paraId="08B749F6" w14:textId="53C54F28" w:rsidR="00764DE1" w:rsidRPr="00181EF3" w:rsidRDefault="00764DE1" w:rsidP="00764DE1">
      <w:pPr>
        <w:pStyle w:val="Shadedboxbullet"/>
        <w:ind w:left="568" w:hanging="284"/>
      </w:pPr>
      <w:r w:rsidRPr="00181EF3">
        <w:t xml:space="preserve">Māori adults aged 15–44 years were more likely than </w:t>
      </w:r>
      <w:r w:rsidR="00EC03A3">
        <w:t>non</w:t>
      </w:r>
      <w:r w:rsidR="00EC03A3">
        <w:noBreakHyphen/>
        <w:t>M</w:t>
      </w:r>
      <w:r w:rsidRPr="00181EF3">
        <w:t xml:space="preserve">āori </w:t>
      </w:r>
      <w:r w:rsidR="00EC03A3">
        <w:t>non</w:t>
      </w:r>
      <w:r w:rsidR="00EC03A3">
        <w:noBreakHyphen/>
        <w:t>P</w:t>
      </w:r>
      <w:r w:rsidRPr="00181EF3">
        <w:t>acific adults aged 15–44 years to report being diagnosed with asthma. There was little change over time from 2006/07 to 2016/17.</w:t>
      </w:r>
    </w:p>
    <w:p w14:paraId="7A9D0761" w14:textId="28F697E2" w:rsidR="00764DE1" w:rsidRPr="00181EF3" w:rsidRDefault="00764DE1" w:rsidP="00764DE1">
      <w:pPr>
        <w:pStyle w:val="Shadedboxbullet"/>
        <w:ind w:left="568" w:hanging="284"/>
      </w:pPr>
      <w:r w:rsidRPr="00181EF3">
        <w:t xml:space="preserve">Over time, hospitalisation rates have remained constant for Māori and decreased for </w:t>
      </w:r>
      <w:r w:rsidR="00EC03A3">
        <w:t>non</w:t>
      </w:r>
      <w:r w:rsidR="00EC03A3">
        <w:noBreakHyphen/>
        <w:t>M</w:t>
      </w:r>
      <w:r w:rsidRPr="00181EF3">
        <w:t xml:space="preserve">āori </w:t>
      </w:r>
      <w:r w:rsidR="00EC03A3">
        <w:t>non</w:t>
      </w:r>
      <w:r w:rsidR="00EC03A3">
        <w:noBreakHyphen/>
        <w:t>P</w:t>
      </w:r>
      <w:r w:rsidRPr="00181EF3">
        <w:t xml:space="preserve">acific resulting in an increased disparity between Māori and </w:t>
      </w:r>
      <w:r w:rsidR="00EC03A3">
        <w:t>non</w:t>
      </w:r>
      <w:r w:rsidR="00EC03A3">
        <w:noBreakHyphen/>
        <w:t>M</w:t>
      </w:r>
      <w:r w:rsidRPr="00181EF3">
        <w:t xml:space="preserve">āori </w:t>
      </w:r>
      <w:r w:rsidR="00EC03A3">
        <w:t>non</w:t>
      </w:r>
      <w:r w:rsidR="00EC03A3">
        <w:noBreakHyphen/>
        <w:t>P</w:t>
      </w:r>
      <w:r w:rsidRPr="00181EF3">
        <w:t>acific.</w:t>
      </w:r>
    </w:p>
    <w:p w14:paraId="75310A19" w14:textId="77777777" w:rsidR="00764DE1" w:rsidRPr="00181EF3" w:rsidRDefault="00764DE1" w:rsidP="00764DE1">
      <w:pPr>
        <w:pStyle w:val="Shadedboxheading"/>
      </w:pPr>
      <w:r w:rsidRPr="00181EF3">
        <w:t>Bronchiectasis and bronchiolitis</w:t>
      </w:r>
    </w:p>
    <w:p w14:paraId="755D56A4" w14:textId="77777777" w:rsidR="00764DE1" w:rsidRPr="00181EF3" w:rsidRDefault="00764DE1" w:rsidP="00D46D7A">
      <w:pPr>
        <w:pStyle w:val="Shadedboxbullet"/>
        <w:ind w:left="568" w:hanging="284"/>
      </w:pPr>
      <w:r w:rsidRPr="00181EF3">
        <w:t>Over time, hospitalisation rates for bronchiectasis for Māori males have increased whilst for Māori females some decline was apparent.</w:t>
      </w:r>
    </w:p>
    <w:p w14:paraId="18D1D1A2" w14:textId="7BB31A8D" w:rsidR="00764DE1" w:rsidRPr="00181EF3" w:rsidRDefault="00764DE1" w:rsidP="00D46D7A">
      <w:pPr>
        <w:pStyle w:val="Shadedboxbullet"/>
        <w:ind w:left="568" w:hanging="284"/>
      </w:pPr>
      <w:r w:rsidRPr="00181EF3">
        <w:t xml:space="preserve">The disparity between Māori and </w:t>
      </w:r>
      <w:r w:rsidR="00EC03A3">
        <w:t>non</w:t>
      </w:r>
      <w:r w:rsidR="00EC03A3">
        <w:noBreakHyphen/>
        <w:t>M</w:t>
      </w:r>
      <w:r w:rsidRPr="00181EF3">
        <w:t xml:space="preserve">āori </w:t>
      </w:r>
      <w:r w:rsidR="00EC03A3">
        <w:t>non</w:t>
      </w:r>
      <w:r w:rsidR="00EC03A3">
        <w:noBreakHyphen/>
        <w:t>P</w:t>
      </w:r>
      <w:r w:rsidRPr="00181EF3">
        <w:t xml:space="preserve">acific children aged 0–14 years has increased over time. In 2011–13, Māori children aged 0–14 years were nearly six times as likely as </w:t>
      </w:r>
      <w:r w:rsidR="00EC03A3">
        <w:t>non</w:t>
      </w:r>
      <w:r w:rsidR="00EC03A3">
        <w:noBreakHyphen/>
        <w:t>M</w:t>
      </w:r>
      <w:r w:rsidRPr="00181EF3">
        <w:t xml:space="preserve">āori </w:t>
      </w:r>
      <w:r w:rsidR="00EC03A3">
        <w:t>non</w:t>
      </w:r>
      <w:r w:rsidR="00EC03A3">
        <w:noBreakHyphen/>
        <w:t>P</w:t>
      </w:r>
      <w:r w:rsidRPr="00181EF3">
        <w:t>acific children to be hospitalised for bronchiectasis.</w:t>
      </w:r>
    </w:p>
    <w:p w14:paraId="4463F7A9" w14:textId="77777777" w:rsidR="00764DE1" w:rsidRPr="00181EF3" w:rsidRDefault="00764DE1" w:rsidP="00D46D7A">
      <w:pPr>
        <w:pStyle w:val="Shadedboxbullet"/>
        <w:ind w:left="568" w:hanging="284"/>
      </w:pPr>
      <w:r w:rsidRPr="00181EF3">
        <w:t>Over time, rates of hospitalisation for bronchiolitis for Māori children aged</w:t>
      </w:r>
      <w:r w:rsidRPr="00181EF3">
        <w:br/>
        <w:t>0–4 years of age have increased.</w:t>
      </w:r>
    </w:p>
    <w:p w14:paraId="4A20F6FE" w14:textId="77777777" w:rsidR="00764DE1" w:rsidRPr="00181EF3" w:rsidRDefault="00764DE1" w:rsidP="00764DE1">
      <w:pPr>
        <w:pStyle w:val="Shadedboxbullet"/>
        <w:ind w:left="568" w:hanging="284"/>
      </w:pPr>
      <w:r w:rsidRPr="00181EF3">
        <w:t>Māori boys have the highest rates of bronchiolitis hospitalisations and this rate has increased over time.</w:t>
      </w:r>
    </w:p>
    <w:p w14:paraId="6DB05DFD" w14:textId="77777777" w:rsidR="00764DE1" w:rsidRPr="00181EF3" w:rsidRDefault="00764DE1" w:rsidP="00764DE1">
      <w:pPr>
        <w:pStyle w:val="Shadedboxheading"/>
      </w:pPr>
      <w:r w:rsidRPr="00181EF3">
        <w:t>Chronic obstructive pulmonary disease (COPD)</w:t>
      </w:r>
    </w:p>
    <w:p w14:paraId="2212AC72" w14:textId="49375761" w:rsidR="00764DE1" w:rsidRPr="00181EF3" w:rsidRDefault="00764DE1" w:rsidP="00764DE1">
      <w:pPr>
        <w:pStyle w:val="Shadedboxbullet"/>
        <w:ind w:left="568" w:hanging="284"/>
      </w:pPr>
      <w:r w:rsidRPr="00181EF3">
        <w:t xml:space="preserve">From 2001–03 to 2011–13, rates of hospitalisation for COPD have increased for Māori, whilst remaining constant for </w:t>
      </w:r>
      <w:r w:rsidR="00EC03A3">
        <w:t>non</w:t>
      </w:r>
      <w:r w:rsidR="00EC03A3">
        <w:noBreakHyphen/>
        <w:t>M</w:t>
      </w:r>
      <w:r w:rsidRPr="00181EF3">
        <w:t xml:space="preserve">āori </w:t>
      </w:r>
      <w:r w:rsidR="00EC03A3">
        <w:t>non</w:t>
      </w:r>
      <w:r w:rsidR="00EC03A3">
        <w:noBreakHyphen/>
        <w:t>P</w:t>
      </w:r>
      <w:r w:rsidRPr="00181EF3">
        <w:t>acific.</w:t>
      </w:r>
    </w:p>
    <w:p w14:paraId="416E5CDE" w14:textId="77777777" w:rsidR="00764DE1" w:rsidRPr="00181EF3" w:rsidRDefault="00764DE1" w:rsidP="00764DE1">
      <w:pPr>
        <w:pStyle w:val="Shadedboxbullet"/>
        <w:ind w:left="568" w:hanging="284"/>
      </w:pPr>
      <w:r w:rsidRPr="00181EF3">
        <w:t>Māori females have the highest rates of COPD hospitalisations over time.</w:t>
      </w:r>
    </w:p>
    <w:p w14:paraId="41ED871E" w14:textId="453DB89E" w:rsidR="00764DE1" w:rsidRPr="00181EF3" w:rsidRDefault="00764DE1" w:rsidP="00764DE1">
      <w:pPr>
        <w:pStyle w:val="Shadedboxbullet"/>
        <w:ind w:left="568" w:hanging="284"/>
      </w:pPr>
      <w:r w:rsidRPr="00181EF3">
        <w:t xml:space="preserve">Overtime there has been a decrease in COPD mortality rates for Māori and </w:t>
      </w:r>
      <w:r w:rsidR="00EC03A3">
        <w:t>non</w:t>
      </w:r>
      <w:r w:rsidR="00EC03A3">
        <w:noBreakHyphen/>
        <w:t>M</w:t>
      </w:r>
      <w:r w:rsidRPr="00181EF3">
        <w:t xml:space="preserve">āori </w:t>
      </w:r>
      <w:r w:rsidR="00EC03A3">
        <w:t>non</w:t>
      </w:r>
      <w:r w:rsidR="00EC03A3">
        <w:noBreakHyphen/>
        <w:t>P</w:t>
      </w:r>
      <w:r w:rsidRPr="00181EF3">
        <w:t>acific aged 45 and over.</w:t>
      </w:r>
    </w:p>
    <w:p w14:paraId="506554E7" w14:textId="77777777" w:rsidR="00764DE1" w:rsidRPr="00181EF3" w:rsidRDefault="00764DE1" w:rsidP="00764DE1"/>
    <w:p w14:paraId="5A76F4F0" w14:textId="77777777" w:rsidR="00764DE1" w:rsidRPr="00181EF3" w:rsidRDefault="00764DE1" w:rsidP="00D46D7A">
      <w:pPr>
        <w:pStyle w:val="Heading3"/>
        <w:pageBreakBefore/>
        <w:spacing w:before="0"/>
      </w:pPr>
      <w:bookmarkStart w:id="495" w:name="_Toc19102488"/>
      <w:r w:rsidRPr="00181EF3">
        <w:lastRenderedPageBreak/>
        <w:t>Asthma</w:t>
      </w:r>
      <w:bookmarkEnd w:id="495"/>
    </w:p>
    <w:p w14:paraId="209F7EEB" w14:textId="77777777" w:rsidR="00764DE1" w:rsidRPr="00181EF3" w:rsidRDefault="00764DE1" w:rsidP="00FC3AAE">
      <w:pPr>
        <w:pStyle w:val="Heading4"/>
      </w:pPr>
      <w:r w:rsidRPr="00181EF3">
        <w:t>Diagnosed asthma</w:t>
      </w:r>
    </w:p>
    <w:p w14:paraId="21D4CE25" w14:textId="2443C7F1" w:rsidR="00764DE1" w:rsidRPr="00F93F88" w:rsidRDefault="00764DE1" w:rsidP="00D46D7A">
      <w:r w:rsidRPr="00F93F88">
        <w:t xml:space="preserve">Māori adults aged 15–44 years were more likely than </w:t>
      </w:r>
      <w:r w:rsidR="00EC03A3">
        <w:t>non</w:t>
      </w:r>
      <w:r w:rsidR="00EC03A3">
        <w:noBreakHyphen/>
        <w:t>M</w:t>
      </w:r>
      <w:r w:rsidRPr="00F93F88">
        <w:t xml:space="preserve">āori </w:t>
      </w:r>
      <w:r w:rsidR="00EC03A3">
        <w:t>non</w:t>
      </w:r>
      <w:r w:rsidR="00EC03A3">
        <w:noBreakHyphen/>
        <w:t>P</w:t>
      </w:r>
      <w:r w:rsidRPr="00F93F88">
        <w:t xml:space="preserve">acific adults aged 15–44 years to report being diagnosed with asthma in the NZHS. In 2016/17, 15 percent of Māori adults reported diagnosed asthma compared </w:t>
      </w:r>
      <w:r w:rsidR="00FF1892">
        <w:t>with</w:t>
      </w:r>
      <w:r w:rsidR="00FF1892" w:rsidRPr="00F93F88">
        <w:t xml:space="preserve"> </w:t>
      </w:r>
      <w:r w:rsidRPr="00F93F88">
        <w:t xml:space="preserve">11 percent of </w:t>
      </w:r>
      <w:r w:rsidR="00EC03A3">
        <w:t>non</w:t>
      </w:r>
      <w:r w:rsidR="00EC03A3">
        <w:noBreakHyphen/>
        <w:t>M</w:t>
      </w:r>
      <w:r w:rsidRPr="00F93F88">
        <w:t xml:space="preserve">āori </w:t>
      </w:r>
      <w:r w:rsidR="00EC03A3">
        <w:t>non</w:t>
      </w:r>
      <w:r w:rsidR="00EC03A3">
        <w:noBreakHyphen/>
        <w:t>P</w:t>
      </w:r>
      <w:r w:rsidRPr="00F93F88">
        <w:t>acific adults. There was little change over time from 2006/07 to 2016/17.</w:t>
      </w:r>
    </w:p>
    <w:p w14:paraId="7BF533EF" w14:textId="77777777" w:rsidR="00764DE1" w:rsidRPr="00181EF3" w:rsidRDefault="00764DE1" w:rsidP="00D46D7A"/>
    <w:p w14:paraId="08D65781" w14:textId="64113B19" w:rsidR="00764DE1" w:rsidRPr="00181EF3" w:rsidRDefault="00764DE1" w:rsidP="00FC3AAE">
      <w:pPr>
        <w:pStyle w:val="Heading4"/>
      </w:pPr>
      <w:r w:rsidRPr="00181EF3">
        <w:t>Asthma hospitalisations (aged 5</w:t>
      </w:r>
      <w:r w:rsidRPr="00181EF3">
        <w:rPr>
          <w:color w:val="1F3864"/>
        </w:rPr>
        <w:t>–</w:t>
      </w:r>
      <w:r w:rsidRPr="00181EF3">
        <w:t>34 years)</w:t>
      </w:r>
      <w:r w:rsidR="00FC3AAE">
        <w:rPr>
          <w:rStyle w:val="FootnoteReference"/>
        </w:rPr>
        <w:footnoteReference w:id="27"/>
      </w:r>
    </w:p>
    <w:p w14:paraId="21E7B71F" w14:textId="3E05500D" w:rsidR="00764DE1" w:rsidRPr="00181EF3" w:rsidRDefault="00764DE1" w:rsidP="00764DE1">
      <w:pPr>
        <w:pStyle w:val="Figure"/>
      </w:pPr>
      <w:bookmarkStart w:id="496" w:name="_Toc19102007"/>
      <w:r w:rsidRPr="00181EF3">
        <w:t>Figure 1</w:t>
      </w:r>
      <w:r w:rsidR="00FC3AAE">
        <w:t>5</w:t>
      </w:r>
      <w:r w:rsidR="00572A9A">
        <w:t>6</w:t>
      </w:r>
      <w:r w:rsidRPr="00181EF3">
        <w:t xml:space="preserve">: </w:t>
      </w:r>
      <w:r w:rsidR="00FC3AAE" w:rsidRPr="00181EF3">
        <w:t>Asthma hospitalisation</w:t>
      </w:r>
      <w:r w:rsidR="00FC3AAE">
        <w:t xml:space="preserve"> rates</w:t>
      </w:r>
      <w:r w:rsidR="00FC3AAE" w:rsidRPr="00181EF3">
        <w:t>, 5–34 years</w:t>
      </w:r>
      <w:r w:rsidR="00FC3AAE">
        <w:t xml:space="preserve">, by gender, </w:t>
      </w:r>
      <w:r w:rsidR="00FC3AAE" w:rsidRPr="00181EF3">
        <w:t xml:space="preserve">Māori and </w:t>
      </w:r>
      <w:r w:rsidR="00EC03A3">
        <w:t>non</w:t>
      </w:r>
      <w:r w:rsidR="00EC03A3">
        <w:noBreakHyphen/>
        <w:t>M</w:t>
      </w:r>
      <w:r w:rsidR="00FC3AAE" w:rsidRPr="00181EF3">
        <w:t>āori</w:t>
      </w:r>
      <w:r w:rsidR="00FC3AAE">
        <w:t xml:space="preserve"> </w:t>
      </w:r>
      <w:r w:rsidR="00EC03A3">
        <w:t>non</w:t>
      </w:r>
      <w:r w:rsidR="00EC03A3">
        <w:noBreakHyphen/>
        <w:t>P</w:t>
      </w:r>
      <w:r w:rsidR="00FC3AAE">
        <w:t>acific</w:t>
      </w:r>
      <w:r w:rsidR="00FC3AAE" w:rsidRPr="00181EF3">
        <w:t xml:space="preserve">, </w:t>
      </w:r>
      <w:r w:rsidR="00FC3AAE">
        <w:t>2001</w:t>
      </w:r>
      <w:r w:rsidR="00FC3AAE" w:rsidRPr="00181EF3">
        <w:t>–</w:t>
      </w:r>
      <w:r w:rsidR="00FC3AAE">
        <w:t>03</w:t>
      </w:r>
      <w:r w:rsidR="00FC3AAE" w:rsidRPr="00181EF3">
        <w:t xml:space="preserve"> to 201</w:t>
      </w:r>
      <w:r w:rsidR="00FC3AAE">
        <w:t>1</w:t>
      </w:r>
      <w:r w:rsidR="00FC3AAE" w:rsidRPr="00181EF3">
        <w:t>–1</w:t>
      </w:r>
      <w:r w:rsidR="00FC3AAE">
        <w:t>3</w:t>
      </w:r>
      <w:bookmarkEnd w:id="496"/>
    </w:p>
    <w:p w14:paraId="5168F022" w14:textId="77777777" w:rsidR="00764DE1" w:rsidRPr="00181EF3" w:rsidRDefault="00764DE1" w:rsidP="00764DE1">
      <w:r w:rsidRPr="00181EF3">
        <w:rPr>
          <w:noProof/>
          <w:lang w:eastAsia="en-NZ"/>
        </w:rPr>
        <w:drawing>
          <wp:inline distT="0" distB="0" distL="0" distR="0" wp14:anchorId="2BC3FAF8" wp14:editId="0DD3DE6F">
            <wp:extent cx="5130165" cy="3069329"/>
            <wp:effectExtent l="0" t="0" r="0" b="0"/>
            <wp:docPr id="467" name="Picture 467" descr="Young Māori women were the most likely group to have an asthma hospitalisation, followed by young Māori men. The rates for both reached a high point in 2009-11 and have declined in the years since. Non-Māori young men and women have lower rates and have declined slightly over time." title="Figure 156: Asthma hospitalisation, 5–3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5130165" cy="3069329"/>
                    </a:xfrm>
                    <a:prstGeom prst="rect">
                      <a:avLst/>
                    </a:prstGeom>
                  </pic:spPr>
                </pic:pic>
              </a:graphicData>
            </a:graphic>
          </wp:inline>
        </w:drawing>
      </w:r>
    </w:p>
    <w:p w14:paraId="41D13A51" w14:textId="77777777" w:rsidR="00FC3AAE" w:rsidRDefault="00FC3AAE" w:rsidP="001C62E1">
      <w:pPr>
        <w:pStyle w:val="Note"/>
        <w:ind w:left="0" w:firstLine="0"/>
      </w:pPr>
      <w:r w:rsidRPr="00181EF3">
        <w:t>Note</w:t>
      </w:r>
      <w:r>
        <w:t>s</w:t>
      </w:r>
      <w:r w:rsidRPr="00181EF3">
        <w:t>:</w:t>
      </w:r>
    </w:p>
    <w:p w14:paraId="45539C21" w14:textId="69BD6FB2" w:rsidR="008A5642" w:rsidRDefault="00446D86" w:rsidP="001C62E1">
      <w:pPr>
        <w:pStyle w:val="Note"/>
        <w:ind w:left="0" w:firstLine="0"/>
      </w:pPr>
      <w:r>
        <w:t>Figures are age-standardised to the 2001 Census total Māori population</w:t>
      </w:r>
      <w:r w:rsidR="00FC3AAE" w:rsidRPr="00181EF3">
        <w:t>.</w:t>
      </w:r>
    </w:p>
    <w:p w14:paraId="1566C325" w14:textId="1C92C31B" w:rsidR="00FC3AAE" w:rsidRPr="00181EF3" w:rsidRDefault="00FC3AAE" w:rsidP="001C62E1">
      <w:pPr>
        <w:pStyle w:val="Note"/>
        <w:ind w:left="0" w:firstLine="0"/>
      </w:pPr>
      <w:r>
        <w:t>Prioritised ethnicity has been used.</w:t>
      </w:r>
    </w:p>
    <w:p w14:paraId="2154B4AA" w14:textId="77777777" w:rsidR="008A5642" w:rsidRDefault="00FC3AAE" w:rsidP="001C62E1">
      <w:pPr>
        <w:pStyle w:val="Note"/>
        <w:ind w:left="0" w:firstLine="0"/>
      </w:pPr>
      <w:r w:rsidRPr="00181EF3">
        <w:t xml:space="preserve">If the </w:t>
      </w:r>
      <w:r w:rsidRPr="001C62E1">
        <w:t>confidence</w:t>
      </w:r>
      <w:r w:rsidRPr="00181EF3">
        <w:t xml:space="preserv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4DC1D485" w14:textId="3399761B" w:rsidR="00FC3AAE" w:rsidRDefault="00FC3AAE" w:rsidP="001C62E1">
      <w:pPr>
        <w:pStyle w:val="Note"/>
        <w:ind w:left="0" w:firstLine="0"/>
        <w:rPr>
          <w:rFonts w:eastAsia="Calibri"/>
          <w:szCs w:val="17"/>
        </w:rPr>
      </w:pPr>
      <w:r w:rsidRPr="00A613D8">
        <w:rPr>
          <w:rFonts w:eastAsia="Calibri"/>
          <w:szCs w:val="17"/>
        </w:rPr>
        <w:t>Source: National Minimum Data Set (NMDS), Ministry of Health,</w:t>
      </w:r>
      <w:r w:rsidRPr="00A613D8">
        <w:rPr>
          <w:szCs w:val="17"/>
        </w:rPr>
        <w:t xml:space="preserve"> </w:t>
      </w:r>
      <w:r>
        <w:rPr>
          <w:szCs w:val="17"/>
        </w:rPr>
        <w:t>2001</w:t>
      </w:r>
      <w:r w:rsidRPr="00A613D8">
        <w:rPr>
          <w:szCs w:val="17"/>
        </w:rPr>
        <w:t>–</w:t>
      </w:r>
      <w:r>
        <w:rPr>
          <w:szCs w:val="17"/>
        </w:rPr>
        <w:t>03</w:t>
      </w:r>
      <w:r w:rsidRPr="00A613D8">
        <w:rPr>
          <w:szCs w:val="17"/>
        </w:rPr>
        <w:t xml:space="preserve"> to 201</w:t>
      </w:r>
      <w:r>
        <w:rPr>
          <w:szCs w:val="17"/>
        </w:rPr>
        <w:t>1</w:t>
      </w:r>
      <w:r w:rsidRPr="00A613D8">
        <w:rPr>
          <w:szCs w:val="17"/>
        </w:rPr>
        <w:t>–1</w:t>
      </w:r>
      <w:r>
        <w:rPr>
          <w:szCs w:val="17"/>
        </w:rPr>
        <w:t>3</w:t>
      </w:r>
      <w:r w:rsidRPr="00A613D8">
        <w:rPr>
          <w:rFonts w:eastAsia="Calibri"/>
          <w:szCs w:val="17"/>
        </w:rPr>
        <w:t>.</w:t>
      </w:r>
    </w:p>
    <w:p w14:paraId="2002C03E" w14:textId="77777777" w:rsidR="00FC3AAE" w:rsidRDefault="00FC3AAE" w:rsidP="00FC3AAE">
      <w:pPr>
        <w:rPr>
          <w:rFonts w:eastAsia="Calibri"/>
          <w:sz w:val="17"/>
          <w:szCs w:val="17"/>
        </w:rPr>
      </w:pPr>
    </w:p>
    <w:p w14:paraId="2495E0C5" w14:textId="5739C99A" w:rsidR="00FC3AAE" w:rsidRPr="00181EF3" w:rsidRDefault="00FC3AAE" w:rsidP="00D46D7A">
      <w:r w:rsidRPr="00181EF3">
        <w:t>Māori aged 5</w:t>
      </w:r>
      <w:r w:rsidRPr="00181EF3">
        <w:rPr>
          <w:color w:val="1F3864"/>
        </w:rPr>
        <w:t>–</w:t>
      </w:r>
      <w:r w:rsidRPr="00181EF3">
        <w:t xml:space="preserve">34 years were more likely than </w:t>
      </w:r>
      <w:r w:rsidR="00EC03A3">
        <w:t>non</w:t>
      </w:r>
      <w:r w:rsidR="00EC03A3">
        <w:noBreakHyphen/>
        <w:t>M</w:t>
      </w:r>
      <w:r w:rsidRPr="00181EF3">
        <w:t xml:space="preserve">āori </w:t>
      </w:r>
      <w:r w:rsidR="00EC03A3">
        <w:t>non</w:t>
      </w:r>
      <w:r w:rsidR="00EC03A3">
        <w:noBreakHyphen/>
        <w:t>P</w:t>
      </w:r>
      <w:r w:rsidRPr="00181EF3">
        <w:t>acific aged 5</w:t>
      </w:r>
      <w:r w:rsidRPr="00181EF3">
        <w:rPr>
          <w:color w:val="1F3864"/>
        </w:rPr>
        <w:t>–</w:t>
      </w:r>
      <w:r w:rsidRPr="00181EF3">
        <w:t xml:space="preserve">34 years to be hospitalised for asthma. In 2011–13, Māori were over twice as likely as </w:t>
      </w:r>
      <w:r w:rsidR="00EC03A3">
        <w:t>non</w:t>
      </w:r>
      <w:r w:rsidR="00EC03A3">
        <w:noBreakHyphen/>
        <w:t>M</w:t>
      </w:r>
      <w:r w:rsidRPr="00181EF3">
        <w:t xml:space="preserve">āori </w:t>
      </w:r>
      <w:r w:rsidR="00EC03A3">
        <w:t>non</w:t>
      </w:r>
      <w:r w:rsidR="00EC03A3">
        <w:noBreakHyphen/>
        <w:t>P</w:t>
      </w:r>
      <w:r w:rsidRPr="00181EF3">
        <w:t xml:space="preserve">acific to be hospitalised for asthma. Over time, hospitalisation rates have decreased for </w:t>
      </w:r>
      <w:r w:rsidR="00EC03A3">
        <w:t>non</w:t>
      </w:r>
      <w:r w:rsidR="00EC03A3">
        <w:noBreakHyphen/>
        <w:t>M</w:t>
      </w:r>
      <w:r w:rsidRPr="00181EF3">
        <w:t xml:space="preserve">āori </w:t>
      </w:r>
      <w:r w:rsidR="00EC03A3">
        <w:t>non</w:t>
      </w:r>
      <w:r w:rsidR="00EC03A3">
        <w:noBreakHyphen/>
        <w:t>P</w:t>
      </w:r>
      <w:r w:rsidRPr="00181EF3">
        <w:t xml:space="preserve">acific, whereas the rate for Māori remained constant with an average of 224.3 admissions per 100,000 people, resulting in an increased disparity between Māori and </w:t>
      </w:r>
      <w:r w:rsidR="00EC03A3">
        <w:t>non</w:t>
      </w:r>
      <w:r w:rsidR="00EC03A3">
        <w:noBreakHyphen/>
        <w:t>M</w:t>
      </w:r>
      <w:r w:rsidRPr="00181EF3">
        <w:t xml:space="preserve">āori </w:t>
      </w:r>
      <w:r w:rsidR="00EC03A3">
        <w:t>non</w:t>
      </w:r>
      <w:r w:rsidR="00EC03A3">
        <w:noBreakHyphen/>
        <w:t>P</w:t>
      </w:r>
      <w:r w:rsidRPr="00181EF3">
        <w:t xml:space="preserve">acific. From 2001–03 to 2011–13, the hospitalisation rate for asthma decreased by 23 percent for </w:t>
      </w:r>
      <w:r w:rsidR="00EC03A3">
        <w:t>non</w:t>
      </w:r>
      <w:r w:rsidR="00EC03A3">
        <w:noBreakHyphen/>
        <w:t>M</w:t>
      </w:r>
      <w:r w:rsidRPr="00181EF3">
        <w:t xml:space="preserve">āori </w:t>
      </w:r>
      <w:r w:rsidR="00EC03A3">
        <w:t>non</w:t>
      </w:r>
      <w:r w:rsidR="00EC03A3">
        <w:noBreakHyphen/>
        <w:t>P</w:t>
      </w:r>
      <w:r w:rsidRPr="00181EF3">
        <w:t>acific.</w:t>
      </w:r>
    </w:p>
    <w:p w14:paraId="3E4CA824" w14:textId="1C1936D5" w:rsidR="00FC3AAE" w:rsidRPr="00181EF3" w:rsidRDefault="00FC3AAE" w:rsidP="00D46D7A">
      <w:pPr>
        <w:spacing w:before="240"/>
      </w:pPr>
      <w:r w:rsidRPr="00181EF3">
        <w:lastRenderedPageBreak/>
        <w:t>Figure 1</w:t>
      </w:r>
      <w:r>
        <w:t>5</w:t>
      </w:r>
      <w:r w:rsidR="00B74586">
        <w:t>6</w:t>
      </w:r>
      <w:r w:rsidRPr="00181EF3">
        <w:t xml:space="preserve"> shows that over time Māori females had the highest rates of asthma hospitalisations and an increasing disparity between Māori and </w:t>
      </w:r>
      <w:r w:rsidR="00EC03A3">
        <w:t>non</w:t>
      </w:r>
      <w:r w:rsidR="00EC03A3">
        <w:noBreakHyphen/>
        <w:t>M</w:t>
      </w:r>
      <w:r w:rsidRPr="00181EF3">
        <w:t xml:space="preserve">āori </w:t>
      </w:r>
      <w:r w:rsidR="00EC03A3">
        <w:t>non</w:t>
      </w:r>
      <w:r w:rsidR="00EC03A3">
        <w:noBreakHyphen/>
        <w:t>P</w:t>
      </w:r>
      <w:r w:rsidRPr="00181EF3">
        <w:t xml:space="preserve">acific females. By 2011–13, Māori females were nearly 2½ times as likely as </w:t>
      </w:r>
      <w:r w:rsidR="00EC03A3">
        <w:t>non</w:t>
      </w:r>
      <w:r w:rsidR="00EC03A3">
        <w:noBreakHyphen/>
        <w:t>M</w:t>
      </w:r>
      <w:r w:rsidRPr="00181EF3">
        <w:t xml:space="preserve">āori </w:t>
      </w:r>
      <w:r w:rsidR="00EC03A3">
        <w:t>non</w:t>
      </w:r>
      <w:r w:rsidR="00EC03A3">
        <w:noBreakHyphen/>
        <w:t>P</w:t>
      </w:r>
      <w:r w:rsidRPr="00181EF3">
        <w:t>acific females to be hospitalised for asthma.</w:t>
      </w:r>
    </w:p>
    <w:p w14:paraId="018CC7EA" w14:textId="77777777" w:rsidR="00764DE1" w:rsidRPr="00181EF3" w:rsidRDefault="00764DE1" w:rsidP="00D46D7A"/>
    <w:p w14:paraId="346EDDEA" w14:textId="77777777" w:rsidR="00764DE1" w:rsidRPr="00181EF3" w:rsidRDefault="00764DE1" w:rsidP="00D46D7A">
      <w:pPr>
        <w:pStyle w:val="Heading3"/>
        <w:pageBreakBefore/>
        <w:spacing w:before="0"/>
      </w:pPr>
      <w:bookmarkStart w:id="497" w:name="_Toc19102489"/>
      <w:r w:rsidRPr="00181EF3">
        <w:lastRenderedPageBreak/>
        <w:t>Bronchiectasis</w:t>
      </w:r>
      <w:r w:rsidR="00FC3AAE">
        <w:t xml:space="preserve"> (excludes congenital)</w:t>
      </w:r>
      <w:r w:rsidRPr="00181EF3">
        <w:t xml:space="preserve"> hospitalisation</w:t>
      </w:r>
      <w:bookmarkEnd w:id="497"/>
    </w:p>
    <w:p w14:paraId="1C443B3B" w14:textId="02646148" w:rsidR="00764DE1" w:rsidRPr="00181EF3" w:rsidRDefault="00764DE1" w:rsidP="00764DE1">
      <w:pPr>
        <w:pStyle w:val="Figure"/>
      </w:pPr>
      <w:bookmarkStart w:id="498" w:name="_Toc19102008"/>
      <w:r w:rsidRPr="00181EF3">
        <w:t xml:space="preserve">Figure </w:t>
      </w:r>
      <w:r w:rsidR="00FC3AAE">
        <w:t>1</w:t>
      </w:r>
      <w:r w:rsidR="00572A9A">
        <w:t>57</w:t>
      </w:r>
      <w:r w:rsidRPr="00181EF3">
        <w:t xml:space="preserve">: </w:t>
      </w:r>
      <w:r w:rsidR="00FC3AAE" w:rsidRPr="00181EF3">
        <w:t>Bronchiectasis (excludes congenital) hospitalisation</w:t>
      </w:r>
      <w:r w:rsidR="00FC3AAE">
        <w:t xml:space="preserve"> rates</w:t>
      </w:r>
      <w:r w:rsidR="00FC3AAE" w:rsidRPr="00181EF3">
        <w:t>, all age</w:t>
      </w:r>
      <w:r w:rsidR="00FC3AAE">
        <w:t xml:space="preserve">, by gender, </w:t>
      </w:r>
      <w:r w:rsidR="00FC3AAE" w:rsidRPr="00181EF3">
        <w:t xml:space="preserve">Māori and </w:t>
      </w:r>
      <w:r w:rsidR="00EC03A3">
        <w:t>non</w:t>
      </w:r>
      <w:r w:rsidR="00EC03A3">
        <w:noBreakHyphen/>
        <w:t>M</w:t>
      </w:r>
      <w:r w:rsidR="00FC3AAE" w:rsidRPr="00181EF3">
        <w:t>āori</w:t>
      </w:r>
      <w:r w:rsidR="00FC3AAE">
        <w:t xml:space="preserve"> </w:t>
      </w:r>
      <w:r w:rsidR="00EC03A3">
        <w:t>non</w:t>
      </w:r>
      <w:r w:rsidR="00EC03A3">
        <w:noBreakHyphen/>
        <w:t>P</w:t>
      </w:r>
      <w:r w:rsidR="00FC3AAE">
        <w:t>acific</w:t>
      </w:r>
      <w:r w:rsidR="00FC3AAE" w:rsidRPr="00181EF3">
        <w:t xml:space="preserve">, </w:t>
      </w:r>
      <w:r w:rsidR="00FC3AAE">
        <w:t>2001</w:t>
      </w:r>
      <w:r w:rsidR="00FC3AAE" w:rsidRPr="00181EF3">
        <w:t>–</w:t>
      </w:r>
      <w:r w:rsidR="00FC3AAE">
        <w:t>03</w:t>
      </w:r>
      <w:r w:rsidR="00FC3AAE" w:rsidRPr="00181EF3">
        <w:t xml:space="preserve"> to 201</w:t>
      </w:r>
      <w:r w:rsidR="00FC3AAE">
        <w:t>1</w:t>
      </w:r>
      <w:r w:rsidR="00FC3AAE" w:rsidRPr="00181EF3">
        <w:t>–1</w:t>
      </w:r>
      <w:r w:rsidR="00FC3AAE">
        <w:t>3</w:t>
      </w:r>
      <w:bookmarkEnd w:id="498"/>
    </w:p>
    <w:p w14:paraId="00A100C5" w14:textId="77777777" w:rsidR="00764DE1" w:rsidRPr="00181EF3" w:rsidRDefault="00764DE1" w:rsidP="00764DE1">
      <w:r w:rsidRPr="00181EF3">
        <w:rPr>
          <w:noProof/>
          <w:lang w:eastAsia="en-NZ"/>
        </w:rPr>
        <w:drawing>
          <wp:inline distT="0" distB="0" distL="0" distR="0" wp14:anchorId="7B7E40A6" wp14:editId="0A165D60">
            <wp:extent cx="5130165" cy="3069329"/>
            <wp:effectExtent l="0" t="0" r="0" b="0"/>
            <wp:docPr id="468" name="Picture 468" descr="Bronchiectasis rates are higher among Māori than non-Māori. Māori men have seen their rate increase, while it has decreased for Māori women. Non-Māori women have the next highest rates, which have remained relatively steady over time, and non-Māori men have the lowest rates, also remaining steady." title="Figure 157: Bronchiectasis (excludes congenital) hospitalisation, all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5130165" cy="3069329"/>
                    </a:xfrm>
                    <a:prstGeom prst="rect">
                      <a:avLst/>
                    </a:prstGeom>
                  </pic:spPr>
                </pic:pic>
              </a:graphicData>
            </a:graphic>
          </wp:inline>
        </w:drawing>
      </w:r>
    </w:p>
    <w:p w14:paraId="3BA7357C" w14:textId="77777777" w:rsidR="00FC3AAE" w:rsidRDefault="00FC3AAE" w:rsidP="001C62E1">
      <w:pPr>
        <w:pStyle w:val="Note"/>
        <w:ind w:left="0" w:firstLine="0"/>
      </w:pPr>
      <w:r w:rsidRPr="00181EF3">
        <w:t>Note</w:t>
      </w:r>
      <w:r>
        <w:t>s</w:t>
      </w:r>
      <w:r w:rsidRPr="00181EF3">
        <w:t>:</w:t>
      </w:r>
    </w:p>
    <w:p w14:paraId="25AAFE14" w14:textId="0C0E4D80" w:rsidR="008A5642" w:rsidRDefault="00446D86" w:rsidP="001C62E1">
      <w:pPr>
        <w:pStyle w:val="Note"/>
        <w:ind w:left="0" w:firstLine="0"/>
      </w:pPr>
      <w:r>
        <w:t>Figures are age-standardised to the 2001 Census total Māori population</w:t>
      </w:r>
      <w:r w:rsidR="00FC3AAE" w:rsidRPr="00181EF3">
        <w:t>.</w:t>
      </w:r>
    </w:p>
    <w:p w14:paraId="7161DB34" w14:textId="49A3A2D7" w:rsidR="00FC3AAE" w:rsidRPr="00181EF3" w:rsidRDefault="00FC3AAE" w:rsidP="001C62E1">
      <w:pPr>
        <w:pStyle w:val="Note"/>
        <w:ind w:left="0" w:firstLine="0"/>
      </w:pPr>
      <w:r>
        <w:t>Prioritised ethnicity has been used.</w:t>
      </w:r>
    </w:p>
    <w:p w14:paraId="1B57916D" w14:textId="77777777" w:rsidR="008A5642" w:rsidRDefault="00FC3AAE" w:rsidP="001C62E1">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2F0DD605" w14:textId="2BE2154A" w:rsidR="00FC3AAE" w:rsidRDefault="00FC3AAE" w:rsidP="001C62E1">
      <w:pPr>
        <w:pStyle w:val="Note"/>
        <w:ind w:left="0" w:firstLine="0"/>
        <w:rPr>
          <w:rFonts w:eastAsia="Calibri"/>
          <w:szCs w:val="17"/>
        </w:rPr>
      </w:pPr>
      <w:r w:rsidRPr="00A613D8">
        <w:rPr>
          <w:rFonts w:eastAsia="Calibri"/>
          <w:szCs w:val="17"/>
        </w:rPr>
        <w:t>Source: National Minimum Data Set (NMDS), Ministry of Health,</w:t>
      </w:r>
      <w:r w:rsidRPr="00A613D8">
        <w:rPr>
          <w:szCs w:val="17"/>
        </w:rPr>
        <w:t xml:space="preserve"> </w:t>
      </w:r>
      <w:r>
        <w:rPr>
          <w:szCs w:val="17"/>
        </w:rPr>
        <w:t>2001</w:t>
      </w:r>
      <w:r w:rsidRPr="00A613D8">
        <w:rPr>
          <w:szCs w:val="17"/>
        </w:rPr>
        <w:t>–</w:t>
      </w:r>
      <w:r>
        <w:rPr>
          <w:szCs w:val="17"/>
        </w:rPr>
        <w:t>03</w:t>
      </w:r>
      <w:r w:rsidRPr="00A613D8">
        <w:rPr>
          <w:szCs w:val="17"/>
        </w:rPr>
        <w:t xml:space="preserve"> to 201</w:t>
      </w:r>
      <w:r>
        <w:rPr>
          <w:szCs w:val="17"/>
        </w:rPr>
        <w:t>1</w:t>
      </w:r>
      <w:r w:rsidRPr="00A613D8">
        <w:rPr>
          <w:szCs w:val="17"/>
        </w:rPr>
        <w:t>–1</w:t>
      </w:r>
      <w:r>
        <w:rPr>
          <w:szCs w:val="17"/>
        </w:rPr>
        <w:t>3</w:t>
      </w:r>
      <w:r w:rsidRPr="00A613D8">
        <w:rPr>
          <w:rFonts w:eastAsia="Calibri"/>
          <w:szCs w:val="17"/>
        </w:rPr>
        <w:t>.</w:t>
      </w:r>
    </w:p>
    <w:p w14:paraId="40D84500" w14:textId="77777777" w:rsidR="00764DE1" w:rsidRPr="00181EF3" w:rsidRDefault="00764DE1" w:rsidP="00764DE1"/>
    <w:p w14:paraId="43DBD9E8" w14:textId="133AEFCF" w:rsidR="00FC3AAE" w:rsidRDefault="00FC3AAE" w:rsidP="00FC3AAE">
      <w:r w:rsidRPr="00181EF3">
        <w:t>Bronchiectasis hospitalisations for all ages show little change over time for Māori, however when looking at trends by gender some different patterns are evident. Figure </w:t>
      </w:r>
      <w:r>
        <w:t>15</w:t>
      </w:r>
      <w:r w:rsidR="00B74586">
        <w:t>7</w:t>
      </w:r>
      <w:r w:rsidRPr="00181EF3">
        <w:t xml:space="preserve"> shows that from 2001–03, the rate of bronchiectasis for Māori males increased over time by 15 percent (from 34.2 events per 100,000 people in 2001–03 to 39.3 per 100,000 people in 2011–13). Over time, there was a decline of 17 percent in bronchiectasis hospitalisation rates for Māori females (41.9 events per 100,000 people in 2001–03 to 34.6 per 100,000 people in 2011–13).</w:t>
      </w:r>
    </w:p>
    <w:p w14:paraId="39A89130" w14:textId="77777777" w:rsidR="00D46D7A" w:rsidRPr="00181EF3" w:rsidRDefault="00D46D7A" w:rsidP="00FC3AAE"/>
    <w:p w14:paraId="1118E491" w14:textId="4B60A240" w:rsidR="008A5642" w:rsidRDefault="00764DE1" w:rsidP="00764DE1">
      <w:pPr>
        <w:pStyle w:val="Figure"/>
      </w:pPr>
      <w:bookmarkStart w:id="499" w:name="_Toc19102009"/>
      <w:r w:rsidRPr="00181EF3">
        <w:lastRenderedPageBreak/>
        <w:t xml:space="preserve">Figure </w:t>
      </w:r>
      <w:r w:rsidR="00C47FA3">
        <w:t>15</w:t>
      </w:r>
      <w:r w:rsidR="00572A9A">
        <w:t>8</w:t>
      </w:r>
      <w:r w:rsidRPr="00181EF3">
        <w:t xml:space="preserve">: </w:t>
      </w:r>
      <w:r w:rsidR="00C47FA3" w:rsidRPr="00181EF3">
        <w:t>Bronchiectasis (excludes congenital) hospitalisation</w:t>
      </w:r>
      <w:r w:rsidR="00C47FA3">
        <w:t xml:space="preserve"> rates</w:t>
      </w:r>
      <w:r w:rsidR="00C47FA3" w:rsidRPr="00181EF3">
        <w:t>, 0–14 years</w:t>
      </w:r>
      <w:r w:rsidR="00C47FA3">
        <w:t xml:space="preserve">, by gender, </w:t>
      </w:r>
      <w:r w:rsidR="00C47FA3" w:rsidRPr="00181EF3">
        <w:t xml:space="preserve">Māori and </w:t>
      </w:r>
      <w:r w:rsidR="00EC03A3">
        <w:t>non</w:t>
      </w:r>
      <w:r w:rsidR="00EC03A3">
        <w:noBreakHyphen/>
        <w:t>M</w:t>
      </w:r>
      <w:r w:rsidR="00C47FA3" w:rsidRPr="00181EF3">
        <w:t>āori</w:t>
      </w:r>
      <w:r w:rsidR="00C47FA3">
        <w:t xml:space="preserve"> </w:t>
      </w:r>
      <w:r w:rsidR="00EC03A3">
        <w:t>non</w:t>
      </w:r>
      <w:r w:rsidR="00EC03A3">
        <w:noBreakHyphen/>
        <w:t>P</w:t>
      </w:r>
      <w:r w:rsidR="00C47FA3">
        <w:t>acific</w:t>
      </w:r>
      <w:r w:rsidR="00C47FA3" w:rsidRPr="00181EF3">
        <w:t xml:space="preserve">, </w:t>
      </w:r>
      <w:r w:rsidR="00C47FA3">
        <w:t>2001</w:t>
      </w:r>
      <w:r w:rsidR="00C47FA3" w:rsidRPr="00181EF3">
        <w:t>–</w:t>
      </w:r>
      <w:r w:rsidR="00C47FA3">
        <w:t>03</w:t>
      </w:r>
      <w:r w:rsidR="00C47FA3" w:rsidRPr="00181EF3">
        <w:t xml:space="preserve"> to 201</w:t>
      </w:r>
      <w:r w:rsidR="00C47FA3">
        <w:t>1</w:t>
      </w:r>
      <w:r w:rsidR="00C47FA3" w:rsidRPr="00181EF3">
        <w:t>–1</w:t>
      </w:r>
      <w:r w:rsidR="00C47FA3">
        <w:t>3</w:t>
      </w:r>
      <w:bookmarkEnd w:id="499"/>
    </w:p>
    <w:p w14:paraId="16BD67D6" w14:textId="0972B866" w:rsidR="00764DE1" w:rsidRPr="00181EF3" w:rsidRDefault="00764DE1" w:rsidP="00764DE1">
      <w:pPr>
        <w:keepNext/>
      </w:pPr>
      <w:r w:rsidRPr="00181EF3">
        <w:rPr>
          <w:noProof/>
          <w:lang w:eastAsia="en-NZ"/>
        </w:rPr>
        <w:drawing>
          <wp:inline distT="0" distB="0" distL="0" distR="0" wp14:anchorId="005B05CF" wp14:editId="31969C13">
            <wp:extent cx="5130165" cy="2799119"/>
            <wp:effectExtent l="0" t="0" r="0" b="1270"/>
            <wp:docPr id="469" name="Picture 469" descr="Bronchiectasis rates are higher for Māori children and increasing over time. They are much lower among non-Māori children and have remained steady." title="Figure 158: Bronchiectasis (excludes congenital) hospitalisation, 0–1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stretch>
                      <a:fillRect/>
                    </a:stretch>
                  </pic:blipFill>
                  <pic:spPr>
                    <a:xfrm>
                      <a:off x="0" y="0"/>
                      <a:ext cx="5130165" cy="2799119"/>
                    </a:xfrm>
                    <a:prstGeom prst="rect">
                      <a:avLst/>
                    </a:prstGeom>
                  </pic:spPr>
                </pic:pic>
              </a:graphicData>
            </a:graphic>
          </wp:inline>
        </w:drawing>
      </w:r>
    </w:p>
    <w:p w14:paraId="7B453130" w14:textId="77777777" w:rsidR="00C47FA3" w:rsidRDefault="00C47FA3" w:rsidP="001C62E1">
      <w:pPr>
        <w:pStyle w:val="Note"/>
        <w:ind w:left="0" w:firstLine="0"/>
      </w:pPr>
      <w:r w:rsidRPr="00181EF3">
        <w:t>Note</w:t>
      </w:r>
      <w:r>
        <w:t>s</w:t>
      </w:r>
      <w:r w:rsidRPr="00181EF3">
        <w:t>:</w:t>
      </w:r>
    </w:p>
    <w:p w14:paraId="7F905841" w14:textId="28CACB4E" w:rsidR="008A5642" w:rsidRDefault="00446D86" w:rsidP="001C62E1">
      <w:pPr>
        <w:pStyle w:val="Note"/>
        <w:ind w:left="0" w:firstLine="0"/>
      </w:pPr>
      <w:r>
        <w:t>Figures are age-standardised to the 2001 Census total Māori population</w:t>
      </w:r>
      <w:r w:rsidR="00C47FA3" w:rsidRPr="00181EF3">
        <w:t>.</w:t>
      </w:r>
    </w:p>
    <w:p w14:paraId="5F1C217F" w14:textId="03055B68" w:rsidR="00C47FA3" w:rsidRPr="00181EF3" w:rsidRDefault="00C47FA3" w:rsidP="001C62E1">
      <w:pPr>
        <w:pStyle w:val="Note"/>
        <w:ind w:left="0" w:firstLine="0"/>
      </w:pPr>
      <w:r>
        <w:t>Prioritised ethnicity has been used.</w:t>
      </w:r>
    </w:p>
    <w:p w14:paraId="3290A9A0" w14:textId="77777777" w:rsidR="008A5642" w:rsidRDefault="00C47FA3" w:rsidP="001C62E1">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41A88E1B" w14:textId="5F96ADA6" w:rsidR="00C47FA3" w:rsidRDefault="00C47FA3" w:rsidP="001C62E1">
      <w:pPr>
        <w:pStyle w:val="Note"/>
        <w:ind w:left="0" w:firstLine="0"/>
        <w:rPr>
          <w:rFonts w:eastAsia="Calibri"/>
          <w:szCs w:val="17"/>
        </w:rPr>
      </w:pPr>
      <w:r w:rsidRPr="00A613D8">
        <w:rPr>
          <w:rFonts w:eastAsia="Calibri"/>
          <w:szCs w:val="17"/>
        </w:rPr>
        <w:t>Source: National Minimum Data Set (NMDS), Ministry of Health,</w:t>
      </w:r>
      <w:r w:rsidRPr="00A613D8">
        <w:rPr>
          <w:szCs w:val="17"/>
        </w:rPr>
        <w:t xml:space="preserve"> </w:t>
      </w:r>
      <w:r>
        <w:rPr>
          <w:szCs w:val="17"/>
        </w:rPr>
        <w:t>2001</w:t>
      </w:r>
      <w:r w:rsidRPr="00A613D8">
        <w:rPr>
          <w:szCs w:val="17"/>
        </w:rPr>
        <w:t>–</w:t>
      </w:r>
      <w:r>
        <w:rPr>
          <w:szCs w:val="17"/>
        </w:rPr>
        <w:t>03</w:t>
      </w:r>
      <w:r w:rsidRPr="00A613D8">
        <w:rPr>
          <w:szCs w:val="17"/>
        </w:rPr>
        <w:t xml:space="preserve"> to 201</w:t>
      </w:r>
      <w:r>
        <w:rPr>
          <w:szCs w:val="17"/>
        </w:rPr>
        <w:t>1</w:t>
      </w:r>
      <w:r w:rsidRPr="00A613D8">
        <w:rPr>
          <w:szCs w:val="17"/>
        </w:rPr>
        <w:t>–1</w:t>
      </w:r>
      <w:r>
        <w:rPr>
          <w:szCs w:val="17"/>
        </w:rPr>
        <w:t>3</w:t>
      </w:r>
      <w:r w:rsidRPr="00A613D8">
        <w:rPr>
          <w:rFonts w:eastAsia="Calibri"/>
          <w:szCs w:val="17"/>
        </w:rPr>
        <w:t>.</w:t>
      </w:r>
    </w:p>
    <w:p w14:paraId="7A606ED5" w14:textId="77777777" w:rsidR="00764DE1" w:rsidRPr="00181EF3" w:rsidRDefault="00764DE1" w:rsidP="00764DE1"/>
    <w:p w14:paraId="6088D717" w14:textId="6367A526" w:rsidR="00FC3AAE" w:rsidRPr="00181EF3" w:rsidRDefault="00FC3AAE" w:rsidP="00D46D7A">
      <w:r w:rsidRPr="00181EF3">
        <w:t xml:space="preserve">Figure </w:t>
      </w:r>
      <w:r w:rsidR="00C47FA3">
        <w:t>15</w:t>
      </w:r>
      <w:r w:rsidR="00B74586">
        <w:t>8</w:t>
      </w:r>
      <w:r w:rsidRPr="00181EF3">
        <w:t xml:space="preserve"> shows that Māori children aged 0</w:t>
      </w:r>
      <w:r w:rsidRPr="00181EF3">
        <w:rPr>
          <w:color w:val="1F3864"/>
        </w:rPr>
        <w:t>–</w:t>
      </w:r>
      <w:r w:rsidRPr="00181EF3">
        <w:t xml:space="preserve">14 years were more likely than </w:t>
      </w:r>
      <w:r w:rsidR="00EC03A3">
        <w:t>non</w:t>
      </w:r>
      <w:r w:rsidR="00EC03A3">
        <w:noBreakHyphen/>
        <w:t>M</w:t>
      </w:r>
      <w:r w:rsidRPr="00181EF3">
        <w:t xml:space="preserve">āori </w:t>
      </w:r>
      <w:r w:rsidR="00EC03A3">
        <w:t>non</w:t>
      </w:r>
      <w:r w:rsidR="00EC03A3">
        <w:noBreakHyphen/>
        <w:t>P</w:t>
      </w:r>
      <w:r w:rsidRPr="00181EF3">
        <w:t>acific children aged 0</w:t>
      </w:r>
      <w:r w:rsidRPr="00181EF3">
        <w:rPr>
          <w:color w:val="1F3864"/>
        </w:rPr>
        <w:t>–</w:t>
      </w:r>
      <w:r w:rsidRPr="00181EF3">
        <w:t xml:space="preserve">14 years to be hospitalised for bronchiectasis over time. Rates of bronchiectasis for Māori children increased by 58 percent over time from 2001–03 to 2011–13. The same upward trend was not evident for </w:t>
      </w:r>
      <w:r w:rsidR="00EC03A3">
        <w:t>non</w:t>
      </w:r>
      <w:r w:rsidR="00EC03A3">
        <w:noBreakHyphen/>
        <w:t>M</w:t>
      </w:r>
      <w:r w:rsidRPr="00181EF3">
        <w:t xml:space="preserve">āori </w:t>
      </w:r>
      <w:r w:rsidR="00EC03A3">
        <w:t>non</w:t>
      </w:r>
      <w:r w:rsidR="00EC03A3">
        <w:noBreakHyphen/>
        <w:t>P</w:t>
      </w:r>
      <w:r w:rsidRPr="00181EF3">
        <w:t xml:space="preserve">acific children and therefore the disparity between Māori and </w:t>
      </w:r>
      <w:r w:rsidR="00EC03A3">
        <w:t>non</w:t>
      </w:r>
      <w:r w:rsidR="00EC03A3">
        <w:noBreakHyphen/>
        <w:t>M</w:t>
      </w:r>
      <w:r w:rsidRPr="00181EF3">
        <w:t xml:space="preserve">āori </w:t>
      </w:r>
      <w:r w:rsidR="00EC03A3">
        <w:t>non</w:t>
      </w:r>
      <w:r w:rsidR="00EC03A3">
        <w:noBreakHyphen/>
        <w:t>P</w:t>
      </w:r>
      <w:r w:rsidRPr="00181EF3">
        <w:t>acific children aged 0</w:t>
      </w:r>
      <w:r w:rsidRPr="00181EF3">
        <w:rPr>
          <w:color w:val="1F3864"/>
        </w:rPr>
        <w:t>–</w:t>
      </w:r>
      <w:r w:rsidRPr="00181EF3">
        <w:t>14 years has increased over time. In 2011–13, Māori children aged</w:t>
      </w:r>
      <w:r w:rsidR="00285716">
        <w:t xml:space="preserve"> </w:t>
      </w:r>
      <w:r w:rsidRPr="00181EF3">
        <w:t>0</w:t>
      </w:r>
      <w:r w:rsidRPr="00181EF3">
        <w:rPr>
          <w:color w:val="1F3864"/>
        </w:rPr>
        <w:t>–</w:t>
      </w:r>
      <w:r w:rsidRPr="00181EF3">
        <w:t xml:space="preserve">14 years were nearly six times as likely as </w:t>
      </w:r>
      <w:r w:rsidR="00EC03A3">
        <w:t>non</w:t>
      </w:r>
      <w:r w:rsidR="00EC03A3">
        <w:noBreakHyphen/>
        <w:t>M</w:t>
      </w:r>
      <w:r w:rsidRPr="00181EF3">
        <w:t xml:space="preserve">āori </w:t>
      </w:r>
      <w:r w:rsidR="00EC03A3">
        <w:t>non</w:t>
      </w:r>
      <w:r w:rsidR="00EC03A3">
        <w:noBreakHyphen/>
        <w:t>P</w:t>
      </w:r>
      <w:r w:rsidRPr="00181EF3">
        <w:t>acific children to be hospitalised for bronchiectasis.</w:t>
      </w:r>
    </w:p>
    <w:p w14:paraId="7CB074FA" w14:textId="77777777" w:rsidR="00FC3AAE" w:rsidRDefault="00FC3AAE" w:rsidP="00764DE1"/>
    <w:p w14:paraId="1884A30B" w14:textId="77777777" w:rsidR="00764DE1" w:rsidRPr="00181EF3" w:rsidRDefault="00764DE1" w:rsidP="00764DE1">
      <w:r w:rsidRPr="00181EF3">
        <w:t>Excel tools attached provide further data for the following age groups (including by gender)</w:t>
      </w:r>
      <w:r>
        <w:t>:</w:t>
      </w:r>
      <w:r w:rsidRPr="00181EF3">
        <w:t xml:space="preserve"> 15</w:t>
      </w:r>
      <w:r w:rsidRPr="00181EF3">
        <w:rPr>
          <w:color w:val="1F3864"/>
        </w:rPr>
        <w:t>–</w:t>
      </w:r>
      <w:r w:rsidRPr="00181EF3">
        <w:t>24 years, 25</w:t>
      </w:r>
      <w:r w:rsidRPr="00181EF3">
        <w:rPr>
          <w:color w:val="1F3864"/>
        </w:rPr>
        <w:t>–</w:t>
      </w:r>
      <w:r w:rsidRPr="00181EF3">
        <w:t>44 years of age, 45</w:t>
      </w:r>
      <w:r w:rsidRPr="00181EF3">
        <w:rPr>
          <w:color w:val="1F3864"/>
        </w:rPr>
        <w:t>–</w:t>
      </w:r>
      <w:r w:rsidRPr="00181EF3">
        <w:t>64 years of age and 65 and over.</w:t>
      </w:r>
    </w:p>
    <w:p w14:paraId="336F992A" w14:textId="77777777" w:rsidR="00764DE1" w:rsidRPr="00181EF3" w:rsidRDefault="00764DE1" w:rsidP="00764DE1"/>
    <w:p w14:paraId="35454C32" w14:textId="77777777" w:rsidR="00764DE1" w:rsidRPr="00181EF3" w:rsidRDefault="00764DE1" w:rsidP="00D46D7A">
      <w:pPr>
        <w:pStyle w:val="Heading3"/>
        <w:pageBreakBefore/>
        <w:spacing w:before="0"/>
      </w:pPr>
      <w:bookmarkStart w:id="500" w:name="_Toc19102490"/>
      <w:r w:rsidRPr="00181EF3">
        <w:lastRenderedPageBreak/>
        <w:t>Bronchiolitis</w:t>
      </w:r>
      <w:r w:rsidR="00C47FA3">
        <w:t xml:space="preserve"> (acute, excludes chronic) hospitalisation</w:t>
      </w:r>
      <w:bookmarkEnd w:id="500"/>
    </w:p>
    <w:p w14:paraId="3E88ED7C" w14:textId="29CFF60A" w:rsidR="00764DE1" w:rsidRPr="00181EF3" w:rsidRDefault="00764DE1" w:rsidP="00764DE1">
      <w:pPr>
        <w:pStyle w:val="Figure"/>
      </w:pPr>
      <w:bookmarkStart w:id="501" w:name="_Toc19102010"/>
      <w:r w:rsidRPr="00181EF3">
        <w:t xml:space="preserve">Figure </w:t>
      </w:r>
      <w:r w:rsidR="00C47FA3">
        <w:t>15</w:t>
      </w:r>
      <w:r w:rsidR="00572A9A">
        <w:t>9</w:t>
      </w:r>
      <w:r w:rsidRPr="00181EF3">
        <w:t xml:space="preserve">: </w:t>
      </w:r>
      <w:r w:rsidR="00C47FA3" w:rsidRPr="00181EF3">
        <w:t>Bronchiolitis (acute, excludes chronic) hospitalisation</w:t>
      </w:r>
      <w:r w:rsidR="00C47FA3">
        <w:t xml:space="preserve"> rates</w:t>
      </w:r>
      <w:r w:rsidR="00C47FA3" w:rsidRPr="00181EF3">
        <w:t>, 0–4 years</w:t>
      </w:r>
      <w:r w:rsidR="00C47FA3">
        <w:t xml:space="preserve">, by gender, </w:t>
      </w:r>
      <w:r w:rsidR="00C47FA3" w:rsidRPr="00181EF3">
        <w:t xml:space="preserve">Māori and </w:t>
      </w:r>
      <w:r w:rsidR="00EC03A3">
        <w:t>non</w:t>
      </w:r>
      <w:r w:rsidR="00EC03A3">
        <w:noBreakHyphen/>
        <w:t>M</w:t>
      </w:r>
      <w:r w:rsidR="00C47FA3" w:rsidRPr="00181EF3">
        <w:t>āori</w:t>
      </w:r>
      <w:r w:rsidR="00C47FA3">
        <w:t xml:space="preserve"> </w:t>
      </w:r>
      <w:r w:rsidR="00EC03A3">
        <w:t>non</w:t>
      </w:r>
      <w:r w:rsidR="00EC03A3">
        <w:noBreakHyphen/>
        <w:t>P</w:t>
      </w:r>
      <w:r w:rsidR="00C47FA3">
        <w:t>acific</w:t>
      </w:r>
      <w:r w:rsidR="00C47FA3" w:rsidRPr="00181EF3">
        <w:t xml:space="preserve">, </w:t>
      </w:r>
      <w:r w:rsidR="00C47FA3">
        <w:t>2001</w:t>
      </w:r>
      <w:r w:rsidR="00C47FA3" w:rsidRPr="00181EF3">
        <w:t>–</w:t>
      </w:r>
      <w:r w:rsidR="00C47FA3">
        <w:t>03</w:t>
      </w:r>
      <w:r w:rsidR="00C47FA3" w:rsidRPr="00181EF3">
        <w:t xml:space="preserve"> to 201</w:t>
      </w:r>
      <w:r w:rsidR="00C47FA3">
        <w:t>1</w:t>
      </w:r>
      <w:r w:rsidR="00C47FA3" w:rsidRPr="00181EF3">
        <w:t>–1</w:t>
      </w:r>
      <w:r w:rsidR="00C47FA3">
        <w:t>3</w:t>
      </w:r>
      <w:bookmarkEnd w:id="501"/>
    </w:p>
    <w:p w14:paraId="260B874A" w14:textId="77777777" w:rsidR="00764DE1" w:rsidRPr="00181EF3" w:rsidRDefault="00764DE1" w:rsidP="00764DE1">
      <w:r w:rsidRPr="00181EF3">
        <w:rPr>
          <w:noProof/>
          <w:lang w:eastAsia="en-NZ"/>
        </w:rPr>
        <w:drawing>
          <wp:inline distT="0" distB="0" distL="0" distR="0" wp14:anchorId="2B52B11A" wp14:editId="0C9E844B">
            <wp:extent cx="5130165" cy="3069329"/>
            <wp:effectExtent l="0" t="0" r="0" b="0"/>
            <wp:docPr id="470" name="Picture 470" descr="Bronchiolitis hospitalisation is highest among young Māori boys, followed by Māori girls. The rate for both increased to a high point in 2008-10 and has decreased slightly since. The rate for non-Māori boys is higher than for non-Māori girls, and both rates have remained steady over time." title="Figure 159: Bronchiolitis (acute, excludes chronic) hospitalisation, 0–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tretch>
                      <a:fillRect/>
                    </a:stretch>
                  </pic:blipFill>
                  <pic:spPr>
                    <a:xfrm>
                      <a:off x="0" y="0"/>
                      <a:ext cx="5130165" cy="3069329"/>
                    </a:xfrm>
                    <a:prstGeom prst="rect">
                      <a:avLst/>
                    </a:prstGeom>
                  </pic:spPr>
                </pic:pic>
              </a:graphicData>
            </a:graphic>
          </wp:inline>
        </w:drawing>
      </w:r>
    </w:p>
    <w:p w14:paraId="2351E22C" w14:textId="77777777" w:rsidR="00C47FA3" w:rsidRDefault="00C47FA3" w:rsidP="001C62E1">
      <w:pPr>
        <w:pStyle w:val="Note"/>
        <w:ind w:left="0" w:firstLine="0"/>
      </w:pPr>
      <w:r w:rsidRPr="00181EF3">
        <w:t>Note</w:t>
      </w:r>
      <w:r>
        <w:t>s</w:t>
      </w:r>
      <w:r w:rsidRPr="00181EF3">
        <w:t>:</w:t>
      </w:r>
    </w:p>
    <w:p w14:paraId="02197D21" w14:textId="4B4D181F" w:rsidR="008A5642" w:rsidRDefault="00446D86" w:rsidP="001C62E1">
      <w:pPr>
        <w:pStyle w:val="Note"/>
        <w:ind w:left="0" w:firstLine="0"/>
      </w:pPr>
      <w:r>
        <w:t>Figures are age-standardised to the 2001 Census total Māori population</w:t>
      </w:r>
      <w:r w:rsidR="00C47FA3" w:rsidRPr="00181EF3">
        <w:t>.</w:t>
      </w:r>
    </w:p>
    <w:p w14:paraId="2046B96A" w14:textId="72C81D50" w:rsidR="00C47FA3" w:rsidRPr="00181EF3" w:rsidRDefault="00C47FA3" w:rsidP="001C62E1">
      <w:pPr>
        <w:pStyle w:val="Note"/>
        <w:ind w:left="0" w:firstLine="0"/>
      </w:pPr>
      <w:r>
        <w:t>Prioritised ethnicity has been used.</w:t>
      </w:r>
    </w:p>
    <w:p w14:paraId="472F957A" w14:textId="77777777" w:rsidR="008A5642" w:rsidRDefault="00C47FA3" w:rsidP="001C62E1">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49EB5EE8" w14:textId="26E2003B" w:rsidR="00C47FA3" w:rsidRDefault="00C47FA3" w:rsidP="001C62E1">
      <w:pPr>
        <w:pStyle w:val="Note"/>
        <w:ind w:left="0" w:firstLine="0"/>
        <w:rPr>
          <w:rFonts w:eastAsia="Calibri"/>
          <w:szCs w:val="17"/>
        </w:rPr>
      </w:pPr>
      <w:r w:rsidRPr="00A613D8">
        <w:rPr>
          <w:rFonts w:eastAsia="Calibri"/>
          <w:szCs w:val="17"/>
        </w:rPr>
        <w:t>Source: National Minimum Data Set (NMDS), Ministry of Health,</w:t>
      </w:r>
      <w:r w:rsidRPr="00A613D8">
        <w:rPr>
          <w:szCs w:val="17"/>
        </w:rPr>
        <w:t xml:space="preserve"> </w:t>
      </w:r>
      <w:r>
        <w:rPr>
          <w:szCs w:val="17"/>
        </w:rPr>
        <w:t>2001</w:t>
      </w:r>
      <w:r w:rsidRPr="00A613D8">
        <w:rPr>
          <w:szCs w:val="17"/>
        </w:rPr>
        <w:t>–</w:t>
      </w:r>
      <w:r>
        <w:rPr>
          <w:szCs w:val="17"/>
        </w:rPr>
        <w:t>03</w:t>
      </w:r>
      <w:r w:rsidRPr="00A613D8">
        <w:rPr>
          <w:szCs w:val="17"/>
        </w:rPr>
        <w:t xml:space="preserve"> to 201</w:t>
      </w:r>
      <w:r>
        <w:rPr>
          <w:szCs w:val="17"/>
        </w:rPr>
        <w:t>1</w:t>
      </w:r>
      <w:r w:rsidRPr="00A613D8">
        <w:rPr>
          <w:szCs w:val="17"/>
        </w:rPr>
        <w:t>–1</w:t>
      </w:r>
      <w:r>
        <w:rPr>
          <w:szCs w:val="17"/>
        </w:rPr>
        <w:t>3</w:t>
      </w:r>
      <w:r w:rsidRPr="00A613D8">
        <w:rPr>
          <w:rFonts w:eastAsia="Calibri"/>
          <w:szCs w:val="17"/>
        </w:rPr>
        <w:t>.</w:t>
      </w:r>
    </w:p>
    <w:p w14:paraId="65A4BC2D" w14:textId="77777777" w:rsidR="00764DE1" w:rsidRDefault="00764DE1" w:rsidP="00764DE1"/>
    <w:p w14:paraId="7BD3F8A4" w14:textId="7940150C" w:rsidR="00C47FA3" w:rsidRPr="00181EF3" w:rsidRDefault="00C47FA3" w:rsidP="00D46D7A">
      <w:r w:rsidRPr="00181EF3">
        <w:t>Over time, rates of hospitalisation for bronchiolitis for Māori children aged 0</w:t>
      </w:r>
      <w:r w:rsidRPr="00181EF3">
        <w:rPr>
          <w:color w:val="1F3864"/>
        </w:rPr>
        <w:t>–</w:t>
      </w:r>
      <w:r w:rsidRPr="00181EF3">
        <w:t xml:space="preserve">4 years of age have increased. In 2011–13, Māori children were nearly 3½ times as likely as </w:t>
      </w:r>
      <w:r w:rsidR="00EC03A3">
        <w:t>non</w:t>
      </w:r>
      <w:r w:rsidR="00EC03A3">
        <w:noBreakHyphen/>
        <w:t>M</w:t>
      </w:r>
      <w:r w:rsidRPr="00181EF3">
        <w:t xml:space="preserve">āori </w:t>
      </w:r>
      <w:r w:rsidR="00EC03A3">
        <w:t>non</w:t>
      </w:r>
      <w:r w:rsidR="00EC03A3">
        <w:noBreakHyphen/>
        <w:t>P</w:t>
      </w:r>
      <w:r w:rsidRPr="00181EF3">
        <w:t>acific children to be hospitalised for bronchiolitis and this difference has not changed over time.</w:t>
      </w:r>
    </w:p>
    <w:p w14:paraId="0DF693CF" w14:textId="77777777" w:rsidR="00C47FA3" w:rsidRPr="00181EF3" w:rsidRDefault="00C47FA3" w:rsidP="00D46D7A"/>
    <w:p w14:paraId="479112CA" w14:textId="5F95A204" w:rsidR="00C47FA3" w:rsidRPr="00181EF3" w:rsidRDefault="00C47FA3" w:rsidP="00D46D7A">
      <w:r w:rsidRPr="00181EF3">
        <w:t xml:space="preserve">Figure </w:t>
      </w:r>
      <w:r>
        <w:t>15</w:t>
      </w:r>
      <w:r w:rsidR="00B74586">
        <w:t>9</w:t>
      </w:r>
      <w:r w:rsidRPr="00181EF3">
        <w:t xml:space="preserve"> shows that Māori boys have the highest rates of bronchiolitis hospitalisations and that this rate has increased over time by 14 percent (from 2,981.5</w:t>
      </w:r>
      <w:r w:rsidR="00D46D7A">
        <w:t> </w:t>
      </w:r>
      <w:r w:rsidRPr="00181EF3">
        <w:t>events per 100,000 people in 2001–03 to 3,382.6 in 2011–13). For Māori girls aged 0</w:t>
      </w:r>
      <w:r w:rsidRPr="00181EF3">
        <w:rPr>
          <w:color w:val="1F3864"/>
        </w:rPr>
        <w:t>–</w:t>
      </w:r>
      <w:r w:rsidRPr="00181EF3">
        <w:t xml:space="preserve">4 years the hospitalisation rate increased by 13 percent (from 2,004.4 events per 100,000 people in 2001–03 to 2,257.7 in 2011–13). Hospitalisation rates for </w:t>
      </w:r>
      <w:r w:rsidR="00EC03A3">
        <w:t>non</w:t>
      </w:r>
      <w:r w:rsidR="00EC03A3">
        <w:noBreakHyphen/>
        <w:t>M</w:t>
      </w:r>
      <w:r w:rsidRPr="00181EF3">
        <w:t xml:space="preserve">āori </w:t>
      </w:r>
      <w:r w:rsidR="00EC03A3">
        <w:t>non</w:t>
      </w:r>
      <w:r w:rsidR="00EC03A3">
        <w:noBreakHyphen/>
        <w:t>P</w:t>
      </w:r>
      <w:r w:rsidRPr="00181EF3">
        <w:t>acific children aged 0</w:t>
      </w:r>
      <w:r w:rsidRPr="00181EF3">
        <w:rPr>
          <w:color w:val="1F3864"/>
        </w:rPr>
        <w:t>–</w:t>
      </w:r>
      <w:r w:rsidRPr="00181EF3">
        <w:t xml:space="preserve">4 years also increased over time meaning the disparity between Māori and </w:t>
      </w:r>
      <w:r w:rsidR="00EC03A3">
        <w:t>non</w:t>
      </w:r>
      <w:r w:rsidR="00EC03A3">
        <w:noBreakHyphen/>
        <w:t>M</w:t>
      </w:r>
      <w:r w:rsidRPr="00181EF3">
        <w:t xml:space="preserve">āori </w:t>
      </w:r>
      <w:r w:rsidR="00EC03A3">
        <w:t>non</w:t>
      </w:r>
      <w:r w:rsidR="00EC03A3">
        <w:noBreakHyphen/>
        <w:t>P</w:t>
      </w:r>
      <w:r w:rsidRPr="00181EF3">
        <w:t>acific children remained at around or just over 3½ times.</w:t>
      </w:r>
    </w:p>
    <w:p w14:paraId="238A97C4" w14:textId="77777777" w:rsidR="00C47FA3" w:rsidRPr="00181EF3" w:rsidRDefault="00C47FA3" w:rsidP="00764DE1"/>
    <w:p w14:paraId="1D131F1B" w14:textId="77777777" w:rsidR="00C47FA3" w:rsidRDefault="00764DE1" w:rsidP="00D46D7A">
      <w:pPr>
        <w:pStyle w:val="Heading3"/>
        <w:pageBreakBefore/>
        <w:spacing w:before="0"/>
      </w:pPr>
      <w:bookmarkStart w:id="502" w:name="_Toc19102491"/>
      <w:r w:rsidRPr="00181EF3">
        <w:lastRenderedPageBreak/>
        <w:t>Chronic obstructive pulmonary disease (COPD)</w:t>
      </w:r>
      <w:bookmarkEnd w:id="502"/>
    </w:p>
    <w:p w14:paraId="019D1279" w14:textId="77777777" w:rsidR="00764DE1" w:rsidRPr="00181EF3" w:rsidRDefault="00C47FA3" w:rsidP="00C47FA3">
      <w:pPr>
        <w:pStyle w:val="Heading4"/>
      </w:pPr>
      <w:r>
        <w:t xml:space="preserve">COPD </w:t>
      </w:r>
      <w:r w:rsidR="00764DE1" w:rsidRPr="00181EF3">
        <w:t>hospitalisation</w:t>
      </w:r>
    </w:p>
    <w:p w14:paraId="01DA6043" w14:textId="2899323C" w:rsidR="00764DE1" w:rsidRPr="00181EF3" w:rsidRDefault="00764DE1" w:rsidP="00764DE1">
      <w:pPr>
        <w:pStyle w:val="Figure"/>
      </w:pPr>
      <w:bookmarkStart w:id="503" w:name="_Toc19102011"/>
      <w:r w:rsidRPr="00181EF3">
        <w:t xml:space="preserve">Figure </w:t>
      </w:r>
      <w:r w:rsidR="00C47FA3">
        <w:t>1</w:t>
      </w:r>
      <w:r w:rsidR="00572A9A">
        <w:t>60</w:t>
      </w:r>
      <w:r w:rsidRPr="00181EF3">
        <w:t xml:space="preserve">: </w:t>
      </w:r>
      <w:r w:rsidR="00C47FA3" w:rsidRPr="00181EF3">
        <w:t>Chronic obstructive pulmonary disease (COPD) hospitalisation</w:t>
      </w:r>
      <w:r w:rsidR="00C47FA3">
        <w:t xml:space="preserve"> rates</w:t>
      </w:r>
      <w:r w:rsidR="00C47FA3" w:rsidRPr="00181EF3">
        <w:t>, 45+</w:t>
      </w:r>
      <w:r w:rsidR="00D46D7A">
        <w:t> </w:t>
      </w:r>
      <w:r w:rsidR="00C47FA3" w:rsidRPr="00181EF3">
        <w:t>years</w:t>
      </w:r>
      <w:r w:rsidR="00C47FA3">
        <w:t xml:space="preserve">, by gender, </w:t>
      </w:r>
      <w:r w:rsidR="00C47FA3" w:rsidRPr="00181EF3">
        <w:t xml:space="preserve">Māori and </w:t>
      </w:r>
      <w:r w:rsidR="00EC03A3">
        <w:t>non</w:t>
      </w:r>
      <w:r w:rsidR="00EC03A3">
        <w:noBreakHyphen/>
        <w:t>M</w:t>
      </w:r>
      <w:r w:rsidR="00C47FA3" w:rsidRPr="00181EF3">
        <w:t>āori</w:t>
      </w:r>
      <w:r w:rsidR="00C47FA3">
        <w:t xml:space="preserve"> </w:t>
      </w:r>
      <w:r w:rsidR="00EC03A3">
        <w:t>non</w:t>
      </w:r>
      <w:r w:rsidR="00EC03A3">
        <w:noBreakHyphen/>
        <w:t>P</w:t>
      </w:r>
      <w:r w:rsidR="00C47FA3">
        <w:t>acific</w:t>
      </w:r>
      <w:r w:rsidR="00C47FA3" w:rsidRPr="00181EF3">
        <w:t xml:space="preserve">, </w:t>
      </w:r>
      <w:r w:rsidR="00C47FA3">
        <w:t>2001</w:t>
      </w:r>
      <w:r w:rsidR="00C47FA3" w:rsidRPr="00181EF3">
        <w:t>–</w:t>
      </w:r>
      <w:r w:rsidR="00C47FA3">
        <w:t>03</w:t>
      </w:r>
      <w:r w:rsidR="00C47FA3" w:rsidRPr="00181EF3">
        <w:t xml:space="preserve"> to 201</w:t>
      </w:r>
      <w:r w:rsidR="00C47FA3">
        <w:t>1</w:t>
      </w:r>
      <w:r w:rsidR="00C47FA3" w:rsidRPr="00181EF3">
        <w:t>–1</w:t>
      </w:r>
      <w:r w:rsidR="00C47FA3">
        <w:t>3</w:t>
      </w:r>
      <w:bookmarkEnd w:id="503"/>
    </w:p>
    <w:p w14:paraId="31AB9593" w14:textId="77777777" w:rsidR="00764DE1" w:rsidRPr="00181EF3" w:rsidRDefault="00764DE1" w:rsidP="00764DE1">
      <w:r w:rsidRPr="00181EF3">
        <w:rPr>
          <w:noProof/>
          <w:lang w:eastAsia="en-NZ"/>
        </w:rPr>
        <w:drawing>
          <wp:inline distT="0" distB="0" distL="0" distR="0" wp14:anchorId="0A1315DD" wp14:editId="0768630B">
            <wp:extent cx="5130165" cy="3069329"/>
            <wp:effectExtent l="0" t="0" r="0" b="0"/>
            <wp:docPr id="471" name="Picture 471" descr="COPD hospitalisations are highest among Māori women, and the rate has remained steady. Māori men experience the next highest rate, but it has decreased since 2007-09. The rates for non-Māori men and women are comparable, much lower and decreasing slightly." title="Figure 160: Chronic obstructive pulmonary disease (COPD) hospitalisation, 4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stretch>
                      <a:fillRect/>
                    </a:stretch>
                  </pic:blipFill>
                  <pic:spPr>
                    <a:xfrm>
                      <a:off x="0" y="0"/>
                      <a:ext cx="5130165" cy="3069329"/>
                    </a:xfrm>
                    <a:prstGeom prst="rect">
                      <a:avLst/>
                    </a:prstGeom>
                  </pic:spPr>
                </pic:pic>
              </a:graphicData>
            </a:graphic>
          </wp:inline>
        </w:drawing>
      </w:r>
    </w:p>
    <w:p w14:paraId="1E960653" w14:textId="77777777" w:rsidR="00C47FA3" w:rsidRDefault="00C47FA3" w:rsidP="001C62E1">
      <w:pPr>
        <w:pStyle w:val="Note"/>
        <w:ind w:left="0" w:firstLine="0"/>
      </w:pPr>
      <w:r w:rsidRPr="00181EF3">
        <w:t>Note</w:t>
      </w:r>
      <w:r>
        <w:t>s</w:t>
      </w:r>
      <w:r w:rsidRPr="00181EF3">
        <w:t>:</w:t>
      </w:r>
    </w:p>
    <w:p w14:paraId="44C86DB2" w14:textId="7EC74C9C" w:rsidR="008A5642" w:rsidRDefault="00446D86" w:rsidP="001C62E1">
      <w:pPr>
        <w:pStyle w:val="Note"/>
        <w:ind w:left="0" w:firstLine="0"/>
      </w:pPr>
      <w:r>
        <w:t>Figures are age-standardised to the 2001 Census total Māori population</w:t>
      </w:r>
      <w:r w:rsidR="00C47FA3" w:rsidRPr="00181EF3">
        <w:t>.</w:t>
      </w:r>
    </w:p>
    <w:p w14:paraId="7211284C" w14:textId="07864317" w:rsidR="00C47FA3" w:rsidRPr="00181EF3" w:rsidRDefault="00C47FA3" w:rsidP="001C62E1">
      <w:pPr>
        <w:pStyle w:val="Note"/>
        <w:ind w:left="0" w:firstLine="0"/>
      </w:pPr>
      <w:r>
        <w:t>Prioritised ethnicity has been used.</w:t>
      </w:r>
    </w:p>
    <w:p w14:paraId="23C34333" w14:textId="77777777" w:rsidR="008A5642" w:rsidRDefault="00C47FA3" w:rsidP="001C62E1">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1F31108F" w14:textId="5825232C" w:rsidR="00C47FA3" w:rsidRDefault="00C47FA3" w:rsidP="001C62E1">
      <w:pPr>
        <w:pStyle w:val="Note"/>
        <w:ind w:left="0" w:firstLine="0"/>
        <w:rPr>
          <w:rFonts w:eastAsia="Calibri"/>
          <w:szCs w:val="17"/>
        </w:rPr>
      </w:pPr>
      <w:r w:rsidRPr="00A613D8">
        <w:rPr>
          <w:rFonts w:eastAsia="Calibri"/>
          <w:szCs w:val="17"/>
        </w:rPr>
        <w:t>Source: National Minimum Data Set (NMDS), Ministry of Health,</w:t>
      </w:r>
      <w:r w:rsidRPr="00A613D8">
        <w:rPr>
          <w:szCs w:val="17"/>
        </w:rPr>
        <w:t xml:space="preserve"> </w:t>
      </w:r>
      <w:r>
        <w:rPr>
          <w:szCs w:val="17"/>
        </w:rPr>
        <w:t>2001</w:t>
      </w:r>
      <w:r w:rsidRPr="00A613D8">
        <w:rPr>
          <w:szCs w:val="17"/>
        </w:rPr>
        <w:t>–</w:t>
      </w:r>
      <w:r>
        <w:rPr>
          <w:szCs w:val="17"/>
        </w:rPr>
        <w:t>03</w:t>
      </w:r>
      <w:r w:rsidRPr="00A613D8">
        <w:rPr>
          <w:szCs w:val="17"/>
        </w:rPr>
        <w:t xml:space="preserve"> to 201</w:t>
      </w:r>
      <w:r>
        <w:rPr>
          <w:szCs w:val="17"/>
        </w:rPr>
        <w:t>1</w:t>
      </w:r>
      <w:r w:rsidRPr="00A613D8">
        <w:rPr>
          <w:szCs w:val="17"/>
        </w:rPr>
        <w:t>–1</w:t>
      </w:r>
      <w:r>
        <w:rPr>
          <w:szCs w:val="17"/>
        </w:rPr>
        <w:t>3</w:t>
      </w:r>
      <w:r w:rsidRPr="00A613D8">
        <w:rPr>
          <w:rFonts w:eastAsia="Calibri"/>
          <w:szCs w:val="17"/>
        </w:rPr>
        <w:t>.</w:t>
      </w:r>
    </w:p>
    <w:p w14:paraId="3855073B" w14:textId="77777777" w:rsidR="00764DE1" w:rsidRDefault="00764DE1" w:rsidP="00764DE1"/>
    <w:p w14:paraId="31032EA3" w14:textId="6D176512" w:rsidR="00C47FA3" w:rsidRPr="00181EF3" w:rsidRDefault="00C47FA3" w:rsidP="00C47FA3">
      <w:r w:rsidRPr="00181EF3">
        <w:t xml:space="preserve">From 2001–03 to 2011–13, rates of hospitalisation for COPD have remained constant for Māori, while decreasing for </w:t>
      </w:r>
      <w:r w:rsidR="00EC03A3">
        <w:t>non</w:t>
      </w:r>
      <w:r w:rsidR="00EC03A3">
        <w:noBreakHyphen/>
        <w:t>M</w:t>
      </w:r>
      <w:r w:rsidRPr="00181EF3">
        <w:t xml:space="preserve">āori </w:t>
      </w:r>
      <w:r w:rsidR="00EC03A3">
        <w:t>non</w:t>
      </w:r>
      <w:r w:rsidR="00EC03A3">
        <w:noBreakHyphen/>
        <w:t>P</w:t>
      </w:r>
      <w:r w:rsidRPr="00181EF3">
        <w:t xml:space="preserve">acific. This translates to an increase in the difference between Māori and </w:t>
      </w:r>
      <w:r w:rsidR="00EC03A3">
        <w:t>non</w:t>
      </w:r>
      <w:r w:rsidR="00EC03A3">
        <w:noBreakHyphen/>
        <w:t>M</w:t>
      </w:r>
      <w:r w:rsidRPr="00181EF3">
        <w:t xml:space="preserve">āori </w:t>
      </w:r>
      <w:r w:rsidR="00EC03A3">
        <w:t>non</w:t>
      </w:r>
      <w:r w:rsidR="00EC03A3">
        <w:noBreakHyphen/>
        <w:t>P</w:t>
      </w:r>
      <w:r w:rsidRPr="00181EF3">
        <w:t>acific, from Māori being around 3½ times as likely to be hospitalised for COPD in 2001–03 to being nearly four times as likely in the mid-2011–13.</w:t>
      </w:r>
    </w:p>
    <w:p w14:paraId="6220F2A3" w14:textId="77777777" w:rsidR="00C47FA3" w:rsidRPr="00181EF3" w:rsidRDefault="00C47FA3" w:rsidP="00C47FA3"/>
    <w:p w14:paraId="250945BC" w14:textId="0CD3F308" w:rsidR="00C47FA3" w:rsidRPr="00181EF3" w:rsidRDefault="00C47FA3" w:rsidP="00C47FA3">
      <w:r w:rsidRPr="00181EF3">
        <w:t xml:space="preserve">Figure </w:t>
      </w:r>
      <w:r>
        <w:t>1</w:t>
      </w:r>
      <w:r w:rsidR="00B74586">
        <w:t>60</w:t>
      </w:r>
      <w:r w:rsidRPr="00181EF3">
        <w:t xml:space="preserve"> shows that Māori females have the highest rates of COPD hospitalisations over time, and the rates remained constant. There was a decrease of 11 percent for Māori males (1,066.4 events per 100,000 people to 959.6 events per 100,000 people) over time in COPD hospitalisations. </w:t>
      </w:r>
      <w:r w:rsidR="00EC03A3">
        <w:t>Non</w:t>
      </w:r>
      <w:r w:rsidR="00EC03A3">
        <w:noBreakHyphen/>
        <w:t>M</w:t>
      </w:r>
      <w:r w:rsidRPr="00181EF3">
        <w:t xml:space="preserve">āori </w:t>
      </w:r>
      <w:r w:rsidR="00EC03A3">
        <w:t>non</w:t>
      </w:r>
      <w:r w:rsidR="00EC03A3">
        <w:noBreakHyphen/>
        <w:t>P</w:t>
      </w:r>
      <w:r w:rsidRPr="00181EF3">
        <w:t>acific males and females both decreased over time (20 and 14 percent respectively).</w:t>
      </w:r>
    </w:p>
    <w:p w14:paraId="6FC51410" w14:textId="77777777" w:rsidR="00C47FA3" w:rsidRPr="00181EF3" w:rsidRDefault="00C47FA3" w:rsidP="00C47FA3"/>
    <w:p w14:paraId="769F90B0" w14:textId="7935D449" w:rsidR="00C47FA3" w:rsidRPr="00181EF3" w:rsidRDefault="00C47FA3" w:rsidP="00C47FA3">
      <w:r w:rsidRPr="00181EF3">
        <w:t xml:space="preserve">The disparity between Māori and </w:t>
      </w:r>
      <w:r w:rsidR="00EC03A3">
        <w:t>non</w:t>
      </w:r>
      <w:r w:rsidR="00EC03A3">
        <w:noBreakHyphen/>
        <w:t>M</w:t>
      </w:r>
      <w:r w:rsidRPr="00181EF3">
        <w:t xml:space="preserve">āori </w:t>
      </w:r>
      <w:r w:rsidR="00EC03A3">
        <w:t>non</w:t>
      </w:r>
      <w:r w:rsidR="00EC03A3">
        <w:noBreakHyphen/>
        <w:t>P</w:t>
      </w:r>
      <w:r w:rsidRPr="00181EF3">
        <w:t xml:space="preserve">acific males and females has increased over time. In 2011–13, Māori males were nearly three times as likely as </w:t>
      </w:r>
      <w:r w:rsidR="00EC03A3">
        <w:t>non</w:t>
      </w:r>
      <w:r w:rsidR="00EC03A3">
        <w:noBreakHyphen/>
        <w:t>M</w:t>
      </w:r>
      <w:r w:rsidRPr="00181EF3">
        <w:t xml:space="preserve">āori </w:t>
      </w:r>
      <w:r w:rsidR="00EC03A3">
        <w:t>non</w:t>
      </w:r>
      <w:r w:rsidR="00EC03A3">
        <w:noBreakHyphen/>
        <w:t>P</w:t>
      </w:r>
      <w:r w:rsidRPr="00181EF3">
        <w:t xml:space="preserve">acific males to have been hospitalised for COPD. Whereas Māori females were over 4½ times as likely as </w:t>
      </w:r>
      <w:r w:rsidR="00EC03A3">
        <w:t>non</w:t>
      </w:r>
      <w:r w:rsidR="00EC03A3">
        <w:noBreakHyphen/>
        <w:t>M</w:t>
      </w:r>
      <w:r w:rsidRPr="00181EF3">
        <w:t xml:space="preserve">āori </w:t>
      </w:r>
      <w:r w:rsidR="00EC03A3">
        <w:t>non</w:t>
      </w:r>
      <w:r w:rsidR="00EC03A3">
        <w:noBreakHyphen/>
        <w:t>P</w:t>
      </w:r>
      <w:r w:rsidRPr="00181EF3">
        <w:t>acific females to have been hospitalised for COPD.</w:t>
      </w:r>
    </w:p>
    <w:p w14:paraId="627E98E9" w14:textId="77777777" w:rsidR="00C47FA3" w:rsidRPr="00181EF3" w:rsidRDefault="00C47FA3" w:rsidP="00C47FA3"/>
    <w:p w14:paraId="48F212E8" w14:textId="77777777" w:rsidR="00764DE1" w:rsidRPr="00181EF3" w:rsidRDefault="00764DE1" w:rsidP="00C47FA3">
      <w:pPr>
        <w:pStyle w:val="Heading4"/>
      </w:pPr>
      <w:r w:rsidRPr="00181EF3">
        <w:lastRenderedPageBreak/>
        <w:t>COPD mortality</w:t>
      </w:r>
    </w:p>
    <w:p w14:paraId="09CC1757" w14:textId="75DAB6C9" w:rsidR="00764DE1" w:rsidRPr="00181EF3" w:rsidRDefault="00764DE1" w:rsidP="00764DE1">
      <w:pPr>
        <w:pStyle w:val="Figure"/>
      </w:pPr>
      <w:bookmarkStart w:id="504" w:name="_Toc19102012"/>
      <w:r w:rsidRPr="00181EF3">
        <w:t xml:space="preserve">Figure </w:t>
      </w:r>
      <w:r w:rsidR="00C47FA3">
        <w:t>1</w:t>
      </w:r>
      <w:r w:rsidRPr="00181EF3">
        <w:t>6</w:t>
      </w:r>
      <w:r w:rsidR="00572A9A">
        <w:t>1</w:t>
      </w:r>
      <w:r w:rsidRPr="00181EF3">
        <w:t xml:space="preserve">: </w:t>
      </w:r>
      <w:r w:rsidR="00C47FA3" w:rsidRPr="00181EF3">
        <w:t xml:space="preserve">Chronic obstructive pulmonary disease (COPD) </w:t>
      </w:r>
      <w:r w:rsidR="00C47FA3">
        <w:t>mortality rates</w:t>
      </w:r>
      <w:r w:rsidR="00C47FA3" w:rsidRPr="00181EF3">
        <w:t>, 45+ years</w:t>
      </w:r>
      <w:r w:rsidR="00C47FA3">
        <w:t xml:space="preserve">, by gender, </w:t>
      </w:r>
      <w:r w:rsidR="00C47FA3" w:rsidRPr="00181EF3">
        <w:t xml:space="preserve">Māori and </w:t>
      </w:r>
      <w:r w:rsidR="00EC03A3">
        <w:t>non</w:t>
      </w:r>
      <w:r w:rsidR="00EC03A3">
        <w:noBreakHyphen/>
        <w:t>M</w:t>
      </w:r>
      <w:r w:rsidR="00C47FA3" w:rsidRPr="00181EF3">
        <w:t>āori</w:t>
      </w:r>
      <w:r w:rsidR="00C47FA3">
        <w:t xml:space="preserve"> </w:t>
      </w:r>
      <w:r w:rsidR="00EC03A3">
        <w:t>non</w:t>
      </w:r>
      <w:r w:rsidR="00EC03A3">
        <w:noBreakHyphen/>
        <w:t>P</w:t>
      </w:r>
      <w:r w:rsidR="00C47FA3">
        <w:t>acific</w:t>
      </w:r>
      <w:r w:rsidR="00C47FA3" w:rsidRPr="00181EF3">
        <w:t xml:space="preserve">, </w:t>
      </w:r>
      <w:r w:rsidR="00C47FA3">
        <w:t>2001</w:t>
      </w:r>
      <w:r w:rsidR="00C47FA3" w:rsidRPr="00181EF3">
        <w:t>–</w:t>
      </w:r>
      <w:r w:rsidR="00C47FA3">
        <w:t>03</w:t>
      </w:r>
      <w:r w:rsidR="00C47FA3" w:rsidRPr="00181EF3">
        <w:t xml:space="preserve"> to 201</w:t>
      </w:r>
      <w:r w:rsidR="00C47FA3">
        <w:t>1</w:t>
      </w:r>
      <w:r w:rsidR="00C47FA3" w:rsidRPr="00181EF3">
        <w:t>–1</w:t>
      </w:r>
      <w:r w:rsidR="00C47FA3">
        <w:t>3</w:t>
      </w:r>
      <w:bookmarkEnd w:id="504"/>
    </w:p>
    <w:p w14:paraId="75A81BE6" w14:textId="77777777" w:rsidR="00764DE1" w:rsidRPr="00181EF3" w:rsidRDefault="00764DE1" w:rsidP="00764DE1">
      <w:r w:rsidRPr="00181EF3">
        <w:rPr>
          <w:noProof/>
          <w:lang w:eastAsia="en-NZ"/>
        </w:rPr>
        <w:drawing>
          <wp:inline distT="0" distB="0" distL="0" distR="0" wp14:anchorId="70492BEB" wp14:editId="32EA2B54">
            <wp:extent cx="5130165" cy="2799119"/>
            <wp:effectExtent l="0" t="0" r="0" b="1270"/>
            <wp:docPr id="472" name="Picture 472" descr="COPD mortality is higher among Māori than non-Māori, but the rates for both have decreased -- slightly for non-Māori and substantially for Māori." title="Figure 161: Chronic obstructive pulmonary disease (COPD) mortality, 4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5130165" cy="2799119"/>
                    </a:xfrm>
                    <a:prstGeom prst="rect">
                      <a:avLst/>
                    </a:prstGeom>
                  </pic:spPr>
                </pic:pic>
              </a:graphicData>
            </a:graphic>
          </wp:inline>
        </w:drawing>
      </w:r>
    </w:p>
    <w:p w14:paraId="4D4348B4" w14:textId="77777777" w:rsidR="00C47FA3" w:rsidRPr="00116847" w:rsidRDefault="00C47FA3" w:rsidP="001C62E1">
      <w:pPr>
        <w:pStyle w:val="Note"/>
        <w:ind w:left="0" w:firstLine="0"/>
      </w:pPr>
      <w:r w:rsidRPr="00116847">
        <w:t>Notes:</w:t>
      </w:r>
    </w:p>
    <w:p w14:paraId="3471FB0E" w14:textId="3E4A79FC" w:rsidR="008A5642" w:rsidRDefault="00446D86" w:rsidP="001C62E1">
      <w:pPr>
        <w:pStyle w:val="Note"/>
        <w:ind w:left="0" w:firstLine="0"/>
      </w:pPr>
      <w:r>
        <w:t>Figures are age-standardised to the 2001 Census total Māori population</w:t>
      </w:r>
      <w:r w:rsidR="00C47FA3" w:rsidRPr="00116847">
        <w:t>.</w:t>
      </w:r>
    </w:p>
    <w:p w14:paraId="72CBF638" w14:textId="14F5CACE" w:rsidR="00C47FA3" w:rsidRPr="00116847" w:rsidRDefault="00C47FA3" w:rsidP="001C62E1">
      <w:pPr>
        <w:pStyle w:val="Note"/>
        <w:ind w:left="0" w:firstLine="0"/>
      </w:pPr>
      <w:r w:rsidRPr="00116847">
        <w:t>Prioritised ethnicity has been used.</w:t>
      </w:r>
    </w:p>
    <w:p w14:paraId="411DA9D9" w14:textId="77777777" w:rsidR="008A5642" w:rsidRDefault="00C47FA3" w:rsidP="001C62E1">
      <w:pPr>
        <w:pStyle w:val="Note"/>
        <w:ind w:left="0" w:firstLine="0"/>
      </w:pPr>
      <w:r w:rsidRPr="00116847">
        <w:t>If the confidence intervals of two rates do not overlap, the difference in rates is said to be statistically significant.</w:t>
      </w:r>
    </w:p>
    <w:p w14:paraId="5E9B50F3" w14:textId="13B92719" w:rsidR="00C47FA3" w:rsidRPr="00181EF3" w:rsidRDefault="00C47FA3" w:rsidP="001C62E1">
      <w:pPr>
        <w:pStyle w:val="Note"/>
        <w:ind w:left="0" w:firstLine="0"/>
      </w:pPr>
      <w:r w:rsidRPr="00116847">
        <w:t xml:space="preserve">Source: Mortality Collection Data Set (MORT), Ministry of Health, </w:t>
      </w:r>
      <w:r>
        <w:t>2001</w:t>
      </w:r>
      <w:r w:rsidRPr="00116847">
        <w:t>–</w:t>
      </w:r>
      <w:r>
        <w:t>03</w:t>
      </w:r>
      <w:r w:rsidRPr="00116847">
        <w:t xml:space="preserve"> to 201</w:t>
      </w:r>
      <w:r>
        <w:t>1</w:t>
      </w:r>
      <w:r w:rsidRPr="00116847">
        <w:t>–1</w:t>
      </w:r>
      <w:r>
        <w:t>3</w:t>
      </w:r>
      <w:r w:rsidRPr="00116847">
        <w:t>.</w:t>
      </w:r>
    </w:p>
    <w:p w14:paraId="077D716B" w14:textId="77777777" w:rsidR="00764DE1" w:rsidRPr="00181EF3" w:rsidRDefault="00764DE1" w:rsidP="00764DE1"/>
    <w:p w14:paraId="7274C200" w14:textId="58C69E27" w:rsidR="00C47FA3" w:rsidRPr="00181EF3" w:rsidRDefault="00C47FA3" w:rsidP="00C47FA3">
      <w:r w:rsidRPr="00181EF3">
        <w:t xml:space="preserve">Figure </w:t>
      </w:r>
      <w:r>
        <w:t>1</w:t>
      </w:r>
      <w:r w:rsidRPr="00181EF3">
        <w:t>6</w:t>
      </w:r>
      <w:r w:rsidR="00B74586">
        <w:t>1</w:t>
      </w:r>
      <w:r w:rsidRPr="00181EF3">
        <w:t xml:space="preserve"> shows that overtime there has been a decrease in COPD mortality rates for Māori aged 45 and over. From 2001–03 to 2011–13 there was a decrease of 29 percent (from 134.5 deaths per 100,000 people to 95.4 deaths per 100,000 people). Over the same time period there has also been a decrease in mortality rates for </w:t>
      </w:r>
      <w:r w:rsidR="00EC03A3">
        <w:t>non</w:t>
      </w:r>
      <w:r w:rsidR="00EC03A3">
        <w:noBreakHyphen/>
        <w:t>M</w:t>
      </w:r>
      <w:r w:rsidRPr="00181EF3">
        <w:t xml:space="preserve">āori </w:t>
      </w:r>
      <w:r w:rsidR="00EC03A3">
        <w:t>non</w:t>
      </w:r>
      <w:r w:rsidR="00EC03A3">
        <w:noBreakHyphen/>
        <w:t>P</w:t>
      </w:r>
      <w:r w:rsidRPr="00181EF3">
        <w:t xml:space="preserve">acific, therefore resulting in little change in the disparity between Māori and </w:t>
      </w:r>
      <w:r w:rsidR="00EC03A3">
        <w:t>non</w:t>
      </w:r>
      <w:r w:rsidR="00EC03A3">
        <w:noBreakHyphen/>
        <w:t>M</w:t>
      </w:r>
      <w:r w:rsidRPr="00181EF3">
        <w:t xml:space="preserve">āori </w:t>
      </w:r>
      <w:r w:rsidR="00EC03A3">
        <w:t>non</w:t>
      </w:r>
      <w:r w:rsidR="00EC03A3">
        <w:noBreakHyphen/>
        <w:t>P</w:t>
      </w:r>
      <w:r w:rsidRPr="00181EF3">
        <w:t xml:space="preserve">acific. In 2011–13, Māori aged 45 and over were nearly three times as likely as </w:t>
      </w:r>
      <w:r w:rsidR="00EC03A3">
        <w:t>non</w:t>
      </w:r>
      <w:r w:rsidR="00EC03A3">
        <w:noBreakHyphen/>
        <w:t>M</w:t>
      </w:r>
      <w:r w:rsidRPr="00181EF3">
        <w:t xml:space="preserve">āori </w:t>
      </w:r>
      <w:r w:rsidR="00EC03A3">
        <w:t>non</w:t>
      </w:r>
      <w:r w:rsidR="00EC03A3">
        <w:noBreakHyphen/>
        <w:t>P</w:t>
      </w:r>
      <w:r w:rsidRPr="00181EF3">
        <w:t>acific aged 45 and over to die from COPD.</w:t>
      </w:r>
    </w:p>
    <w:p w14:paraId="044379AF" w14:textId="77777777" w:rsidR="00C47FA3" w:rsidRDefault="00C47FA3" w:rsidP="00764DE1"/>
    <w:p w14:paraId="2B9FCF78" w14:textId="5DF1DE04" w:rsidR="00764DE1" w:rsidRPr="00181EF3" w:rsidRDefault="00764DE1" w:rsidP="00764DE1">
      <w:r w:rsidRPr="00181EF3">
        <w:t xml:space="preserve">The disparity between Māori and </w:t>
      </w:r>
      <w:r w:rsidR="00EC03A3">
        <w:t>non</w:t>
      </w:r>
      <w:r w:rsidR="00EC03A3">
        <w:noBreakHyphen/>
        <w:t>M</w:t>
      </w:r>
      <w:r w:rsidRPr="00181EF3">
        <w:t xml:space="preserve">āori </w:t>
      </w:r>
      <w:r w:rsidR="00EC03A3">
        <w:t>non</w:t>
      </w:r>
      <w:r w:rsidR="00EC03A3">
        <w:noBreakHyphen/>
        <w:t>P</w:t>
      </w:r>
      <w:r w:rsidRPr="00181EF3">
        <w:t xml:space="preserve">acific females is higher than that of Māori and </w:t>
      </w:r>
      <w:r w:rsidR="00EC03A3">
        <w:t>non</w:t>
      </w:r>
      <w:r w:rsidR="00EC03A3">
        <w:noBreakHyphen/>
        <w:t>M</w:t>
      </w:r>
      <w:r w:rsidRPr="00181EF3">
        <w:t xml:space="preserve">āori </w:t>
      </w:r>
      <w:r w:rsidR="00EC03A3">
        <w:t>non</w:t>
      </w:r>
      <w:r w:rsidR="00EC03A3">
        <w:noBreakHyphen/>
        <w:t>P</w:t>
      </w:r>
      <w:r w:rsidRPr="00181EF3">
        <w:t xml:space="preserve">acific males. From 2001–03 to 2011–13, Māori males were generally nearly 2½ times as likely as </w:t>
      </w:r>
      <w:r w:rsidR="00EC03A3">
        <w:t>non</w:t>
      </w:r>
      <w:r w:rsidR="00EC03A3">
        <w:noBreakHyphen/>
        <w:t>M</w:t>
      </w:r>
      <w:r w:rsidRPr="00181EF3">
        <w:t xml:space="preserve">āori </w:t>
      </w:r>
      <w:r w:rsidR="00EC03A3">
        <w:t>non</w:t>
      </w:r>
      <w:r w:rsidR="00EC03A3">
        <w:noBreakHyphen/>
        <w:t>P</w:t>
      </w:r>
      <w:r w:rsidRPr="00181EF3">
        <w:t xml:space="preserve">acific males to die of COPD whilst Māori females were on average just below 3½ times as likely as </w:t>
      </w:r>
      <w:r w:rsidR="00EC03A3">
        <w:t>non</w:t>
      </w:r>
      <w:r w:rsidR="00EC03A3">
        <w:noBreakHyphen/>
        <w:t>M</w:t>
      </w:r>
      <w:r w:rsidRPr="00181EF3">
        <w:t xml:space="preserve">āori </w:t>
      </w:r>
      <w:r w:rsidR="00EC03A3">
        <w:t>non</w:t>
      </w:r>
      <w:r w:rsidR="00EC03A3">
        <w:noBreakHyphen/>
        <w:t>P</w:t>
      </w:r>
      <w:r w:rsidRPr="00181EF3">
        <w:t>acific females to die of COPD.</w:t>
      </w:r>
    </w:p>
    <w:p w14:paraId="2CE6FE78" w14:textId="77777777" w:rsidR="004A7F24" w:rsidRDefault="004A7F24" w:rsidP="006E429F">
      <w:pPr>
        <w:rPr>
          <w:highlight w:val="yellow"/>
        </w:rPr>
      </w:pPr>
    </w:p>
    <w:p w14:paraId="53B01B91" w14:textId="77777777" w:rsidR="00764DE1" w:rsidRPr="00181EF3" w:rsidRDefault="00764DE1" w:rsidP="00D46D7A">
      <w:pPr>
        <w:pStyle w:val="Heading2"/>
        <w:pageBreakBefore/>
        <w:spacing w:before="0"/>
        <w:rPr>
          <w:noProof/>
          <w:lang w:eastAsia="en-NZ"/>
        </w:rPr>
      </w:pPr>
      <w:bookmarkStart w:id="505" w:name="_Toc14718625"/>
      <w:bookmarkStart w:id="506" w:name="_Toc14775048"/>
      <w:bookmarkStart w:id="507" w:name="_Toc19102492"/>
      <w:r w:rsidRPr="00181EF3">
        <w:rPr>
          <w:noProof/>
          <w:lang w:eastAsia="en-NZ"/>
        </w:rPr>
        <w:lastRenderedPageBreak/>
        <w:t>Diabetes complications</w:t>
      </w:r>
      <w:bookmarkEnd w:id="505"/>
      <w:bookmarkEnd w:id="506"/>
      <w:bookmarkEnd w:id="507"/>
    </w:p>
    <w:p w14:paraId="261E72CD" w14:textId="6846B0F6" w:rsidR="00764DE1" w:rsidRPr="00181EF3" w:rsidRDefault="00764DE1" w:rsidP="00764DE1">
      <w:r w:rsidRPr="00181EF3">
        <w:rPr>
          <w:noProof/>
          <w:lang w:eastAsia="en-NZ"/>
        </w:rPr>
        <w:t xml:space="preserve">This </w:t>
      </w:r>
      <w:r w:rsidR="00826BF4">
        <w:rPr>
          <w:noProof/>
          <w:lang w:eastAsia="en-NZ"/>
        </w:rPr>
        <w:t>section presents</w:t>
      </w:r>
      <w:r w:rsidRPr="00181EF3">
        <w:rPr>
          <w:noProof/>
          <w:lang w:eastAsia="en-NZ"/>
        </w:rPr>
        <w:t xml:space="preserve"> age-standardised rates of two diabetes complications over time, renal failure and lower limb amputation, for </w:t>
      </w:r>
      <w:r w:rsidRPr="00181EF3">
        <w:t xml:space="preserve">Māori and </w:t>
      </w:r>
      <w:r w:rsidR="00EC03A3">
        <w:t>non</w:t>
      </w:r>
      <w:r w:rsidR="00EC03A3">
        <w:noBreakHyphen/>
        <w:t>M</w:t>
      </w:r>
      <w:r w:rsidRPr="00181EF3">
        <w:t xml:space="preserve">āori </w:t>
      </w:r>
      <w:r w:rsidR="00EC03A3">
        <w:t>non</w:t>
      </w:r>
      <w:r w:rsidR="00EC03A3">
        <w:noBreakHyphen/>
        <w:t>P</w:t>
      </w:r>
      <w:r w:rsidRPr="00181EF3">
        <w:t>acific adults aged 15 years and over.</w:t>
      </w:r>
    </w:p>
    <w:p w14:paraId="7926F63D" w14:textId="77777777" w:rsidR="00764DE1" w:rsidRPr="00181EF3" w:rsidRDefault="00764DE1" w:rsidP="00764DE1"/>
    <w:p w14:paraId="66C18535" w14:textId="77777777" w:rsidR="00764DE1" w:rsidRPr="00181EF3" w:rsidRDefault="00764DE1" w:rsidP="00826BF4">
      <w:pPr>
        <w:pStyle w:val="Heading3"/>
      </w:pPr>
      <w:bookmarkStart w:id="508" w:name="_Toc19102493"/>
      <w:r w:rsidRPr="00181EF3">
        <w:t>What is the data telling us?</w:t>
      </w:r>
      <w:bookmarkEnd w:id="508"/>
    </w:p>
    <w:p w14:paraId="2920369F" w14:textId="77777777" w:rsidR="00764DE1" w:rsidRPr="00181EF3" w:rsidRDefault="00764DE1" w:rsidP="00764DE1">
      <w:pPr>
        <w:pStyle w:val="Shadedboxheading"/>
      </w:pPr>
      <w:r w:rsidRPr="00181EF3">
        <w:t>Diabetes complication – renal failure with concurrent diabetes</w:t>
      </w:r>
    </w:p>
    <w:p w14:paraId="53DC289C" w14:textId="408FC1F5" w:rsidR="00764DE1" w:rsidRPr="00181EF3" w:rsidRDefault="00764DE1" w:rsidP="00764DE1">
      <w:pPr>
        <w:pStyle w:val="Shadedboxbullet"/>
        <w:ind w:left="568" w:hanging="284"/>
      </w:pPr>
      <w:r w:rsidRPr="00181EF3">
        <w:t xml:space="preserve">Māori adults aged 15 years and over have higher age-standardised hospitalisation rates of renal failure with concurrent diabetes than </w:t>
      </w:r>
      <w:r w:rsidR="00EC03A3">
        <w:t>non</w:t>
      </w:r>
      <w:r w:rsidR="00EC03A3">
        <w:noBreakHyphen/>
        <w:t>M</w:t>
      </w:r>
      <w:r w:rsidRPr="00181EF3">
        <w:t xml:space="preserve">āori </w:t>
      </w:r>
      <w:r w:rsidR="00EC03A3">
        <w:t>non</w:t>
      </w:r>
      <w:r w:rsidR="00EC03A3">
        <w:noBreakHyphen/>
        <w:t>P</w:t>
      </w:r>
      <w:r w:rsidRPr="00181EF3">
        <w:t>acific over time.</w:t>
      </w:r>
    </w:p>
    <w:p w14:paraId="400EC103" w14:textId="25D66C94" w:rsidR="00764DE1" w:rsidRPr="00181EF3" w:rsidRDefault="00764DE1" w:rsidP="00764DE1">
      <w:pPr>
        <w:pStyle w:val="Shadedboxbullet"/>
        <w:ind w:left="568" w:hanging="284"/>
      </w:pPr>
      <w:r w:rsidRPr="00181EF3">
        <w:t xml:space="preserve">Generally, males have higher rates of renal failure than females, for both Māori and </w:t>
      </w:r>
      <w:r w:rsidR="00EC03A3">
        <w:t>non</w:t>
      </w:r>
      <w:r w:rsidR="00EC03A3">
        <w:noBreakHyphen/>
        <w:t>M</w:t>
      </w:r>
      <w:r w:rsidRPr="00181EF3">
        <w:t xml:space="preserve">āori </w:t>
      </w:r>
      <w:r w:rsidR="00EC03A3">
        <w:t>non</w:t>
      </w:r>
      <w:r w:rsidR="00EC03A3">
        <w:noBreakHyphen/>
        <w:t>P</w:t>
      </w:r>
      <w:r w:rsidRPr="00181EF3">
        <w:t>acific.</w:t>
      </w:r>
    </w:p>
    <w:p w14:paraId="110F6FDA" w14:textId="1DD3E99C" w:rsidR="00764DE1" w:rsidRPr="00181EF3" w:rsidRDefault="00764DE1" w:rsidP="00764DE1">
      <w:pPr>
        <w:pStyle w:val="Shadedboxbullet"/>
        <w:ind w:left="568" w:hanging="284"/>
      </w:pPr>
      <w:r w:rsidRPr="00181EF3">
        <w:t xml:space="preserve">The rates of renal failure with concurrent diabetes increased over time for both Māori and </w:t>
      </w:r>
      <w:r w:rsidR="00EC03A3">
        <w:t>non</w:t>
      </w:r>
      <w:r w:rsidR="00EC03A3">
        <w:noBreakHyphen/>
        <w:t>M</w:t>
      </w:r>
      <w:r w:rsidRPr="00181EF3">
        <w:t xml:space="preserve">āori </w:t>
      </w:r>
      <w:r w:rsidR="00EC03A3">
        <w:t>non</w:t>
      </w:r>
      <w:r w:rsidR="00EC03A3">
        <w:noBreakHyphen/>
        <w:t>P</w:t>
      </w:r>
      <w:r w:rsidRPr="00181EF3">
        <w:t xml:space="preserve">acific adults. The difference between these groups decreased over time, from 10 times as high to 7 times as high. This was because the increase in renal failure rates was greater for </w:t>
      </w:r>
      <w:r w:rsidR="00EC03A3">
        <w:t>non</w:t>
      </w:r>
      <w:r w:rsidR="00EC03A3">
        <w:noBreakHyphen/>
        <w:t>M</w:t>
      </w:r>
      <w:r w:rsidRPr="00181EF3">
        <w:t xml:space="preserve">āori </w:t>
      </w:r>
      <w:r w:rsidR="00EC03A3">
        <w:t>non</w:t>
      </w:r>
      <w:r w:rsidR="00EC03A3">
        <w:noBreakHyphen/>
        <w:t>P</w:t>
      </w:r>
      <w:r w:rsidRPr="00181EF3">
        <w:t>acific adults.</w:t>
      </w:r>
    </w:p>
    <w:p w14:paraId="1842B6EB" w14:textId="77777777" w:rsidR="00764DE1" w:rsidRPr="00181EF3" w:rsidRDefault="00764DE1" w:rsidP="00764DE1">
      <w:pPr>
        <w:pStyle w:val="Shadedboxheading"/>
      </w:pPr>
      <w:r w:rsidRPr="00181EF3">
        <w:t>Diabetes complication – lower limb amputation with concurrent diabetes</w:t>
      </w:r>
    </w:p>
    <w:p w14:paraId="52701C1A" w14:textId="0C2D0333" w:rsidR="00764DE1" w:rsidRPr="00181EF3" w:rsidRDefault="00764DE1" w:rsidP="00764DE1">
      <w:pPr>
        <w:pStyle w:val="Shadedboxbullet"/>
        <w:ind w:left="568" w:hanging="284"/>
      </w:pPr>
      <w:r w:rsidRPr="00181EF3">
        <w:t xml:space="preserve">Since 2001–03, Māori adults aged 15 years and over have had higher age-standardised hospitalisation rates of lower limb amputation with concurrent diabetes than </w:t>
      </w:r>
      <w:r w:rsidR="00EC03A3">
        <w:t>non</w:t>
      </w:r>
      <w:r w:rsidR="00EC03A3">
        <w:noBreakHyphen/>
        <w:t>M</w:t>
      </w:r>
      <w:r w:rsidRPr="00181EF3">
        <w:t xml:space="preserve">āori </w:t>
      </w:r>
      <w:r w:rsidR="00EC03A3">
        <w:t>non</w:t>
      </w:r>
      <w:r w:rsidR="00EC03A3">
        <w:noBreakHyphen/>
        <w:t>P</w:t>
      </w:r>
      <w:r w:rsidRPr="00181EF3">
        <w:t>acific.</w:t>
      </w:r>
    </w:p>
    <w:p w14:paraId="31F2FD45" w14:textId="7C829CE1" w:rsidR="00764DE1" w:rsidRPr="00181EF3" w:rsidRDefault="00764DE1" w:rsidP="00764DE1">
      <w:pPr>
        <w:pStyle w:val="Shadedboxbullet"/>
        <w:ind w:left="568" w:hanging="284"/>
      </w:pPr>
      <w:r w:rsidRPr="00181EF3">
        <w:t xml:space="preserve">Generally, males have higher rates than females, for both Māori and </w:t>
      </w:r>
      <w:r w:rsidR="00EC03A3">
        <w:t>non</w:t>
      </w:r>
      <w:r w:rsidR="00EC03A3">
        <w:noBreakHyphen/>
        <w:t>M</w:t>
      </w:r>
      <w:r w:rsidRPr="00181EF3">
        <w:t xml:space="preserve">āori </w:t>
      </w:r>
      <w:r w:rsidR="00EC03A3">
        <w:t>non</w:t>
      </w:r>
      <w:r w:rsidR="00EC03A3">
        <w:noBreakHyphen/>
        <w:t>P</w:t>
      </w:r>
      <w:r w:rsidRPr="00181EF3">
        <w:t>acific.</w:t>
      </w:r>
    </w:p>
    <w:p w14:paraId="51EB0227" w14:textId="2A7BCDBC" w:rsidR="00764DE1" w:rsidRPr="00181EF3" w:rsidRDefault="00764DE1" w:rsidP="00764DE1">
      <w:pPr>
        <w:pStyle w:val="Shadedboxbullet"/>
        <w:ind w:left="568" w:hanging="284"/>
      </w:pPr>
      <w:r w:rsidRPr="00181EF3">
        <w:t xml:space="preserve">The rates of lower limb amputation with concurrent diabetes have remained similar over time for both Māori and </w:t>
      </w:r>
      <w:r w:rsidR="00EC03A3">
        <w:t>non</w:t>
      </w:r>
      <w:r w:rsidR="00EC03A3">
        <w:noBreakHyphen/>
        <w:t>M</w:t>
      </w:r>
      <w:r w:rsidRPr="00181EF3">
        <w:t xml:space="preserve">āori </w:t>
      </w:r>
      <w:r w:rsidR="00EC03A3">
        <w:t>non</w:t>
      </w:r>
      <w:r w:rsidR="00EC03A3">
        <w:noBreakHyphen/>
        <w:t>P</w:t>
      </w:r>
      <w:r w:rsidRPr="00181EF3">
        <w:t xml:space="preserve">acific adults. Consequently, the difference between Māori and </w:t>
      </w:r>
      <w:r w:rsidR="00EC03A3">
        <w:t>non</w:t>
      </w:r>
      <w:r w:rsidR="00EC03A3">
        <w:noBreakHyphen/>
        <w:t>M</w:t>
      </w:r>
      <w:r w:rsidRPr="00181EF3">
        <w:t xml:space="preserve">āori </w:t>
      </w:r>
      <w:r w:rsidR="00EC03A3">
        <w:t>non</w:t>
      </w:r>
      <w:r w:rsidR="00EC03A3">
        <w:noBreakHyphen/>
        <w:t>P</w:t>
      </w:r>
      <w:r w:rsidRPr="00181EF3">
        <w:t>acific has not changed much over time.</w:t>
      </w:r>
    </w:p>
    <w:p w14:paraId="3FBE73F3" w14:textId="77777777" w:rsidR="00764DE1" w:rsidRPr="00181EF3" w:rsidRDefault="00764DE1" w:rsidP="00764DE1"/>
    <w:p w14:paraId="40BAACDB" w14:textId="77777777" w:rsidR="00764DE1" w:rsidRPr="00181EF3" w:rsidRDefault="00764DE1" w:rsidP="00D46D7A">
      <w:pPr>
        <w:pStyle w:val="Heading3"/>
        <w:pageBreakBefore/>
        <w:spacing w:before="0"/>
      </w:pPr>
      <w:bookmarkStart w:id="509" w:name="_Toc19102494"/>
      <w:r w:rsidRPr="00181EF3">
        <w:lastRenderedPageBreak/>
        <w:t>Diabetes complications – renal failure with concurrent diabetes</w:t>
      </w:r>
      <w:bookmarkEnd w:id="509"/>
    </w:p>
    <w:p w14:paraId="54861D22" w14:textId="279971AF" w:rsidR="00764DE1" w:rsidRDefault="00764DE1" w:rsidP="00764DE1">
      <w:pPr>
        <w:pStyle w:val="Figure"/>
      </w:pPr>
      <w:bookmarkStart w:id="510" w:name="_Toc19102013"/>
      <w:r w:rsidRPr="00181EF3">
        <w:t>Figure 1</w:t>
      </w:r>
      <w:r w:rsidR="00826BF4">
        <w:t>6</w:t>
      </w:r>
      <w:r w:rsidR="00572A9A">
        <w:t>2</w:t>
      </w:r>
      <w:r w:rsidRPr="00181EF3">
        <w:t xml:space="preserve">: </w:t>
      </w:r>
      <w:r w:rsidR="00826BF4" w:rsidRPr="00181EF3">
        <w:t>R</w:t>
      </w:r>
      <w:r w:rsidR="00826BF4">
        <w:t>ates of r</w:t>
      </w:r>
      <w:r w:rsidR="00826BF4" w:rsidRPr="00181EF3">
        <w:t>enal failure with concurrent diabetes, 15+ years</w:t>
      </w:r>
      <w:r w:rsidR="00826BF4">
        <w:t>,</w:t>
      </w:r>
      <w:r w:rsidR="00826BF4" w:rsidRPr="00892068">
        <w:t xml:space="preserve"> </w:t>
      </w:r>
      <w:r w:rsidR="00826BF4">
        <w:t xml:space="preserve">by gender, </w:t>
      </w:r>
      <w:r w:rsidR="00826BF4" w:rsidRPr="00181EF3">
        <w:t xml:space="preserve">Māori and </w:t>
      </w:r>
      <w:r w:rsidR="00EC03A3">
        <w:t>non</w:t>
      </w:r>
      <w:r w:rsidR="00EC03A3">
        <w:noBreakHyphen/>
        <w:t>M</w:t>
      </w:r>
      <w:r w:rsidR="00826BF4" w:rsidRPr="00181EF3">
        <w:t>āori</w:t>
      </w:r>
      <w:r w:rsidR="00826BF4">
        <w:t xml:space="preserve"> </w:t>
      </w:r>
      <w:r w:rsidR="00EC03A3">
        <w:t>non</w:t>
      </w:r>
      <w:r w:rsidR="00EC03A3">
        <w:noBreakHyphen/>
        <w:t>P</w:t>
      </w:r>
      <w:r w:rsidR="00826BF4">
        <w:t>acific</w:t>
      </w:r>
      <w:r w:rsidR="00826BF4" w:rsidRPr="00181EF3">
        <w:t xml:space="preserve">, </w:t>
      </w:r>
      <w:r w:rsidR="00826BF4">
        <w:t>2001</w:t>
      </w:r>
      <w:r w:rsidR="00826BF4" w:rsidRPr="00181EF3">
        <w:t>–</w:t>
      </w:r>
      <w:r w:rsidR="00826BF4">
        <w:t>03</w:t>
      </w:r>
      <w:r w:rsidR="00826BF4" w:rsidRPr="00181EF3">
        <w:t xml:space="preserve"> to 201</w:t>
      </w:r>
      <w:r w:rsidR="00826BF4">
        <w:t>1</w:t>
      </w:r>
      <w:r w:rsidR="00826BF4" w:rsidRPr="00181EF3">
        <w:t>–1</w:t>
      </w:r>
      <w:r w:rsidR="00826BF4">
        <w:t>3</w:t>
      </w:r>
      <w:bookmarkEnd w:id="510"/>
    </w:p>
    <w:p w14:paraId="38187772" w14:textId="77777777" w:rsidR="00764DE1" w:rsidRPr="00C3616C" w:rsidRDefault="00764DE1" w:rsidP="00764DE1">
      <w:r w:rsidRPr="00C3616C">
        <w:rPr>
          <w:noProof/>
          <w:lang w:eastAsia="en-NZ"/>
        </w:rPr>
        <w:drawing>
          <wp:inline distT="0" distB="0" distL="0" distR="0" wp14:anchorId="63BE1CB5" wp14:editId="1816D8F2">
            <wp:extent cx="5130165" cy="3069329"/>
            <wp:effectExtent l="0" t="0" r="0" b="0"/>
            <wp:docPr id="17" name="Picture 17" descr="Māori men are most likely to have renal failure with concurrent diabetes, followed by Māori women. Their rates follow the same yearly pattern, reaching a peak around 2009-11 and decreasing slightly since. The rates for non-Māori men and women are much lower and have increased slightly since 2006-08." title="Figure 162: Renal failure with concurrent diabetes, 1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5130165" cy="3069329"/>
                    </a:xfrm>
                    <a:prstGeom prst="rect">
                      <a:avLst/>
                    </a:prstGeom>
                  </pic:spPr>
                </pic:pic>
              </a:graphicData>
            </a:graphic>
          </wp:inline>
        </w:drawing>
      </w:r>
    </w:p>
    <w:p w14:paraId="1DAB1EF1" w14:textId="77777777" w:rsidR="00826BF4" w:rsidRPr="00892068" w:rsidRDefault="00826BF4" w:rsidP="001C62E1">
      <w:pPr>
        <w:pStyle w:val="Note"/>
        <w:ind w:left="0" w:firstLine="0"/>
        <w:rPr>
          <w:rFonts w:eastAsia="Calibri"/>
        </w:rPr>
      </w:pPr>
      <w:r w:rsidRPr="00892068">
        <w:rPr>
          <w:rFonts w:eastAsia="Calibri"/>
        </w:rPr>
        <w:t>Notes:</w:t>
      </w:r>
    </w:p>
    <w:p w14:paraId="5134AB38" w14:textId="2BB744D6" w:rsidR="008A5642" w:rsidRDefault="00446D86" w:rsidP="001C62E1">
      <w:pPr>
        <w:pStyle w:val="Note"/>
        <w:ind w:left="0" w:firstLine="0"/>
        <w:rPr>
          <w:rFonts w:eastAsia="Calibri"/>
        </w:rPr>
      </w:pPr>
      <w:r>
        <w:rPr>
          <w:rFonts w:eastAsia="Calibri"/>
        </w:rPr>
        <w:t>Figures are age-standardised to the 2001 Census total Māori population</w:t>
      </w:r>
      <w:r w:rsidR="00826BF4" w:rsidRPr="00892068">
        <w:rPr>
          <w:rFonts w:eastAsia="Calibri"/>
        </w:rPr>
        <w:t>.</w:t>
      </w:r>
    </w:p>
    <w:p w14:paraId="3F61416B" w14:textId="2A09B36A" w:rsidR="00826BF4" w:rsidRPr="00892068" w:rsidRDefault="00826BF4" w:rsidP="001C62E1">
      <w:pPr>
        <w:pStyle w:val="Note"/>
        <w:ind w:left="0" w:firstLine="0"/>
        <w:rPr>
          <w:rFonts w:eastAsia="Calibri"/>
        </w:rPr>
      </w:pPr>
      <w:r w:rsidRPr="00892068">
        <w:rPr>
          <w:rFonts w:eastAsia="Calibri"/>
        </w:rPr>
        <w:t>Prioritised ethnicity has been used.</w:t>
      </w:r>
    </w:p>
    <w:p w14:paraId="545071F5" w14:textId="77777777" w:rsidR="008A5642" w:rsidRDefault="00826BF4" w:rsidP="001C62E1">
      <w:pPr>
        <w:pStyle w:val="Note"/>
        <w:ind w:left="0" w:firstLine="0"/>
        <w:rPr>
          <w:rFonts w:eastAsia="Calibri"/>
        </w:rPr>
      </w:pPr>
      <w:r w:rsidRPr="00892068">
        <w:rPr>
          <w:rFonts w:eastAsia="Calibri"/>
        </w:rPr>
        <w:t>If the confidence intervals of two rates do not overlap, the difference in rates is said to be statistically significant.</w:t>
      </w:r>
    </w:p>
    <w:p w14:paraId="4ED2EC0C" w14:textId="6C9968A5" w:rsidR="00826BF4" w:rsidRDefault="00826BF4" w:rsidP="001C62E1">
      <w:pPr>
        <w:pStyle w:val="Note"/>
        <w:ind w:left="0" w:firstLine="0"/>
        <w:rPr>
          <w:rFonts w:eastAsia="Calibri"/>
        </w:rPr>
      </w:pPr>
      <w:r w:rsidRPr="00892068">
        <w:rPr>
          <w:rFonts w:eastAsia="Calibri"/>
        </w:rPr>
        <w:t xml:space="preserve">Source: National Minimum Data Set (NMDS), Ministry of Health, </w:t>
      </w:r>
      <w:r>
        <w:rPr>
          <w:rFonts w:eastAsia="Calibri"/>
        </w:rPr>
        <w:t>2001</w:t>
      </w:r>
      <w:r w:rsidRPr="00892068">
        <w:rPr>
          <w:rFonts w:eastAsia="Calibri"/>
        </w:rPr>
        <w:t>–</w:t>
      </w:r>
      <w:r>
        <w:rPr>
          <w:rFonts w:eastAsia="Calibri"/>
        </w:rPr>
        <w:t>03</w:t>
      </w:r>
      <w:r w:rsidRPr="00892068">
        <w:rPr>
          <w:rFonts w:eastAsia="Calibri"/>
        </w:rPr>
        <w:t xml:space="preserve"> to 201</w:t>
      </w:r>
      <w:r>
        <w:rPr>
          <w:rFonts w:eastAsia="Calibri"/>
        </w:rPr>
        <w:t>1</w:t>
      </w:r>
      <w:r w:rsidRPr="00892068">
        <w:rPr>
          <w:rFonts w:eastAsia="Calibri"/>
        </w:rPr>
        <w:t>–1</w:t>
      </w:r>
      <w:r>
        <w:rPr>
          <w:rFonts w:eastAsia="Calibri"/>
        </w:rPr>
        <w:t>3</w:t>
      </w:r>
      <w:r w:rsidRPr="00892068">
        <w:rPr>
          <w:rFonts w:eastAsia="Calibri"/>
        </w:rPr>
        <w:t>.</w:t>
      </w:r>
    </w:p>
    <w:p w14:paraId="0CB65850" w14:textId="77777777" w:rsidR="00764DE1" w:rsidRPr="00181EF3" w:rsidRDefault="00764DE1" w:rsidP="00764DE1">
      <w:pPr>
        <w:rPr>
          <w:noProof/>
          <w:lang w:eastAsia="en-NZ"/>
        </w:rPr>
      </w:pPr>
    </w:p>
    <w:p w14:paraId="4A66A145" w14:textId="7112486E" w:rsidR="00826BF4" w:rsidRPr="00181EF3" w:rsidRDefault="00826BF4" w:rsidP="00826BF4">
      <w:r w:rsidRPr="00181EF3">
        <w:t>Figure 1</w:t>
      </w:r>
      <w:r>
        <w:t>6</w:t>
      </w:r>
      <w:r w:rsidR="00B74586">
        <w:t>2</w:t>
      </w:r>
      <w:r w:rsidRPr="00181EF3">
        <w:t xml:space="preserve"> shows that Māori adults aged 15 years and over have higher age</w:t>
      </w:r>
      <w:r w:rsidR="00D46D7A">
        <w:noBreakHyphen/>
      </w:r>
      <w:r w:rsidRPr="00181EF3">
        <w:t xml:space="preserve">standardised hospitalisation rates of renal failure with concurrent diabetes than </w:t>
      </w:r>
      <w:r w:rsidR="00EC03A3">
        <w:t>non</w:t>
      </w:r>
      <w:r w:rsidR="00EC03A3">
        <w:noBreakHyphen/>
        <w:t>M</w:t>
      </w:r>
      <w:r w:rsidRPr="00181EF3">
        <w:t xml:space="preserve">āori </w:t>
      </w:r>
      <w:r w:rsidR="00EC03A3">
        <w:t>non</w:t>
      </w:r>
      <w:r w:rsidR="00EC03A3">
        <w:noBreakHyphen/>
        <w:t>P</w:t>
      </w:r>
      <w:r w:rsidRPr="00181EF3">
        <w:t xml:space="preserve">acific at the same age group over time. Generally, males have higher rates than females, for both Māori and </w:t>
      </w:r>
      <w:r w:rsidR="00EC03A3">
        <w:t>non</w:t>
      </w:r>
      <w:r w:rsidR="00EC03A3">
        <w:noBreakHyphen/>
        <w:t>M</w:t>
      </w:r>
      <w:r w:rsidRPr="00181EF3">
        <w:t xml:space="preserve">āori </w:t>
      </w:r>
      <w:r w:rsidR="00EC03A3">
        <w:t>non</w:t>
      </w:r>
      <w:r w:rsidR="00EC03A3">
        <w:noBreakHyphen/>
        <w:t>P</w:t>
      </w:r>
      <w:r w:rsidRPr="00181EF3">
        <w:t>acific.</w:t>
      </w:r>
    </w:p>
    <w:p w14:paraId="5E45B459" w14:textId="77777777" w:rsidR="00826BF4" w:rsidRDefault="00826BF4" w:rsidP="00764DE1"/>
    <w:p w14:paraId="3324A3D5" w14:textId="73803A41" w:rsidR="00826BF4" w:rsidRDefault="00826BF4" w:rsidP="00826BF4">
      <w:pPr>
        <w:pStyle w:val="Figure"/>
        <w:rPr>
          <w:noProof/>
          <w:lang w:eastAsia="en-NZ"/>
        </w:rPr>
      </w:pPr>
      <w:bookmarkStart w:id="511" w:name="_Toc19102014"/>
      <w:r w:rsidRPr="00181EF3">
        <w:rPr>
          <w:noProof/>
          <w:lang w:eastAsia="en-NZ"/>
        </w:rPr>
        <w:lastRenderedPageBreak/>
        <w:t xml:space="preserve">Figure </w:t>
      </w:r>
      <w:r>
        <w:rPr>
          <w:noProof/>
          <w:lang w:eastAsia="en-NZ"/>
        </w:rPr>
        <w:t>16</w:t>
      </w:r>
      <w:r w:rsidR="00572A9A">
        <w:rPr>
          <w:noProof/>
          <w:lang w:eastAsia="en-NZ"/>
        </w:rPr>
        <w:t>3</w:t>
      </w:r>
      <w:r w:rsidRPr="00181EF3">
        <w:rPr>
          <w:noProof/>
          <w:lang w:eastAsia="en-NZ"/>
        </w:rPr>
        <w:t>: R</w:t>
      </w:r>
      <w:r>
        <w:rPr>
          <w:noProof/>
          <w:lang w:eastAsia="en-NZ"/>
        </w:rPr>
        <w:t>ate ratios of r</w:t>
      </w:r>
      <w:r w:rsidRPr="00181EF3">
        <w:rPr>
          <w:noProof/>
          <w:lang w:eastAsia="en-NZ"/>
        </w:rPr>
        <w:t>enal failure with concurrent diabetes, 15+ years</w:t>
      </w:r>
      <w:r>
        <w:rPr>
          <w:noProof/>
          <w:lang w:eastAsia="en-NZ"/>
        </w:rPr>
        <w:t>,</w:t>
      </w:r>
      <w:r w:rsidRPr="00892068">
        <w:t xml:space="preserve"> </w:t>
      </w:r>
      <w:r>
        <w:t xml:space="preserve">by gender, </w:t>
      </w:r>
      <w:r w:rsidRPr="00181EF3">
        <w:t xml:space="preserve">Māori and </w:t>
      </w:r>
      <w:r w:rsidR="00EC03A3">
        <w:t>non</w:t>
      </w:r>
      <w:r w:rsidR="00EC03A3">
        <w:noBreakHyphen/>
        <w:t>M</w:t>
      </w:r>
      <w:r w:rsidRPr="00181EF3">
        <w:t>āori</w:t>
      </w:r>
      <w:r>
        <w:t xml:space="preserve"> </w:t>
      </w:r>
      <w:r w:rsidR="00EC03A3">
        <w:t>non</w:t>
      </w:r>
      <w:r w:rsidR="00EC03A3">
        <w:noBreakHyphen/>
        <w:t>P</w:t>
      </w:r>
      <w:r>
        <w:t>acific</w:t>
      </w:r>
      <w:r w:rsidRPr="00181EF3">
        <w:t xml:space="preserve">, </w:t>
      </w:r>
      <w:r>
        <w:t>2001</w:t>
      </w:r>
      <w:r w:rsidRPr="00181EF3">
        <w:t>–</w:t>
      </w:r>
      <w:r>
        <w:t>03</w:t>
      </w:r>
      <w:r w:rsidRPr="00181EF3">
        <w:t xml:space="preserve"> to 201</w:t>
      </w:r>
      <w:r>
        <w:t>1</w:t>
      </w:r>
      <w:r w:rsidRPr="00181EF3">
        <w:t>–1</w:t>
      </w:r>
      <w:r>
        <w:t>3</w:t>
      </w:r>
      <w:bookmarkEnd w:id="511"/>
    </w:p>
    <w:p w14:paraId="1FADF2A1" w14:textId="77777777" w:rsidR="00826BF4" w:rsidRPr="00C3616C" w:rsidRDefault="00826BF4" w:rsidP="00826BF4">
      <w:pPr>
        <w:rPr>
          <w:lang w:eastAsia="en-NZ"/>
        </w:rPr>
      </w:pPr>
      <w:r w:rsidRPr="00C3616C">
        <w:rPr>
          <w:noProof/>
          <w:lang w:eastAsia="en-NZ"/>
        </w:rPr>
        <w:drawing>
          <wp:inline distT="0" distB="0" distL="0" distR="0" wp14:anchorId="77FC1977" wp14:editId="6FFE3E3F">
            <wp:extent cx="5130165" cy="2756916"/>
            <wp:effectExtent l="0" t="0" r="0" b="5715"/>
            <wp:docPr id="18" name="Picture 18" descr="The rate ratios of renal failure between the groups have decreased over time." title="Figure 163: Renal failure with concurrent diabetes, 1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5130165" cy="2756916"/>
                    </a:xfrm>
                    <a:prstGeom prst="rect">
                      <a:avLst/>
                    </a:prstGeom>
                  </pic:spPr>
                </pic:pic>
              </a:graphicData>
            </a:graphic>
          </wp:inline>
        </w:drawing>
      </w:r>
    </w:p>
    <w:p w14:paraId="4054946A" w14:textId="77777777" w:rsidR="008A5642" w:rsidRDefault="00826BF4" w:rsidP="00826BF4">
      <w:pPr>
        <w:pStyle w:val="Note"/>
        <w:rPr>
          <w:rFonts w:eastAsia="Calibri"/>
        </w:rPr>
      </w:pPr>
      <w:r w:rsidRPr="00181EF3">
        <w:rPr>
          <w:rFonts w:eastAsia="Calibri"/>
        </w:rPr>
        <w:t>Notes:</w:t>
      </w:r>
    </w:p>
    <w:p w14:paraId="15220A68" w14:textId="7DB7739B" w:rsidR="008A5642" w:rsidRDefault="00446D86" w:rsidP="00826BF4">
      <w:pPr>
        <w:pStyle w:val="Note"/>
      </w:pPr>
      <w:r>
        <w:t>Figures are age-standardised to the 2001 Census total Māori population</w:t>
      </w:r>
      <w:r w:rsidR="00826BF4" w:rsidRPr="00181EF3">
        <w:t>.</w:t>
      </w:r>
    </w:p>
    <w:p w14:paraId="3D9ECED1" w14:textId="07CE6C6B" w:rsidR="00826BF4" w:rsidRPr="00181EF3" w:rsidRDefault="00826BF4" w:rsidP="00826BF4">
      <w:pPr>
        <w:pStyle w:val="Note"/>
      </w:pPr>
      <w:r>
        <w:t>Prioritised ethnicity has been used.</w:t>
      </w:r>
    </w:p>
    <w:p w14:paraId="1070F10F" w14:textId="77777777" w:rsidR="00826BF4" w:rsidRPr="00181EF3" w:rsidRDefault="00826BF4" w:rsidP="001C62E1">
      <w:pPr>
        <w:pStyle w:val="Note"/>
        <w:ind w:left="0" w:firstLine="0"/>
        <w:rPr>
          <w:rFonts w:eastAsia="Calibri"/>
        </w:rPr>
      </w:pPr>
      <w:r w:rsidRPr="00181EF3">
        <w:rPr>
          <w:rFonts w:eastAsia="Calibri"/>
        </w:rPr>
        <w:t>If the confidence interval of the rate ratio does not include the number 1, the ratio is said to be statistically significant.</w:t>
      </w:r>
    </w:p>
    <w:p w14:paraId="57DC8AB7" w14:textId="77777777" w:rsidR="00826BF4" w:rsidRPr="00181EF3" w:rsidRDefault="00826BF4" w:rsidP="00826BF4">
      <w:pPr>
        <w:pStyle w:val="Source"/>
        <w:rPr>
          <w:rFonts w:eastAsia="Calibri"/>
        </w:rPr>
      </w:pPr>
      <w:r w:rsidRPr="00181EF3">
        <w:rPr>
          <w:rFonts w:eastAsia="Calibri"/>
        </w:rPr>
        <w:t>Source: National Minimum Data Set (NMDS), Ministry of Health</w:t>
      </w:r>
      <w:r>
        <w:rPr>
          <w:rFonts w:eastAsia="Calibri"/>
        </w:rPr>
        <w:t>,</w:t>
      </w:r>
      <w:r w:rsidRPr="00507AA7">
        <w:t xml:space="preserve"> </w:t>
      </w:r>
      <w:r>
        <w:t>2001</w:t>
      </w:r>
      <w:r w:rsidRPr="00181EF3">
        <w:t>–</w:t>
      </w:r>
      <w:r>
        <w:t>03</w:t>
      </w:r>
      <w:r w:rsidRPr="00181EF3">
        <w:t xml:space="preserve"> to 201</w:t>
      </w:r>
      <w:r>
        <w:t>1</w:t>
      </w:r>
      <w:r w:rsidRPr="00181EF3">
        <w:t>–1</w:t>
      </w:r>
      <w:r>
        <w:t>3</w:t>
      </w:r>
      <w:r w:rsidRPr="00181EF3">
        <w:rPr>
          <w:rFonts w:eastAsia="Calibri"/>
        </w:rPr>
        <w:t>.</w:t>
      </w:r>
    </w:p>
    <w:p w14:paraId="42C26626" w14:textId="77777777" w:rsidR="00826BF4" w:rsidRDefault="00826BF4" w:rsidP="00D46D7A">
      <w:pPr>
        <w:rPr>
          <w:noProof/>
          <w:lang w:eastAsia="en-NZ"/>
        </w:rPr>
      </w:pPr>
    </w:p>
    <w:p w14:paraId="36D58736" w14:textId="1C1F54BC" w:rsidR="00A07FD4" w:rsidRPr="00181EF3" w:rsidRDefault="00A07FD4" w:rsidP="00A07FD4">
      <w:pPr>
        <w:rPr>
          <w:noProof/>
          <w:color w:val="000000" w:themeColor="text1"/>
          <w:lang w:eastAsia="en-NZ"/>
        </w:rPr>
      </w:pPr>
      <w:r w:rsidRPr="00181EF3">
        <w:t xml:space="preserve">Both Māori and </w:t>
      </w:r>
      <w:r w:rsidR="00EC03A3">
        <w:t>non</w:t>
      </w:r>
      <w:r w:rsidR="00EC03A3">
        <w:noBreakHyphen/>
        <w:t>M</w:t>
      </w:r>
      <w:r w:rsidRPr="00181EF3">
        <w:t xml:space="preserve">āori </w:t>
      </w:r>
      <w:r w:rsidR="00EC03A3">
        <w:t>non</w:t>
      </w:r>
      <w:r w:rsidR="00EC03A3">
        <w:noBreakHyphen/>
        <w:t>P</w:t>
      </w:r>
      <w:r w:rsidRPr="00181EF3">
        <w:t xml:space="preserve">acific adults had increasing rates of renal failure with concurrent diabetes over time, but the difference between Māori and </w:t>
      </w:r>
      <w:r w:rsidR="00EC03A3">
        <w:t>non</w:t>
      </w:r>
      <w:r w:rsidR="00EC03A3">
        <w:noBreakHyphen/>
        <w:t>M</w:t>
      </w:r>
      <w:r w:rsidRPr="00181EF3">
        <w:t xml:space="preserve">āori </w:t>
      </w:r>
      <w:r w:rsidR="00EC03A3">
        <w:t>non</w:t>
      </w:r>
      <w:r w:rsidR="00EC03A3">
        <w:noBreakHyphen/>
        <w:t>P</w:t>
      </w:r>
      <w:r w:rsidRPr="00181EF3">
        <w:t>acific</w:t>
      </w:r>
      <w:r w:rsidRPr="00181EF3">
        <w:rPr>
          <w:noProof/>
          <w:color w:val="000000" w:themeColor="text1"/>
          <w:lang w:eastAsia="en-NZ"/>
        </w:rPr>
        <w:t xml:space="preserve"> decreased over time. The age-standardised rate of renal failure with concurrent diabetes for Māori aged 15 years and over was more than ten times that of </w:t>
      </w:r>
      <w:r w:rsidR="00EC03A3">
        <w:rPr>
          <w:noProof/>
          <w:color w:val="000000" w:themeColor="text1"/>
          <w:lang w:eastAsia="en-NZ"/>
        </w:rPr>
        <w:t>non</w:t>
      </w:r>
      <w:r w:rsidR="00EC03A3">
        <w:rPr>
          <w:noProof/>
          <w:color w:val="000000" w:themeColor="text1"/>
          <w:lang w:eastAsia="en-NZ"/>
        </w:rPr>
        <w:noBreakHyphen/>
        <w:t>M</w:t>
      </w:r>
      <w:r w:rsidRPr="00181EF3">
        <w:rPr>
          <w:noProof/>
          <w:color w:val="000000" w:themeColor="text1"/>
          <w:lang w:eastAsia="en-NZ"/>
        </w:rPr>
        <w:t xml:space="preserve">āori </w:t>
      </w:r>
      <w:r w:rsidR="00EC03A3">
        <w:rPr>
          <w:noProof/>
          <w:color w:val="000000" w:themeColor="text1"/>
          <w:lang w:eastAsia="en-NZ"/>
        </w:rPr>
        <w:t>non</w:t>
      </w:r>
      <w:r w:rsidR="00EC03A3">
        <w:rPr>
          <w:noProof/>
          <w:color w:val="000000" w:themeColor="text1"/>
          <w:lang w:eastAsia="en-NZ"/>
        </w:rPr>
        <w:noBreakHyphen/>
        <w:t>P</w:t>
      </w:r>
      <w:r w:rsidRPr="00181EF3">
        <w:rPr>
          <w:noProof/>
          <w:color w:val="000000" w:themeColor="text1"/>
          <w:lang w:eastAsia="en-NZ"/>
        </w:rPr>
        <w:t>acific at the same age group in 2001–03, and more than seven times in 2011–13.</w:t>
      </w:r>
    </w:p>
    <w:p w14:paraId="38B1006E" w14:textId="77777777" w:rsidR="00A07FD4" w:rsidRPr="00181EF3" w:rsidRDefault="00A07FD4" w:rsidP="00A07FD4">
      <w:pPr>
        <w:rPr>
          <w:noProof/>
          <w:lang w:eastAsia="en-NZ"/>
        </w:rPr>
      </w:pPr>
    </w:p>
    <w:p w14:paraId="796A3F51" w14:textId="502D199D" w:rsidR="00764DE1" w:rsidRPr="00181EF3" w:rsidRDefault="00764DE1" w:rsidP="00D46D7A">
      <w:pPr>
        <w:rPr>
          <w:noProof/>
          <w:lang w:eastAsia="en-NZ"/>
        </w:rPr>
      </w:pPr>
      <w:r w:rsidRPr="00181EF3">
        <w:rPr>
          <w:noProof/>
          <w:lang w:eastAsia="en-NZ"/>
        </w:rPr>
        <w:t xml:space="preserve">The difference between Māori and </w:t>
      </w:r>
      <w:r w:rsidR="00EC03A3">
        <w:rPr>
          <w:noProof/>
          <w:lang w:eastAsia="en-NZ"/>
        </w:rPr>
        <w:t>non</w:t>
      </w:r>
      <w:r w:rsidR="00EC03A3">
        <w:rPr>
          <w:noProof/>
          <w:lang w:eastAsia="en-NZ"/>
        </w:rPr>
        <w:noBreakHyphen/>
        <w:t>M</w:t>
      </w:r>
      <w:r w:rsidRPr="00181EF3">
        <w:rPr>
          <w:noProof/>
          <w:lang w:eastAsia="en-NZ"/>
        </w:rPr>
        <w:t xml:space="preserve">āori </w:t>
      </w:r>
      <w:r w:rsidR="00EC03A3">
        <w:rPr>
          <w:noProof/>
          <w:lang w:eastAsia="en-NZ"/>
        </w:rPr>
        <w:t>non</w:t>
      </w:r>
      <w:r w:rsidR="00EC03A3">
        <w:rPr>
          <w:noProof/>
          <w:lang w:eastAsia="en-NZ"/>
        </w:rPr>
        <w:noBreakHyphen/>
        <w:t>P</w:t>
      </w:r>
      <w:r w:rsidRPr="00181EF3">
        <w:rPr>
          <w:noProof/>
          <w:lang w:eastAsia="en-NZ"/>
        </w:rPr>
        <w:t xml:space="preserve">acific males was higher than the difference between Māori and </w:t>
      </w:r>
      <w:r w:rsidR="00EC03A3">
        <w:rPr>
          <w:noProof/>
          <w:lang w:eastAsia="en-NZ"/>
        </w:rPr>
        <w:t>non</w:t>
      </w:r>
      <w:r w:rsidR="00EC03A3">
        <w:rPr>
          <w:noProof/>
          <w:lang w:eastAsia="en-NZ"/>
        </w:rPr>
        <w:noBreakHyphen/>
        <w:t>M</w:t>
      </w:r>
      <w:r w:rsidRPr="00181EF3">
        <w:rPr>
          <w:noProof/>
          <w:lang w:eastAsia="en-NZ"/>
        </w:rPr>
        <w:t xml:space="preserve">āori </w:t>
      </w:r>
      <w:r w:rsidR="00EC03A3">
        <w:rPr>
          <w:noProof/>
          <w:lang w:eastAsia="en-NZ"/>
        </w:rPr>
        <w:t>non</w:t>
      </w:r>
      <w:r w:rsidR="00EC03A3">
        <w:rPr>
          <w:noProof/>
          <w:lang w:eastAsia="en-NZ"/>
        </w:rPr>
        <w:noBreakHyphen/>
        <w:t>P</w:t>
      </w:r>
      <w:r w:rsidRPr="00181EF3">
        <w:rPr>
          <w:noProof/>
          <w:lang w:eastAsia="en-NZ"/>
        </w:rPr>
        <w:t xml:space="preserve">acific females until 2008–10, after which it was similar (Figure </w:t>
      </w:r>
      <w:r w:rsidR="00826BF4">
        <w:rPr>
          <w:noProof/>
          <w:lang w:eastAsia="en-NZ"/>
        </w:rPr>
        <w:t>16</w:t>
      </w:r>
      <w:r w:rsidR="00B74586">
        <w:rPr>
          <w:noProof/>
          <w:lang w:eastAsia="en-NZ"/>
        </w:rPr>
        <w:t>3</w:t>
      </w:r>
      <w:r w:rsidRPr="00181EF3">
        <w:rPr>
          <w:noProof/>
          <w:lang w:eastAsia="en-NZ"/>
        </w:rPr>
        <w:t>).</w:t>
      </w:r>
    </w:p>
    <w:p w14:paraId="7C0C11F0" w14:textId="77777777" w:rsidR="00764DE1" w:rsidRPr="00181EF3" w:rsidRDefault="00764DE1" w:rsidP="00D46D7A">
      <w:pPr>
        <w:rPr>
          <w:noProof/>
          <w:lang w:eastAsia="en-NZ"/>
        </w:rPr>
      </w:pPr>
    </w:p>
    <w:p w14:paraId="3ED7D397" w14:textId="77777777" w:rsidR="00764DE1" w:rsidRPr="00181EF3" w:rsidRDefault="00764DE1" w:rsidP="00D46D7A">
      <w:pPr>
        <w:pStyle w:val="Heading3"/>
        <w:pageBreakBefore/>
        <w:spacing w:before="0"/>
      </w:pPr>
      <w:bookmarkStart w:id="512" w:name="_Toc19102495"/>
      <w:r w:rsidRPr="00181EF3">
        <w:lastRenderedPageBreak/>
        <w:t>Diabetes complications – lower limb amputation with concurrent diabetes</w:t>
      </w:r>
      <w:bookmarkEnd w:id="512"/>
    </w:p>
    <w:p w14:paraId="78DD2716" w14:textId="7332F44A" w:rsidR="00764DE1" w:rsidRDefault="00764DE1" w:rsidP="00764DE1">
      <w:pPr>
        <w:pStyle w:val="Figure"/>
        <w:rPr>
          <w:noProof/>
          <w:lang w:eastAsia="en-NZ"/>
        </w:rPr>
      </w:pPr>
      <w:bookmarkStart w:id="513" w:name="_Toc19102015"/>
      <w:r w:rsidRPr="00181EF3">
        <w:rPr>
          <w:noProof/>
          <w:lang w:eastAsia="en-NZ"/>
        </w:rPr>
        <w:t xml:space="preserve">Figure </w:t>
      </w:r>
      <w:r w:rsidR="00826BF4">
        <w:rPr>
          <w:noProof/>
          <w:lang w:eastAsia="en-NZ"/>
        </w:rPr>
        <w:t>16</w:t>
      </w:r>
      <w:r w:rsidR="00572A9A">
        <w:rPr>
          <w:noProof/>
          <w:lang w:eastAsia="en-NZ"/>
        </w:rPr>
        <w:t>4</w:t>
      </w:r>
      <w:r w:rsidRPr="00181EF3">
        <w:rPr>
          <w:noProof/>
          <w:lang w:eastAsia="en-NZ"/>
        </w:rPr>
        <w:t xml:space="preserve">: </w:t>
      </w:r>
      <w:r w:rsidR="00A07FD4">
        <w:rPr>
          <w:noProof/>
          <w:lang w:eastAsia="en-NZ"/>
        </w:rPr>
        <w:t>Rates of l</w:t>
      </w:r>
      <w:r w:rsidR="00A07FD4" w:rsidRPr="00181EF3">
        <w:rPr>
          <w:noProof/>
          <w:lang w:eastAsia="en-NZ"/>
        </w:rPr>
        <w:t>ower limb amputation with concurrent diabetes, 15+ years</w:t>
      </w:r>
      <w:r w:rsidR="00A07FD4">
        <w:t>,</w:t>
      </w:r>
      <w:r w:rsidR="00A07FD4" w:rsidRPr="00892068">
        <w:t xml:space="preserve"> </w:t>
      </w:r>
      <w:r w:rsidR="00A07FD4">
        <w:t xml:space="preserve">by gender, </w:t>
      </w:r>
      <w:r w:rsidR="00A07FD4" w:rsidRPr="00181EF3">
        <w:t xml:space="preserve">Māori and </w:t>
      </w:r>
      <w:r w:rsidR="00EC03A3">
        <w:t>non</w:t>
      </w:r>
      <w:r w:rsidR="00EC03A3">
        <w:noBreakHyphen/>
        <w:t>M</w:t>
      </w:r>
      <w:r w:rsidR="00A07FD4" w:rsidRPr="00181EF3">
        <w:t>āori</w:t>
      </w:r>
      <w:r w:rsidR="00A07FD4">
        <w:t xml:space="preserve"> </w:t>
      </w:r>
      <w:r w:rsidR="00EC03A3">
        <w:t>non</w:t>
      </w:r>
      <w:r w:rsidR="00EC03A3">
        <w:noBreakHyphen/>
        <w:t>P</w:t>
      </w:r>
      <w:r w:rsidR="00A07FD4">
        <w:t>acific</w:t>
      </w:r>
      <w:r w:rsidR="00A07FD4" w:rsidRPr="00181EF3">
        <w:t xml:space="preserve">, </w:t>
      </w:r>
      <w:r w:rsidR="00A07FD4">
        <w:t>2001</w:t>
      </w:r>
      <w:r w:rsidR="00A07FD4" w:rsidRPr="00181EF3">
        <w:t>–</w:t>
      </w:r>
      <w:r w:rsidR="00A07FD4">
        <w:t>03</w:t>
      </w:r>
      <w:r w:rsidR="00A07FD4" w:rsidRPr="00181EF3">
        <w:t xml:space="preserve"> to 201</w:t>
      </w:r>
      <w:r w:rsidR="00A07FD4">
        <w:t>1</w:t>
      </w:r>
      <w:r w:rsidR="00A07FD4" w:rsidRPr="00181EF3">
        <w:t>–1</w:t>
      </w:r>
      <w:r w:rsidR="00A07FD4">
        <w:t>3</w:t>
      </w:r>
      <w:bookmarkEnd w:id="513"/>
    </w:p>
    <w:p w14:paraId="57317206" w14:textId="77777777" w:rsidR="00764DE1" w:rsidRPr="00C3616C" w:rsidRDefault="00764DE1" w:rsidP="00764DE1">
      <w:pPr>
        <w:rPr>
          <w:lang w:eastAsia="en-NZ"/>
        </w:rPr>
      </w:pPr>
      <w:r w:rsidRPr="00C3616C">
        <w:rPr>
          <w:noProof/>
          <w:lang w:eastAsia="en-NZ"/>
        </w:rPr>
        <w:drawing>
          <wp:inline distT="0" distB="0" distL="0" distR="0" wp14:anchorId="7F908151" wp14:editId="01787BCC">
            <wp:extent cx="5130165" cy="3069329"/>
            <wp:effectExtent l="0" t="0" r="0" b="0"/>
            <wp:docPr id="19" name="Picture 19" descr="Māori men are most likely to experience lower limb amputation with concurrent diabetes, with a rate decreasing until 2006-08 and remaining steady since then. The rate for all other groups has remained steady over time. Māori women have the next highest rate, followed by non-Māori men and non-Māori women." title="Figure 164: Lower limb amputation with concurrent diabetes, 1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5130165" cy="3069329"/>
                    </a:xfrm>
                    <a:prstGeom prst="rect">
                      <a:avLst/>
                    </a:prstGeom>
                  </pic:spPr>
                </pic:pic>
              </a:graphicData>
            </a:graphic>
          </wp:inline>
        </w:drawing>
      </w:r>
    </w:p>
    <w:p w14:paraId="1EF033E9" w14:textId="77777777" w:rsidR="00A07FD4" w:rsidRPr="00892068" w:rsidRDefault="00A07FD4" w:rsidP="001C62E1">
      <w:pPr>
        <w:pStyle w:val="Note"/>
        <w:ind w:left="0" w:firstLine="0"/>
        <w:rPr>
          <w:rFonts w:eastAsia="Calibri"/>
        </w:rPr>
      </w:pPr>
      <w:r w:rsidRPr="00892068">
        <w:rPr>
          <w:rFonts w:eastAsia="Calibri"/>
        </w:rPr>
        <w:t>Notes:</w:t>
      </w:r>
    </w:p>
    <w:p w14:paraId="598AEF67" w14:textId="47380E8B" w:rsidR="008A5642" w:rsidRDefault="00446D86" w:rsidP="001C62E1">
      <w:pPr>
        <w:pStyle w:val="Note"/>
        <w:ind w:left="0" w:firstLine="0"/>
        <w:rPr>
          <w:rFonts w:eastAsia="Calibri"/>
        </w:rPr>
      </w:pPr>
      <w:r>
        <w:rPr>
          <w:rFonts w:eastAsia="Calibri"/>
        </w:rPr>
        <w:t>Figures are age-standardised to the 2001 Census total Māori population</w:t>
      </w:r>
      <w:r w:rsidR="00A07FD4" w:rsidRPr="00892068">
        <w:rPr>
          <w:rFonts w:eastAsia="Calibri"/>
        </w:rPr>
        <w:t>.</w:t>
      </w:r>
    </w:p>
    <w:p w14:paraId="3E74D55E" w14:textId="55F600D6" w:rsidR="00A07FD4" w:rsidRPr="00892068" w:rsidRDefault="00A07FD4" w:rsidP="001C62E1">
      <w:pPr>
        <w:pStyle w:val="Note"/>
        <w:ind w:left="0" w:firstLine="0"/>
        <w:rPr>
          <w:rFonts w:eastAsia="Calibri"/>
        </w:rPr>
      </w:pPr>
      <w:r w:rsidRPr="00892068">
        <w:rPr>
          <w:rFonts w:eastAsia="Calibri"/>
        </w:rPr>
        <w:t>Prioritised ethnicity has been used.</w:t>
      </w:r>
    </w:p>
    <w:p w14:paraId="59069E49" w14:textId="77777777" w:rsidR="008A5642" w:rsidRDefault="00A07FD4" w:rsidP="001C62E1">
      <w:pPr>
        <w:pStyle w:val="Note"/>
        <w:ind w:left="0" w:firstLine="0"/>
        <w:rPr>
          <w:rFonts w:eastAsia="Calibri"/>
        </w:rPr>
      </w:pPr>
      <w:r w:rsidRPr="00892068">
        <w:rPr>
          <w:rFonts w:eastAsia="Calibri"/>
        </w:rPr>
        <w:t>If the confidence intervals of two rates do not overlap, the difference in rates is said to be statistically significant.</w:t>
      </w:r>
    </w:p>
    <w:p w14:paraId="295DBA5A" w14:textId="420F1E35" w:rsidR="00A07FD4" w:rsidRDefault="00A07FD4" w:rsidP="001C62E1">
      <w:pPr>
        <w:pStyle w:val="Note"/>
        <w:ind w:left="0" w:firstLine="0"/>
        <w:rPr>
          <w:rFonts w:eastAsia="Calibri"/>
        </w:rPr>
      </w:pPr>
      <w:r w:rsidRPr="00892068">
        <w:rPr>
          <w:rFonts w:eastAsia="Calibri"/>
        </w:rPr>
        <w:t xml:space="preserve">Source: National Minimum Data Set (NMDS), Ministry of Health, </w:t>
      </w:r>
      <w:r>
        <w:rPr>
          <w:rFonts w:eastAsia="Calibri"/>
        </w:rPr>
        <w:t>2001</w:t>
      </w:r>
      <w:r w:rsidRPr="00892068">
        <w:rPr>
          <w:rFonts w:eastAsia="Calibri"/>
        </w:rPr>
        <w:t>–</w:t>
      </w:r>
      <w:r>
        <w:rPr>
          <w:rFonts w:eastAsia="Calibri"/>
        </w:rPr>
        <w:t>03</w:t>
      </w:r>
      <w:r w:rsidRPr="00892068">
        <w:rPr>
          <w:rFonts w:eastAsia="Calibri"/>
        </w:rPr>
        <w:t xml:space="preserve"> to 201</w:t>
      </w:r>
      <w:r>
        <w:rPr>
          <w:rFonts w:eastAsia="Calibri"/>
        </w:rPr>
        <w:t>1</w:t>
      </w:r>
      <w:r w:rsidRPr="00892068">
        <w:rPr>
          <w:rFonts w:eastAsia="Calibri"/>
        </w:rPr>
        <w:t>–1</w:t>
      </w:r>
      <w:r>
        <w:rPr>
          <w:rFonts w:eastAsia="Calibri"/>
        </w:rPr>
        <w:t>3</w:t>
      </w:r>
      <w:r w:rsidRPr="00892068">
        <w:rPr>
          <w:rFonts w:eastAsia="Calibri"/>
        </w:rPr>
        <w:t>.</w:t>
      </w:r>
    </w:p>
    <w:p w14:paraId="0BC2CF5D" w14:textId="77777777" w:rsidR="00764DE1" w:rsidRPr="00181EF3" w:rsidRDefault="00764DE1" w:rsidP="00764DE1">
      <w:pPr>
        <w:rPr>
          <w:noProof/>
          <w:lang w:eastAsia="en-NZ"/>
        </w:rPr>
      </w:pPr>
    </w:p>
    <w:p w14:paraId="4B99CCE5" w14:textId="42F04AA5" w:rsidR="00A07FD4" w:rsidRPr="00181EF3" w:rsidRDefault="00A07FD4" w:rsidP="00D46D7A">
      <w:r w:rsidRPr="00181EF3">
        <w:rPr>
          <w:noProof/>
          <w:color w:val="000000" w:themeColor="text1"/>
          <w:lang w:eastAsia="en-NZ"/>
        </w:rPr>
        <w:t xml:space="preserve">Figure </w:t>
      </w:r>
      <w:r>
        <w:rPr>
          <w:noProof/>
          <w:color w:val="000000" w:themeColor="text1"/>
          <w:lang w:eastAsia="en-NZ"/>
        </w:rPr>
        <w:t>16</w:t>
      </w:r>
      <w:r w:rsidR="00B74586">
        <w:rPr>
          <w:noProof/>
          <w:color w:val="000000" w:themeColor="text1"/>
          <w:lang w:eastAsia="en-NZ"/>
        </w:rPr>
        <w:t>4</w:t>
      </w:r>
      <w:r w:rsidRPr="00181EF3">
        <w:rPr>
          <w:noProof/>
          <w:color w:val="000000" w:themeColor="text1"/>
          <w:lang w:eastAsia="en-NZ"/>
        </w:rPr>
        <w:t xml:space="preserve"> shows that Māori adults</w:t>
      </w:r>
      <w:r w:rsidRPr="00181EF3">
        <w:t xml:space="preserve"> aged 15 years and over have higher age-standardised hospitalisation rates of lower limb amputation with concurrent diabetes than </w:t>
      </w:r>
      <w:r w:rsidR="00EC03A3">
        <w:t>non</w:t>
      </w:r>
      <w:r w:rsidR="00EC03A3">
        <w:noBreakHyphen/>
        <w:t>M</w:t>
      </w:r>
      <w:r w:rsidRPr="00181EF3">
        <w:t xml:space="preserve">āori </w:t>
      </w:r>
      <w:r w:rsidR="00EC03A3">
        <w:t>non</w:t>
      </w:r>
      <w:r w:rsidR="00EC03A3">
        <w:noBreakHyphen/>
        <w:t>P</w:t>
      </w:r>
      <w:r w:rsidRPr="00181EF3">
        <w:t xml:space="preserve">acific at the same age group over time. Generally, males have higher rates than females, for both Māori and </w:t>
      </w:r>
      <w:r w:rsidR="00EC03A3">
        <w:t>non</w:t>
      </w:r>
      <w:r w:rsidR="00EC03A3">
        <w:noBreakHyphen/>
        <w:t>M</w:t>
      </w:r>
      <w:r w:rsidRPr="00181EF3">
        <w:t xml:space="preserve">āori </w:t>
      </w:r>
      <w:r w:rsidR="00EC03A3">
        <w:t>non</w:t>
      </w:r>
      <w:r w:rsidR="00EC03A3">
        <w:noBreakHyphen/>
        <w:t>P</w:t>
      </w:r>
      <w:r w:rsidRPr="00181EF3">
        <w:t>acific.</w:t>
      </w:r>
    </w:p>
    <w:p w14:paraId="66564A2D" w14:textId="77777777" w:rsidR="00A07FD4" w:rsidRPr="00181EF3" w:rsidRDefault="00A07FD4" w:rsidP="00D46D7A"/>
    <w:p w14:paraId="17688A26" w14:textId="4FD2288E" w:rsidR="00A07FD4" w:rsidRPr="00181EF3" w:rsidRDefault="00A07FD4" w:rsidP="00D46D7A">
      <w:pPr>
        <w:rPr>
          <w:noProof/>
          <w:lang w:eastAsia="en-NZ"/>
        </w:rPr>
      </w:pPr>
      <w:r w:rsidRPr="00181EF3">
        <w:rPr>
          <w:noProof/>
          <w:lang w:eastAsia="en-NZ"/>
        </w:rPr>
        <w:t xml:space="preserve">For both Māori and </w:t>
      </w:r>
      <w:r w:rsidR="00EC03A3">
        <w:rPr>
          <w:noProof/>
          <w:lang w:eastAsia="en-NZ"/>
        </w:rPr>
        <w:t>non</w:t>
      </w:r>
      <w:r w:rsidR="00EC03A3">
        <w:rPr>
          <w:noProof/>
          <w:lang w:eastAsia="en-NZ"/>
        </w:rPr>
        <w:noBreakHyphen/>
        <w:t>M</w:t>
      </w:r>
      <w:r w:rsidRPr="00181EF3">
        <w:rPr>
          <w:noProof/>
          <w:lang w:eastAsia="en-NZ"/>
        </w:rPr>
        <w:t xml:space="preserve">āori </w:t>
      </w:r>
      <w:r w:rsidR="00EC03A3">
        <w:rPr>
          <w:noProof/>
          <w:lang w:eastAsia="en-NZ"/>
        </w:rPr>
        <w:t>non</w:t>
      </w:r>
      <w:r w:rsidR="00EC03A3">
        <w:rPr>
          <w:noProof/>
          <w:lang w:eastAsia="en-NZ"/>
        </w:rPr>
        <w:noBreakHyphen/>
        <w:t>P</w:t>
      </w:r>
      <w:r w:rsidRPr="00181EF3">
        <w:rPr>
          <w:noProof/>
          <w:lang w:eastAsia="en-NZ"/>
        </w:rPr>
        <w:t>acific adults, the rates of lower limb amputation with concurrent diabetes did not change much over time, after adjusting for age.</w:t>
      </w:r>
    </w:p>
    <w:p w14:paraId="33780746" w14:textId="77777777" w:rsidR="00A07FD4" w:rsidRDefault="00A07FD4" w:rsidP="00764DE1">
      <w:pPr>
        <w:rPr>
          <w:noProof/>
          <w:lang w:eastAsia="en-NZ"/>
        </w:rPr>
      </w:pPr>
    </w:p>
    <w:p w14:paraId="1EBBD9BB" w14:textId="1F695A78" w:rsidR="00764DE1" w:rsidRDefault="00764DE1" w:rsidP="00764DE1">
      <w:pPr>
        <w:pStyle w:val="Figure"/>
        <w:rPr>
          <w:noProof/>
          <w:lang w:eastAsia="en-NZ"/>
        </w:rPr>
      </w:pPr>
      <w:bookmarkStart w:id="514" w:name="_Toc19102016"/>
      <w:r w:rsidRPr="00181EF3">
        <w:rPr>
          <w:noProof/>
          <w:lang w:eastAsia="en-NZ"/>
        </w:rPr>
        <w:lastRenderedPageBreak/>
        <w:t xml:space="preserve">Figure </w:t>
      </w:r>
      <w:r w:rsidR="00A07FD4">
        <w:rPr>
          <w:noProof/>
          <w:lang w:eastAsia="en-NZ"/>
        </w:rPr>
        <w:t>16</w:t>
      </w:r>
      <w:r w:rsidR="00572A9A">
        <w:rPr>
          <w:noProof/>
          <w:lang w:eastAsia="en-NZ"/>
        </w:rPr>
        <w:t>5</w:t>
      </w:r>
      <w:r w:rsidRPr="00181EF3">
        <w:rPr>
          <w:noProof/>
          <w:lang w:eastAsia="en-NZ"/>
        </w:rPr>
        <w:t xml:space="preserve">: </w:t>
      </w:r>
      <w:r w:rsidR="00A07FD4">
        <w:rPr>
          <w:noProof/>
          <w:lang w:eastAsia="en-NZ"/>
        </w:rPr>
        <w:t>Rate ratios of l</w:t>
      </w:r>
      <w:r w:rsidR="00A07FD4" w:rsidRPr="00181EF3">
        <w:rPr>
          <w:noProof/>
          <w:lang w:eastAsia="en-NZ"/>
        </w:rPr>
        <w:t>ower limb amputation with concurrent diabetes, 15+ years</w:t>
      </w:r>
      <w:r w:rsidR="00A07FD4">
        <w:t>,</w:t>
      </w:r>
      <w:r w:rsidR="00A07FD4" w:rsidRPr="00892068">
        <w:t xml:space="preserve"> </w:t>
      </w:r>
      <w:r w:rsidR="00A07FD4">
        <w:t xml:space="preserve">by gender, </w:t>
      </w:r>
      <w:r w:rsidR="00A07FD4" w:rsidRPr="00181EF3">
        <w:t xml:space="preserve">Māori and </w:t>
      </w:r>
      <w:r w:rsidR="00EC03A3">
        <w:t>non</w:t>
      </w:r>
      <w:r w:rsidR="00EC03A3">
        <w:noBreakHyphen/>
        <w:t>M</w:t>
      </w:r>
      <w:r w:rsidR="00A07FD4" w:rsidRPr="00181EF3">
        <w:t>āori</w:t>
      </w:r>
      <w:r w:rsidR="00A07FD4">
        <w:t xml:space="preserve"> </w:t>
      </w:r>
      <w:r w:rsidR="00EC03A3">
        <w:t>non</w:t>
      </w:r>
      <w:r w:rsidR="00EC03A3">
        <w:noBreakHyphen/>
        <w:t>P</w:t>
      </w:r>
      <w:r w:rsidR="00A07FD4">
        <w:t>acific</w:t>
      </w:r>
      <w:r w:rsidR="00A07FD4" w:rsidRPr="00181EF3">
        <w:t xml:space="preserve">, </w:t>
      </w:r>
      <w:r w:rsidR="00A07FD4">
        <w:t>2001</w:t>
      </w:r>
      <w:r w:rsidR="00A07FD4" w:rsidRPr="00181EF3">
        <w:t>–</w:t>
      </w:r>
      <w:r w:rsidR="00A07FD4">
        <w:t>03</w:t>
      </w:r>
      <w:r w:rsidR="00A07FD4" w:rsidRPr="00181EF3">
        <w:t xml:space="preserve"> to 201</w:t>
      </w:r>
      <w:r w:rsidR="00A07FD4">
        <w:t>1</w:t>
      </w:r>
      <w:r w:rsidR="00A07FD4" w:rsidRPr="00181EF3">
        <w:t>–1</w:t>
      </w:r>
      <w:r w:rsidR="00A07FD4">
        <w:t>3</w:t>
      </w:r>
      <w:bookmarkEnd w:id="514"/>
    </w:p>
    <w:p w14:paraId="279C917C" w14:textId="77777777" w:rsidR="00764DE1" w:rsidRPr="00C3616C" w:rsidRDefault="00764DE1" w:rsidP="00764DE1">
      <w:pPr>
        <w:rPr>
          <w:lang w:eastAsia="en-NZ"/>
        </w:rPr>
      </w:pPr>
      <w:r w:rsidRPr="00C3616C">
        <w:rPr>
          <w:noProof/>
          <w:lang w:eastAsia="en-NZ"/>
        </w:rPr>
        <w:drawing>
          <wp:inline distT="0" distB="0" distL="0" distR="0" wp14:anchorId="450593FE" wp14:editId="5414ED5F">
            <wp:extent cx="5130165" cy="2756916"/>
            <wp:effectExtent l="0" t="0" r="0" b="5715"/>
            <wp:docPr id="20" name="Picture 20" descr="There is a greater difference between Māori women and non-Māori women when it comes to lower limb amputation with concurrent diabetes. The rate has decreased over time. For men, the difference is consistently lower, but has remained steady." title="Figure 165: Lower limb amputation with concurrent diabetes, 1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5130165" cy="2756916"/>
                    </a:xfrm>
                    <a:prstGeom prst="rect">
                      <a:avLst/>
                    </a:prstGeom>
                  </pic:spPr>
                </pic:pic>
              </a:graphicData>
            </a:graphic>
          </wp:inline>
        </w:drawing>
      </w:r>
    </w:p>
    <w:p w14:paraId="26B27E2A" w14:textId="77777777" w:rsidR="008A5642" w:rsidRDefault="00A07FD4" w:rsidP="00A07FD4">
      <w:pPr>
        <w:pStyle w:val="Note"/>
        <w:rPr>
          <w:rFonts w:eastAsia="Calibri"/>
        </w:rPr>
      </w:pPr>
      <w:r w:rsidRPr="00181EF3">
        <w:rPr>
          <w:rFonts w:eastAsia="Calibri"/>
        </w:rPr>
        <w:t>Notes:</w:t>
      </w:r>
    </w:p>
    <w:p w14:paraId="6F5861AC" w14:textId="37B386B3" w:rsidR="008A5642" w:rsidRDefault="00446D86" w:rsidP="00A07FD4">
      <w:pPr>
        <w:pStyle w:val="Note"/>
      </w:pPr>
      <w:r>
        <w:t>Figures are age-standardised to the 2001 Census total Māori population</w:t>
      </w:r>
      <w:r w:rsidR="00A07FD4" w:rsidRPr="00181EF3">
        <w:t>.</w:t>
      </w:r>
    </w:p>
    <w:p w14:paraId="3F41E3F7" w14:textId="289ECE2D" w:rsidR="00A07FD4" w:rsidRPr="00181EF3" w:rsidRDefault="00A07FD4" w:rsidP="00A07FD4">
      <w:pPr>
        <w:pStyle w:val="Note"/>
      </w:pPr>
      <w:r>
        <w:t>Prioritised ethnicity has been used.</w:t>
      </w:r>
    </w:p>
    <w:p w14:paraId="5DD34F9F" w14:textId="77777777" w:rsidR="00A07FD4" w:rsidRPr="00181EF3" w:rsidRDefault="00A07FD4" w:rsidP="001C62E1">
      <w:pPr>
        <w:pStyle w:val="Note"/>
        <w:ind w:left="0" w:firstLine="0"/>
        <w:rPr>
          <w:rFonts w:eastAsia="Calibri"/>
        </w:rPr>
      </w:pPr>
      <w:r w:rsidRPr="00181EF3">
        <w:rPr>
          <w:rFonts w:eastAsia="Calibri"/>
        </w:rPr>
        <w:t xml:space="preserve">If the </w:t>
      </w:r>
      <w:r w:rsidRPr="001C62E1">
        <w:rPr>
          <w:rFonts w:eastAsia="Calibri"/>
        </w:rPr>
        <w:t>confidence</w:t>
      </w:r>
      <w:r w:rsidRPr="00181EF3">
        <w:rPr>
          <w:rFonts w:eastAsia="Calibri"/>
        </w:rPr>
        <w:t xml:space="preserve"> interval of the rate ratio does not include the number 1, the ratio is said to be statistically significant.</w:t>
      </w:r>
    </w:p>
    <w:p w14:paraId="0EA27F40" w14:textId="77777777" w:rsidR="00A07FD4" w:rsidRPr="00181EF3" w:rsidRDefault="00A07FD4" w:rsidP="00A07FD4">
      <w:pPr>
        <w:pStyle w:val="Source"/>
        <w:rPr>
          <w:rFonts w:eastAsia="Calibri"/>
        </w:rPr>
      </w:pPr>
      <w:r w:rsidRPr="00181EF3">
        <w:rPr>
          <w:rFonts w:eastAsia="Calibri"/>
        </w:rPr>
        <w:t>Source: National Minimum Data Set (NMDS), Ministry of Health</w:t>
      </w:r>
      <w:r>
        <w:rPr>
          <w:rFonts w:eastAsia="Calibri"/>
        </w:rPr>
        <w:t>,</w:t>
      </w:r>
      <w:r w:rsidRPr="00507AA7">
        <w:t xml:space="preserve"> </w:t>
      </w:r>
      <w:r>
        <w:t>2001</w:t>
      </w:r>
      <w:r w:rsidRPr="00181EF3">
        <w:t>–</w:t>
      </w:r>
      <w:r>
        <w:t>03</w:t>
      </w:r>
      <w:r w:rsidRPr="00181EF3">
        <w:t xml:space="preserve"> to 201</w:t>
      </w:r>
      <w:r>
        <w:t>1</w:t>
      </w:r>
      <w:r w:rsidRPr="00181EF3">
        <w:t>–1</w:t>
      </w:r>
      <w:r>
        <w:t>3</w:t>
      </w:r>
      <w:r w:rsidRPr="00181EF3">
        <w:rPr>
          <w:rFonts w:eastAsia="Calibri"/>
        </w:rPr>
        <w:t>.</w:t>
      </w:r>
    </w:p>
    <w:p w14:paraId="0AF870BA" w14:textId="77777777" w:rsidR="00764DE1" w:rsidRDefault="00764DE1" w:rsidP="00764DE1"/>
    <w:p w14:paraId="78094511" w14:textId="7E0C0483" w:rsidR="00A07FD4" w:rsidRPr="00181EF3" w:rsidRDefault="00A07FD4" w:rsidP="00A07FD4">
      <w:pPr>
        <w:rPr>
          <w:noProof/>
          <w:lang w:eastAsia="en-NZ"/>
        </w:rPr>
      </w:pPr>
      <w:r w:rsidRPr="00181EF3">
        <w:rPr>
          <w:noProof/>
          <w:lang w:eastAsia="en-NZ"/>
        </w:rPr>
        <w:t xml:space="preserve">The difference between Māori and </w:t>
      </w:r>
      <w:r w:rsidR="00EC03A3">
        <w:rPr>
          <w:noProof/>
          <w:lang w:eastAsia="en-NZ"/>
        </w:rPr>
        <w:t>non</w:t>
      </w:r>
      <w:r w:rsidR="00EC03A3">
        <w:rPr>
          <w:noProof/>
          <w:lang w:eastAsia="en-NZ"/>
        </w:rPr>
        <w:noBreakHyphen/>
        <w:t>M</w:t>
      </w:r>
      <w:r w:rsidRPr="00181EF3">
        <w:rPr>
          <w:noProof/>
          <w:lang w:eastAsia="en-NZ"/>
        </w:rPr>
        <w:t xml:space="preserve">āori did not change much over time: the age-standardised rate of lower limb amputation with concurrent diabetes for Māori aged 15 years and over was about four times that of </w:t>
      </w:r>
      <w:r w:rsidR="00EC03A3">
        <w:rPr>
          <w:noProof/>
          <w:lang w:eastAsia="en-NZ"/>
        </w:rPr>
        <w:t>non</w:t>
      </w:r>
      <w:r w:rsidR="00EC03A3">
        <w:rPr>
          <w:noProof/>
          <w:lang w:eastAsia="en-NZ"/>
        </w:rPr>
        <w:noBreakHyphen/>
        <w:t>M</w:t>
      </w:r>
      <w:r w:rsidRPr="00181EF3">
        <w:rPr>
          <w:noProof/>
          <w:lang w:eastAsia="en-NZ"/>
        </w:rPr>
        <w:t xml:space="preserve">āori </w:t>
      </w:r>
      <w:r w:rsidR="00EC03A3">
        <w:rPr>
          <w:noProof/>
          <w:lang w:eastAsia="en-NZ"/>
        </w:rPr>
        <w:t>non</w:t>
      </w:r>
      <w:r w:rsidR="00EC03A3">
        <w:rPr>
          <w:noProof/>
          <w:lang w:eastAsia="en-NZ"/>
        </w:rPr>
        <w:noBreakHyphen/>
        <w:t>P</w:t>
      </w:r>
      <w:r w:rsidRPr="00181EF3">
        <w:rPr>
          <w:noProof/>
          <w:lang w:eastAsia="en-NZ"/>
        </w:rPr>
        <w:t>acific from 2001 to 2013.</w:t>
      </w:r>
    </w:p>
    <w:p w14:paraId="16AB918B" w14:textId="77777777" w:rsidR="00A07FD4" w:rsidRPr="00181EF3" w:rsidRDefault="00A07FD4" w:rsidP="00A07FD4">
      <w:pPr>
        <w:rPr>
          <w:noProof/>
          <w:lang w:eastAsia="en-NZ"/>
        </w:rPr>
      </w:pPr>
    </w:p>
    <w:p w14:paraId="4EFB386B" w14:textId="33E16E81" w:rsidR="00A07FD4" w:rsidRPr="00181EF3" w:rsidRDefault="00A07FD4" w:rsidP="00D46D7A">
      <w:pPr>
        <w:rPr>
          <w:noProof/>
          <w:lang w:eastAsia="en-NZ"/>
        </w:rPr>
      </w:pPr>
      <w:r w:rsidRPr="00181EF3">
        <w:rPr>
          <w:noProof/>
          <w:lang w:eastAsia="en-NZ"/>
        </w:rPr>
        <w:t xml:space="preserve">The difference between Māori and </w:t>
      </w:r>
      <w:r w:rsidR="00EC03A3">
        <w:rPr>
          <w:noProof/>
          <w:lang w:eastAsia="en-NZ"/>
        </w:rPr>
        <w:t>non</w:t>
      </w:r>
      <w:r w:rsidR="00EC03A3">
        <w:rPr>
          <w:noProof/>
          <w:lang w:eastAsia="en-NZ"/>
        </w:rPr>
        <w:noBreakHyphen/>
        <w:t>M</w:t>
      </w:r>
      <w:r w:rsidRPr="00181EF3">
        <w:rPr>
          <w:noProof/>
          <w:lang w:eastAsia="en-NZ"/>
        </w:rPr>
        <w:t xml:space="preserve">āori </w:t>
      </w:r>
      <w:r w:rsidR="00EC03A3">
        <w:rPr>
          <w:noProof/>
          <w:lang w:eastAsia="en-NZ"/>
        </w:rPr>
        <w:t>non</w:t>
      </w:r>
      <w:r w:rsidR="00EC03A3">
        <w:rPr>
          <w:noProof/>
          <w:lang w:eastAsia="en-NZ"/>
        </w:rPr>
        <w:noBreakHyphen/>
        <w:t>P</w:t>
      </w:r>
      <w:r w:rsidRPr="00181EF3">
        <w:rPr>
          <w:noProof/>
          <w:lang w:eastAsia="en-NZ"/>
        </w:rPr>
        <w:t xml:space="preserve">acific females was greater than the difference between Māori and </w:t>
      </w:r>
      <w:r w:rsidR="00EC03A3">
        <w:rPr>
          <w:noProof/>
          <w:lang w:eastAsia="en-NZ"/>
        </w:rPr>
        <w:t>non</w:t>
      </w:r>
      <w:r w:rsidR="00EC03A3">
        <w:rPr>
          <w:noProof/>
          <w:lang w:eastAsia="en-NZ"/>
        </w:rPr>
        <w:noBreakHyphen/>
        <w:t>M</w:t>
      </w:r>
      <w:r w:rsidRPr="00181EF3">
        <w:rPr>
          <w:noProof/>
          <w:lang w:eastAsia="en-NZ"/>
        </w:rPr>
        <w:t xml:space="preserve">āori </w:t>
      </w:r>
      <w:r w:rsidR="00EC03A3">
        <w:rPr>
          <w:noProof/>
          <w:lang w:eastAsia="en-NZ"/>
        </w:rPr>
        <w:t>non</w:t>
      </w:r>
      <w:r w:rsidR="00EC03A3">
        <w:rPr>
          <w:noProof/>
          <w:lang w:eastAsia="en-NZ"/>
        </w:rPr>
        <w:noBreakHyphen/>
        <w:t>P</w:t>
      </w:r>
      <w:r w:rsidRPr="00181EF3">
        <w:rPr>
          <w:noProof/>
          <w:lang w:eastAsia="en-NZ"/>
        </w:rPr>
        <w:t xml:space="preserve">acific males over time, even though females had a lower rate of lower limb amputation with concurrent diabetes than males (Figure </w:t>
      </w:r>
      <w:r>
        <w:rPr>
          <w:noProof/>
          <w:lang w:eastAsia="en-NZ"/>
        </w:rPr>
        <w:t>16</w:t>
      </w:r>
      <w:r w:rsidR="00B74586">
        <w:rPr>
          <w:noProof/>
          <w:lang w:eastAsia="en-NZ"/>
        </w:rPr>
        <w:t>5</w:t>
      </w:r>
      <w:r w:rsidRPr="00181EF3">
        <w:rPr>
          <w:noProof/>
          <w:lang w:eastAsia="en-NZ"/>
        </w:rPr>
        <w:t>).</w:t>
      </w:r>
    </w:p>
    <w:p w14:paraId="16B0402F" w14:textId="77777777" w:rsidR="00A07FD4" w:rsidRPr="00181EF3" w:rsidRDefault="00A07FD4" w:rsidP="00764DE1"/>
    <w:p w14:paraId="0F6935CB" w14:textId="77777777" w:rsidR="005A489F" w:rsidRPr="00181EF3" w:rsidRDefault="005A489F" w:rsidP="00D46D7A">
      <w:pPr>
        <w:pStyle w:val="Heading2"/>
        <w:pageBreakBefore/>
        <w:spacing w:before="0"/>
      </w:pPr>
      <w:bookmarkStart w:id="515" w:name="_Toc14718643"/>
      <w:bookmarkStart w:id="516" w:name="_Toc14775066"/>
      <w:bookmarkStart w:id="517" w:name="_Toc19102496"/>
      <w:r w:rsidRPr="00181EF3">
        <w:rPr>
          <w:noProof/>
          <w:lang w:eastAsia="en-NZ"/>
        </w:rPr>
        <w:lastRenderedPageBreak/>
        <w:t>Infectious diseases</w:t>
      </w:r>
      <w:bookmarkEnd w:id="515"/>
      <w:bookmarkEnd w:id="516"/>
      <w:bookmarkEnd w:id="517"/>
    </w:p>
    <w:p w14:paraId="52416FF5" w14:textId="6156BE48" w:rsidR="005A489F" w:rsidRPr="00181EF3" w:rsidRDefault="005A489F" w:rsidP="005A489F">
      <w:pPr>
        <w:rPr>
          <w:lang w:eastAsia="en-NZ"/>
        </w:rPr>
      </w:pPr>
      <w:r w:rsidRPr="00181EF3">
        <w:rPr>
          <w:lang w:eastAsia="en-NZ"/>
        </w:rPr>
        <w:t xml:space="preserve">This </w:t>
      </w:r>
      <w:r w:rsidR="005A0955">
        <w:rPr>
          <w:lang w:eastAsia="en-NZ"/>
        </w:rPr>
        <w:t>section presents</w:t>
      </w:r>
      <w:r w:rsidRPr="00181EF3">
        <w:rPr>
          <w:lang w:eastAsia="en-NZ"/>
        </w:rPr>
        <w:t xml:space="preserve"> the trends related to selected infectious diseases for Māori and </w:t>
      </w:r>
      <w:r w:rsidR="00EC03A3">
        <w:rPr>
          <w:lang w:eastAsia="en-NZ"/>
        </w:rPr>
        <w:t>non</w:t>
      </w:r>
      <w:r w:rsidR="00EC03A3">
        <w:rPr>
          <w:lang w:eastAsia="en-NZ"/>
        </w:rPr>
        <w:noBreakHyphen/>
        <w:t>M</w:t>
      </w:r>
      <w:r w:rsidRPr="00181EF3">
        <w:rPr>
          <w:lang w:eastAsia="en-NZ"/>
        </w:rPr>
        <w:t xml:space="preserve">āori </w:t>
      </w:r>
      <w:r w:rsidR="00EC03A3">
        <w:rPr>
          <w:lang w:eastAsia="en-NZ"/>
        </w:rPr>
        <w:t>non</w:t>
      </w:r>
      <w:r w:rsidR="00EC03A3">
        <w:rPr>
          <w:lang w:eastAsia="en-NZ"/>
        </w:rPr>
        <w:noBreakHyphen/>
        <w:t>P</w:t>
      </w:r>
      <w:r w:rsidRPr="00181EF3">
        <w:rPr>
          <w:lang w:eastAsia="en-NZ"/>
        </w:rPr>
        <w:t>acific</w:t>
      </w:r>
      <w:r w:rsidR="005A0955">
        <w:rPr>
          <w:lang w:eastAsia="en-NZ"/>
        </w:rPr>
        <w:t>, including</w:t>
      </w:r>
      <w:r w:rsidRPr="00181EF3">
        <w:rPr>
          <w:lang w:eastAsia="en-NZ"/>
        </w:rPr>
        <w:t xml:space="preserve"> tuberculosis and meningococcal disease notifications</w:t>
      </w:r>
      <w:r w:rsidR="005A0955">
        <w:rPr>
          <w:lang w:eastAsia="en-NZ"/>
        </w:rPr>
        <w:t xml:space="preserve">, and the </w:t>
      </w:r>
      <w:r w:rsidRPr="00181EF3">
        <w:rPr>
          <w:lang w:eastAsia="en-NZ"/>
        </w:rPr>
        <w:t>first episode rheumatic fever hospitalisations.</w:t>
      </w:r>
    </w:p>
    <w:p w14:paraId="3370F839" w14:textId="77777777" w:rsidR="005A489F" w:rsidRPr="00181EF3" w:rsidRDefault="005A489F" w:rsidP="005A489F">
      <w:pPr>
        <w:rPr>
          <w:lang w:eastAsia="en-NZ"/>
        </w:rPr>
      </w:pPr>
    </w:p>
    <w:p w14:paraId="0FEF83F8" w14:textId="77777777" w:rsidR="005A489F" w:rsidRPr="00181EF3" w:rsidRDefault="005A489F" w:rsidP="005A0955">
      <w:pPr>
        <w:pStyle w:val="Heading3"/>
      </w:pPr>
      <w:bookmarkStart w:id="518" w:name="_Toc19102497"/>
      <w:r w:rsidRPr="00181EF3">
        <w:t>What is the data telling us?</w:t>
      </w:r>
      <w:bookmarkEnd w:id="518"/>
    </w:p>
    <w:p w14:paraId="72A66BBA" w14:textId="77777777" w:rsidR="005A489F" w:rsidRPr="00181EF3" w:rsidRDefault="005A489F" w:rsidP="005A489F">
      <w:pPr>
        <w:pStyle w:val="Shadedboxbullet"/>
        <w:ind w:left="568" w:hanging="284"/>
      </w:pPr>
      <w:r w:rsidRPr="00181EF3">
        <w:t>The rate of tuberculosis notifications for Māori decreased by 58 percent between 2001–03 and 2011–13.</w:t>
      </w:r>
    </w:p>
    <w:p w14:paraId="757FA5F8" w14:textId="317009E0" w:rsidR="005A489F" w:rsidRPr="00181EF3" w:rsidRDefault="005A489F" w:rsidP="005A489F">
      <w:pPr>
        <w:pStyle w:val="Shadedboxbullet"/>
        <w:ind w:left="568" w:hanging="284"/>
      </w:pPr>
      <w:r w:rsidRPr="00181EF3">
        <w:t xml:space="preserve">Between 2001–03 and 2007–09 Māori had a higher rate of TB notifications than </w:t>
      </w:r>
      <w:r w:rsidR="00EC03A3">
        <w:t>non</w:t>
      </w:r>
      <w:r w:rsidR="00EC03A3">
        <w:noBreakHyphen/>
        <w:t>M</w:t>
      </w:r>
      <w:r w:rsidRPr="00181EF3">
        <w:t xml:space="preserve">āori </w:t>
      </w:r>
      <w:r w:rsidR="00EC03A3">
        <w:t>non</w:t>
      </w:r>
      <w:r w:rsidR="00EC03A3">
        <w:noBreakHyphen/>
        <w:t>P</w:t>
      </w:r>
      <w:r w:rsidRPr="00181EF3">
        <w:t>acific.</w:t>
      </w:r>
    </w:p>
    <w:p w14:paraId="3D0F0E69" w14:textId="1AE09D24" w:rsidR="005A489F" w:rsidRPr="00181EF3" w:rsidRDefault="005A489F" w:rsidP="005A489F">
      <w:pPr>
        <w:pStyle w:val="Shadedboxbullet"/>
        <w:ind w:left="568" w:hanging="284"/>
      </w:pPr>
      <w:r w:rsidRPr="00181EF3">
        <w:t xml:space="preserve">In 2011–13 Māori had a lower rate of TB notifications than </w:t>
      </w:r>
      <w:r w:rsidR="00EC03A3">
        <w:t>non</w:t>
      </w:r>
      <w:r w:rsidR="00EC03A3">
        <w:noBreakHyphen/>
        <w:t>M</w:t>
      </w:r>
      <w:r w:rsidRPr="00181EF3">
        <w:t xml:space="preserve">āori </w:t>
      </w:r>
      <w:r w:rsidR="00EC03A3">
        <w:t>non</w:t>
      </w:r>
      <w:r w:rsidR="00EC03A3">
        <w:noBreakHyphen/>
        <w:t>P</w:t>
      </w:r>
      <w:r w:rsidRPr="00181EF3">
        <w:t>acific.</w:t>
      </w:r>
    </w:p>
    <w:p w14:paraId="05A89A9B" w14:textId="344C3672" w:rsidR="005A489F" w:rsidRPr="00181EF3" w:rsidRDefault="005A489F" w:rsidP="005A489F">
      <w:pPr>
        <w:pStyle w:val="Shadedboxbullet"/>
        <w:ind w:left="568" w:hanging="284"/>
      </w:pPr>
      <w:r w:rsidRPr="00181EF3">
        <w:t xml:space="preserve">The rate of meningococcal notifications for Māori was over twice the rate for </w:t>
      </w:r>
      <w:r w:rsidR="00EC03A3">
        <w:t>non</w:t>
      </w:r>
      <w:r w:rsidR="00EC03A3">
        <w:noBreakHyphen/>
        <w:t>M</w:t>
      </w:r>
      <w:r w:rsidRPr="00181EF3">
        <w:t xml:space="preserve">āori </w:t>
      </w:r>
      <w:r w:rsidR="00EC03A3">
        <w:t>non</w:t>
      </w:r>
      <w:r w:rsidR="00EC03A3">
        <w:noBreakHyphen/>
        <w:t>P</w:t>
      </w:r>
      <w:r w:rsidRPr="00181EF3">
        <w:t>acific, this did not change much over time.</w:t>
      </w:r>
    </w:p>
    <w:p w14:paraId="303FD239" w14:textId="01A0E542" w:rsidR="005A489F" w:rsidRPr="00181EF3" w:rsidRDefault="005A489F" w:rsidP="005A489F">
      <w:pPr>
        <w:pStyle w:val="Shadedboxbullet"/>
        <w:ind w:left="568" w:hanging="284"/>
      </w:pPr>
      <w:r w:rsidRPr="00181EF3">
        <w:t xml:space="preserve">The rate of meningococcal notifications decreased for both Māori and </w:t>
      </w:r>
      <w:r w:rsidR="00EC03A3">
        <w:t>non</w:t>
      </w:r>
      <w:r w:rsidR="00EC03A3">
        <w:noBreakHyphen/>
        <w:t>M</w:t>
      </w:r>
      <w:r w:rsidRPr="00181EF3">
        <w:t xml:space="preserve">āori </w:t>
      </w:r>
      <w:r w:rsidR="00EC03A3">
        <w:t>non</w:t>
      </w:r>
      <w:r w:rsidR="00EC03A3">
        <w:noBreakHyphen/>
        <w:t>P</w:t>
      </w:r>
      <w:r w:rsidRPr="00181EF3">
        <w:t>acific.</w:t>
      </w:r>
    </w:p>
    <w:p w14:paraId="1B70AB1A" w14:textId="386C9874" w:rsidR="005A489F" w:rsidRPr="00181EF3" w:rsidRDefault="005A489F" w:rsidP="005A489F">
      <w:pPr>
        <w:pStyle w:val="Shadedboxbullet"/>
        <w:ind w:left="568" w:hanging="284"/>
      </w:pPr>
      <w:r w:rsidRPr="00181EF3">
        <w:t xml:space="preserve">In 2011–13, the rate of meningococcal notifications for Māori was over 2½ times that of </w:t>
      </w:r>
      <w:r w:rsidR="00EC03A3">
        <w:t>non</w:t>
      </w:r>
      <w:r w:rsidR="00EC03A3">
        <w:noBreakHyphen/>
        <w:t>M</w:t>
      </w:r>
      <w:r w:rsidRPr="00181EF3">
        <w:t xml:space="preserve">āori </w:t>
      </w:r>
      <w:r w:rsidR="00EC03A3">
        <w:t>non</w:t>
      </w:r>
      <w:r w:rsidR="00EC03A3">
        <w:noBreakHyphen/>
        <w:t>P</w:t>
      </w:r>
      <w:r w:rsidRPr="00181EF3">
        <w:t>acific.</w:t>
      </w:r>
    </w:p>
    <w:p w14:paraId="4C60C87B" w14:textId="77777777" w:rsidR="005A489F" w:rsidRPr="00181EF3" w:rsidRDefault="005A489F" w:rsidP="005A489F">
      <w:pPr>
        <w:pStyle w:val="Shadedboxbullet"/>
        <w:ind w:left="568" w:hanging="284"/>
      </w:pPr>
      <w:r w:rsidRPr="00181EF3">
        <w:t>The Māori rate of first episode rheumatic fever hospitalisations increased significantly between 2001–03 and 2011–13.</w:t>
      </w:r>
    </w:p>
    <w:p w14:paraId="37F7EDD3" w14:textId="50842753" w:rsidR="005A489F" w:rsidRPr="00181EF3" w:rsidRDefault="005A489F" w:rsidP="00D46D7A">
      <w:pPr>
        <w:pStyle w:val="Shadedboxbullet"/>
        <w:ind w:left="568" w:hanging="284"/>
      </w:pPr>
      <w:r w:rsidRPr="00181EF3">
        <w:t xml:space="preserve">The difference between Māori and </w:t>
      </w:r>
      <w:r w:rsidR="00EC03A3">
        <w:t>non</w:t>
      </w:r>
      <w:r w:rsidR="00EC03A3">
        <w:noBreakHyphen/>
        <w:t>M</w:t>
      </w:r>
      <w:r w:rsidRPr="00181EF3">
        <w:t xml:space="preserve">āori </w:t>
      </w:r>
      <w:r w:rsidR="00EC03A3">
        <w:t>non</w:t>
      </w:r>
      <w:r w:rsidR="00EC03A3">
        <w:noBreakHyphen/>
        <w:t>P</w:t>
      </w:r>
      <w:r w:rsidRPr="00181EF3">
        <w:t>acific rates of first episode rheumatic fever hospitalisation increased over time.</w:t>
      </w:r>
    </w:p>
    <w:p w14:paraId="3D6B9B02" w14:textId="14E5D009" w:rsidR="005A489F" w:rsidRPr="00181EF3" w:rsidRDefault="005A489F" w:rsidP="005A489F">
      <w:pPr>
        <w:pStyle w:val="Shadedboxbullet"/>
        <w:ind w:left="568" w:hanging="284"/>
      </w:pPr>
      <w:r w:rsidRPr="00181EF3">
        <w:t xml:space="preserve">In 2011–13, Māori rate of first episode rheumatic fever hospitalisation was almost 30 times as high as the </w:t>
      </w:r>
      <w:r w:rsidR="00EC03A3">
        <w:t>non</w:t>
      </w:r>
      <w:r w:rsidR="00EC03A3">
        <w:noBreakHyphen/>
        <w:t>M</w:t>
      </w:r>
      <w:r w:rsidRPr="00181EF3">
        <w:t xml:space="preserve">āori </w:t>
      </w:r>
      <w:r w:rsidR="00EC03A3">
        <w:t>non</w:t>
      </w:r>
      <w:r w:rsidR="00EC03A3">
        <w:noBreakHyphen/>
        <w:t>P</w:t>
      </w:r>
      <w:r w:rsidRPr="00181EF3">
        <w:t>acific rate.</w:t>
      </w:r>
    </w:p>
    <w:p w14:paraId="64267005" w14:textId="77777777" w:rsidR="005A489F" w:rsidRPr="00181EF3" w:rsidRDefault="005A489F" w:rsidP="00D46D7A"/>
    <w:p w14:paraId="08A74CD1" w14:textId="77777777" w:rsidR="005A489F" w:rsidRPr="00181EF3" w:rsidRDefault="005A489F" w:rsidP="00D46D7A">
      <w:pPr>
        <w:pStyle w:val="Heading3"/>
        <w:pageBreakBefore/>
        <w:spacing w:before="0"/>
      </w:pPr>
      <w:bookmarkStart w:id="519" w:name="_Toc19102498"/>
      <w:r w:rsidRPr="00181EF3">
        <w:lastRenderedPageBreak/>
        <w:t>Tuberculosis</w:t>
      </w:r>
      <w:bookmarkEnd w:id="519"/>
    </w:p>
    <w:p w14:paraId="153AA06E" w14:textId="1BE84F3D" w:rsidR="005A0955" w:rsidRDefault="005A0955" w:rsidP="005A0955">
      <w:pPr>
        <w:pStyle w:val="Figure"/>
      </w:pPr>
      <w:bookmarkStart w:id="520" w:name="_Toc19102017"/>
      <w:r w:rsidRPr="00181EF3">
        <w:t>Figure 1</w:t>
      </w:r>
      <w:r>
        <w:t>6</w:t>
      </w:r>
      <w:r w:rsidR="00572A9A">
        <w:t>6</w:t>
      </w:r>
      <w:r w:rsidRPr="00181EF3">
        <w:t xml:space="preserve">: </w:t>
      </w:r>
      <w:r>
        <w:t>T</w:t>
      </w:r>
      <w:r w:rsidRPr="00181EF3">
        <w:t>uberculosis (TB)</w:t>
      </w:r>
      <w:r>
        <w:t xml:space="preserve"> notification rates</w:t>
      </w:r>
      <w:r w:rsidRPr="00181EF3">
        <w:t xml:space="preserve">, Māori and </w:t>
      </w:r>
      <w:r w:rsidR="00EC03A3">
        <w:t>non</w:t>
      </w:r>
      <w:r w:rsidR="00EC03A3">
        <w:noBreakHyphen/>
        <w:t>M</w:t>
      </w:r>
      <w:r w:rsidRPr="00181EF3">
        <w:t>āori</w:t>
      </w:r>
      <w:r>
        <w:t xml:space="preserve"> </w:t>
      </w:r>
      <w:r w:rsidR="00EC03A3">
        <w:t>non</w:t>
      </w:r>
      <w:r w:rsidR="00EC03A3">
        <w:noBreakHyphen/>
        <w:t>P</w:t>
      </w:r>
      <w:r>
        <w:t>acific,</w:t>
      </w:r>
      <w:r w:rsidRPr="00181EF3">
        <w:t xml:space="preserve"> 2001–03 to 2011–13</w:t>
      </w:r>
      <w:bookmarkEnd w:id="520"/>
    </w:p>
    <w:p w14:paraId="05295FC6" w14:textId="77777777" w:rsidR="005A0955" w:rsidRDefault="005A0955" w:rsidP="005A0955">
      <w:r w:rsidRPr="00CC3C2C">
        <w:rPr>
          <w:noProof/>
          <w:lang w:eastAsia="en-NZ"/>
        </w:rPr>
        <w:drawing>
          <wp:inline distT="0" distB="0" distL="0" distR="0" wp14:anchorId="05C0C7E5" wp14:editId="5F2194A9">
            <wp:extent cx="5130165" cy="3234854"/>
            <wp:effectExtent l="0" t="0" r="0" b="3810"/>
            <wp:docPr id="458" name="Picture 458" descr="In 2001, Māori had a higher rate of tuberculosis than non-Māori. Since then, the non-Māori rate has remained fairly steady, while the Māori rate has decreased and has been lower than the non-Māori rate since 2010-2012." title="Figure 166: Age standardised tuberculosis notification rates, Māori and non-Māori non Pacific from 2001–03 to 20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5130165" cy="3234854"/>
                    </a:xfrm>
                    <a:prstGeom prst="rect">
                      <a:avLst/>
                    </a:prstGeom>
                  </pic:spPr>
                </pic:pic>
              </a:graphicData>
            </a:graphic>
          </wp:inline>
        </w:drawing>
      </w:r>
    </w:p>
    <w:p w14:paraId="1F4BF12B" w14:textId="77777777" w:rsidR="005A0955" w:rsidRDefault="005A0955" w:rsidP="005A0955">
      <w:pPr>
        <w:pStyle w:val="Note"/>
      </w:pPr>
      <w:r w:rsidRPr="00181EF3">
        <w:t>Notes:</w:t>
      </w:r>
    </w:p>
    <w:p w14:paraId="417D6CE5" w14:textId="1AE25541" w:rsidR="008A5642" w:rsidRDefault="00446D86" w:rsidP="005A0955">
      <w:pPr>
        <w:pStyle w:val="Note"/>
      </w:pPr>
      <w:r>
        <w:t>Figures are age-standardised to the 2001 Census total Māori population</w:t>
      </w:r>
      <w:r w:rsidR="005A0955" w:rsidRPr="00181EF3">
        <w:t>.</w:t>
      </w:r>
    </w:p>
    <w:p w14:paraId="3E5794FE" w14:textId="2CA7EEB5" w:rsidR="005A0955" w:rsidRPr="00181EF3" w:rsidRDefault="005A0955" w:rsidP="005A0955">
      <w:pPr>
        <w:pStyle w:val="Note"/>
      </w:pPr>
      <w:r>
        <w:t>Prioritised ethnicity has been used.</w:t>
      </w:r>
    </w:p>
    <w:p w14:paraId="40FB9F94" w14:textId="77777777" w:rsidR="005A0955" w:rsidRPr="00181EF3" w:rsidRDefault="005A0955" w:rsidP="001C62E1">
      <w:pPr>
        <w:pStyle w:val="Note"/>
        <w:ind w:left="0" w:firstLine="0"/>
      </w:pPr>
      <w:r w:rsidRPr="00181EF3">
        <w:t xml:space="preserve">If the confidence intervals of </w:t>
      </w:r>
      <w:r>
        <w:t>two</w:t>
      </w:r>
      <w:r w:rsidRPr="00181EF3">
        <w:t xml:space="preserve"> rate</w:t>
      </w:r>
      <w:r>
        <w:t>s</w:t>
      </w:r>
      <w:r w:rsidRPr="00181EF3">
        <w:t xml:space="preserve"> do not overlap, the </w:t>
      </w:r>
      <w:r>
        <w:t xml:space="preserve">difference in </w:t>
      </w:r>
      <w:r w:rsidRPr="00181EF3">
        <w:t>rate</w:t>
      </w:r>
      <w:r>
        <w:t>s</w:t>
      </w:r>
      <w:r w:rsidRPr="00181EF3">
        <w:t xml:space="preserve"> is said to be statistically significant.</w:t>
      </w:r>
    </w:p>
    <w:p w14:paraId="1025B94D" w14:textId="2A43A587" w:rsidR="005A0955" w:rsidRPr="00181EF3" w:rsidRDefault="005A0955" w:rsidP="005A0955">
      <w:pPr>
        <w:pStyle w:val="Source"/>
      </w:pPr>
      <w:r w:rsidRPr="00181EF3">
        <w:t>Source: Institute of Environmental Science and Research Limited (ESR)</w:t>
      </w:r>
      <w:r w:rsidR="00285716">
        <w:t>,</w:t>
      </w:r>
      <w:r w:rsidRPr="00181EF3">
        <w:t xml:space="preserve"> </w:t>
      </w:r>
      <w:r>
        <w:t>2001</w:t>
      </w:r>
      <w:r w:rsidRPr="00181EF3">
        <w:t>–201</w:t>
      </w:r>
      <w:r>
        <w:t>3</w:t>
      </w:r>
      <w:r w:rsidRPr="00181EF3">
        <w:t>.</w:t>
      </w:r>
    </w:p>
    <w:p w14:paraId="12426BDC" w14:textId="77777777" w:rsidR="005A0955" w:rsidRDefault="005A0955" w:rsidP="005A489F"/>
    <w:p w14:paraId="193082D5" w14:textId="7A12915A" w:rsidR="005A489F" w:rsidRDefault="005A489F" w:rsidP="005A489F">
      <w:r w:rsidRPr="00181EF3">
        <w:t>Figure 1</w:t>
      </w:r>
      <w:r w:rsidR="005A0955">
        <w:t>6</w:t>
      </w:r>
      <w:r w:rsidR="00B74586">
        <w:t>6</w:t>
      </w:r>
      <w:r w:rsidRPr="00181EF3">
        <w:t xml:space="preserve"> shows, after adjusting for age, the rate of TB notifications for Māori and </w:t>
      </w:r>
      <w:r w:rsidR="00EC03A3">
        <w:t>non</w:t>
      </w:r>
      <w:r w:rsidR="00EC03A3">
        <w:noBreakHyphen/>
        <w:t>M</w:t>
      </w:r>
      <w:r w:rsidRPr="00181EF3">
        <w:t xml:space="preserve">āori </w:t>
      </w:r>
      <w:r w:rsidR="00EC03A3">
        <w:t>non</w:t>
      </w:r>
      <w:r w:rsidR="00EC03A3">
        <w:noBreakHyphen/>
        <w:t>P</w:t>
      </w:r>
      <w:r w:rsidRPr="00181EF3">
        <w:t>acific people between 2001 and 2013.</w:t>
      </w:r>
    </w:p>
    <w:p w14:paraId="2A76CDBE" w14:textId="77777777" w:rsidR="00D46D7A" w:rsidRPr="00181EF3" w:rsidRDefault="00D46D7A" w:rsidP="005A489F"/>
    <w:p w14:paraId="7517E9C9" w14:textId="77777777" w:rsidR="005A489F" w:rsidRPr="00181EF3" w:rsidRDefault="005A489F" w:rsidP="005A0955">
      <w:pPr>
        <w:pStyle w:val="Heading4"/>
      </w:pPr>
      <w:r w:rsidRPr="00181EF3">
        <w:t>Decrease in TB</w:t>
      </w:r>
      <w:r w:rsidR="005A0955">
        <w:t xml:space="preserve"> notification rates</w:t>
      </w:r>
      <w:r w:rsidRPr="00181EF3">
        <w:t xml:space="preserve"> for Māori</w:t>
      </w:r>
    </w:p>
    <w:p w14:paraId="3170BE01" w14:textId="6216783D" w:rsidR="005A0955" w:rsidRPr="00181EF3" w:rsidRDefault="005A0955" w:rsidP="00D46D7A">
      <w:r w:rsidRPr="00181EF3">
        <w:t xml:space="preserve">The rate of TB notifications for Māori showed a larger decrease than the rate of TB notifications for </w:t>
      </w:r>
      <w:r w:rsidR="00EC03A3">
        <w:t>non</w:t>
      </w:r>
      <w:r w:rsidR="00EC03A3">
        <w:noBreakHyphen/>
        <w:t>M</w:t>
      </w:r>
      <w:r w:rsidRPr="00181EF3">
        <w:t xml:space="preserve">āori </w:t>
      </w:r>
      <w:r w:rsidR="00EC03A3">
        <w:t>non</w:t>
      </w:r>
      <w:r w:rsidR="00EC03A3">
        <w:noBreakHyphen/>
        <w:t>P</w:t>
      </w:r>
      <w:r w:rsidRPr="00181EF3">
        <w:t>acific between 2001–03 and 2011–13.</w:t>
      </w:r>
    </w:p>
    <w:p w14:paraId="4D35FB1D" w14:textId="77777777" w:rsidR="005A0955" w:rsidRPr="00181EF3" w:rsidRDefault="005A0955" w:rsidP="00D46D7A"/>
    <w:p w14:paraId="2AEF5DB4" w14:textId="77777777" w:rsidR="005A489F" w:rsidRPr="00181EF3" w:rsidRDefault="005A489F" w:rsidP="005A489F">
      <w:r w:rsidRPr="00181EF3">
        <w:t>The age-standardised rate of TB notifications for Māori decreased by 58 percent between 2001–03 and 2011–13 (from 11 to 5 notifications per 100,000).</w:t>
      </w:r>
    </w:p>
    <w:p w14:paraId="3BEA97E2" w14:textId="77777777" w:rsidR="005A489F" w:rsidRPr="00181EF3" w:rsidRDefault="005A489F" w:rsidP="005A489F"/>
    <w:p w14:paraId="31D19C9C" w14:textId="5A10F79E" w:rsidR="005A489F" w:rsidRDefault="005A489F" w:rsidP="005A489F">
      <w:r w:rsidRPr="00181EF3">
        <w:t xml:space="preserve">In comparison, the rate of TB notifications for </w:t>
      </w:r>
      <w:r w:rsidR="00EC03A3">
        <w:t>non</w:t>
      </w:r>
      <w:r w:rsidR="00EC03A3">
        <w:noBreakHyphen/>
        <w:t>M</w:t>
      </w:r>
      <w:r w:rsidRPr="00181EF3">
        <w:t xml:space="preserve">āori </w:t>
      </w:r>
      <w:r w:rsidR="00EC03A3">
        <w:t>non</w:t>
      </w:r>
      <w:r w:rsidR="00EC03A3">
        <w:noBreakHyphen/>
        <w:t>P</w:t>
      </w:r>
      <w:r w:rsidRPr="00181EF3">
        <w:t>acific decreased by 22 percent over the same period (from 7 to 6 notifications per 100,000).</w:t>
      </w:r>
    </w:p>
    <w:p w14:paraId="2ABFAF3E" w14:textId="77777777" w:rsidR="00D46D7A" w:rsidRPr="00181EF3" w:rsidRDefault="00D46D7A" w:rsidP="005A489F"/>
    <w:p w14:paraId="5171C88A" w14:textId="6A1D6F50" w:rsidR="005A489F" w:rsidRPr="00181EF3" w:rsidRDefault="005A489F" w:rsidP="005A0955">
      <w:pPr>
        <w:pStyle w:val="Heading4"/>
      </w:pPr>
      <w:r w:rsidRPr="00181EF3">
        <w:lastRenderedPageBreak/>
        <w:t xml:space="preserve">Difference </w:t>
      </w:r>
      <w:r w:rsidR="005A0955">
        <w:t xml:space="preserve">in TB notification rates </w:t>
      </w:r>
      <w:r w:rsidRPr="00181EF3">
        <w:t xml:space="preserve">between Māori and </w:t>
      </w:r>
      <w:r w:rsidR="00EC03A3">
        <w:t>non</w:t>
      </w:r>
      <w:r w:rsidR="00EC03A3">
        <w:noBreakHyphen/>
        <w:t>M</w:t>
      </w:r>
      <w:r w:rsidRPr="00181EF3">
        <w:t xml:space="preserve">āori </w:t>
      </w:r>
      <w:r w:rsidR="00EC03A3">
        <w:t>non</w:t>
      </w:r>
      <w:r w:rsidR="00EC03A3">
        <w:noBreakHyphen/>
        <w:t>P</w:t>
      </w:r>
      <w:r w:rsidRPr="00181EF3">
        <w:t>acific</w:t>
      </w:r>
    </w:p>
    <w:p w14:paraId="152734FF" w14:textId="40EF3F63" w:rsidR="005A489F" w:rsidRPr="00181EF3" w:rsidRDefault="005A489F" w:rsidP="00D46D7A">
      <w:pPr>
        <w:keepLines/>
      </w:pPr>
      <w:r w:rsidRPr="00181EF3">
        <w:t xml:space="preserve">Between 2001–03 and 2007–09 Māori had a higher rate of TB notifications than </w:t>
      </w:r>
      <w:r w:rsidR="00EC03A3">
        <w:t>non</w:t>
      </w:r>
      <w:r w:rsidR="00EC03A3">
        <w:noBreakHyphen/>
        <w:t>M</w:t>
      </w:r>
      <w:r w:rsidRPr="00181EF3">
        <w:t xml:space="preserve">āori </w:t>
      </w:r>
      <w:r w:rsidR="00EC03A3">
        <w:t>non</w:t>
      </w:r>
      <w:r w:rsidR="00EC03A3">
        <w:noBreakHyphen/>
        <w:t>P</w:t>
      </w:r>
      <w:r w:rsidRPr="00181EF3">
        <w:t>acific (rate ratio of 1.5 in 2001–03 and 1.3 in 2007–09). Between</w:t>
      </w:r>
      <w:r w:rsidRPr="00181EF3">
        <w:br/>
        <w:t xml:space="preserve">2008–10 and 2010–12 there was no difference in rates of TB notifications between Māori and </w:t>
      </w:r>
      <w:r w:rsidR="00EC03A3">
        <w:t>non</w:t>
      </w:r>
      <w:r w:rsidR="00EC03A3">
        <w:noBreakHyphen/>
        <w:t>M</w:t>
      </w:r>
      <w:r w:rsidRPr="00181EF3">
        <w:t xml:space="preserve">āori </w:t>
      </w:r>
      <w:r w:rsidR="00EC03A3">
        <w:t>non</w:t>
      </w:r>
      <w:r w:rsidR="00EC03A3">
        <w:noBreakHyphen/>
        <w:t>P</w:t>
      </w:r>
      <w:r w:rsidRPr="00181EF3">
        <w:t xml:space="preserve">acific (rate ratio of 1.1 in 2008–10 and 0.9 in 2010–12). By 2011–13, the rate of TB notifications for Māori was lower than that of </w:t>
      </w:r>
      <w:r w:rsidR="00EC03A3">
        <w:t>non</w:t>
      </w:r>
      <w:r w:rsidR="00EC03A3">
        <w:noBreakHyphen/>
        <w:t>M</w:t>
      </w:r>
      <w:r w:rsidRPr="00181EF3">
        <w:t xml:space="preserve">āori </w:t>
      </w:r>
      <w:r w:rsidR="00EC03A3">
        <w:t>non</w:t>
      </w:r>
      <w:r w:rsidR="00EC03A3">
        <w:noBreakHyphen/>
        <w:t>P</w:t>
      </w:r>
      <w:r w:rsidRPr="00181EF3">
        <w:t>acific (rate ratio of 0.8 in 2011–13).</w:t>
      </w:r>
    </w:p>
    <w:p w14:paraId="1C28CC77" w14:textId="77777777" w:rsidR="005A489F" w:rsidRPr="00181EF3" w:rsidRDefault="005A489F" w:rsidP="005A489F"/>
    <w:p w14:paraId="00DFBD69" w14:textId="77777777" w:rsidR="005A489F" w:rsidRPr="00181EF3" w:rsidRDefault="005A489F" w:rsidP="00D46D7A">
      <w:pPr>
        <w:pStyle w:val="Heading3"/>
        <w:pageBreakBefore/>
        <w:spacing w:before="0"/>
      </w:pPr>
      <w:bookmarkStart w:id="521" w:name="_Toc19102499"/>
      <w:r w:rsidRPr="00181EF3">
        <w:lastRenderedPageBreak/>
        <w:t>Meningococcal disease</w:t>
      </w:r>
      <w:bookmarkEnd w:id="521"/>
    </w:p>
    <w:p w14:paraId="227211A7" w14:textId="0D0ABD24" w:rsidR="008A598A" w:rsidRDefault="008A598A" w:rsidP="008A598A">
      <w:pPr>
        <w:pStyle w:val="Figure"/>
      </w:pPr>
      <w:bookmarkStart w:id="522" w:name="_Toc19102018"/>
      <w:r w:rsidRPr="00181EF3">
        <w:t xml:space="preserve">Figure </w:t>
      </w:r>
      <w:r>
        <w:t>16</w:t>
      </w:r>
      <w:r w:rsidR="00572A9A">
        <w:t>7</w:t>
      </w:r>
      <w:r w:rsidRPr="00181EF3">
        <w:t xml:space="preserve">: </w:t>
      </w:r>
      <w:r>
        <w:t>M</w:t>
      </w:r>
      <w:r w:rsidRPr="00181EF3">
        <w:t>eningococcal notification</w:t>
      </w:r>
      <w:r>
        <w:t xml:space="preserve"> rates, </w:t>
      </w:r>
      <w:r w:rsidRPr="00181EF3">
        <w:t xml:space="preserve">Māori and </w:t>
      </w:r>
      <w:r w:rsidR="00EC03A3">
        <w:t>non</w:t>
      </w:r>
      <w:r w:rsidR="00EC03A3">
        <w:noBreakHyphen/>
        <w:t>M</w:t>
      </w:r>
      <w:r w:rsidRPr="00181EF3">
        <w:t>āori</w:t>
      </w:r>
      <w:r>
        <w:t xml:space="preserve"> </w:t>
      </w:r>
      <w:r w:rsidR="00EC03A3">
        <w:t>non</w:t>
      </w:r>
      <w:r w:rsidR="00EC03A3">
        <w:noBreakHyphen/>
        <w:t>P</w:t>
      </w:r>
      <w:r>
        <w:t>acific,</w:t>
      </w:r>
      <w:r w:rsidRPr="00181EF3">
        <w:t xml:space="preserve"> </w:t>
      </w:r>
      <w:r>
        <w:t>2001</w:t>
      </w:r>
      <w:r w:rsidRPr="00181EF3">
        <w:t>–</w:t>
      </w:r>
      <w:r>
        <w:t>03</w:t>
      </w:r>
      <w:r w:rsidRPr="00181EF3">
        <w:t xml:space="preserve"> and 201</w:t>
      </w:r>
      <w:r>
        <w:t>1</w:t>
      </w:r>
      <w:r w:rsidRPr="00181EF3">
        <w:t>–1</w:t>
      </w:r>
      <w:r>
        <w:t>3</w:t>
      </w:r>
      <w:bookmarkEnd w:id="522"/>
    </w:p>
    <w:p w14:paraId="0D1C0977" w14:textId="77777777" w:rsidR="008A598A" w:rsidRPr="00CC3C2C" w:rsidRDefault="008A598A" w:rsidP="008A598A">
      <w:r w:rsidRPr="00CC3C2C">
        <w:rPr>
          <w:noProof/>
          <w:lang w:eastAsia="en-NZ"/>
        </w:rPr>
        <w:drawing>
          <wp:inline distT="0" distB="0" distL="0" distR="0" wp14:anchorId="45372601" wp14:editId="3E804628">
            <wp:extent cx="5130165" cy="2942720"/>
            <wp:effectExtent l="0" t="0" r="0" b="0"/>
            <wp:docPr id="473" name="Picture 473" descr="Meningitis rates have gone down for all groups since 2001-03. The rate for non-Māori is still lower than the rate for Māori , but the gap has narrowed." title="Figure 167: Age-standardised meningococcal disease notification rates, Māori and non Māori non-Pacific from 2001–03 to 20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5130165" cy="2942720"/>
                    </a:xfrm>
                    <a:prstGeom prst="rect">
                      <a:avLst/>
                    </a:prstGeom>
                  </pic:spPr>
                </pic:pic>
              </a:graphicData>
            </a:graphic>
          </wp:inline>
        </w:drawing>
      </w:r>
    </w:p>
    <w:p w14:paraId="07A3D863" w14:textId="77777777" w:rsidR="008A598A" w:rsidRDefault="008A598A" w:rsidP="00285716">
      <w:pPr>
        <w:pStyle w:val="Note"/>
      </w:pPr>
      <w:r w:rsidRPr="00181EF3">
        <w:t>Notes:</w:t>
      </w:r>
    </w:p>
    <w:p w14:paraId="15357F28" w14:textId="6AABDD66" w:rsidR="008A5642" w:rsidRDefault="00446D86" w:rsidP="00285716">
      <w:pPr>
        <w:pStyle w:val="Note"/>
      </w:pPr>
      <w:r>
        <w:t>Figures are age-standardised to the 2001 Census total Māori population</w:t>
      </w:r>
      <w:r w:rsidR="008A598A" w:rsidRPr="00181EF3">
        <w:t>.</w:t>
      </w:r>
    </w:p>
    <w:p w14:paraId="298CA269" w14:textId="03C7708D" w:rsidR="008A598A" w:rsidRPr="00181EF3" w:rsidRDefault="008A598A" w:rsidP="00285716">
      <w:pPr>
        <w:pStyle w:val="Note"/>
      </w:pPr>
      <w:r>
        <w:t>Prioritised ethnicity has been used.</w:t>
      </w:r>
    </w:p>
    <w:p w14:paraId="133F4D08" w14:textId="77777777" w:rsidR="008A598A" w:rsidRPr="00D46D7A" w:rsidRDefault="008A598A" w:rsidP="00285716">
      <w:pPr>
        <w:pStyle w:val="Note"/>
        <w:ind w:left="0" w:firstLine="0"/>
        <w:rPr>
          <w:spacing w:val="-2"/>
        </w:rPr>
      </w:pPr>
      <w:r w:rsidRPr="00D46D7A">
        <w:rPr>
          <w:spacing w:val="-2"/>
        </w:rPr>
        <w:t>If the confidence intervals of two rates do not overlap, the difference in rates is said to be statistically significant.</w:t>
      </w:r>
    </w:p>
    <w:p w14:paraId="7E7AF48C" w14:textId="6DF2A061" w:rsidR="008A598A" w:rsidRPr="00181EF3" w:rsidRDefault="008A598A" w:rsidP="00285716">
      <w:pPr>
        <w:pStyle w:val="Note"/>
      </w:pPr>
      <w:r w:rsidRPr="00181EF3">
        <w:t>Source: Institute of Environmental Science and Research Limited (ESR)</w:t>
      </w:r>
      <w:r w:rsidR="00285716">
        <w:t>,</w:t>
      </w:r>
      <w:r w:rsidRPr="00181EF3">
        <w:t xml:space="preserve"> </w:t>
      </w:r>
      <w:r>
        <w:t>2001</w:t>
      </w:r>
      <w:r w:rsidRPr="00181EF3">
        <w:t>–201</w:t>
      </w:r>
      <w:r>
        <w:t>3</w:t>
      </w:r>
      <w:r w:rsidRPr="00181EF3">
        <w:t>.</w:t>
      </w:r>
    </w:p>
    <w:p w14:paraId="4E048FBD" w14:textId="77777777" w:rsidR="008A598A" w:rsidRDefault="008A598A" w:rsidP="00D46D7A"/>
    <w:p w14:paraId="200B250C" w14:textId="1C8CC8B0" w:rsidR="005A489F" w:rsidRDefault="005A489F" w:rsidP="00D46D7A">
      <w:r w:rsidRPr="00181EF3">
        <w:t xml:space="preserve">Figure </w:t>
      </w:r>
      <w:r w:rsidR="00F24993">
        <w:t>16</w:t>
      </w:r>
      <w:r w:rsidR="00B74586">
        <w:t>7</w:t>
      </w:r>
      <w:r w:rsidRPr="00181EF3">
        <w:t xml:space="preserve"> shows, after adjusting for age, the rate of meningococcal disease notifications for Māori and </w:t>
      </w:r>
      <w:r w:rsidR="00EC03A3">
        <w:t>non</w:t>
      </w:r>
      <w:r w:rsidR="00EC03A3">
        <w:noBreakHyphen/>
        <w:t>M</w:t>
      </w:r>
      <w:r w:rsidRPr="00181EF3">
        <w:t xml:space="preserve">āori </w:t>
      </w:r>
      <w:r w:rsidR="00EC03A3">
        <w:t>non</w:t>
      </w:r>
      <w:r w:rsidR="00EC03A3">
        <w:noBreakHyphen/>
        <w:t>P</w:t>
      </w:r>
      <w:r w:rsidRPr="00181EF3">
        <w:t>acific between 2001 and 2013.</w:t>
      </w:r>
    </w:p>
    <w:p w14:paraId="1CF4D661" w14:textId="77777777" w:rsidR="00D46D7A" w:rsidRPr="00181EF3" w:rsidRDefault="00D46D7A" w:rsidP="00D46D7A"/>
    <w:p w14:paraId="6698F99A" w14:textId="04A1D42E" w:rsidR="005A489F" w:rsidRPr="00181EF3" w:rsidRDefault="005A489F" w:rsidP="00F24993">
      <w:pPr>
        <w:pStyle w:val="Heading4"/>
      </w:pPr>
      <w:r w:rsidRPr="00181EF3">
        <w:t xml:space="preserve">Decrease in rate of meningococcal disease notifications for Māori and </w:t>
      </w:r>
      <w:r w:rsidR="00EC03A3">
        <w:t>non</w:t>
      </w:r>
      <w:r w:rsidR="00EC03A3">
        <w:noBreakHyphen/>
        <w:t>M</w:t>
      </w:r>
      <w:r w:rsidRPr="00181EF3">
        <w:t xml:space="preserve">āori </w:t>
      </w:r>
      <w:r w:rsidR="00EC03A3">
        <w:t>non</w:t>
      </w:r>
      <w:r w:rsidR="00EC03A3">
        <w:noBreakHyphen/>
        <w:t>P</w:t>
      </w:r>
      <w:r w:rsidRPr="00181EF3">
        <w:t>acific</w:t>
      </w:r>
    </w:p>
    <w:p w14:paraId="15AC6449" w14:textId="77777777" w:rsidR="005A489F" w:rsidRPr="00181EF3" w:rsidRDefault="005A489F" w:rsidP="00D46D7A">
      <w:r w:rsidRPr="00181EF3">
        <w:t>The Māori rate of meningococcal disease notifications decreased by 83 percent between 2001–03 and 2011–13 (from 35 to 6 notifications per 100,000).</w:t>
      </w:r>
    </w:p>
    <w:p w14:paraId="1190081C" w14:textId="77777777" w:rsidR="005A489F" w:rsidRPr="00181EF3" w:rsidRDefault="005A489F" w:rsidP="00D46D7A"/>
    <w:p w14:paraId="5D93C781" w14:textId="2407BB95" w:rsidR="005A489F" w:rsidRDefault="005A489F" w:rsidP="00D46D7A">
      <w:r w:rsidRPr="00181EF3">
        <w:t xml:space="preserve">In comparison, the rate of meningococcal disease notifications for </w:t>
      </w:r>
      <w:r w:rsidR="00EC03A3">
        <w:t>non</w:t>
      </w:r>
      <w:r w:rsidR="00EC03A3">
        <w:noBreakHyphen/>
        <w:t>M</w:t>
      </w:r>
      <w:r w:rsidRPr="00181EF3">
        <w:t xml:space="preserve">āori </w:t>
      </w:r>
      <w:r w:rsidR="00EC03A3">
        <w:t>non</w:t>
      </w:r>
      <w:r w:rsidR="00EC03A3">
        <w:noBreakHyphen/>
        <w:t>P</w:t>
      </w:r>
      <w:r w:rsidRPr="00181EF3">
        <w:t>acific decreased by 86 percent between 2001–03 and 2011–13 (from 14 to 2 notifications per 100,000).</w:t>
      </w:r>
    </w:p>
    <w:p w14:paraId="77D0F7B7" w14:textId="77777777" w:rsidR="00D46D7A" w:rsidRPr="00181EF3" w:rsidRDefault="00D46D7A" w:rsidP="00D46D7A"/>
    <w:p w14:paraId="09597596" w14:textId="32721728" w:rsidR="005A489F" w:rsidRPr="00181EF3" w:rsidRDefault="005A489F" w:rsidP="00F24993">
      <w:pPr>
        <w:pStyle w:val="Heading4"/>
      </w:pPr>
      <w:r w:rsidRPr="00181EF3">
        <w:t xml:space="preserve">Difference between rate of meningococcal disease notifications for Māori and </w:t>
      </w:r>
      <w:r w:rsidR="00EC03A3">
        <w:t>non</w:t>
      </w:r>
      <w:r w:rsidR="00EC03A3">
        <w:noBreakHyphen/>
        <w:t>M</w:t>
      </w:r>
      <w:r w:rsidRPr="00181EF3">
        <w:t xml:space="preserve">āori </w:t>
      </w:r>
      <w:r w:rsidR="00EC03A3">
        <w:t>non</w:t>
      </w:r>
      <w:r w:rsidR="00EC03A3">
        <w:noBreakHyphen/>
        <w:t>P</w:t>
      </w:r>
      <w:r w:rsidRPr="00181EF3">
        <w:t>acific</w:t>
      </w:r>
    </w:p>
    <w:p w14:paraId="4800A72D" w14:textId="5567CCBB" w:rsidR="005A489F" w:rsidRDefault="005A489F" w:rsidP="005A489F">
      <w:r w:rsidRPr="00181EF3">
        <w:t xml:space="preserve">The rate of meningococcal disease notifications </w:t>
      </w:r>
      <w:r>
        <w:t xml:space="preserve">for Māori </w:t>
      </w:r>
      <w:r w:rsidRPr="00181EF3">
        <w:t xml:space="preserve">was over twice that of </w:t>
      </w:r>
      <w:r w:rsidR="00EC03A3">
        <w:t>non</w:t>
      </w:r>
      <w:r w:rsidR="00EC03A3">
        <w:noBreakHyphen/>
        <w:t>M</w:t>
      </w:r>
      <w:r w:rsidRPr="00181EF3">
        <w:t xml:space="preserve">āori </w:t>
      </w:r>
      <w:r w:rsidR="00EC03A3">
        <w:t>non</w:t>
      </w:r>
      <w:r w:rsidR="00EC03A3">
        <w:noBreakHyphen/>
        <w:t>P</w:t>
      </w:r>
      <w:r w:rsidRPr="00181EF3">
        <w:t xml:space="preserve">acific, this did not change much over time. In 2011–13 the rate of meningococcal disease notifications for Māori was over 2½ times that of </w:t>
      </w:r>
      <w:r w:rsidR="00EC03A3">
        <w:t>non</w:t>
      </w:r>
      <w:r w:rsidR="00EC03A3">
        <w:noBreakHyphen/>
        <w:t>M</w:t>
      </w:r>
      <w:r w:rsidRPr="00181EF3">
        <w:t xml:space="preserve">āori </w:t>
      </w:r>
      <w:r w:rsidR="00EC03A3">
        <w:t>non</w:t>
      </w:r>
      <w:r w:rsidR="00EC03A3">
        <w:noBreakHyphen/>
        <w:t>P</w:t>
      </w:r>
      <w:r w:rsidRPr="00181EF3">
        <w:t>acific (rate ratio of 2.8).</w:t>
      </w:r>
    </w:p>
    <w:p w14:paraId="75F800F6" w14:textId="77777777" w:rsidR="005A489F" w:rsidRPr="00181EF3" w:rsidRDefault="005A489F" w:rsidP="00D46D7A">
      <w:pPr>
        <w:pStyle w:val="Heading3"/>
        <w:pageBreakBefore/>
        <w:spacing w:before="0"/>
      </w:pPr>
      <w:bookmarkStart w:id="523" w:name="_Toc19102500"/>
      <w:r w:rsidRPr="00181EF3">
        <w:lastRenderedPageBreak/>
        <w:t>First episode rheumatic fever hospitalisations</w:t>
      </w:r>
      <w:bookmarkEnd w:id="523"/>
    </w:p>
    <w:p w14:paraId="4649D15B" w14:textId="4D815EAA" w:rsidR="008A598A" w:rsidRDefault="008A598A" w:rsidP="008A598A">
      <w:pPr>
        <w:pStyle w:val="Figure"/>
      </w:pPr>
      <w:bookmarkStart w:id="524" w:name="_Toc19102019"/>
      <w:r w:rsidRPr="00181EF3">
        <w:t xml:space="preserve">Figure </w:t>
      </w:r>
      <w:r>
        <w:t>16</w:t>
      </w:r>
      <w:r w:rsidR="00572A9A">
        <w:t>8</w:t>
      </w:r>
      <w:r w:rsidRPr="00181EF3">
        <w:t xml:space="preserve">: </w:t>
      </w:r>
      <w:r>
        <w:t>F</w:t>
      </w:r>
      <w:r w:rsidRPr="00181EF3">
        <w:t>irst episode rheumatic fever hospitalisation</w:t>
      </w:r>
      <w:r>
        <w:t xml:space="preserve"> rates</w:t>
      </w:r>
      <w:r w:rsidRPr="00181EF3">
        <w:t xml:space="preserve">, Māori and </w:t>
      </w:r>
      <w:r w:rsidR="00EC03A3">
        <w:t>non</w:t>
      </w:r>
      <w:r w:rsidR="00EC03A3">
        <w:noBreakHyphen/>
        <w:t>M</w:t>
      </w:r>
      <w:r w:rsidRPr="00181EF3">
        <w:t>āori</w:t>
      </w:r>
      <w:r>
        <w:t xml:space="preserve"> </w:t>
      </w:r>
      <w:r w:rsidR="00EC03A3">
        <w:t>non</w:t>
      </w:r>
      <w:r w:rsidR="00EC03A3">
        <w:noBreakHyphen/>
        <w:t>P</w:t>
      </w:r>
      <w:r>
        <w:t>acific,</w:t>
      </w:r>
      <w:r w:rsidRPr="00181EF3">
        <w:t xml:space="preserve"> 2001–03 and 2011–13</w:t>
      </w:r>
      <w:bookmarkEnd w:id="524"/>
    </w:p>
    <w:p w14:paraId="18F170CB" w14:textId="77777777" w:rsidR="008A598A" w:rsidRPr="00CC3C2C" w:rsidRDefault="008A598A" w:rsidP="008A598A">
      <w:r w:rsidRPr="00CC3C2C">
        <w:rPr>
          <w:noProof/>
          <w:lang w:eastAsia="en-NZ"/>
        </w:rPr>
        <w:drawing>
          <wp:inline distT="0" distB="0" distL="0" distR="0" wp14:anchorId="453CBD2B" wp14:editId="389F09CC">
            <wp:extent cx="5130165" cy="2599064"/>
            <wp:effectExtent l="0" t="0" r="0" b="0"/>
            <wp:docPr id="474" name="Picture 474" descr="Māori have a higher, increasing rate of rheumatic fever, while the rate for non-Māori is much lower and steady." title="Figure 168: First episode rheumatic fever hospitalisation rates, Māori and non-Māori non-Pacific, 2001-03 and 20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5130165" cy="2599064"/>
                    </a:xfrm>
                    <a:prstGeom prst="rect">
                      <a:avLst/>
                    </a:prstGeom>
                  </pic:spPr>
                </pic:pic>
              </a:graphicData>
            </a:graphic>
          </wp:inline>
        </w:drawing>
      </w:r>
    </w:p>
    <w:p w14:paraId="0180E255" w14:textId="77777777" w:rsidR="008A598A" w:rsidRDefault="008A598A" w:rsidP="00285716">
      <w:pPr>
        <w:pStyle w:val="Note"/>
      </w:pPr>
      <w:r w:rsidRPr="00181EF3">
        <w:t>Note</w:t>
      </w:r>
      <w:r>
        <w:t>s</w:t>
      </w:r>
      <w:r w:rsidRPr="00181EF3">
        <w:t>:</w:t>
      </w:r>
    </w:p>
    <w:p w14:paraId="20044883" w14:textId="2B025A08" w:rsidR="008A5642" w:rsidRDefault="00446D86" w:rsidP="00285716">
      <w:pPr>
        <w:pStyle w:val="Note"/>
      </w:pPr>
      <w:r>
        <w:t>Figures are age-standardised to the 2001 Census total Māori population</w:t>
      </w:r>
      <w:r w:rsidR="008A598A" w:rsidRPr="00181EF3">
        <w:t>.</w:t>
      </w:r>
    </w:p>
    <w:p w14:paraId="2D9ECFC0" w14:textId="405BE245" w:rsidR="008A598A" w:rsidRPr="00181EF3" w:rsidRDefault="008A598A" w:rsidP="00285716">
      <w:pPr>
        <w:pStyle w:val="Note"/>
      </w:pPr>
      <w:r>
        <w:t>Prioritised ethnicity has been used.</w:t>
      </w:r>
    </w:p>
    <w:p w14:paraId="46CB6887" w14:textId="77777777" w:rsidR="008A5642" w:rsidRPr="00D46D7A" w:rsidRDefault="008A598A" w:rsidP="00285716">
      <w:pPr>
        <w:pStyle w:val="Note"/>
        <w:ind w:left="0" w:firstLine="0"/>
        <w:rPr>
          <w:spacing w:val="-2"/>
        </w:rPr>
      </w:pPr>
      <w:r w:rsidRPr="00D46D7A">
        <w:rPr>
          <w:spacing w:val="-2"/>
        </w:rPr>
        <w:t>If the confidence intervals of two rates do not overlap, the difference in rates is said to be statistically significant.</w:t>
      </w:r>
    </w:p>
    <w:p w14:paraId="256BBE8B" w14:textId="5F5E7C17" w:rsidR="008A598A" w:rsidRPr="00181EF3" w:rsidRDefault="008A598A" w:rsidP="00285716">
      <w:pPr>
        <w:pStyle w:val="Note"/>
        <w:rPr>
          <w:rFonts w:eastAsia="Calibri"/>
        </w:rPr>
      </w:pPr>
      <w:r w:rsidRPr="00181EF3">
        <w:rPr>
          <w:rFonts w:eastAsia="Calibri"/>
        </w:rPr>
        <w:t>Source: National Minimum Data Set (NMDS), Ministry of Health</w:t>
      </w:r>
      <w:r>
        <w:rPr>
          <w:rFonts w:eastAsia="Calibri"/>
        </w:rPr>
        <w:t>,</w:t>
      </w:r>
      <w:r w:rsidRPr="00507AA7">
        <w:t xml:space="preserve"> </w:t>
      </w:r>
      <w:r>
        <w:t>2001</w:t>
      </w:r>
      <w:r w:rsidRPr="00181EF3">
        <w:t>–</w:t>
      </w:r>
      <w:r>
        <w:t>03</w:t>
      </w:r>
      <w:r w:rsidRPr="00181EF3">
        <w:t xml:space="preserve"> to 201</w:t>
      </w:r>
      <w:r>
        <w:t>1</w:t>
      </w:r>
      <w:r w:rsidRPr="00181EF3">
        <w:t>–1</w:t>
      </w:r>
      <w:r>
        <w:t>3</w:t>
      </w:r>
      <w:r w:rsidRPr="00181EF3">
        <w:rPr>
          <w:rFonts w:eastAsia="Calibri"/>
        </w:rPr>
        <w:t>.</w:t>
      </w:r>
    </w:p>
    <w:p w14:paraId="31799730" w14:textId="77777777" w:rsidR="005A489F" w:rsidRPr="00181EF3" w:rsidRDefault="005A489F" w:rsidP="00D46D7A"/>
    <w:p w14:paraId="20A9EB39" w14:textId="57CD3D9E" w:rsidR="005A489F" w:rsidRDefault="005A489F" w:rsidP="00D46D7A">
      <w:r w:rsidRPr="00181EF3">
        <w:t xml:space="preserve">Figure </w:t>
      </w:r>
      <w:r w:rsidR="008A598A">
        <w:t>16</w:t>
      </w:r>
      <w:r w:rsidR="00B74586">
        <w:t>8</w:t>
      </w:r>
      <w:r w:rsidRPr="00181EF3">
        <w:t xml:space="preserve"> shows the age-standardised rate of first episode rheumatic fever (RF) hospitalisations for Māori and </w:t>
      </w:r>
      <w:r w:rsidR="00EC03A3">
        <w:t>non</w:t>
      </w:r>
      <w:r w:rsidR="00EC03A3">
        <w:noBreakHyphen/>
        <w:t>M</w:t>
      </w:r>
      <w:r w:rsidRPr="00181EF3">
        <w:t xml:space="preserve">āori </w:t>
      </w:r>
      <w:r w:rsidR="00EC03A3">
        <w:t>non</w:t>
      </w:r>
      <w:r w:rsidR="00EC03A3">
        <w:noBreakHyphen/>
        <w:t>P</w:t>
      </w:r>
      <w:r w:rsidRPr="00181EF3">
        <w:t>acific between 2001–03 and 2011–13.</w:t>
      </w:r>
    </w:p>
    <w:p w14:paraId="6CD9FD29" w14:textId="77777777" w:rsidR="00D46D7A" w:rsidRPr="00181EF3" w:rsidRDefault="00D46D7A" w:rsidP="00D46D7A"/>
    <w:p w14:paraId="31B1BAEE" w14:textId="77777777" w:rsidR="005A489F" w:rsidRPr="00181EF3" w:rsidRDefault="005A489F" w:rsidP="00D46D7A">
      <w:pPr>
        <w:pStyle w:val="Heading4"/>
        <w:spacing w:before="120" w:after="60"/>
      </w:pPr>
      <w:r w:rsidRPr="00181EF3">
        <w:t>The rate of first episode rheumatic fever hospitalisations for Māori increased over time</w:t>
      </w:r>
    </w:p>
    <w:p w14:paraId="70876604" w14:textId="0EBEFBFF" w:rsidR="005A489F" w:rsidRDefault="005A489F" w:rsidP="005A489F">
      <w:r w:rsidRPr="00181EF3">
        <w:t>The Māori rate of first episode RF hospitalisations increased by almost 76 percent between 2001–03 and 2011–13 (from just over 8 in 2001–03 to almost 15 hospitalisations per 100,000 population in 2011–13).</w:t>
      </w:r>
      <w:r w:rsidR="00285716">
        <w:t xml:space="preserve"> </w:t>
      </w:r>
      <w:r w:rsidRPr="00181EF3">
        <w:t xml:space="preserve">In comparison, the </w:t>
      </w:r>
      <w:r w:rsidR="00EC03A3">
        <w:t>non</w:t>
      </w:r>
      <w:r w:rsidR="00EC03A3">
        <w:noBreakHyphen/>
        <w:t>M</w:t>
      </w:r>
      <w:r w:rsidRPr="00181EF3">
        <w:t xml:space="preserve">āori </w:t>
      </w:r>
      <w:r w:rsidR="00EC03A3">
        <w:t>non</w:t>
      </w:r>
      <w:r w:rsidR="00EC03A3">
        <w:noBreakHyphen/>
        <w:t>P</w:t>
      </w:r>
      <w:r w:rsidRPr="00181EF3">
        <w:t>acific rate of first episode RF hospitalisations did not change significantly over this period, remaining less than one hospitalisation per 100,000 population. The hospitalisation rate appears to have declined over this period of time, but the low numbers mean that this change is not statistically significant.</w:t>
      </w:r>
    </w:p>
    <w:p w14:paraId="01D1F3E0" w14:textId="77777777" w:rsidR="00D46D7A" w:rsidRPr="00181EF3" w:rsidRDefault="00D46D7A" w:rsidP="005A489F"/>
    <w:p w14:paraId="59C0BF5F" w14:textId="53227741" w:rsidR="005A489F" w:rsidRPr="00181EF3" w:rsidRDefault="005A489F" w:rsidP="00D46D7A">
      <w:pPr>
        <w:pStyle w:val="Heading4"/>
        <w:spacing w:before="120" w:after="60"/>
      </w:pPr>
      <w:r w:rsidRPr="00181EF3">
        <w:t>The relative difference</w:t>
      </w:r>
      <w:r w:rsidR="008A598A">
        <w:t xml:space="preserve"> in the first episode rheumatic fever hospitalisation rates</w:t>
      </w:r>
      <w:r w:rsidRPr="00181EF3">
        <w:t xml:space="preserve"> between Māori and </w:t>
      </w:r>
      <w:r w:rsidR="00EC03A3">
        <w:t>non</w:t>
      </w:r>
      <w:r w:rsidR="00EC03A3">
        <w:noBreakHyphen/>
        <w:t>M</w:t>
      </w:r>
      <w:r w:rsidRPr="00181EF3">
        <w:t xml:space="preserve">āori </w:t>
      </w:r>
      <w:r w:rsidR="00EC03A3">
        <w:t>non</w:t>
      </w:r>
      <w:r w:rsidR="00EC03A3">
        <w:noBreakHyphen/>
        <w:t>P</w:t>
      </w:r>
      <w:r w:rsidRPr="00181EF3">
        <w:t>acific increased over time</w:t>
      </w:r>
    </w:p>
    <w:p w14:paraId="1E4D155E" w14:textId="5844E94E" w:rsidR="002D68F3" w:rsidRDefault="005A489F" w:rsidP="00D46D7A">
      <w:r w:rsidRPr="00181EF3">
        <w:t xml:space="preserve">Between 2001–03 and 2011–13, the relative difference in rates of first episode RF hospitalisations for Māori and </w:t>
      </w:r>
      <w:r w:rsidR="00EC03A3">
        <w:t>non</w:t>
      </w:r>
      <w:r w:rsidR="00EC03A3">
        <w:noBreakHyphen/>
        <w:t>M</w:t>
      </w:r>
      <w:r w:rsidRPr="00181EF3">
        <w:t xml:space="preserve">āori </w:t>
      </w:r>
      <w:r w:rsidR="00EC03A3">
        <w:t>non</w:t>
      </w:r>
      <w:r w:rsidR="00EC03A3">
        <w:noBreakHyphen/>
        <w:t>P</w:t>
      </w:r>
      <w:r w:rsidRPr="00181EF3">
        <w:t>acific more than trebled. In</w:t>
      </w:r>
      <w:r w:rsidRPr="00181EF3">
        <w:br/>
        <w:t xml:space="preserve">2001–03, the rate of first episode RF hospitalisations for Māori was nearly 9 times the rate for </w:t>
      </w:r>
      <w:r w:rsidR="00EC03A3">
        <w:t>non</w:t>
      </w:r>
      <w:r w:rsidR="00EC03A3">
        <w:noBreakHyphen/>
        <w:t>M</w:t>
      </w:r>
      <w:r w:rsidRPr="00181EF3">
        <w:t xml:space="preserve">āori </w:t>
      </w:r>
      <w:r w:rsidR="00EC03A3">
        <w:t>non</w:t>
      </w:r>
      <w:r w:rsidR="00EC03A3">
        <w:noBreakHyphen/>
        <w:t>P</w:t>
      </w:r>
      <w:r w:rsidRPr="00181EF3">
        <w:t xml:space="preserve">acific. By 2011–13, the rate was almost 30 times the rate for </w:t>
      </w:r>
      <w:r w:rsidR="00EC03A3">
        <w:t>non</w:t>
      </w:r>
      <w:r w:rsidR="00EC03A3">
        <w:noBreakHyphen/>
        <w:t>M</w:t>
      </w:r>
      <w:r w:rsidRPr="00181EF3">
        <w:t xml:space="preserve">āori </w:t>
      </w:r>
      <w:r w:rsidR="00EC03A3">
        <w:t>non</w:t>
      </w:r>
      <w:r w:rsidR="00EC03A3">
        <w:noBreakHyphen/>
        <w:t>P</w:t>
      </w:r>
      <w:r w:rsidRPr="00181EF3">
        <w:t>acific.</w:t>
      </w:r>
    </w:p>
    <w:p w14:paraId="0E39678E" w14:textId="77777777" w:rsidR="002D68F3" w:rsidRPr="00181EF3" w:rsidRDefault="002D68F3" w:rsidP="00D46D7A">
      <w:pPr>
        <w:pStyle w:val="Heading2"/>
        <w:pageBreakBefore/>
        <w:spacing w:before="0"/>
        <w:rPr>
          <w:noProof/>
          <w:lang w:eastAsia="en-NZ"/>
        </w:rPr>
      </w:pPr>
      <w:bookmarkStart w:id="525" w:name="_Toc14718633"/>
      <w:bookmarkStart w:id="526" w:name="_Toc14775056"/>
      <w:bookmarkStart w:id="527" w:name="_Toc19102501"/>
      <w:r w:rsidRPr="00181EF3">
        <w:rPr>
          <w:noProof/>
          <w:lang w:eastAsia="en-NZ"/>
        </w:rPr>
        <w:lastRenderedPageBreak/>
        <w:t>Oral health</w:t>
      </w:r>
      <w:bookmarkEnd w:id="525"/>
      <w:bookmarkEnd w:id="526"/>
      <w:bookmarkEnd w:id="527"/>
    </w:p>
    <w:p w14:paraId="4B467319" w14:textId="2D1ED75B" w:rsidR="002D68F3" w:rsidRPr="00181EF3" w:rsidRDefault="002D68F3" w:rsidP="002D68F3">
      <w:pPr>
        <w:rPr>
          <w:lang w:eastAsia="en-NZ"/>
        </w:rPr>
      </w:pPr>
      <w:r w:rsidRPr="00181EF3">
        <w:rPr>
          <w:lang w:eastAsia="en-NZ"/>
        </w:rPr>
        <w:t xml:space="preserve">This </w:t>
      </w:r>
      <w:r w:rsidR="008A598A">
        <w:rPr>
          <w:lang w:eastAsia="en-NZ"/>
        </w:rPr>
        <w:t>section presents</w:t>
      </w:r>
      <w:r w:rsidRPr="00181EF3">
        <w:rPr>
          <w:lang w:eastAsia="en-NZ"/>
        </w:rPr>
        <w:t xml:space="preserve"> the trends related to oral health from 2002 to 2016 for Māori and </w:t>
      </w:r>
      <w:r w:rsidR="00EC03A3">
        <w:rPr>
          <w:lang w:eastAsia="en-NZ"/>
        </w:rPr>
        <w:t>non</w:t>
      </w:r>
      <w:r w:rsidR="00EC03A3">
        <w:rPr>
          <w:lang w:eastAsia="en-NZ"/>
        </w:rPr>
        <w:noBreakHyphen/>
        <w:t>M</w:t>
      </w:r>
      <w:r w:rsidRPr="00181EF3">
        <w:rPr>
          <w:lang w:eastAsia="en-NZ"/>
        </w:rPr>
        <w:t xml:space="preserve">āori </w:t>
      </w:r>
      <w:r w:rsidR="00EC03A3">
        <w:rPr>
          <w:lang w:eastAsia="en-NZ"/>
        </w:rPr>
        <w:t>non</w:t>
      </w:r>
      <w:r w:rsidR="00EC03A3">
        <w:rPr>
          <w:lang w:eastAsia="en-NZ"/>
        </w:rPr>
        <w:noBreakHyphen/>
        <w:t>P</w:t>
      </w:r>
      <w:r w:rsidRPr="00181EF3">
        <w:rPr>
          <w:lang w:eastAsia="en-NZ"/>
        </w:rPr>
        <w:t>acific children aged five years or in Year 8</w:t>
      </w:r>
      <w:r w:rsidR="00285716">
        <w:rPr>
          <w:lang w:eastAsia="en-NZ"/>
        </w:rPr>
        <w:t>.</w:t>
      </w:r>
      <w:r w:rsidRPr="00181EF3">
        <w:rPr>
          <w:lang w:eastAsia="en-NZ"/>
        </w:rPr>
        <w:t xml:space="preserve"> </w:t>
      </w:r>
      <w:r w:rsidR="00285716">
        <w:rPr>
          <w:lang w:eastAsia="en-NZ"/>
        </w:rPr>
        <w:t>D</w:t>
      </w:r>
      <w:r w:rsidRPr="00181EF3">
        <w:rPr>
          <w:lang w:eastAsia="en-NZ"/>
        </w:rPr>
        <w:t xml:space="preserve">ata </w:t>
      </w:r>
      <w:r w:rsidR="00285716">
        <w:rPr>
          <w:lang w:eastAsia="en-NZ"/>
        </w:rPr>
        <w:t xml:space="preserve">was </w:t>
      </w:r>
      <w:r w:rsidRPr="00181EF3">
        <w:rPr>
          <w:lang w:eastAsia="en-NZ"/>
        </w:rPr>
        <w:t>collected from Community Oral Health Services.</w:t>
      </w:r>
    </w:p>
    <w:p w14:paraId="68BA6EFB" w14:textId="77777777" w:rsidR="002D68F3" w:rsidRPr="00181EF3" w:rsidRDefault="002D68F3" w:rsidP="002D68F3">
      <w:pPr>
        <w:rPr>
          <w:lang w:eastAsia="en-NZ"/>
        </w:rPr>
      </w:pPr>
    </w:p>
    <w:p w14:paraId="53407869" w14:textId="77777777" w:rsidR="002D68F3" w:rsidRPr="00181EF3" w:rsidRDefault="002D68F3" w:rsidP="008A598A">
      <w:pPr>
        <w:pStyle w:val="Heading3"/>
      </w:pPr>
      <w:bookmarkStart w:id="528" w:name="_Toc19102502"/>
      <w:r w:rsidRPr="00181EF3">
        <w:t>What is the data telling us?</w:t>
      </w:r>
      <w:bookmarkEnd w:id="528"/>
    </w:p>
    <w:p w14:paraId="6B583D31" w14:textId="62AABDB5" w:rsidR="002D68F3" w:rsidRPr="00181EF3" w:rsidRDefault="002D68F3" w:rsidP="002D68F3">
      <w:pPr>
        <w:pStyle w:val="Shadedboxbullet"/>
        <w:ind w:left="568" w:hanging="284"/>
      </w:pPr>
      <w:r w:rsidRPr="00181EF3">
        <w:t xml:space="preserve">The mean dmft of Māori children aged five was, on average, twice that of </w:t>
      </w:r>
      <w:r w:rsidR="00EC03A3">
        <w:t>non</w:t>
      </w:r>
      <w:r w:rsidR="00EC03A3">
        <w:noBreakHyphen/>
        <w:t>M</w:t>
      </w:r>
      <w:r w:rsidRPr="00181EF3">
        <w:t xml:space="preserve">āori </w:t>
      </w:r>
      <w:r w:rsidR="00EC03A3">
        <w:t>non</w:t>
      </w:r>
      <w:r w:rsidR="00EC03A3">
        <w:noBreakHyphen/>
        <w:t>P</w:t>
      </w:r>
      <w:r w:rsidRPr="00181EF3">
        <w:t>acific children in the same age group.</w:t>
      </w:r>
    </w:p>
    <w:p w14:paraId="333073F7" w14:textId="74414455" w:rsidR="002D68F3" w:rsidRPr="00181EF3" w:rsidRDefault="002D68F3" w:rsidP="002D68F3">
      <w:pPr>
        <w:pStyle w:val="Shadedboxbullet"/>
        <w:ind w:left="568" w:hanging="284"/>
      </w:pPr>
      <w:r w:rsidRPr="00181EF3">
        <w:t xml:space="preserve">The mean DMFT of Māori children in Year 8 was less than 1.3 times that of </w:t>
      </w:r>
      <w:r w:rsidR="00EC03A3">
        <w:t>non</w:t>
      </w:r>
      <w:r w:rsidR="00EC03A3">
        <w:noBreakHyphen/>
        <w:t>M</w:t>
      </w:r>
      <w:r w:rsidRPr="00181EF3">
        <w:t xml:space="preserve">āori </w:t>
      </w:r>
      <w:r w:rsidR="00EC03A3">
        <w:t>non</w:t>
      </w:r>
      <w:r w:rsidR="00EC03A3">
        <w:noBreakHyphen/>
        <w:t>P</w:t>
      </w:r>
      <w:r w:rsidRPr="00181EF3">
        <w:t>acific children in the same age group.</w:t>
      </w:r>
    </w:p>
    <w:p w14:paraId="64DDAB9C" w14:textId="73FBF1A3" w:rsidR="002D68F3" w:rsidRPr="00181EF3" w:rsidRDefault="002D68F3" w:rsidP="002D68F3">
      <w:pPr>
        <w:pStyle w:val="Shadedboxbullet"/>
        <w:ind w:left="568" w:hanging="284"/>
      </w:pPr>
      <w:r w:rsidRPr="00181EF3">
        <w:t xml:space="preserve">Māori children aged five were less likely to be caries free than </w:t>
      </w:r>
      <w:r w:rsidR="00EC03A3">
        <w:t>non</w:t>
      </w:r>
      <w:r w:rsidR="00EC03A3">
        <w:noBreakHyphen/>
        <w:t>M</w:t>
      </w:r>
      <w:r w:rsidRPr="00181EF3">
        <w:t xml:space="preserve">āori </w:t>
      </w:r>
      <w:r w:rsidR="00EC03A3">
        <w:t>non</w:t>
      </w:r>
      <w:r w:rsidR="00EC03A3">
        <w:noBreakHyphen/>
        <w:t>P</w:t>
      </w:r>
      <w:r w:rsidRPr="00181EF3">
        <w:t>acific children in the same age group between 2002 and 2016.</w:t>
      </w:r>
    </w:p>
    <w:p w14:paraId="270D7A8E" w14:textId="654A9BEE" w:rsidR="002D68F3" w:rsidRPr="00181EF3" w:rsidRDefault="002D68F3" w:rsidP="002D68F3">
      <w:pPr>
        <w:pStyle w:val="Shadedboxbullet"/>
        <w:ind w:left="568" w:hanging="284"/>
      </w:pPr>
      <w:r w:rsidRPr="00181EF3">
        <w:t xml:space="preserve">Māori children in Year 8 were less likely to be caries free than </w:t>
      </w:r>
      <w:r w:rsidR="00EC03A3">
        <w:t>non</w:t>
      </w:r>
      <w:r w:rsidR="00EC03A3">
        <w:noBreakHyphen/>
        <w:t>M</w:t>
      </w:r>
      <w:r w:rsidRPr="00181EF3">
        <w:t xml:space="preserve">āori </w:t>
      </w:r>
      <w:r w:rsidR="00EC03A3">
        <w:t>non</w:t>
      </w:r>
      <w:r w:rsidR="00EC03A3">
        <w:noBreakHyphen/>
        <w:t>P</w:t>
      </w:r>
      <w:r w:rsidRPr="00181EF3">
        <w:t>acific children in the same age group between 2002 and 2016.</w:t>
      </w:r>
    </w:p>
    <w:p w14:paraId="4B236F3B" w14:textId="77777777" w:rsidR="002D68F3" w:rsidRPr="00181EF3" w:rsidRDefault="002D68F3" w:rsidP="002D68F3"/>
    <w:p w14:paraId="296EF583" w14:textId="18EAF11A" w:rsidR="002D68F3" w:rsidRPr="00181EF3" w:rsidRDefault="002D68F3" w:rsidP="00D46D7A">
      <w:pPr>
        <w:pStyle w:val="Heading3"/>
        <w:pageBreakBefore/>
        <w:spacing w:before="0"/>
      </w:pPr>
      <w:bookmarkStart w:id="529" w:name="_Toc19102503"/>
      <w:r w:rsidRPr="00181EF3">
        <w:lastRenderedPageBreak/>
        <w:t>Mean number of decayed, missing and filled teeth (dmft) at five years of age</w:t>
      </w:r>
      <w:bookmarkEnd w:id="529"/>
    </w:p>
    <w:p w14:paraId="20CD7C95" w14:textId="27327611" w:rsidR="008A598A" w:rsidRDefault="008A598A" w:rsidP="00E01121">
      <w:pPr>
        <w:pStyle w:val="Figure"/>
        <w:spacing w:before="0" w:after="60"/>
      </w:pPr>
      <w:bookmarkStart w:id="530" w:name="_Toc19102020"/>
      <w:r w:rsidRPr="00181EF3">
        <w:t xml:space="preserve">Figure </w:t>
      </w:r>
      <w:r>
        <w:rPr>
          <w:noProof/>
        </w:rPr>
        <w:t>16</w:t>
      </w:r>
      <w:r w:rsidR="00572A9A">
        <w:rPr>
          <w:noProof/>
        </w:rPr>
        <w:t>9</w:t>
      </w:r>
      <w:r w:rsidRPr="00181EF3">
        <w:t>: Mean</w:t>
      </w:r>
      <w:r w:rsidRPr="00E830F9">
        <w:t xml:space="preserve"> number of decayed, missing and filled teeth</w:t>
      </w:r>
      <w:r w:rsidRPr="00181EF3">
        <w:t xml:space="preserve"> </w:t>
      </w:r>
      <w:r>
        <w:t>(</w:t>
      </w:r>
      <w:r w:rsidRPr="00181EF3">
        <w:t>dmft</w:t>
      </w:r>
      <w:r>
        <w:t>), 5 years,</w:t>
      </w:r>
      <w:r w:rsidRPr="00181EF3">
        <w:t xml:space="preserve"> Māori and </w:t>
      </w:r>
      <w:r w:rsidR="00EC03A3">
        <w:t>non</w:t>
      </w:r>
      <w:r w:rsidR="00EC03A3">
        <w:noBreakHyphen/>
        <w:t>M</w:t>
      </w:r>
      <w:r w:rsidRPr="00181EF3">
        <w:t>āori</w:t>
      </w:r>
      <w:r>
        <w:t xml:space="preserve"> </w:t>
      </w:r>
      <w:r w:rsidR="00EC03A3">
        <w:t>non</w:t>
      </w:r>
      <w:r w:rsidR="00EC03A3">
        <w:noBreakHyphen/>
        <w:t>P</w:t>
      </w:r>
      <w:r>
        <w:t>acific,</w:t>
      </w:r>
      <w:r w:rsidRPr="00181EF3">
        <w:t xml:space="preserve"> 2002–2016</w:t>
      </w:r>
      <w:bookmarkEnd w:id="530"/>
    </w:p>
    <w:p w14:paraId="06311961" w14:textId="77777777" w:rsidR="008A598A" w:rsidRPr="00CC0D64" w:rsidRDefault="008A598A" w:rsidP="008A598A">
      <w:r w:rsidRPr="00CC0D64">
        <w:rPr>
          <w:noProof/>
          <w:lang w:eastAsia="en-NZ"/>
        </w:rPr>
        <w:drawing>
          <wp:inline distT="0" distB="0" distL="0" distR="0" wp14:anchorId="045131FE" wp14:editId="4837414F">
            <wp:extent cx="4862945" cy="2340835"/>
            <wp:effectExtent l="0" t="0" r="0" b="2540"/>
            <wp:docPr id="267" name="Picture 267" descr="Māori 5 year olds had a higher rate of DMFT than non-Māori 5 year olds. The rate for Māori has decreased more quickly than the rate for non-Māori." title="Figure 169: Mean dmft at five year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0"/>
                    <a:srcRect t="1930" b="2511"/>
                    <a:stretch/>
                  </pic:blipFill>
                  <pic:spPr bwMode="auto">
                    <a:xfrm>
                      <a:off x="0" y="0"/>
                      <a:ext cx="4865944" cy="2342278"/>
                    </a:xfrm>
                    <a:prstGeom prst="rect">
                      <a:avLst/>
                    </a:prstGeom>
                    <a:ln>
                      <a:noFill/>
                    </a:ln>
                    <a:extLst>
                      <a:ext uri="{53640926-AAD7-44D8-BBD7-CCE9431645EC}">
                        <a14:shadowObscured xmlns:a14="http://schemas.microsoft.com/office/drawing/2010/main"/>
                      </a:ext>
                    </a:extLst>
                  </pic:spPr>
                </pic:pic>
              </a:graphicData>
            </a:graphic>
          </wp:inline>
        </w:drawing>
      </w:r>
    </w:p>
    <w:p w14:paraId="24A74906" w14:textId="16123B67" w:rsidR="008A598A" w:rsidRPr="00181EF3" w:rsidRDefault="008A598A" w:rsidP="00E01121">
      <w:pPr>
        <w:pStyle w:val="Note"/>
        <w:spacing w:before="40"/>
        <w:ind w:left="0" w:firstLine="0"/>
      </w:pPr>
      <w:r w:rsidRPr="00181EF3">
        <w:t xml:space="preserve">Note: If </w:t>
      </w:r>
      <w:r>
        <w:t xml:space="preserve">the </w:t>
      </w:r>
      <w:r w:rsidRPr="00181EF3">
        <w:t xml:space="preserve">confidence intervals </w:t>
      </w:r>
      <w:r>
        <w:t xml:space="preserve">of two </w:t>
      </w:r>
      <w:r w:rsidR="00285716">
        <w:t>mean</w:t>
      </w:r>
      <w:r>
        <w:t xml:space="preserve">s </w:t>
      </w:r>
      <w:r w:rsidRPr="00181EF3">
        <w:t>do not overlap</w:t>
      </w:r>
      <w:r>
        <w:t>,</w:t>
      </w:r>
      <w:r w:rsidRPr="00181EF3">
        <w:t xml:space="preserve"> the difference </w:t>
      </w:r>
      <w:r>
        <w:t xml:space="preserve">in </w:t>
      </w:r>
      <w:r w:rsidR="00285716">
        <w:t>mean</w:t>
      </w:r>
      <w:r>
        <w:t xml:space="preserve">s </w:t>
      </w:r>
      <w:r w:rsidRPr="00181EF3">
        <w:t xml:space="preserve">is said to be </w:t>
      </w:r>
      <w:r>
        <w:t xml:space="preserve">statistically </w:t>
      </w:r>
      <w:r w:rsidRPr="00181EF3">
        <w:t>significant.</w:t>
      </w:r>
    </w:p>
    <w:p w14:paraId="40A93A28" w14:textId="58AF456C" w:rsidR="008A598A" w:rsidRPr="00181EF3" w:rsidRDefault="008A598A" w:rsidP="00E01121">
      <w:pPr>
        <w:pStyle w:val="Note"/>
        <w:spacing w:before="40"/>
        <w:ind w:left="0" w:firstLine="0"/>
      </w:pPr>
      <w:r w:rsidRPr="00181EF3">
        <w:t>Source: Community Oral Health Services</w:t>
      </w:r>
      <w:r w:rsidR="00285716">
        <w:t>,</w:t>
      </w:r>
      <w:r w:rsidRPr="00181EF3">
        <w:t xml:space="preserve"> 2002–2016.</w:t>
      </w:r>
    </w:p>
    <w:p w14:paraId="348974A8" w14:textId="5EB22D63" w:rsidR="002D68F3" w:rsidRDefault="002D68F3" w:rsidP="00E01121">
      <w:pPr>
        <w:spacing w:before="200"/>
      </w:pPr>
      <w:r w:rsidRPr="00181EF3">
        <w:t>Figure 1</w:t>
      </w:r>
      <w:r w:rsidR="008A598A">
        <w:t>6</w:t>
      </w:r>
      <w:r w:rsidR="00B74586">
        <w:t>9</w:t>
      </w:r>
      <w:r w:rsidRPr="00181EF3">
        <w:t xml:space="preserve"> shows the difference in the mean number of decayed, missing and filled teeth (dmft) between 2002 and 2016 for Māori and </w:t>
      </w:r>
      <w:r w:rsidR="00EC03A3">
        <w:t>non</w:t>
      </w:r>
      <w:r w:rsidR="00EC03A3">
        <w:noBreakHyphen/>
        <w:t>M</w:t>
      </w:r>
      <w:r w:rsidRPr="00181EF3">
        <w:t xml:space="preserve">āori </w:t>
      </w:r>
      <w:r w:rsidR="00EC03A3">
        <w:t>non</w:t>
      </w:r>
      <w:r w:rsidR="00EC03A3">
        <w:noBreakHyphen/>
        <w:t>P</w:t>
      </w:r>
      <w:r w:rsidRPr="00181EF3">
        <w:t>acific children at five years of age. See the attached Excel tool for figures showing the rate ratio, fluoridated and non-fluoridated data.</w:t>
      </w:r>
    </w:p>
    <w:p w14:paraId="55A44E1E" w14:textId="77777777" w:rsidR="00D46D7A" w:rsidRPr="00181EF3" w:rsidRDefault="00D46D7A" w:rsidP="002D68F3"/>
    <w:p w14:paraId="184D0F4D" w14:textId="77777777" w:rsidR="002D68F3" w:rsidRPr="00181EF3" w:rsidRDefault="002D68F3" w:rsidP="00E01121">
      <w:pPr>
        <w:pStyle w:val="Heading4"/>
        <w:spacing w:before="60" w:after="60"/>
      </w:pPr>
      <w:r w:rsidRPr="00181EF3">
        <w:t>Decrease in mean dmft for Māori children aged five between 2002 and 2016</w:t>
      </w:r>
    </w:p>
    <w:p w14:paraId="5F50AE46" w14:textId="77777777" w:rsidR="002D68F3" w:rsidRPr="00181EF3" w:rsidRDefault="002D68F3" w:rsidP="002D68F3">
      <w:r w:rsidRPr="00181EF3">
        <w:t>The mean dmft for Māori aged five in 2002 decreased by 18.2 percent from 3.6 teeth in 2002 to 2.9 in 2016. Māori five-year-olds living in fluoridated areas had a decrease in the mean dmft by 7.7 percent between 2002 and 2016, whereas those living in non-fluoridated areas had a decrease of 24.8 percent over this period.</w:t>
      </w:r>
    </w:p>
    <w:p w14:paraId="2546FF57" w14:textId="18924F0A" w:rsidR="002D68F3" w:rsidRDefault="002D68F3" w:rsidP="00E01121">
      <w:pPr>
        <w:spacing w:before="200"/>
      </w:pPr>
      <w:r w:rsidRPr="00181EF3">
        <w:t xml:space="preserve">The mean dmft for </w:t>
      </w:r>
      <w:r w:rsidR="00EC03A3">
        <w:t>non</w:t>
      </w:r>
      <w:r w:rsidR="00EC03A3">
        <w:noBreakHyphen/>
        <w:t>M</w:t>
      </w:r>
      <w:r w:rsidRPr="00181EF3">
        <w:t xml:space="preserve">āori </w:t>
      </w:r>
      <w:r w:rsidR="00EC03A3">
        <w:t>non</w:t>
      </w:r>
      <w:r w:rsidR="00EC03A3">
        <w:noBreakHyphen/>
        <w:t>P</w:t>
      </w:r>
      <w:r w:rsidRPr="00181EF3">
        <w:t xml:space="preserve">acific aged five in 2002 was 1.5 teeth, this decreased to 1.2 in 2016, a decrease of 21.3 percent. </w:t>
      </w:r>
      <w:r w:rsidR="00EC03A3">
        <w:t>Non</w:t>
      </w:r>
      <w:r w:rsidR="00EC03A3">
        <w:noBreakHyphen/>
        <w:t>M</w:t>
      </w:r>
      <w:r w:rsidRPr="00181EF3">
        <w:t xml:space="preserve">āori </w:t>
      </w:r>
      <w:r w:rsidR="00EC03A3">
        <w:t>non</w:t>
      </w:r>
      <w:r w:rsidR="00EC03A3">
        <w:noBreakHyphen/>
        <w:t>P</w:t>
      </w:r>
      <w:r w:rsidRPr="00181EF3">
        <w:t xml:space="preserve">acific five-year-olds living in non-fluoridated areas showed the largest decrease in mean dmft, dropping by 37.8 percent, whereas </w:t>
      </w:r>
      <w:r w:rsidR="00EC03A3">
        <w:t>non</w:t>
      </w:r>
      <w:r w:rsidR="00EC03A3">
        <w:noBreakHyphen/>
        <w:t>M</w:t>
      </w:r>
      <w:r w:rsidRPr="00181EF3">
        <w:t xml:space="preserve">āori </w:t>
      </w:r>
      <w:r w:rsidR="00EC03A3">
        <w:t>non</w:t>
      </w:r>
      <w:r w:rsidR="00EC03A3">
        <w:noBreakHyphen/>
        <w:t>P</w:t>
      </w:r>
      <w:r w:rsidRPr="00181EF3">
        <w:t>acific five-year-olds living in fluoridated areas had an increase of 9.5 percent in mean dmft (an increase from 1.05 in 2002 to 1.15 teeth in 2016).</w:t>
      </w:r>
    </w:p>
    <w:p w14:paraId="1B55A885" w14:textId="77777777" w:rsidR="00D46D7A" w:rsidRPr="00181EF3" w:rsidRDefault="00D46D7A" w:rsidP="002D68F3"/>
    <w:p w14:paraId="2FBE6FF8" w14:textId="32B12F13" w:rsidR="002D68F3" w:rsidRPr="00181EF3" w:rsidRDefault="002D68F3" w:rsidP="00E01121">
      <w:pPr>
        <w:pStyle w:val="Heading4"/>
        <w:spacing w:before="60" w:after="60"/>
      </w:pPr>
      <w:r w:rsidRPr="00181EF3">
        <w:t xml:space="preserve">Difference </w:t>
      </w:r>
      <w:r w:rsidR="008A598A">
        <w:t xml:space="preserve">in mean dmft </w:t>
      </w:r>
      <w:r w:rsidRPr="00181EF3">
        <w:t xml:space="preserve">between Māori and </w:t>
      </w:r>
      <w:r w:rsidR="00EC03A3">
        <w:t>non</w:t>
      </w:r>
      <w:r w:rsidR="00EC03A3">
        <w:noBreakHyphen/>
        <w:t>M</w:t>
      </w:r>
      <w:r w:rsidRPr="00181EF3">
        <w:t xml:space="preserve">āori </w:t>
      </w:r>
      <w:r w:rsidR="00EC03A3">
        <w:t>non</w:t>
      </w:r>
      <w:r w:rsidR="00EC03A3">
        <w:noBreakHyphen/>
        <w:t>P</w:t>
      </w:r>
      <w:r w:rsidRPr="00181EF3">
        <w:t>acific aged five remained significant over time</w:t>
      </w:r>
    </w:p>
    <w:p w14:paraId="37DA3BE2" w14:textId="1AD44534" w:rsidR="002D68F3" w:rsidRDefault="002D68F3" w:rsidP="00D46D7A">
      <w:r w:rsidRPr="00181EF3">
        <w:t xml:space="preserve">The difference in mean dmft between Māori and </w:t>
      </w:r>
      <w:r w:rsidR="00EC03A3">
        <w:t>non</w:t>
      </w:r>
      <w:r w:rsidR="00EC03A3">
        <w:noBreakHyphen/>
        <w:t>M</w:t>
      </w:r>
      <w:r w:rsidRPr="00181EF3">
        <w:t xml:space="preserve">āori </w:t>
      </w:r>
      <w:r w:rsidR="00EC03A3">
        <w:t>non</w:t>
      </w:r>
      <w:r w:rsidR="00EC03A3">
        <w:noBreakHyphen/>
        <w:t>P</w:t>
      </w:r>
      <w:r w:rsidRPr="00181EF3">
        <w:t xml:space="preserve">acific children aged five remained significant between 2002 and 2016. On average, the mean dmft for Māori five-year-olds was nearly 2½ times that of </w:t>
      </w:r>
      <w:r w:rsidR="00EC03A3">
        <w:t>non</w:t>
      </w:r>
      <w:r w:rsidR="00EC03A3">
        <w:noBreakHyphen/>
        <w:t>M</w:t>
      </w:r>
      <w:r w:rsidRPr="00181EF3">
        <w:t xml:space="preserve">āori </w:t>
      </w:r>
      <w:r w:rsidR="00EC03A3">
        <w:t>non</w:t>
      </w:r>
      <w:r w:rsidR="00EC03A3">
        <w:noBreakHyphen/>
        <w:t>P</w:t>
      </w:r>
      <w:r w:rsidRPr="00181EF3">
        <w:t>acific children, regardless of whether they lived in a fluoridated area or not, between 2002 and 2016.</w:t>
      </w:r>
    </w:p>
    <w:p w14:paraId="6876EEFF" w14:textId="77777777" w:rsidR="002D68F3" w:rsidRPr="00181EF3" w:rsidRDefault="002D68F3" w:rsidP="00E01121">
      <w:pPr>
        <w:pStyle w:val="Heading3"/>
        <w:pageBreakBefore/>
        <w:spacing w:before="0"/>
      </w:pPr>
      <w:bookmarkStart w:id="531" w:name="_Toc19102504"/>
      <w:r w:rsidRPr="00181EF3">
        <w:lastRenderedPageBreak/>
        <w:t>Mean number of decayed, missing and filled teeth (DMFT) at school Year 8</w:t>
      </w:r>
      <w:bookmarkEnd w:id="531"/>
    </w:p>
    <w:p w14:paraId="35BB8D12" w14:textId="16E15C72" w:rsidR="008A598A" w:rsidRDefault="008A598A" w:rsidP="008A598A">
      <w:pPr>
        <w:pStyle w:val="Figure"/>
      </w:pPr>
      <w:bookmarkStart w:id="532" w:name="_Toc19102021"/>
      <w:r w:rsidRPr="00181EF3">
        <w:t xml:space="preserve">Figure </w:t>
      </w:r>
      <w:r>
        <w:rPr>
          <w:noProof/>
        </w:rPr>
        <w:t>1</w:t>
      </w:r>
      <w:r w:rsidR="00572A9A">
        <w:rPr>
          <w:noProof/>
        </w:rPr>
        <w:t>70</w:t>
      </w:r>
      <w:r w:rsidRPr="00181EF3">
        <w:t xml:space="preserve">: Mean </w:t>
      </w:r>
      <w:r w:rsidRPr="00E830F9">
        <w:t xml:space="preserve">number of decayed, missing and filled teeth </w:t>
      </w:r>
      <w:r>
        <w:t>(</w:t>
      </w:r>
      <w:r w:rsidRPr="00181EF3">
        <w:t>DMFT</w:t>
      </w:r>
      <w:r>
        <w:t>), Year 8,</w:t>
      </w:r>
      <w:r w:rsidRPr="00181EF3">
        <w:t xml:space="preserve"> Māori and </w:t>
      </w:r>
      <w:r w:rsidR="00EC03A3">
        <w:t>non</w:t>
      </w:r>
      <w:r w:rsidR="00EC03A3">
        <w:noBreakHyphen/>
        <w:t>M</w:t>
      </w:r>
      <w:r w:rsidRPr="00181EF3">
        <w:t>āori</w:t>
      </w:r>
      <w:r>
        <w:t xml:space="preserve"> </w:t>
      </w:r>
      <w:r w:rsidR="00EC03A3">
        <w:t>non</w:t>
      </w:r>
      <w:r w:rsidR="00EC03A3">
        <w:noBreakHyphen/>
        <w:t>P</w:t>
      </w:r>
      <w:r>
        <w:t>acific</w:t>
      </w:r>
      <w:r w:rsidRPr="00181EF3">
        <w:t>, 2002–2016</w:t>
      </w:r>
      <w:bookmarkEnd w:id="532"/>
    </w:p>
    <w:p w14:paraId="771FBC9C" w14:textId="77777777" w:rsidR="008A598A" w:rsidRPr="00CC0D64" w:rsidRDefault="008A598A" w:rsidP="008A598A">
      <w:r w:rsidRPr="00CC0D64">
        <w:rPr>
          <w:noProof/>
          <w:lang w:eastAsia="en-NZ"/>
        </w:rPr>
        <w:drawing>
          <wp:inline distT="0" distB="0" distL="0" distR="0" wp14:anchorId="6A649CD1" wp14:editId="257E0B2D">
            <wp:extent cx="5130165" cy="2584266"/>
            <wp:effectExtent l="0" t="0" r="0" b="6985"/>
            <wp:docPr id="268" name="Picture 268" descr="Māori children in year 8 have a higher DMFT rate than non-Māori children, but the rate for both has decreased over time." title="Figure 170: Mean DMFT for children in Ye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tretch>
                      <a:fillRect/>
                    </a:stretch>
                  </pic:blipFill>
                  <pic:spPr>
                    <a:xfrm>
                      <a:off x="0" y="0"/>
                      <a:ext cx="5130165" cy="2584266"/>
                    </a:xfrm>
                    <a:prstGeom prst="rect">
                      <a:avLst/>
                    </a:prstGeom>
                  </pic:spPr>
                </pic:pic>
              </a:graphicData>
            </a:graphic>
          </wp:inline>
        </w:drawing>
      </w:r>
    </w:p>
    <w:p w14:paraId="17939B0B" w14:textId="27C7E2A0" w:rsidR="008A598A" w:rsidRPr="00181EF3" w:rsidRDefault="008A598A" w:rsidP="001C62E1">
      <w:pPr>
        <w:pStyle w:val="Note"/>
        <w:ind w:left="0" w:firstLine="0"/>
      </w:pPr>
      <w:r w:rsidRPr="00181EF3">
        <w:t xml:space="preserve">Note: If </w:t>
      </w:r>
      <w:r>
        <w:t xml:space="preserve">the </w:t>
      </w:r>
      <w:r w:rsidRPr="00181EF3">
        <w:t>confidence intervals</w:t>
      </w:r>
      <w:r>
        <w:t xml:space="preserve"> of two </w:t>
      </w:r>
      <w:r w:rsidR="00285716">
        <w:t>mean</w:t>
      </w:r>
      <w:r>
        <w:t>s</w:t>
      </w:r>
      <w:r w:rsidRPr="00181EF3">
        <w:t xml:space="preserve"> do not overlap</w:t>
      </w:r>
      <w:r>
        <w:t>,</w:t>
      </w:r>
      <w:r w:rsidRPr="00181EF3">
        <w:t xml:space="preserve"> the difference</w:t>
      </w:r>
      <w:r>
        <w:t xml:space="preserve"> in </w:t>
      </w:r>
      <w:r w:rsidR="00285716">
        <w:t>mean</w:t>
      </w:r>
      <w:r>
        <w:t>s</w:t>
      </w:r>
      <w:r w:rsidRPr="00181EF3">
        <w:t xml:space="preserve"> is said to be </w:t>
      </w:r>
      <w:r>
        <w:t xml:space="preserve">statistically </w:t>
      </w:r>
      <w:r w:rsidRPr="00181EF3">
        <w:t>significant.</w:t>
      </w:r>
    </w:p>
    <w:p w14:paraId="14AFBDE7" w14:textId="3A4DE0A1" w:rsidR="008A598A" w:rsidRPr="00181EF3" w:rsidRDefault="008A598A" w:rsidP="001C62E1">
      <w:pPr>
        <w:pStyle w:val="Note"/>
        <w:ind w:left="0" w:firstLine="0"/>
      </w:pPr>
      <w:r w:rsidRPr="00181EF3">
        <w:t>Source: Community Oral Health Services</w:t>
      </w:r>
      <w:r w:rsidR="00285716">
        <w:t>,</w:t>
      </w:r>
      <w:r w:rsidRPr="00181EF3">
        <w:t xml:space="preserve"> 2002–2016.</w:t>
      </w:r>
    </w:p>
    <w:p w14:paraId="4B52888A" w14:textId="77777777" w:rsidR="00E01121" w:rsidRDefault="00E01121" w:rsidP="00E01121"/>
    <w:p w14:paraId="0512759C" w14:textId="04832649" w:rsidR="002D68F3" w:rsidRDefault="002D68F3" w:rsidP="00E01121">
      <w:r w:rsidRPr="00181EF3">
        <w:t xml:space="preserve">Figure </w:t>
      </w:r>
      <w:r w:rsidR="008A598A">
        <w:t>1</w:t>
      </w:r>
      <w:r w:rsidR="00B74586">
        <w:t>70</w:t>
      </w:r>
      <w:r w:rsidRPr="00181EF3">
        <w:t xml:space="preserve"> shows the mean DMFT for Māori and </w:t>
      </w:r>
      <w:r w:rsidR="00EC03A3">
        <w:t>non</w:t>
      </w:r>
      <w:r w:rsidR="00EC03A3">
        <w:noBreakHyphen/>
        <w:t>M</w:t>
      </w:r>
      <w:r w:rsidRPr="00181EF3">
        <w:t xml:space="preserve">āori </w:t>
      </w:r>
      <w:r w:rsidR="00EC03A3">
        <w:t>non</w:t>
      </w:r>
      <w:r w:rsidR="00EC03A3">
        <w:noBreakHyphen/>
        <w:t>P</w:t>
      </w:r>
      <w:r w:rsidRPr="00181EF3">
        <w:t>acific children in Year 8, between 2002 and 2016. See the attached Excel tool for figures showing the rate ratio, fluoridated and non-fluoridated data.</w:t>
      </w:r>
    </w:p>
    <w:p w14:paraId="384CFE49" w14:textId="77777777" w:rsidR="00E01121" w:rsidRPr="00181EF3" w:rsidRDefault="00E01121" w:rsidP="00E01121"/>
    <w:p w14:paraId="3036A7F5" w14:textId="77777777" w:rsidR="002D68F3" w:rsidRPr="00181EF3" w:rsidRDefault="002D68F3" w:rsidP="008A598A">
      <w:pPr>
        <w:pStyle w:val="Heading4"/>
      </w:pPr>
      <w:r w:rsidRPr="00181EF3">
        <w:t>Mean DMFT in Māori children in Year 8 fluctuated between 2002 and 2016</w:t>
      </w:r>
    </w:p>
    <w:p w14:paraId="3BD62404" w14:textId="4779392F" w:rsidR="008A598A" w:rsidRPr="00181EF3" w:rsidRDefault="008A598A" w:rsidP="008A598A">
      <w:r w:rsidRPr="00181EF3">
        <w:t xml:space="preserve">In 2016 the mean DMFT for Māori children in Year 8 was 1.4. In comparison, the mean DMFT for </w:t>
      </w:r>
      <w:r w:rsidR="00EC03A3">
        <w:t>non</w:t>
      </w:r>
      <w:r w:rsidR="00EC03A3">
        <w:noBreakHyphen/>
        <w:t>M</w:t>
      </w:r>
      <w:r w:rsidRPr="00181EF3">
        <w:t xml:space="preserve">āori </w:t>
      </w:r>
      <w:r w:rsidR="00EC03A3">
        <w:t>non</w:t>
      </w:r>
      <w:r w:rsidR="00EC03A3">
        <w:noBreakHyphen/>
        <w:t>P</w:t>
      </w:r>
      <w:r w:rsidRPr="00181EF3">
        <w:t>acific children of the same age was 0.7.</w:t>
      </w:r>
    </w:p>
    <w:p w14:paraId="21308845" w14:textId="77777777" w:rsidR="008A598A" w:rsidRDefault="008A598A" w:rsidP="002D68F3"/>
    <w:p w14:paraId="5DE8783C" w14:textId="77777777" w:rsidR="002D68F3" w:rsidRPr="00181EF3" w:rsidRDefault="002D68F3" w:rsidP="002D68F3">
      <w:r w:rsidRPr="00181EF3">
        <w:t>Overall, the mean DMFT for Māori children in Year 8 increased from 2002 to 2007 by 39.9 percent (1.7 to 2.4 teeth) and decreased from 2007 to 2016 by 44.3 percent (2.4 to 1.4 teeth).</w:t>
      </w:r>
    </w:p>
    <w:p w14:paraId="3A598657" w14:textId="77777777" w:rsidR="002D68F3" w:rsidRPr="00181EF3" w:rsidRDefault="002D68F3" w:rsidP="002D68F3"/>
    <w:p w14:paraId="17838AB4" w14:textId="2FE0EFE0" w:rsidR="002D68F3" w:rsidRDefault="00285716" w:rsidP="002D68F3">
      <w:r>
        <w:t xml:space="preserve">The </w:t>
      </w:r>
      <w:r w:rsidRPr="00181EF3">
        <w:t>mean DMFT</w:t>
      </w:r>
      <w:r>
        <w:t xml:space="preserve"> for n</w:t>
      </w:r>
      <w:r w:rsidR="00EC03A3">
        <w:t>on</w:t>
      </w:r>
      <w:r w:rsidR="00EC03A3">
        <w:noBreakHyphen/>
        <w:t>M</w:t>
      </w:r>
      <w:r w:rsidR="002D68F3" w:rsidRPr="00181EF3">
        <w:t xml:space="preserve">āori </w:t>
      </w:r>
      <w:r w:rsidR="00EC03A3">
        <w:t>non</w:t>
      </w:r>
      <w:r w:rsidR="00EC03A3">
        <w:noBreakHyphen/>
        <w:t>P</w:t>
      </w:r>
      <w:r w:rsidR="002D68F3" w:rsidRPr="00181EF3">
        <w:t xml:space="preserve">acific children in Year 8 followed a similar trend increasing from 1.4 teeth in 2002 to 1.6 teeth in 2007, an increase of 15.3 percent. The mean DMFT for </w:t>
      </w:r>
      <w:r w:rsidR="00EC03A3">
        <w:t>non</w:t>
      </w:r>
      <w:r w:rsidR="00EC03A3">
        <w:noBreakHyphen/>
        <w:t>M</w:t>
      </w:r>
      <w:r w:rsidR="002D68F3" w:rsidRPr="00181EF3">
        <w:t xml:space="preserve">āori </w:t>
      </w:r>
      <w:r w:rsidR="00EC03A3">
        <w:t>non</w:t>
      </w:r>
      <w:r w:rsidR="00EC03A3">
        <w:noBreakHyphen/>
        <w:t>P</w:t>
      </w:r>
      <w:r w:rsidR="002D68F3" w:rsidRPr="00181EF3">
        <w:t>acific also decreased from 1.6 teeth in 2007 to 0.7 teeth in 2016, a decrease of 56.6 percent.</w:t>
      </w:r>
    </w:p>
    <w:p w14:paraId="7CC3FC6D" w14:textId="77777777" w:rsidR="00E01121" w:rsidRPr="00181EF3" w:rsidRDefault="00E01121" w:rsidP="002D68F3"/>
    <w:p w14:paraId="2C6CDFBA" w14:textId="026B0452" w:rsidR="002D68F3" w:rsidRPr="00181EF3" w:rsidRDefault="002D68F3" w:rsidP="008A598A">
      <w:pPr>
        <w:pStyle w:val="Heading4"/>
      </w:pPr>
      <w:r w:rsidRPr="00181EF3">
        <w:lastRenderedPageBreak/>
        <w:t xml:space="preserve">Difference in mean DMFT between Māori and </w:t>
      </w:r>
      <w:r w:rsidR="00EC03A3">
        <w:t>non</w:t>
      </w:r>
      <w:r w:rsidR="00EC03A3">
        <w:noBreakHyphen/>
        <w:t>M</w:t>
      </w:r>
      <w:r w:rsidRPr="00181EF3">
        <w:t xml:space="preserve">āori </w:t>
      </w:r>
      <w:r w:rsidR="00EC03A3">
        <w:t>non</w:t>
      </w:r>
      <w:r w:rsidR="00EC03A3">
        <w:noBreakHyphen/>
        <w:t>P</w:t>
      </w:r>
      <w:r w:rsidRPr="00181EF3">
        <w:t>acific decreased from 2004</w:t>
      </w:r>
    </w:p>
    <w:p w14:paraId="67CFAF38" w14:textId="0C7991F8" w:rsidR="002D68F3" w:rsidRPr="00181EF3" w:rsidRDefault="002D68F3" w:rsidP="00E01121">
      <w:pPr>
        <w:keepNext/>
      </w:pPr>
      <w:r w:rsidRPr="00181EF3">
        <w:t xml:space="preserve">The difference in mean DMFT for children in Year 8 between Māori and </w:t>
      </w:r>
      <w:r w:rsidR="00EC03A3">
        <w:t>non</w:t>
      </w:r>
      <w:r w:rsidR="00EC03A3">
        <w:noBreakHyphen/>
        <w:t>M</w:t>
      </w:r>
      <w:r w:rsidRPr="00181EF3">
        <w:t xml:space="preserve">āori </w:t>
      </w:r>
      <w:r w:rsidR="00EC03A3">
        <w:t>non</w:t>
      </w:r>
      <w:r w:rsidR="00EC03A3">
        <w:noBreakHyphen/>
        <w:t>P</w:t>
      </w:r>
      <w:r w:rsidRPr="00181EF3">
        <w:t>acific decreased from 1.0 in 2004 to 0.7 in 2016, a decrease of 31.3 percent.</w:t>
      </w:r>
    </w:p>
    <w:p w14:paraId="2581F094" w14:textId="77777777" w:rsidR="002D68F3" w:rsidRPr="00181EF3" w:rsidRDefault="002D68F3" w:rsidP="002D68F3"/>
    <w:p w14:paraId="04F73390" w14:textId="45EEB514" w:rsidR="002D68F3" w:rsidRPr="00181EF3" w:rsidRDefault="002D68F3" w:rsidP="002D68F3">
      <w:r w:rsidRPr="00181EF3">
        <w:t xml:space="preserve">In 2002, the mean DMFT of Māori children in Year 8 was less than 1.3 times the mean DMFT of </w:t>
      </w:r>
      <w:r w:rsidR="00EC03A3">
        <w:t>non</w:t>
      </w:r>
      <w:r w:rsidR="00EC03A3">
        <w:noBreakHyphen/>
        <w:t>M</w:t>
      </w:r>
      <w:r w:rsidRPr="00181EF3">
        <w:t xml:space="preserve">āori </w:t>
      </w:r>
      <w:r w:rsidR="00EC03A3">
        <w:t>non</w:t>
      </w:r>
      <w:r w:rsidR="00EC03A3">
        <w:noBreakHyphen/>
        <w:t>P</w:t>
      </w:r>
      <w:r w:rsidRPr="00181EF3">
        <w:t xml:space="preserve">acific children of the same age. This increased to 2016, where the mean DMFT of Māori children in Year 8 was nearly twice the mean DMFT of </w:t>
      </w:r>
      <w:r w:rsidR="00EC03A3">
        <w:t>non</w:t>
      </w:r>
      <w:r w:rsidR="00EC03A3">
        <w:noBreakHyphen/>
        <w:t>M</w:t>
      </w:r>
      <w:r w:rsidRPr="00181EF3">
        <w:t xml:space="preserve">āori </w:t>
      </w:r>
      <w:r w:rsidR="00EC03A3">
        <w:t>non</w:t>
      </w:r>
      <w:r w:rsidR="00EC03A3">
        <w:noBreakHyphen/>
        <w:t>P</w:t>
      </w:r>
      <w:r w:rsidRPr="00181EF3">
        <w:t>acific children in the same age group.</w:t>
      </w:r>
    </w:p>
    <w:p w14:paraId="1A81CDF7" w14:textId="77777777" w:rsidR="002D68F3" w:rsidRPr="00181EF3" w:rsidRDefault="002D68F3" w:rsidP="002D68F3"/>
    <w:p w14:paraId="087AA352" w14:textId="3C6A868B" w:rsidR="002D68F3" w:rsidRPr="008A598A" w:rsidRDefault="002D68F3" w:rsidP="00E01121">
      <w:pPr>
        <w:pStyle w:val="Heading3"/>
        <w:pageBreakBefore/>
        <w:spacing w:before="0"/>
      </w:pPr>
      <w:bookmarkStart w:id="533" w:name="_Toc19102505"/>
      <w:r w:rsidRPr="008A598A">
        <w:lastRenderedPageBreak/>
        <w:t>Caries free at five years of age</w:t>
      </w:r>
      <w:bookmarkEnd w:id="533"/>
    </w:p>
    <w:p w14:paraId="63D8322A" w14:textId="5D76B606" w:rsidR="00147107" w:rsidRDefault="00147107" w:rsidP="00E01121">
      <w:pPr>
        <w:pStyle w:val="Figure"/>
        <w:spacing w:before="60" w:after="60"/>
      </w:pPr>
      <w:bookmarkStart w:id="534" w:name="_Toc19102022"/>
      <w:r w:rsidRPr="00181EF3">
        <w:t xml:space="preserve">Figure </w:t>
      </w:r>
      <w:r>
        <w:rPr>
          <w:noProof/>
        </w:rPr>
        <w:t>17</w:t>
      </w:r>
      <w:r w:rsidR="00572A9A">
        <w:rPr>
          <w:noProof/>
        </w:rPr>
        <w:t>1</w:t>
      </w:r>
      <w:r w:rsidRPr="00181EF3">
        <w:t>: Percentage of caries-free children</w:t>
      </w:r>
      <w:r>
        <w:t>,</w:t>
      </w:r>
      <w:r w:rsidRPr="00181EF3">
        <w:t xml:space="preserve"> </w:t>
      </w:r>
      <w:r>
        <w:t xml:space="preserve">5 years, </w:t>
      </w:r>
      <w:r w:rsidRPr="00181EF3">
        <w:t xml:space="preserve">Māori and </w:t>
      </w:r>
      <w:r w:rsidR="00EC03A3">
        <w:t>non</w:t>
      </w:r>
      <w:r w:rsidR="00EC03A3">
        <w:noBreakHyphen/>
        <w:t>M</w:t>
      </w:r>
      <w:r w:rsidRPr="00181EF3">
        <w:t>āori</w:t>
      </w:r>
      <w:r>
        <w:t xml:space="preserve"> </w:t>
      </w:r>
      <w:r w:rsidR="00EC03A3">
        <w:t>non</w:t>
      </w:r>
      <w:r w:rsidR="00EC03A3">
        <w:noBreakHyphen/>
        <w:t>P</w:t>
      </w:r>
      <w:r>
        <w:t>acific, 2002–2016</w:t>
      </w:r>
      <w:bookmarkEnd w:id="534"/>
    </w:p>
    <w:p w14:paraId="780969FE" w14:textId="77777777" w:rsidR="00147107" w:rsidRPr="00CC0D64" w:rsidRDefault="00147107" w:rsidP="00147107">
      <w:r w:rsidRPr="00CC0D64">
        <w:rPr>
          <w:noProof/>
          <w:lang w:eastAsia="en-NZ"/>
        </w:rPr>
        <w:drawing>
          <wp:inline distT="0" distB="0" distL="0" distR="0" wp14:anchorId="3DCABFFA" wp14:editId="56545B40">
            <wp:extent cx="5130165" cy="2584266"/>
            <wp:effectExtent l="0" t="0" r="0" b="6985"/>
            <wp:docPr id="269" name="Picture 269" descr="A greater percentage of non-Māori children were caries-free at 5 years old than Māori children. The rate for both has increased over time." title="Figure 171: Percentage of Māori and non-Māori non-Pacific caries-free children aged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5130165" cy="2584266"/>
                    </a:xfrm>
                    <a:prstGeom prst="rect">
                      <a:avLst/>
                    </a:prstGeom>
                  </pic:spPr>
                </pic:pic>
              </a:graphicData>
            </a:graphic>
          </wp:inline>
        </w:drawing>
      </w:r>
    </w:p>
    <w:p w14:paraId="1C343554" w14:textId="77777777" w:rsidR="00147107" w:rsidRPr="00181EF3" w:rsidRDefault="00147107" w:rsidP="00E01121">
      <w:pPr>
        <w:pStyle w:val="Note"/>
        <w:spacing w:before="40"/>
        <w:ind w:left="0" w:firstLine="0"/>
      </w:pPr>
      <w:r w:rsidRPr="00181EF3">
        <w:t xml:space="preserve">Note: If </w:t>
      </w:r>
      <w:r>
        <w:t xml:space="preserve">the </w:t>
      </w:r>
      <w:r w:rsidRPr="00181EF3">
        <w:t xml:space="preserve">confidence intervals </w:t>
      </w:r>
      <w:r>
        <w:t xml:space="preserve">of two rates </w:t>
      </w:r>
      <w:r w:rsidRPr="00181EF3">
        <w:t>do not overlap</w:t>
      </w:r>
      <w:r>
        <w:t>,</w:t>
      </w:r>
      <w:r w:rsidRPr="00181EF3">
        <w:t xml:space="preserve"> the difference </w:t>
      </w:r>
      <w:r>
        <w:t xml:space="preserve">in rates </w:t>
      </w:r>
      <w:r w:rsidRPr="00181EF3">
        <w:t xml:space="preserve">is said to be </w:t>
      </w:r>
      <w:r>
        <w:t xml:space="preserve">statistically </w:t>
      </w:r>
      <w:r w:rsidRPr="00181EF3">
        <w:t>significant.</w:t>
      </w:r>
    </w:p>
    <w:p w14:paraId="19EE9B54" w14:textId="14059720" w:rsidR="00147107" w:rsidRPr="00181EF3" w:rsidRDefault="00147107" w:rsidP="00E01121">
      <w:pPr>
        <w:pStyle w:val="Note"/>
        <w:spacing w:before="40"/>
        <w:ind w:left="0" w:firstLine="0"/>
      </w:pPr>
      <w:r w:rsidRPr="00181EF3">
        <w:t>Source: Community Oral Health Services</w:t>
      </w:r>
      <w:r w:rsidR="00B74586">
        <w:t>,</w:t>
      </w:r>
      <w:r w:rsidRPr="00181EF3">
        <w:t xml:space="preserve"> 2002–2016.</w:t>
      </w:r>
    </w:p>
    <w:p w14:paraId="71C9A7C0" w14:textId="77777777" w:rsidR="00147107" w:rsidRPr="00181EF3" w:rsidRDefault="00147107" w:rsidP="00147107"/>
    <w:p w14:paraId="60356077" w14:textId="2A1F568C" w:rsidR="002D68F3" w:rsidRDefault="002D68F3" w:rsidP="002D68F3">
      <w:r w:rsidRPr="00181EF3">
        <w:t xml:space="preserve">Figure </w:t>
      </w:r>
      <w:r w:rsidR="008A598A">
        <w:t>17</w:t>
      </w:r>
      <w:r w:rsidR="00B74586">
        <w:t>1</w:t>
      </w:r>
      <w:r w:rsidRPr="00181EF3">
        <w:t xml:space="preserve"> shows the percentage of Māori and </w:t>
      </w:r>
      <w:r w:rsidR="00EC03A3">
        <w:t>non</w:t>
      </w:r>
      <w:r w:rsidR="00EC03A3">
        <w:noBreakHyphen/>
        <w:t>M</w:t>
      </w:r>
      <w:r w:rsidRPr="00181EF3">
        <w:t xml:space="preserve">āori </w:t>
      </w:r>
      <w:r w:rsidR="00EC03A3">
        <w:t>non</w:t>
      </w:r>
      <w:r w:rsidR="00EC03A3">
        <w:noBreakHyphen/>
        <w:t>P</w:t>
      </w:r>
      <w:r w:rsidRPr="00181EF3">
        <w:t>acific children who are caries free at five years of age between 2002 and 2016. See the attached Excel tool for figures showing the rate ratio, fluoridated and non-fluoridated data.</w:t>
      </w:r>
    </w:p>
    <w:p w14:paraId="19220470" w14:textId="77777777" w:rsidR="00E01121" w:rsidRPr="00181EF3" w:rsidRDefault="00E01121" w:rsidP="002D68F3"/>
    <w:p w14:paraId="7AC2AED6" w14:textId="77777777" w:rsidR="002D68F3" w:rsidRPr="00181EF3" w:rsidRDefault="002D68F3" w:rsidP="00E01121">
      <w:pPr>
        <w:pStyle w:val="Heading4"/>
        <w:spacing w:before="60" w:after="60"/>
      </w:pPr>
      <w:r w:rsidRPr="00181EF3">
        <w:t>Percentage of Māori children aged five who are caries free and not living in a fluoridated area increased</w:t>
      </w:r>
    </w:p>
    <w:p w14:paraId="19BA4061" w14:textId="68F873BF" w:rsidR="00147107" w:rsidRDefault="00147107" w:rsidP="002D68F3">
      <w:r w:rsidRPr="00181EF3">
        <w:t xml:space="preserve">In 2016, 41.4 percent of Māori aged five were caries free. In comparison, 69.5 </w:t>
      </w:r>
      <w:r w:rsidR="00EC03A3">
        <w:t>non</w:t>
      </w:r>
      <w:r w:rsidR="00EC03A3">
        <w:noBreakHyphen/>
        <w:t>M</w:t>
      </w:r>
      <w:r w:rsidRPr="00181EF3">
        <w:t xml:space="preserve">āori </w:t>
      </w:r>
      <w:r w:rsidR="00EC03A3">
        <w:t>non</w:t>
      </w:r>
      <w:r w:rsidR="00EC03A3">
        <w:noBreakHyphen/>
        <w:t>P</w:t>
      </w:r>
      <w:r w:rsidRPr="00181EF3">
        <w:t>acific aged five were caries free.</w:t>
      </w:r>
    </w:p>
    <w:p w14:paraId="19448DCD" w14:textId="77777777" w:rsidR="00147107" w:rsidRDefault="00147107" w:rsidP="002D68F3"/>
    <w:p w14:paraId="24BF117B" w14:textId="0F57F6A2" w:rsidR="002D68F3" w:rsidRDefault="002D68F3" w:rsidP="002D68F3">
      <w:r w:rsidRPr="00181EF3">
        <w:t xml:space="preserve">Children aged five living in non-fluoridated areas showed the largest changes. Māori who were caries free in this group increased by 71.3 percent between 2002 and 2016 (22.5 to 38.6 percent) and the percentage of caries-free children in the </w:t>
      </w:r>
      <w:r w:rsidR="00EC03A3">
        <w:t>non</w:t>
      </w:r>
      <w:r w:rsidR="00EC03A3">
        <w:noBreakHyphen/>
        <w:t>M</w:t>
      </w:r>
      <w:r w:rsidRPr="00181EF3">
        <w:t xml:space="preserve">āori </w:t>
      </w:r>
      <w:r w:rsidR="00EC03A3">
        <w:t>non</w:t>
      </w:r>
      <w:r w:rsidR="00EC03A3">
        <w:noBreakHyphen/>
        <w:t>P</w:t>
      </w:r>
      <w:r w:rsidRPr="00181EF3">
        <w:t>acific group increased by 28.8 percent between 2002 and 2016 (53.0 to 68.3 percent).</w:t>
      </w:r>
      <w:r w:rsidR="00285716">
        <w:t xml:space="preserve"> </w:t>
      </w:r>
      <w:r w:rsidRPr="00181EF3">
        <w:t>The percentage of caries-free children in Year 8 was found to be higher in fluoridated areas (than non-fluoridated areas) although there was no change over time.</w:t>
      </w:r>
    </w:p>
    <w:p w14:paraId="4910EEAA" w14:textId="77777777" w:rsidR="00E01121" w:rsidRPr="00181EF3" w:rsidRDefault="00E01121" w:rsidP="002D68F3"/>
    <w:p w14:paraId="510E711A" w14:textId="1697AE07" w:rsidR="002D68F3" w:rsidRPr="00181EF3" w:rsidRDefault="002D68F3" w:rsidP="00E01121">
      <w:pPr>
        <w:pStyle w:val="Heading4"/>
        <w:spacing w:before="60" w:after="60"/>
      </w:pPr>
      <w:r w:rsidRPr="00181EF3">
        <w:t xml:space="preserve">Difference </w:t>
      </w:r>
      <w:r w:rsidR="00147107">
        <w:t xml:space="preserve">in caries-free percentages </w:t>
      </w:r>
      <w:r w:rsidRPr="00181EF3">
        <w:t xml:space="preserve">between Māori and </w:t>
      </w:r>
      <w:r w:rsidR="00EC03A3">
        <w:t>non</w:t>
      </w:r>
      <w:r w:rsidR="00EC03A3">
        <w:noBreakHyphen/>
        <w:t>M</w:t>
      </w:r>
      <w:r w:rsidRPr="00181EF3">
        <w:t xml:space="preserve">āori </w:t>
      </w:r>
      <w:r w:rsidR="00EC03A3">
        <w:t>non</w:t>
      </w:r>
      <w:r w:rsidR="00EC03A3">
        <w:noBreakHyphen/>
        <w:t>P</w:t>
      </w:r>
      <w:r w:rsidRPr="00181EF3">
        <w:t>acific remained constant between 2002 and 2016</w:t>
      </w:r>
    </w:p>
    <w:p w14:paraId="3215CEFC" w14:textId="1CF59D66" w:rsidR="002D68F3" w:rsidRPr="00181EF3" w:rsidRDefault="002D68F3" w:rsidP="002D68F3">
      <w:r w:rsidRPr="00181EF3">
        <w:t xml:space="preserve">The difference between the percentage of Māori and </w:t>
      </w:r>
      <w:r w:rsidR="00EC03A3">
        <w:t>non</w:t>
      </w:r>
      <w:r w:rsidR="00EC03A3">
        <w:noBreakHyphen/>
        <w:t>M</w:t>
      </w:r>
      <w:r w:rsidRPr="00181EF3">
        <w:t xml:space="preserve">āori </w:t>
      </w:r>
      <w:r w:rsidR="00EC03A3">
        <w:t>non</w:t>
      </w:r>
      <w:r w:rsidR="00EC03A3">
        <w:noBreakHyphen/>
        <w:t>P</w:t>
      </w:r>
      <w:r w:rsidRPr="00181EF3">
        <w:t xml:space="preserve">acific children aged five who are caries free remained significant between 2002 and 2016. </w:t>
      </w:r>
      <w:r w:rsidR="00147107" w:rsidRPr="00181EF3">
        <w:t xml:space="preserve">Māori children aged five were less likely to be caries free than </w:t>
      </w:r>
      <w:r w:rsidR="00EC03A3">
        <w:t>non</w:t>
      </w:r>
      <w:r w:rsidR="00EC03A3">
        <w:noBreakHyphen/>
        <w:t>M</w:t>
      </w:r>
      <w:r w:rsidR="00147107" w:rsidRPr="00181EF3">
        <w:t xml:space="preserve">āori </w:t>
      </w:r>
      <w:r w:rsidR="00EC03A3">
        <w:t>non</w:t>
      </w:r>
      <w:r w:rsidR="00EC03A3">
        <w:noBreakHyphen/>
        <w:t>P</w:t>
      </w:r>
      <w:r w:rsidR="00147107" w:rsidRPr="00181EF3">
        <w:t>acific children of the same age.</w:t>
      </w:r>
      <w:r w:rsidR="00147107">
        <w:t xml:space="preserve"> </w:t>
      </w:r>
      <w:r w:rsidRPr="00181EF3">
        <w:t xml:space="preserve">On average, the percentage of Māori children aged five who were caries free was only just over half the percentage of </w:t>
      </w:r>
      <w:r w:rsidR="00EC03A3">
        <w:t>non</w:t>
      </w:r>
      <w:r w:rsidR="00EC03A3">
        <w:noBreakHyphen/>
        <w:t>M</w:t>
      </w:r>
      <w:r w:rsidRPr="00181EF3">
        <w:t xml:space="preserve">āori </w:t>
      </w:r>
      <w:r w:rsidR="00EC03A3">
        <w:t>non</w:t>
      </w:r>
      <w:r w:rsidR="00EC03A3">
        <w:noBreakHyphen/>
        <w:t>P</w:t>
      </w:r>
      <w:r w:rsidRPr="00181EF3">
        <w:t>acific in the same age group, regardless of whether they were living in a fluoridated area or not.</w:t>
      </w:r>
    </w:p>
    <w:p w14:paraId="1A21BB42" w14:textId="77777777" w:rsidR="002D68F3" w:rsidRDefault="002D68F3" w:rsidP="00E01121">
      <w:pPr>
        <w:pStyle w:val="Heading3"/>
        <w:pageBreakBefore/>
        <w:spacing w:before="0"/>
      </w:pPr>
      <w:bookmarkStart w:id="535" w:name="_Toc19102506"/>
      <w:r w:rsidRPr="00147107">
        <w:lastRenderedPageBreak/>
        <w:t>Caries free at school Year 8</w:t>
      </w:r>
      <w:bookmarkEnd w:id="535"/>
    </w:p>
    <w:p w14:paraId="1B198854" w14:textId="4BC5C47A" w:rsidR="00147107" w:rsidRDefault="00147107" w:rsidP="00147107">
      <w:pPr>
        <w:pStyle w:val="Figure"/>
      </w:pPr>
      <w:bookmarkStart w:id="536" w:name="_Toc19102023"/>
      <w:r w:rsidRPr="00181EF3">
        <w:t xml:space="preserve">Figure </w:t>
      </w:r>
      <w:r>
        <w:rPr>
          <w:noProof/>
        </w:rPr>
        <w:t>17</w:t>
      </w:r>
      <w:r w:rsidR="00572A9A">
        <w:rPr>
          <w:noProof/>
        </w:rPr>
        <w:t>2</w:t>
      </w:r>
      <w:r w:rsidRPr="00181EF3">
        <w:t>: Percentage of caries</w:t>
      </w:r>
      <w:r>
        <w:t>-</w:t>
      </w:r>
      <w:r w:rsidRPr="00181EF3">
        <w:t xml:space="preserve">free children, </w:t>
      </w:r>
      <w:r>
        <w:t xml:space="preserve">Year 8, </w:t>
      </w:r>
      <w:r w:rsidRPr="00181EF3">
        <w:t xml:space="preserve">Māori and </w:t>
      </w:r>
      <w:r w:rsidR="00EC03A3">
        <w:t>non</w:t>
      </w:r>
      <w:r w:rsidR="00EC03A3">
        <w:noBreakHyphen/>
        <w:t>M</w:t>
      </w:r>
      <w:r w:rsidRPr="00181EF3">
        <w:t>āori</w:t>
      </w:r>
      <w:r>
        <w:t xml:space="preserve"> </w:t>
      </w:r>
      <w:r w:rsidR="00EC03A3">
        <w:t>non</w:t>
      </w:r>
      <w:r w:rsidR="00EC03A3">
        <w:noBreakHyphen/>
        <w:t>P</w:t>
      </w:r>
      <w:r>
        <w:t xml:space="preserve">acific, </w:t>
      </w:r>
      <w:r w:rsidRPr="00181EF3">
        <w:t>2002–2016</w:t>
      </w:r>
      <w:bookmarkEnd w:id="536"/>
    </w:p>
    <w:p w14:paraId="3D8FBE94" w14:textId="77777777" w:rsidR="00147107" w:rsidRPr="00CC0D64" w:rsidRDefault="00147107" w:rsidP="00147107">
      <w:r w:rsidRPr="00CC0D64">
        <w:rPr>
          <w:noProof/>
          <w:lang w:eastAsia="en-NZ"/>
        </w:rPr>
        <w:drawing>
          <wp:inline distT="0" distB="0" distL="0" distR="0" wp14:anchorId="291B6516" wp14:editId="1DEBCF01">
            <wp:extent cx="5130165" cy="2584266"/>
            <wp:effectExtent l="0" t="0" r="0" b="6985"/>
            <wp:docPr id="270" name="Picture 270" descr="More non-Māori children were caries-free in year 8 than Māori children. The caries-free rates for both groups have increased over time." title="Figure 172: Percentage of Māori and non-Māori non-Pacific children in Year 8 who are caries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5130165" cy="2584266"/>
                    </a:xfrm>
                    <a:prstGeom prst="rect">
                      <a:avLst/>
                    </a:prstGeom>
                  </pic:spPr>
                </pic:pic>
              </a:graphicData>
            </a:graphic>
          </wp:inline>
        </w:drawing>
      </w:r>
    </w:p>
    <w:p w14:paraId="4E8F1938" w14:textId="77777777" w:rsidR="00147107" w:rsidRPr="00181EF3" w:rsidRDefault="00147107" w:rsidP="001C62E1">
      <w:pPr>
        <w:pStyle w:val="Note"/>
        <w:ind w:left="0" w:firstLine="0"/>
      </w:pPr>
      <w:r w:rsidRPr="00181EF3">
        <w:t xml:space="preserve">Note: If </w:t>
      </w:r>
      <w:r>
        <w:t xml:space="preserve">the </w:t>
      </w:r>
      <w:r w:rsidRPr="00181EF3">
        <w:t xml:space="preserve">confidence intervals </w:t>
      </w:r>
      <w:r>
        <w:t xml:space="preserve">of two rates </w:t>
      </w:r>
      <w:r w:rsidRPr="00181EF3">
        <w:t>do not overlap</w:t>
      </w:r>
      <w:r>
        <w:t>,</w:t>
      </w:r>
      <w:r w:rsidRPr="00181EF3">
        <w:t xml:space="preserve"> the difference</w:t>
      </w:r>
      <w:r>
        <w:t xml:space="preserve"> in rates</w:t>
      </w:r>
      <w:r w:rsidRPr="00181EF3">
        <w:t xml:space="preserve"> is said to be </w:t>
      </w:r>
      <w:r>
        <w:t xml:space="preserve">statistically </w:t>
      </w:r>
      <w:r w:rsidRPr="00181EF3">
        <w:t>significant.</w:t>
      </w:r>
    </w:p>
    <w:p w14:paraId="62C750EF" w14:textId="52D6C30C" w:rsidR="00147107" w:rsidRPr="00181EF3" w:rsidRDefault="00147107" w:rsidP="001C62E1">
      <w:pPr>
        <w:pStyle w:val="Note"/>
        <w:ind w:left="0" w:firstLine="0"/>
      </w:pPr>
      <w:r w:rsidRPr="00181EF3">
        <w:t>Source: Community Oral Health Services</w:t>
      </w:r>
      <w:r w:rsidR="00B74586">
        <w:t>,</w:t>
      </w:r>
      <w:r w:rsidRPr="00181EF3">
        <w:t xml:space="preserve"> 2002–2016.</w:t>
      </w:r>
    </w:p>
    <w:p w14:paraId="1378C7A1" w14:textId="77777777" w:rsidR="00147107" w:rsidRDefault="00147107" w:rsidP="002D68F3"/>
    <w:p w14:paraId="1B8F270F" w14:textId="58AF2978" w:rsidR="002D68F3" w:rsidRDefault="002D68F3" w:rsidP="002D68F3">
      <w:r w:rsidRPr="00181EF3">
        <w:t xml:space="preserve">Figure </w:t>
      </w:r>
      <w:r w:rsidR="00147107">
        <w:t>17</w:t>
      </w:r>
      <w:r w:rsidR="00B74586">
        <w:t>2</w:t>
      </w:r>
      <w:r w:rsidRPr="00181EF3">
        <w:t xml:space="preserve"> shows the percentage of Māori and </w:t>
      </w:r>
      <w:r w:rsidR="00EC03A3">
        <w:t>non</w:t>
      </w:r>
      <w:r w:rsidR="00EC03A3">
        <w:noBreakHyphen/>
        <w:t>M</w:t>
      </w:r>
      <w:r w:rsidRPr="00181EF3">
        <w:t xml:space="preserve">āori </w:t>
      </w:r>
      <w:r w:rsidR="00EC03A3">
        <w:t>non</w:t>
      </w:r>
      <w:r w:rsidR="00EC03A3">
        <w:noBreakHyphen/>
        <w:t>P</w:t>
      </w:r>
      <w:r w:rsidRPr="00181EF3">
        <w:t>acific children who are caries free at Year 8, recorded between 2002 and 2016. See the attached Excel tool for figures showing the rate ratio, fluoridated and non-fluoridated data.</w:t>
      </w:r>
    </w:p>
    <w:p w14:paraId="50ED8FD8" w14:textId="77777777" w:rsidR="00E01121" w:rsidRPr="00181EF3" w:rsidRDefault="00E01121" w:rsidP="002D68F3"/>
    <w:p w14:paraId="5DDA2D6F" w14:textId="77777777" w:rsidR="002D68F3" w:rsidRPr="00181EF3" w:rsidRDefault="002D68F3" w:rsidP="00147107">
      <w:pPr>
        <w:pStyle w:val="Heading4"/>
      </w:pPr>
      <w:r w:rsidRPr="00181EF3">
        <w:t>Percentage of caries free Māori children in Year 8 increased between 2002 and 2016</w:t>
      </w:r>
    </w:p>
    <w:p w14:paraId="160DE400" w14:textId="3B7187F7" w:rsidR="00147107" w:rsidRPr="00181EF3" w:rsidRDefault="00147107" w:rsidP="00147107">
      <w:r w:rsidRPr="00181EF3">
        <w:t xml:space="preserve">The percentage of Māori children who were caries free increased by 53.9 percent between 2002 and 2016. In 2016, 52.1 percent of Māori in Year 8 were caries free. In comparison, 67.2 percent of </w:t>
      </w:r>
      <w:r w:rsidR="00EC03A3">
        <w:t>non</w:t>
      </w:r>
      <w:r w:rsidR="00EC03A3">
        <w:noBreakHyphen/>
        <w:t>M</w:t>
      </w:r>
      <w:r w:rsidRPr="00181EF3">
        <w:t xml:space="preserve">āori </w:t>
      </w:r>
      <w:r w:rsidR="00EC03A3">
        <w:t>non</w:t>
      </w:r>
      <w:r w:rsidR="00EC03A3">
        <w:noBreakHyphen/>
        <w:t>P</w:t>
      </w:r>
      <w:r w:rsidRPr="00181EF3">
        <w:t>acific were caries free.</w:t>
      </w:r>
    </w:p>
    <w:p w14:paraId="2DF0A453" w14:textId="77777777" w:rsidR="00147107" w:rsidRDefault="00147107" w:rsidP="002D68F3"/>
    <w:p w14:paraId="03DCD335" w14:textId="1843A191" w:rsidR="002D68F3" w:rsidRPr="00181EF3" w:rsidRDefault="002D68F3" w:rsidP="002D68F3">
      <w:r w:rsidRPr="00181EF3">
        <w:t xml:space="preserve">Children in Year 8 who live in non-fluoridated areas showed the largest improvement in the percentage who were caries free. The percentage of caries-free Māori children increased by 70.0 percent between 2002 and 2016 (28.6 to 48.7 percent) and the percentage of caries-free </w:t>
      </w:r>
      <w:r w:rsidR="00EC03A3">
        <w:t>non</w:t>
      </w:r>
      <w:r w:rsidR="00EC03A3">
        <w:noBreakHyphen/>
        <w:t>M</w:t>
      </w:r>
      <w:r w:rsidRPr="00181EF3">
        <w:t xml:space="preserve">āori </w:t>
      </w:r>
      <w:r w:rsidR="00EC03A3">
        <w:t>non</w:t>
      </w:r>
      <w:r w:rsidR="00EC03A3">
        <w:noBreakHyphen/>
        <w:t>P</w:t>
      </w:r>
      <w:r w:rsidRPr="00181EF3">
        <w:t>acific children increased by 53.2 percent over this period (from 42.4 to 64.9 percent).</w:t>
      </w:r>
    </w:p>
    <w:p w14:paraId="499F3D91" w14:textId="77777777" w:rsidR="002D68F3" w:rsidRPr="00181EF3" w:rsidRDefault="002D68F3" w:rsidP="002D68F3"/>
    <w:p w14:paraId="7D09CF0B" w14:textId="30CA3BB5" w:rsidR="002D68F3" w:rsidRDefault="002D68F3" w:rsidP="002D68F3">
      <w:r w:rsidRPr="00181EF3">
        <w:t xml:space="preserve">The percentage of children in Year 8 living in fluoridated areas who were caries free also increased, although at a slower rate. The percentage of Māori children who are caries free increased by 42.0 percent between 2002 and 2016 (39.1 to 55.5 percent). The percentage of caries-free </w:t>
      </w:r>
      <w:r w:rsidR="00EC03A3">
        <w:t>non</w:t>
      </w:r>
      <w:r w:rsidR="00EC03A3">
        <w:noBreakHyphen/>
        <w:t>M</w:t>
      </w:r>
      <w:r w:rsidRPr="00181EF3">
        <w:t xml:space="preserve">āori </w:t>
      </w:r>
      <w:r w:rsidR="00EC03A3">
        <w:t>non</w:t>
      </w:r>
      <w:r w:rsidR="00EC03A3">
        <w:noBreakHyphen/>
        <w:t>P</w:t>
      </w:r>
      <w:r w:rsidRPr="00181EF3">
        <w:t>acific children in Year 8 living in fluoridated areas increased by 19.6 percent over this period (from 58.1 to 69.5 percent). Despite the slower rate of increase those in fluoridated areas had a higher percentage caries free between 2002 and 2016.</w:t>
      </w:r>
    </w:p>
    <w:p w14:paraId="44B421B8" w14:textId="77777777" w:rsidR="00E01121" w:rsidRPr="00181EF3" w:rsidRDefault="00E01121" w:rsidP="002D68F3"/>
    <w:p w14:paraId="7C58E45C" w14:textId="06168200" w:rsidR="002D68F3" w:rsidRPr="00181EF3" w:rsidRDefault="002D68F3" w:rsidP="00147107">
      <w:pPr>
        <w:pStyle w:val="Heading4"/>
      </w:pPr>
      <w:r w:rsidRPr="00181EF3">
        <w:lastRenderedPageBreak/>
        <w:t xml:space="preserve">Difference </w:t>
      </w:r>
      <w:r w:rsidR="00147107">
        <w:t xml:space="preserve">in caries-free percentages </w:t>
      </w:r>
      <w:r w:rsidRPr="00181EF3">
        <w:t xml:space="preserve">between Māori and </w:t>
      </w:r>
      <w:r w:rsidR="00EC03A3">
        <w:t>non</w:t>
      </w:r>
      <w:r w:rsidR="00EC03A3">
        <w:noBreakHyphen/>
        <w:t>M</w:t>
      </w:r>
      <w:r w:rsidRPr="00181EF3">
        <w:t xml:space="preserve">āori </w:t>
      </w:r>
      <w:r w:rsidR="00EC03A3">
        <w:t>non</w:t>
      </w:r>
      <w:r w:rsidR="00EC03A3">
        <w:noBreakHyphen/>
        <w:t>P</w:t>
      </w:r>
      <w:r w:rsidRPr="00181EF3">
        <w:t>acific children in Year 8 remained significant</w:t>
      </w:r>
    </w:p>
    <w:p w14:paraId="793D97ED" w14:textId="6E6681AC" w:rsidR="002D68F3" w:rsidRPr="00181EF3" w:rsidRDefault="002D68F3" w:rsidP="002D68F3">
      <w:r w:rsidRPr="00181EF3">
        <w:t xml:space="preserve">The difference in the percentage of caries-free children in Year 8 between Māori and </w:t>
      </w:r>
      <w:r w:rsidR="00EC03A3">
        <w:t>non</w:t>
      </w:r>
      <w:r w:rsidR="00EC03A3">
        <w:noBreakHyphen/>
        <w:t>M</w:t>
      </w:r>
      <w:r w:rsidRPr="00181EF3">
        <w:t xml:space="preserve">āori </w:t>
      </w:r>
      <w:r w:rsidR="00EC03A3">
        <w:t>non</w:t>
      </w:r>
      <w:r w:rsidR="00EC03A3">
        <w:noBreakHyphen/>
        <w:t>P</w:t>
      </w:r>
      <w:r w:rsidRPr="00181EF3">
        <w:t xml:space="preserve">acific remained significant between 2002 and 2016. Māori children in Year 8 were less likely to be caries free than </w:t>
      </w:r>
      <w:r w:rsidR="00EC03A3">
        <w:t>non</w:t>
      </w:r>
      <w:r w:rsidR="00EC03A3">
        <w:noBreakHyphen/>
        <w:t>M</w:t>
      </w:r>
      <w:r w:rsidRPr="00181EF3">
        <w:t xml:space="preserve">āori </w:t>
      </w:r>
      <w:r w:rsidR="00EC03A3">
        <w:t>non</w:t>
      </w:r>
      <w:r w:rsidR="00EC03A3">
        <w:noBreakHyphen/>
        <w:t>P</w:t>
      </w:r>
      <w:r w:rsidRPr="00181EF3">
        <w:t>acific children in Year 8, regardless of whether they lived in fluoridated areas or not.</w:t>
      </w:r>
    </w:p>
    <w:p w14:paraId="4AFA5EB3" w14:textId="77777777" w:rsidR="002D68F3" w:rsidRPr="00181EF3" w:rsidRDefault="002D68F3" w:rsidP="002D68F3"/>
    <w:p w14:paraId="3607CA14" w14:textId="77777777" w:rsidR="000D0B3F" w:rsidRPr="00181EF3" w:rsidRDefault="000D0B3F" w:rsidP="00E01121">
      <w:pPr>
        <w:pStyle w:val="Heading2"/>
        <w:pageBreakBefore/>
        <w:spacing w:before="0"/>
        <w:rPr>
          <w:noProof/>
          <w:lang w:eastAsia="en-NZ"/>
        </w:rPr>
      </w:pPr>
      <w:bookmarkStart w:id="537" w:name="_Toc14718637"/>
      <w:bookmarkStart w:id="538" w:name="_Toc14775060"/>
      <w:bookmarkStart w:id="539" w:name="_Toc19102507"/>
      <w:r w:rsidRPr="00181EF3">
        <w:rPr>
          <w:noProof/>
          <w:lang w:eastAsia="en-NZ"/>
        </w:rPr>
        <w:lastRenderedPageBreak/>
        <w:t>Mental health</w:t>
      </w:r>
      <w:bookmarkEnd w:id="537"/>
      <w:bookmarkEnd w:id="538"/>
      <w:bookmarkEnd w:id="539"/>
    </w:p>
    <w:p w14:paraId="63E02860" w14:textId="5287BDA2" w:rsidR="000D0B3F" w:rsidRPr="00181EF3" w:rsidRDefault="000D0B3F" w:rsidP="00916EAE">
      <w:r w:rsidRPr="00181EF3">
        <w:rPr>
          <w:noProof/>
          <w:lang w:eastAsia="en-NZ"/>
        </w:rPr>
        <w:t xml:space="preserve">This </w:t>
      </w:r>
      <w:r w:rsidR="00916EAE">
        <w:rPr>
          <w:noProof/>
          <w:lang w:eastAsia="en-NZ"/>
        </w:rPr>
        <w:t xml:space="preserve">section </w:t>
      </w:r>
      <w:r w:rsidRPr="00181EF3">
        <w:rPr>
          <w:noProof/>
          <w:lang w:eastAsia="en-NZ"/>
        </w:rPr>
        <w:t xml:space="preserve">presents results over time for mental health for Māori and </w:t>
      </w:r>
      <w:r w:rsidR="00EC03A3">
        <w:rPr>
          <w:noProof/>
          <w:lang w:eastAsia="en-NZ"/>
        </w:rPr>
        <w:t>non</w:t>
      </w:r>
      <w:r w:rsidR="00EC03A3">
        <w:rPr>
          <w:noProof/>
          <w:lang w:eastAsia="en-NZ"/>
        </w:rPr>
        <w:noBreakHyphen/>
        <w:t>M</w:t>
      </w:r>
      <w:r w:rsidRPr="00181EF3">
        <w:rPr>
          <w:noProof/>
          <w:lang w:eastAsia="en-NZ"/>
        </w:rPr>
        <w:t xml:space="preserve">āori </w:t>
      </w:r>
      <w:r w:rsidR="00EC03A3">
        <w:rPr>
          <w:noProof/>
          <w:lang w:eastAsia="en-NZ"/>
        </w:rPr>
        <w:t>non</w:t>
      </w:r>
      <w:r w:rsidR="00EC03A3">
        <w:rPr>
          <w:noProof/>
          <w:lang w:eastAsia="en-NZ"/>
        </w:rPr>
        <w:noBreakHyphen/>
        <w:t>P</w:t>
      </w:r>
      <w:r w:rsidRPr="00181EF3">
        <w:rPr>
          <w:noProof/>
          <w:lang w:eastAsia="en-NZ"/>
        </w:rPr>
        <w:t>acific, including scores of psychological distress and self reported diagnosis of common mental disorders.</w:t>
      </w:r>
    </w:p>
    <w:p w14:paraId="2979C3D1" w14:textId="77777777" w:rsidR="000D0B3F" w:rsidRPr="00181EF3" w:rsidRDefault="000D0B3F" w:rsidP="000D0B3F">
      <w:pPr>
        <w:rPr>
          <w:noProof/>
          <w:lang w:eastAsia="en-NZ"/>
        </w:rPr>
      </w:pPr>
    </w:p>
    <w:p w14:paraId="3F59F3B4" w14:textId="77777777" w:rsidR="000D0B3F" w:rsidRPr="00181EF3" w:rsidRDefault="000D0B3F" w:rsidP="00916EAE">
      <w:pPr>
        <w:pStyle w:val="Heading3"/>
      </w:pPr>
      <w:bookmarkStart w:id="540" w:name="_Toc19102508"/>
      <w:r w:rsidRPr="00181EF3">
        <w:t>What is the data telling us?</w:t>
      </w:r>
      <w:bookmarkEnd w:id="540"/>
    </w:p>
    <w:p w14:paraId="78E724DE" w14:textId="77777777" w:rsidR="000D0B3F" w:rsidRPr="00181EF3" w:rsidRDefault="000D0B3F" w:rsidP="000D0B3F">
      <w:pPr>
        <w:pStyle w:val="Shadedboxheading"/>
      </w:pPr>
      <w:r w:rsidRPr="00181EF3">
        <w:t>Psychological distress</w:t>
      </w:r>
    </w:p>
    <w:p w14:paraId="567E48BD" w14:textId="03CD76F4" w:rsidR="000D0B3F" w:rsidRPr="00181EF3" w:rsidRDefault="000D0B3F" w:rsidP="000D0B3F">
      <w:pPr>
        <w:pStyle w:val="Shadedboxbullet"/>
        <w:ind w:left="568" w:hanging="284"/>
      </w:pPr>
      <w:r w:rsidRPr="00181EF3">
        <w:t xml:space="preserve">Māori had higher levels of psychological distress than </w:t>
      </w:r>
      <w:r w:rsidR="00EC03A3">
        <w:t>non</w:t>
      </w:r>
      <w:r w:rsidR="00EC03A3">
        <w:noBreakHyphen/>
        <w:t>M</w:t>
      </w:r>
      <w:r w:rsidRPr="00181EF3">
        <w:t xml:space="preserve">āori </w:t>
      </w:r>
      <w:r w:rsidR="00EC03A3">
        <w:t>non</w:t>
      </w:r>
      <w:r w:rsidR="00EC03A3">
        <w:noBreakHyphen/>
        <w:t>P</w:t>
      </w:r>
      <w:r w:rsidRPr="00181EF3">
        <w:t>acific.</w:t>
      </w:r>
    </w:p>
    <w:p w14:paraId="45B970AC" w14:textId="1B4D805D" w:rsidR="000D0B3F" w:rsidRPr="00181EF3" w:rsidRDefault="000D0B3F" w:rsidP="000D0B3F">
      <w:pPr>
        <w:pStyle w:val="Shadedboxbullet"/>
        <w:ind w:left="568" w:hanging="284"/>
      </w:pPr>
      <w:r w:rsidRPr="00181EF3">
        <w:t xml:space="preserve">The percentage of people with a high psychological distress score has increased for both Māori and </w:t>
      </w:r>
      <w:r w:rsidR="00EC03A3">
        <w:t>non</w:t>
      </w:r>
      <w:r w:rsidR="00EC03A3">
        <w:noBreakHyphen/>
        <w:t>M</w:t>
      </w:r>
      <w:r w:rsidRPr="00181EF3">
        <w:t xml:space="preserve">āori </w:t>
      </w:r>
      <w:r w:rsidR="00EC03A3">
        <w:t>non</w:t>
      </w:r>
      <w:r w:rsidR="00EC03A3">
        <w:noBreakHyphen/>
        <w:t>P</w:t>
      </w:r>
      <w:r w:rsidRPr="00181EF3">
        <w:t xml:space="preserve">acific over time, but the difference between Māori and </w:t>
      </w:r>
      <w:r w:rsidR="00EC03A3">
        <w:t>non</w:t>
      </w:r>
      <w:r w:rsidR="00EC03A3">
        <w:noBreakHyphen/>
        <w:t>M</w:t>
      </w:r>
      <w:r w:rsidRPr="00181EF3">
        <w:t xml:space="preserve">āori </w:t>
      </w:r>
      <w:r w:rsidR="00EC03A3">
        <w:t>non</w:t>
      </w:r>
      <w:r w:rsidR="00EC03A3">
        <w:noBreakHyphen/>
        <w:t>P</w:t>
      </w:r>
      <w:r w:rsidRPr="00181EF3">
        <w:t>acific has narrowed.</w:t>
      </w:r>
    </w:p>
    <w:p w14:paraId="7624538B" w14:textId="77777777" w:rsidR="000D0B3F" w:rsidRPr="00181EF3" w:rsidRDefault="000D0B3F" w:rsidP="000D0B3F">
      <w:pPr>
        <w:pStyle w:val="Shadedboxheading"/>
      </w:pPr>
      <w:r w:rsidRPr="00181EF3">
        <w:t>Diagnosis of common mental disorder</w:t>
      </w:r>
    </w:p>
    <w:p w14:paraId="6AA5EC43" w14:textId="1268EF52" w:rsidR="000D0B3F" w:rsidRPr="00181EF3" w:rsidRDefault="000D0B3F" w:rsidP="000D0B3F">
      <w:pPr>
        <w:pStyle w:val="Shadedboxbullet"/>
        <w:ind w:left="568" w:hanging="284"/>
      </w:pPr>
      <w:r w:rsidRPr="00181EF3">
        <w:t xml:space="preserve">There were no significant differences between Māori and </w:t>
      </w:r>
      <w:r w:rsidR="00EC03A3">
        <w:t>non</w:t>
      </w:r>
      <w:r w:rsidR="00EC03A3">
        <w:noBreakHyphen/>
        <w:t>M</w:t>
      </w:r>
      <w:r w:rsidRPr="00181EF3">
        <w:t xml:space="preserve">āori </w:t>
      </w:r>
      <w:r w:rsidR="00EC03A3">
        <w:t>non</w:t>
      </w:r>
      <w:r w:rsidR="00EC03A3">
        <w:noBreakHyphen/>
        <w:t>P</w:t>
      </w:r>
      <w:r w:rsidRPr="00181EF3">
        <w:t>acific in the percentage of people diagnosed with a common mental disorder, regardless of sex.</w:t>
      </w:r>
    </w:p>
    <w:p w14:paraId="7A65AE69" w14:textId="6883BBDF" w:rsidR="000D0B3F" w:rsidRPr="00181EF3" w:rsidRDefault="000D0B3F" w:rsidP="000D0B3F">
      <w:pPr>
        <w:pStyle w:val="Shadedboxbullet"/>
        <w:ind w:left="568" w:hanging="284"/>
      </w:pPr>
      <w:r w:rsidRPr="00181EF3">
        <w:t xml:space="preserve">Females were more likely to be diagnosed with a common mental disorder than males, for both Māori and </w:t>
      </w:r>
      <w:r w:rsidR="00EC03A3">
        <w:t>non</w:t>
      </w:r>
      <w:r w:rsidR="00EC03A3">
        <w:noBreakHyphen/>
        <w:t>M</w:t>
      </w:r>
      <w:r w:rsidRPr="00181EF3">
        <w:t xml:space="preserve">āori </w:t>
      </w:r>
      <w:r w:rsidR="00EC03A3">
        <w:t>non</w:t>
      </w:r>
      <w:r w:rsidR="00EC03A3">
        <w:noBreakHyphen/>
        <w:t>P</w:t>
      </w:r>
      <w:r w:rsidRPr="00181EF3">
        <w:t>acific.</w:t>
      </w:r>
    </w:p>
    <w:p w14:paraId="29E0FDD0" w14:textId="77777777" w:rsidR="000D0B3F" w:rsidRPr="00181EF3" w:rsidRDefault="000D0B3F" w:rsidP="000D0B3F"/>
    <w:p w14:paraId="3FDAD306" w14:textId="77777777" w:rsidR="000D0B3F" w:rsidRPr="00181EF3" w:rsidRDefault="000D0B3F" w:rsidP="00E01121">
      <w:pPr>
        <w:pStyle w:val="Heading3"/>
        <w:pageBreakBefore/>
        <w:spacing w:before="0"/>
      </w:pPr>
      <w:bookmarkStart w:id="541" w:name="_Toc19102509"/>
      <w:r w:rsidRPr="00181EF3">
        <w:lastRenderedPageBreak/>
        <w:t>Psychological distress</w:t>
      </w:r>
      <w:bookmarkEnd w:id="541"/>
    </w:p>
    <w:p w14:paraId="48DE6E5D" w14:textId="518B8781" w:rsidR="00916EAE" w:rsidRDefault="00916EAE" w:rsidP="00916EAE">
      <w:pPr>
        <w:pStyle w:val="Figure"/>
      </w:pPr>
      <w:bookmarkStart w:id="542" w:name="_Toc19102024"/>
      <w:r w:rsidRPr="00181EF3">
        <w:t xml:space="preserve">Figure </w:t>
      </w:r>
      <w:r>
        <w:t>17</w:t>
      </w:r>
      <w:r w:rsidR="00572A9A">
        <w:t>3</w:t>
      </w:r>
      <w:r w:rsidRPr="00181EF3">
        <w:t>: Psychological distress (high or very high probability of anxiety or depressive disorder)</w:t>
      </w:r>
      <w:r>
        <w:t xml:space="preserve">, 15+ years, Māori and </w:t>
      </w:r>
      <w:r w:rsidR="00EC03A3">
        <w:t>non</w:t>
      </w:r>
      <w:r w:rsidR="00EC03A3">
        <w:noBreakHyphen/>
        <w:t>M</w:t>
      </w:r>
      <w:r>
        <w:t xml:space="preserve">āori </w:t>
      </w:r>
      <w:r w:rsidR="00EC03A3">
        <w:t>non</w:t>
      </w:r>
      <w:r w:rsidR="00EC03A3">
        <w:noBreakHyphen/>
        <w:t>P</w:t>
      </w:r>
      <w:r>
        <w:t>acific</w:t>
      </w:r>
      <w:r w:rsidRPr="00181EF3">
        <w:t>, 2006/07–2016/17</w:t>
      </w:r>
      <w:bookmarkEnd w:id="542"/>
    </w:p>
    <w:p w14:paraId="183CAFD1" w14:textId="77777777" w:rsidR="00916EAE" w:rsidRPr="005D1E50" w:rsidRDefault="00916EAE" w:rsidP="00916EAE">
      <w:r w:rsidRPr="005D1E50">
        <w:rPr>
          <w:noProof/>
          <w:lang w:eastAsia="en-NZ"/>
        </w:rPr>
        <w:drawing>
          <wp:inline distT="0" distB="0" distL="0" distR="0" wp14:anchorId="2BEFB0DA" wp14:editId="2F011B93">
            <wp:extent cx="5130165" cy="2673057"/>
            <wp:effectExtent l="0" t="0" r="0" b="0"/>
            <wp:docPr id="313" name="Picture 313" descr="Pyschological distress is greater among Māori than non-Māori and the rates have increased for both groups since 2011-12." title="Figure 173: Psychological distress (high or very high probability of anxiety or depressive disorder) – adults, age-standardised percentages (%), 2006/07–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5130165" cy="2673057"/>
                    </a:xfrm>
                    <a:prstGeom prst="rect">
                      <a:avLst/>
                    </a:prstGeom>
                  </pic:spPr>
                </pic:pic>
              </a:graphicData>
            </a:graphic>
          </wp:inline>
        </w:drawing>
      </w:r>
    </w:p>
    <w:p w14:paraId="3ADDE24C" w14:textId="77777777" w:rsidR="008A5642" w:rsidRDefault="00916EAE" w:rsidP="001C62E1">
      <w:pPr>
        <w:pStyle w:val="Note"/>
        <w:ind w:left="0" w:firstLine="0"/>
        <w:rPr>
          <w:rFonts w:eastAsia="Calibri"/>
        </w:rPr>
      </w:pPr>
      <w:r w:rsidRPr="00892068">
        <w:rPr>
          <w:rFonts w:eastAsia="Calibri"/>
        </w:rPr>
        <w:t>Notes:</w:t>
      </w:r>
    </w:p>
    <w:p w14:paraId="310AD3F6" w14:textId="2BC6BD87" w:rsidR="008A5642" w:rsidRDefault="00446D86" w:rsidP="001C62E1">
      <w:pPr>
        <w:pStyle w:val="Note"/>
        <w:ind w:left="0" w:firstLine="0"/>
        <w:rPr>
          <w:rFonts w:eastAsia="Calibri"/>
        </w:rPr>
      </w:pPr>
      <w:r>
        <w:rPr>
          <w:rFonts w:eastAsia="Calibri"/>
        </w:rPr>
        <w:t>Figures are age-standardised to the 2001 Census total Māori population</w:t>
      </w:r>
      <w:r w:rsidR="00916EAE" w:rsidRPr="00892068">
        <w:rPr>
          <w:rFonts w:eastAsia="Calibri"/>
        </w:rPr>
        <w:t>.</w:t>
      </w:r>
    </w:p>
    <w:p w14:paraId="7E0BDF16" w14:textId="6D3F50C7" w:rsidR="00916EAE" w:rsidRPr="00892068" w:rsidRDefault="00916EAE" w:rsidP="001C62E1">
      <w:pPr>
        <w:pStyle w:val="Note"/>
        <w:ind w:left="0" w:firstLine="0"/>
        <w:rPr>
          <w:rFonts w:eastAsia="Calibri"/>
        </w:rPr>
      </w:pPr>
      <w:r w:rsidRPr="00892068">
        <w:rPr>
          <w:rFonts w:eastAsia="Calibri"/>
        </w:rPr>
        <w:t>Prioritised ethnicity has been used.</w:t>
      </w:r>
    </w:p>
    <w:p w14:paraId="46FFC6AC" w14:textId="77777777" w:rsidR="008A5642" w:rsidRDefault="00916EAE" w:rsidP="001C62E1">
      <w:pPr>
        <w:pStyle w:val="Note"/>
        <w:ind w:left="0" w:firstLine="0"/>
        <w:rPr>
          <w:rFonts w:eastAsia="Calibri"/>
        </w:rPr>
      </w:pPr>
      <w:r w:rsidRPr="00892068">
        <w:rPr>
          <w:rFonts w:eastAsia="Calibri"/>
        </w:rPr>
        <w:t>If the confidence intervals of two rates do not overlap, the difference in rates is said to be statistically significant.</w:t>
      </w:r>
    </w:p>
    <w:p w14:paraId="79596A98" w14:textId="07724CFA" w:rsidR="00916EAE" w:rsidRDefault="00916EAE" w:rsidP="001C62E1">
      <w:pPr>
        <w:pStyle w:val="Note"/>
        <w:ind w:left="0" w:firstLine="0"/>
      </w:pPr>
      <w:r w:rsidRPr="00892068">
        <w:rPr>
          <w:rFonts w:eastAsia="Calibri"/>
        </w:rPr>
        <w:t xml:space="preserve">Source: </w:t>
      </w:r>
      <w:r w:rsidR="009116B8">
        <w:rPr>
          <w:rFonts w:eastAsia="Calibri"/>
        </w:rPr>
        <w:t>New Zealand Health Survey (NZHS), Ministry of Health, 2006/07–2016/17.</w:t>
      </w:r>
    </w:p>
    <w:p w14:paraId="765B4872" w14:textId="77777777" w:rsidR="00916EAE" w:rsidRDefault="00916EAE" w:rsidP="000D0B3F"/>
    <w:p w14:paraId="26F727BD" w14:textId="0ECA9F17" w:rsidR="000D0B3F" w:rsidRPr="00181EF3" w:rsidRDefault="000D0B3F" w:rsidP="000D0B3F">
      <w:r w:rsidRPr="00181EF3">
        <w:t>Figure 1</w:t>
      </w:r>
      <w:r w:rsidR="00916EAE">
        <w:t>7</w:t>
      </w:r>
      <w:r w:rsidR="00B74586">
        <w:t>3</w:t>
      </w:r>
      <w:r w:rsidRPr="00181EF3">
        <w:t xml:space="preserve"> shows the percentage of people who had a high score for psychological distress (self-reported), for Māori and </w:t>
      </w:r>
      <w:r w:rsidR="00EC03A3">
        <w:t>non</w:t>
      </w:r>
      <w:r w:rsidR="00EC03A3">
        <w:noBreakHyphen/>
        <w:t>M</w:t>
      </w:r>
      <w:r w:rsidRPr="00181EF3">
        <w:t xml:space="preserve">āori </w:t>
      </w:r>
      <w:r w:rsidR="00EC03A3">
        <w:t>non</w:t>
      </w:r>
      <w:r w:rsidR="00EC03A3">
        <w:noBreakHyphen/>
        <w:t>P</w:t>
      </w:r>
      <w:r w:rsidRPr="00181EF3">
        <w:t>acific.</w:t>
      </w:r>
    </w:p>
    <w:p w14:paraId="72BC4DE8" w14:textId="77777777" w:rsidR="000D0B3F" w:rsidRPr="00181EF3" w:rsidRDefault="000D0B3F" w:rsidP="000D0B3F"/>
    <w:p w14:paraId="3D05ABBA" w14:textId="4A7F7E62" w:rsidR="000D0B3F" w:rsidRPr="00181EF3" w:rsidRDefault="000D0B3F" w:rsidP="00E01121">
      <w:r w:rsidRPr="00181EF3">
        <w:t xml:space="preserve">Māori had higher levels of psychological distress than </w:t>
      </w:r>
      <w:r w:rsidR="00EC03A3">
        <w:t>non</w:t>
      </w:r>
      <w:r w:rsidR="00EC03A3">
        <w:noBreakHyphen/>
        <w:t>M</w:t>
      </w:r>
      <w:r w:rsidRPr="00181EF3">
        <w:t xml:space="preserve">āori </w:t>
      </w:r>
      <w:r w:rsidR="00EC03A3">
        <w:t>non</w:t>
      </w:r>
      <w:r w:rsidR="00EC03A3">
        <w:noBreakHyphen/>
        <w:t>P</w:t>
      </w:r>
      <w:r w:rsidRPr="00181EF3">
        <w:t xml:space="preserve">acific across the time period shown, and the percentage of people with a high psychological distress score has increased for both Māori and </w:t>
      </w:r>
      <w:r w:rsidR="00EC03A3">
        <w:t>non</w:t>
      </w:r>
      <w:r w:rsidR="00EC03A3">
        <w:noBreakHyphen/>
        <w:t>M</w:t>
      </w:r>
      <w:r w:rsidRPr="00181EF3">
        <w:t xml:space="preserve">āori </w:t>
      </w:r>
      <w:r w:rsidR="00EC03A3">
        <w:t>non</w:t>
      </w:r>
      <w:r w:rsidR="00EC03A3">
        <w:noBreakHyphen/>
        <w:t>P</w:t>
      </w:r>
      <w:r w:rsidRPr="00181EF3">
        <w:t xml:space="preserve">acific over time. In particular, the percentage of Māori with a high psychological distress score increased between 2011/12 and 2016/17, from 7.4 percent to 11.5 percent. This is an increase of 4.1 percentage points. Over the same time period the percentage of </w:t>
      </w:r>
      <w:r w:rsidR="00EC03A3">
        <w:t>non</w:t>
      </w:r>
      <w:r w:rsidR="00EC03A3">
        <w:noBreakHyphen/>
        <w:t>M</w:t>
      </w:r>
      <w:r w:rsidRPr="00181EF3">
        <w:t xml:space="preserve">āori </w:t>
      </w:r>
      <w:r w:rsidR="00EC03A3">
        <w:t>non</w:t>
      </w:r>
      <w:r w:rsidR="00EC03A3">
        <w:noBreakHyphen/>
        <w:t>P</w:t>
      </w:r>
      <w:r w:rsidRPr="00181EF3">
        <w:t>acific with a high psychological distress score increased more rapidly, from 4.0 percent to 7.7 percent, an increase of 3.7 percentage points.</w:t>
      </w:r>
    </w:p>
    <w:p w14:paraId="1D99CE85" w14:textId="77777777" w:rsidR="000D0B3F" w:rsidRPr="00181EF3" w:rsidRDefault="000D0B3F" w:rsidP="000D0B3F"/>
    <w:p w14:paraId="309496E3" w14:textId="7BD6430E" w:rsidR="000D0B3F" w:rsidRPr="00181EF3" w:rsidRDefault="000D0B3F" w:rsidP="000D0B3F">
      <w:r w:rsidRPr="00181EF3">
        <w:t xml:space="preserve">This means that although Māori were still more likely to have a high psychological distress score than </w:t>
      </w:r>
      <w:r w:rsidR="00EC03A3">
        <w:t>non</w:t>
      </w:r>
      <w:r w:rsidR="00EC03A3">
        <w:noBreakHyphen/>
        <w:t>M</w:t>
      </w:r>
      <w:r w:rsidRPr="00181EF3">
        <w:t xml:space="preserve">āori </w:t>
      </w:r>
      <w:r w:rsidR="00EC03A3">
        <w:t>non</w:t>
      </w:r>
      <w:r w:rsidR="00EC03A3">
        <w:noBreakHyphen/>
        <w:t>P</w:t>
      </w:r>
      <w:r w:rsidRPr="00181EF3">
        <w:t xml:space="preserve">acific, the difference between ethnicities has narrowed slightly. In 2006/07 Māori were 1.9 times as likely to have a high psychological distress score as </w:t>
      </w:r>
      <w:r w:rsidR="00EC03A3">
        <w:t>non</w:t>
      </w:r>
      <w:r w:rsidR="00EC03A3">
        <w:noBreakHyphen/>
        <w:t>M</w:t>
      </w:r>
      <w:r w:rsidRPr="00181EF3">
        <w:t xml:space="preserve">āori </w:t>
      </w:r>
      <w:r w:rsidR="00EC03A3">
        <w:t>non</w:t>
      </w:r>
      <w:r w:rsidR="00EC03A3">
        <w:noBreakHyphen/>
        <w:t>P</w:t>
      </w:r>
      <w:r w:rsidRPr="00181EF3">
        <w:t>acific, and this decreased to 1.6 times as likely in 2016/17.</w:t>
      </w:r>
    </w:p>
    <w:p w14:paraId="4F6D62BF" w14:textId="77777777" w:rsidR="000D0B3F" w:rsidRPr="00181EF3" w:rsidRDefault="000D0B3F" w:rsidP="000D0B3F"/>
    <w:p w14:paraId="327222E3" w14:textId="115E0247" w:rsidR="000D0B3F" w:rsidRPr="00181EF3" w:rsidRDefault="000D0B3F" w:rsidP="000D0B3F">
      <w:r w:rsidRPr="00181EF3">
        <w:t xml:space="preserve">In general, females had higher prevalence than males for both Māori and </w:t>
      </w:r>
      <w:r w:rsidR="00EC03A3">
        <w:t>non</w:t>
      </w:r>
      <w:r w:rsidR="00EC03A3">
        <w:noBreakHyphen/>
        <w:t>M</w:t>
      </w:r>
      <w:r w:rsidRPr="00181EF3">
        <w:t xml:space="preserve">āori </w:t>
      </w:r>
      <w:r w:rsidR="00EC03A3">
        <w:t>non</w:t>
      </w:r>
      <w:r w:rsidR="00EC03A3">
        <w:noBreakHyphen/>
        <w:t>P</w:t>
      </w:r>
      <w:r w:rsidRPr="00181EF3">
        <w:t>acific between 2006/07 and 2016/17.</w:t>
      </w:r>
    </w:p>
    <w:p w14:paraId="5FB12EB6" w14:textId="77777777" w:rsidR="000D0B3F" w:rsidRPr="00181EF3" w:rsidRDefault="000D0B3F" w:rsidP="000D0B3F"/>
    <w:p w14:paraId="2B59EA90" w14:textId="77777777" w:rsidR="000D0B3F" w:rsidRPr="00181EF3" w:rsidRDefault="000D0B3F" w:rsidP="00E01121">
      <w:pPr>
        <w:pStyle w:val="Heading3"/>
        <w:pageBreakBefore/>
        <w:spacing w:before="0"/>
      </w:pPr>
      <w:bookmarkStart w:id="543" w:name="_Toc19102510"/>
      <w:r w:rsidRPr="00181EF3">
        <w:lastRenderedPageBreak/>
        <w:t>Diagnosed common mental disorder</w:t>
      </w:r>
      <w:bookmarkEnd w:id="543"/>
    </w:p>
    <w:p w14:paraId="3388661D" w14:textId="7FB376BF" w:rsidR="000D0B3F" w:rsidRDefault="000D0B3F" w:rsidP="000D0B3F">
      <w:pPr>
        <w:pStyle w:val="Figure"/>
      </w:pPr>
      <w:bookmarkStart w:id="544" w:name="_Toc19102025"/>
      <w:r w:rsidRPr="00181EF3">
        <w:t xml:space="preserve">Figure </w:t>
      </w:r>
      <w:r w:rsidR="00916EAE">
        <w:t>17</w:t>
      </w:r>
      <w:r w:rsidR="00572A9A">
        <w:t>4</w:t>
      </w:r>
      <w:r w:rsidRPr="00181EF3">
        <w:t xml:space="preserve">: </w:t>
      </w:r>
      <w:r w:rsidR="00916EAE" w:rsidRPr="00181EF3">
        <w:t xml:space="preserve">Diagnosed common mental disorder (depression, bipolar disorder and/or anxiety disorder), </w:t>
      </w:r>
      <w:r w:rsidR="00916EAE">
        <w:t xml:space="preserve">15+ years, </w:t>
      </w:r>
      <w:r w:rsidR="00916EAE" w:rsidRPr="00181EF3">
        <w:t xml:space="preserve">by </w:t>
      </w:r>
      <w:r w:rsidR="00916EAE">
        <w:t>gender</w:t>
      </w:r>
      <w:r w:rsidR="00916EAE" w:rsidRPr="00181EF3">
        <w:t xml:space="preserve">, </w:t>
      </w:r>
      <w:r w:rsidR="00916EAE">
        <w:t xml:space="preserve">Māori and </w:t>
      </w:r>
      <w:r w:rsidR="00EC03A3">
        <w:t>non</w:t>
      </w:r>
      <w:r w:rsidR="00EC03A3">
        <w:noBreakHyphen/>
        <w:t>M</w:t>
      </w:r>
      <w:r w:rsidR="00916EAE">
        <w:t xml:space="preserve">āori </w:t>
      </w:r>
      <w:r w:rsidR="00EC03A3">
        <w:t>non</w:t>
      </w:r>
      <w:r w:rsidR="00EC03A3">
        <w:noBreakHyphen/>
        <w:t>P</w:t>
      </w:r>
      <w:r w:rsidR="00916EAE">
        <w:t>acific</w:t>
      </w:r>
      <w:r w:rsidRPr="00181EF3">
        <w:t>,</w:t>
      </w:r>
      <w:r w:rsidR="00E01121">
        <w:br/>
      </w:r>
      <w:r w:rsidRPr="00181EF3">
        <w:t>2006/07–2016/17</w:t>
      </w:r>
      <w:bookmarkEnd w:id="544"/>
    </w:p>
    <w:p w14:paraId="12C22B2C" w14:textId="77777777" w:rsidR="000D0B3F" w:rsidRPr="005D1E50" w:rsidRDefault="000D0B3F" w:rsidP="000D0B3F">
      <w:r w:rsidRPr="005D1E50">
        <w:rPr>
          <w:noProof/>
          <w:lang w:eastAsia="en-NZ"/>
        </w:rPr>
        <w:drawing>
          <wp:inline distT="0" distB="0" distL="0" distR="0" wp14:anchorId="7E998168" wp14:editId="0CB8B506">
            <wp:extent cx="5130165" cy="2613315"/>
            <wp:effectExtent l="0" t="0" r="0" b="0"/>
            <wp:docPr id="314" name="Picture 314" descr="Common mental disorder diagnosis is very similar for Māori men and non-Māori men, increasing over time. Women of both groups have a higher rate, which is also very similar and increasing." title="Figure 174: Diagnosed common mental disorder (depression, bipolar disorder and/or anxiety disorder) – adults, age-standardised percentages (%), 2006/07–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5130165" cy="2613315"/>
                    </a:xfrm>
                    <a:prstGeom prst="rect">
                      <a:avLst/>
                    </a:prstGeom>
                  </pic:spPr>
                </pic:pic>
              </a:graphicData>
            </a:graphic>
          </wp:inline>
        </w:drawing>
      </w:r>
    </w:p>
    <w:p w14:paraId="00216C01" w14:textId="77777777" w:rsidR="008A5642" w:rsidRDefault="00916EAE" w:rsidP="001C62E1">
      <w:pPr>
        <w:pStyle w:val="Note"/>
        <w:ind w:left="0" w:firstLine="0"/>
        <w:rPr>
          <w:rFonts w:eastAsia="Calibri"/>
        </w:rPr>
      </w:pPr>
      <w:r w:rsidRPr="00892068">
        <w:rPr>
          <w:rFonts w:eastAsia="Calibri"/>
        </w:rPr>
        <w:t>Notes:</w:t>
      </w:r>
    </w:p>
    <w:p w14:paraId="3091FB98" w14:textId="770F8330" w:rsidR="008A5642" w:rsidRDefault="00446D86" w:rsidP="001C62E1">
      <w:pPr>
        <w:pStyle w:val="Note"/>
        <w:ind w:left="0" w:firstLine="0"/>
        <w:rPr>
          <w:rFonts w:eastAsia="Calibri"/>
        </w:rPr>
      </w:pPr>
      <w:r>
        <w:rPr>
          <w:rFonts w:eastAsia="Calibri"/>
        </w:rPr>
        <w:t>Figures are age-standardised to the 2001 Census total Māori population</w:t>
      </w:r>
      <w:r w:rsidR="00916EAE" w:rsidRPr="00892068">
        <w:rPr>
          <w:rFonts w:eastAsia="Calibri"/>
        </w:rPr>
        <w:t>.</w:t>
      </w:r>
    </w:p>
    <w:p w14:paraId="6006D417" w14:textId="1D390C1A" w:rsidR="00916EAE" w:rsidRPr="00892068" w:rsidRDefault="00916EAE" w:rsidP="001C62E1">
      <w:pPr>
        <w:pStyle w:val="Note"/>
        <w:ind w:left="0" w:firstLine="0"/>
        <w:rPr>
          <w:rFonts w:eastAsia="Calibri"/>
        </w:rPr>
      </w:pPr>
      <w:r w:rsidRPr="00892068">
        <w:rPr>
          <w:rFonts w:eastAsia="Calibri"/>
        </w:rPr>
        <w:t>Prioritised ethnicity has been used.</w:t>
      </w:r>
    </w:p>
    <w:p w14:paraId="6AF6CD9B" w14:textId="77777777" w:rsidR="008A5642" w:rsidRDefault="00916EAE" w:rsidP="001C62E1">
      <w:pPr>
        <w:pStyle w:val="Note"/>
        <w:ind w:left="0" w:firstLine="0"/>
        <w:rPr>
          <w:rFonts w:eastAsia="Calibri"/>
        </w:rPr>
      </w:pPr>
      <w:r w:rsidRPr="00892068">
        <w:rPr>
          <w:rFonts w:eastAsia="Calibri"/>
        </w:rPr>
        <w:t>If the confidence intervals of two rates do not overlap, the difference in rates is said to be statistically significant.</w:t>
      </w:r>
    </w:p>
    <w:p w14:paraId="7AAEF739" w14:textId="6B6DB648" w:rsidR="00916EAE" w:rsidRDefault="00916EAE" w:rsidP="001C62E1">
      <w:pPr>
        <w:pStyle w:val="Note"/>
        <w:ind w:left="0" w:firstLine="0"/>
      </w:pPr>
      <w:r w:rsidRPr="00892068">
        <w:rPr>
          <w:rFonts w:eastAsia="Calibri"/>
        </w:rPr>
        <w:t xml:space="preserve">Source: </w:t>
      </w:r>
      <w:r w:rsidR="009116B8">
        <w:rPr>
          <w:rFonts w:eastAsia="Calibri"/>
        </w:rPr>
        <w:t>New Zealand Health Survey (NZHS), Ministry of Health, 2006/07–2016/17.</w:t>
      </w:r>
    </w:p>
    <w:p w14:paraId="254F4FCE" w14:textId="77777777" w:rsidR="000D0B3F" w:rsidRPr="00181EF3" w:rsidRDefault="000D0B3F" w:rsidP="000D0B3F"/>
    <w:p w14:paraId="6EB547DB" w14:textId="2B722002" w:rsidR="00916EAE" w:rsidRPr="00181EF3" w:rsidRDefault="00916EAE" w:rsidP="00916EAE">
      <w:r w:rsidRPr="00181EF3">
        <w:t xml:space="preserve">Figure </w:t>
      </w:r>
      <w:r>
        <w:t>17</w:t>
      </w:r>
      <w:r w:rsidR="00B74586">
        <w:t>4</w:t>
      </w:r>
      <w:r w:rsidRPr="00181EF3">
        <w:t xml:space="preserve"> shows there were no significant differences between Māori and </w:t>
      </w:r>
      <w:r w:rsidR="00EC03A3">
        <w:t>non</w:t>
      </w:r>
      <w:r w:rsidR="00EC03A3">
        <w:noBreakHyphen/>
        <w:t>M</w:t>
      </w:r>
      <w:r w:rsidRPr="00181EF3">
        <w:t xml:space="preserve">āori </w:t>
      </w:r>
      <w:r w:rsidR="00EC03A3">
        <w:t>non</w:t>
      </w:r>
      <w:r w:rsidR="00EC03A3">
        <w:noBreakHyphen/>
        <w:t>P</w:t>
      </w:r>
      <w:r w:rsidRPr="00181EF3">
        <w:t xml:space="preserve">acific in the percentage of people diagnosed with a common mental disorder, regardless of sex. Females have been more likely to be diagnosed with a common mental disorder than males, for both Māori and </w:t>
      </w:r>
      <w:r w:rsidR="00EC03A3">
        <w:t>non</w:t>
      </w:r>
      <w:r w:rsidR="00EC03A3">
        <w:noBreakHyphen/>
        <w:t>M</w:t>
      </w:r>
      <w:r w:rsidRPr="00181EF3">
        <w:t xml:space="preserve">āori </w:t>
      </w:r>
      <w:r w:rsidR="00EC03A3">
        <w:t>non</w:t>
      </w:r>
      <w:r w:rsidR="00EC03A3">
        <w:noBreakHyphen/>
        <w:t>P</w:t>
      </w:r>
      <w:r w:rsidRPr="00181EF3">
        <w:t>acific.</w:t>
      </w:r>
    </w:p>
    <w:p w14:paraId="3B929B56" w14:textId="77777777" w:rsidR="00916EAE" w:rsidRPr="00181EF3" w:rsidRDefault="00916EAE" w:rsidP="00916EAE"/>
    <w:p w14:paraId="2491AF8F" w14:textId="77777777" w:rsidR="007F6DC9" w:rsidRPr="00181EF3" w:rsidRDefault="007F6DC9" w:rsidP="00E01121">
      <w:pPr>
        <w:pStyle w:val="Heading2"/>
        <w:pageBreakBefore/>
        <w:spacing w:before="0"/>
        <w:rPr>
          <w:noProof/>
          <w:lang w:eastAsia="en-NZ"/>
        </w:rPr>
      </w:pPr>
      <w:bookmarkStart w:id="545" w:name="_Toc19102511"/>
      <w:r w:rsidRPr="00181EF3">
        <w:rPr>
          <w:noProof/>
          <w:lang w:eastAsia="en-NZ"/>
        </w:rPr>
        <w:lastRenderedPageBreak/>
        <w:t>Emergency department attendances</w:t>
      </w:r>
      <w:bookmarkEnd w:id="545"/>
    </w:p>
    <w:p w14:paraId="0408D9E5" w14:textId="5592AD65" w:rsidR="007F6DC9" w:rsidRPr="00181EF3" w:rsidRDefault="007F6DC9" w:rsidP="007F6DC9">
      <w:r w:rsidRPr="00181EF3">
        <w:t xml:space="preserve">This brief provides information on emergency department attendances for Māori and </w:t>
      </w:r>
      <w:r w:rsidR="00EC03A3">
        <w:t>non</w:t>
      </w:r>
      <w:r w:rsidR="00EC03A3">
        <w:noBreakHyphen/>
        <w:t>M</w:t>
      </w:r>
      <w:r w:rsidRPr="00181EF3">
        <w:t xml:space="preserve">āori </w:t>
      </w:r>
      <w:r w:rsidR="00EC03A3">
        <w:t>non</w:t>
      </w:r>
      <w:r w:rsidR="00EC03A3">
        <w:noBreakHyphen/>
        <w:t>P</w:t>
      </w:r>
      <w:r w:rsidRPr="00181EF3">
        <w:t>acific males and females.</w:t>
      </w:r>
    </w:p>
    <w:p w14:paraId="629BCA9B" w14:textId="77777777" w:rsidR="007F6DC9" w:rsidRPr="00181EF3" w:rsidRDefault="007F6DC9" w:rsidP="007F6DC9"/>
    <w:p w14:paraId="0DB880CA" w14:textId="77777777" w:rsidR="007F6DC9" w:rsidRPr="00181EF3" w:rsidRDefault="007F6DC9" w:rsidP="00916EAE">
      <w:pPr>
        <w:pStyle w:val="Heading3"/>
      </w:pPr>
      <w:bookmarkStart w:id="546" w:name="_Toc19102512"/>
      <w:r w:rsidRPr="00181EF3">
        <w:t>What is the data telling us?</w:t>
      </w:r>
      <w:bookmarkEnd w:id="546"/>
    </w:p>
    <w:p w14:paraId="7A318F1C" w14:textId="77777777" w:rsidR="007F6DC9" w:rsidRPr="00181EF3" w:rsidRDefault="007F6DC9" w:rsidP="007F6DC9">
      <w:pPr>
        <w:pStyle w:val="Shadedboxtext"/>
        <w:keepNext/>
      </w:pPr>
      <w:r w:rsidRPr="00181EF3">
        <w:t>Overall the data shows that between 2007–08 and 201</w:t>
      </w:r>
      <w:r w:rsidR="00916EAE">
        <w:t>2</w:t>
      </w:r>
      <w:r w:rsidRPr="00181EF3">
        <w:t>–1</w:t>
      </w:r>
      <w:r w:rsidR="00916EAE">
        <w:t>3</w:t>
      </w:r>
      <w:r w:rsidRPr="00181EF3">
        <w:t>:</w:t>
      </w:r>
    </w:p>
    <w:p w14:paraId="5A4C1B2F" w14:textId="2931CD19" w:rsidR="007F6DC9" w:rsidRPr="00181EF3" w:rsidRDefault="007F6DC9" w:rsidP="007F6DC9">
      <w:pPr>
        <w:pStyle w:val="Shadedboxbullet"/>
        <w:ind w:left="568" w:hanging="284"/>
      </w:pPr>
      <w:r w:rsidRPr="00181EF3">
        <w:t xml:space="preserve">Differences between Māori and </w:t>
      </w:r>
      <w:r w:rsidR="00EC03A3">
        <w:t>non</w:t>
      </w:r>
      <w:r w:rsidR="00EC03A3">
        <w:noBreakHyphen/>
        <w:t>M</w:t>
      </w:r>
      <w:r w:rsidRPr="00181EF3">
        <w:t xml:space="preserve">āori </w:t>
      </w:r>
      <w:r w:rsidR="00EC03A3">
        <w:t>non</w:t>
      </w:r>
      <w:r w:rsidR="00EC03A3">
        <w:noBreakHyphen/>
        <w:t>P</w:t>
      </w:r>
      <w:r w:rsidRPr="00181EF3">
        <w:t xml:space="preserve">acific males and females age-standardised rates of emergency department attendances closely followed the differences between Māori and </w:t>
      </w:r>
      <w:r w:rsidR="00EC03A3">
        <w:t>non</w:t>
      </w:r>
      <w:r w:rsidR="00EC03A3">
        <w:noBreakHyphen/>
        <w:t>M</w:t>
      </w:r>
      <w:r w:rsidRPr="00181EF3">
        <w:t xml:space="preserve">āori males and females, being less than one emergency department attendance greater per year than the difference between Māori and </w:t>
      </w:r>
      <w:r w:rsidR="00EC03A3">
        <w:t>non</w:t>
      </w:r>
      <w:r w:rsidR="00EC03A3">
        <w:noBreakHyphen/>
        <w:t>M</w:t>
      </w:r>
      <w:r w:rsidRPr="00181EF3">
        <w:t>āori males and females.</w:t>
      </w:r>
    </w:p>
    <w:p w14:paraId="2EDAA1C5" w14:textId="77777777" w:rsidR="00835406" w:rsidRPr="00181EF3" w:rsidRDefault="00835406" w:rsidP="007F6DC9"/>
    <w:p w14:paraId="207063FE" w14:textId="745D4A87" w:rsidR="00713A3E" w:rsidRPr="00181EF3" w:rsidRDefault="00713A3E" w:rsidP="00713A3E">
      <w:pPr>
        <w:pStyle w:val="Figure"/>
      </w:pPr>
      <w:bookmarkStart w:id="547" w:name="_Toc19102026"/>
      <w:r w:rsidRPr="00181EF3">
        <w:t>Figure 1</w:t>
      </w:r>
      <w:r>
        <w:t>7</w:t>
      </w:r>
      <w:r w:rsidR="00572A9A">
        <w:t>5</w:t>
      </w:r>
      <w:r w:rsidRPr="00181EF3">
        <w:t>: Emergency department attendance</w:t>
      </w:r>
      <w:r>
        <w:t xml:space="preserve"> </w:t>
      </w:r>
      <w:r w:rsidRPr="00181EF3">
        <w:t>rates</w:t>
      </w:r>
      <w:r>
        <w:t>, by gender,</w:t>
      </w:r>
      <w:r w:rsidRPr="00181EF3">
        <w:t xml:space="preserve"> Māori</w:t>
      </w:r>
      <w:r w:rsidR="00950B81">
        <w:t xml:space="preserve"> </w:t>
      </w:r>
      <w:r w:rsidRPr="00181EF3">
        <w:t xml:space="preserve">and </w:t>
      </w:r>
      <w:r w:rsidR="00EC03A3">
        <w:t>non</w:t>
      </w:r>
      <w:r w:rsidR="00EC03A3">
        <w:noBreakHyphen/>
        <w:t>M</w:t>
      </w:r>
      <w:r w:rsidRPr="00181EF3">
        <w:t xml:space="preserve">āori </w:t>
      </w:r>
      <w:r w:rsidR="00EC03A3">
        <w:t>non</w:t>
      </w:r>
      <w:r w:rsidR="00EC03A3">
        <w:noBreakHyphen/>
        <w:t>P</w:t>
      </w:r>
      <w:r w:rsidRPr="00181EF3">
        <w:t>acific, 2007–08 to 2016–17</w:t>
      </w:r>
      <w:bookmarkEnd w:id="547"/>
    </w:p>
    <w:p w14:paraId="12B8C4CB" w14:textId="77777777" w:rsidR="00713A3E" w:rsidRPr="00181EF3" w:rsidRDefault="00B20192" w:rsidP="00713A3E">
      <w:pPr>
        <w:rPr>
          <w:sz w:val="20"/>
        </w:rPr>
      </w:pPr>
      <w:r w:rsidRPr="00B20192">
        <w:rPr>
          <w:noProof/>
          <w:lang w:eastAsia="en-NZ"/>
        </w:rPr>
        <w:drawing>
          <wp:inline distT="0" distB="0" distL="0" distR="0" wp14:anchorId="2B6D8B31" wp14:editId="56703793">
            <wp:extent cx="5130165" cy="2511425"/>
            <wp:effectExtent l="0" t="0" r="0" b="3175"/>
            <wp:docPr id="343" name="Picture 343" descr="Māori men and women have very similar rates of emergency department use compared, which is higher than the rate for non-Māori and increasing slightly over time. The rate for non-Māori men is lower and steady, while the rate for non-Māori women is lowest and steady." title="FIgure 175: Emergency department attendance rates, by gender, Māori and non-Māori non-Pacific, 2007-08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5130165" cy="2511425"/>
                    </a:xfrm>
                    <a:prstGeom prst="rect">
                      <a:avLst/>
                    </a:prstGeom>
                  </pic:spPr>
                </pic:pic>
              </a:graphicData>
            </a:graphic>
          </wp:inline>
        </w:drawing>
      </w:r>
    </w:p>
    <w:p w14:paraId="55625817" w14:textId="77777777" w:rsidR="00713A3E" w:rsidRDefault="00713A3E" w:rsidP="00713A3E">
      <w:pPr>
        <w:pStyle w:val="Note"/>
      </w:pPr>
      <w:r w:rsidRPr="00181EF3">
        <w:t>Note</w:t>
      </w:r>
      <w:r>
        <w:t>s</w:t>
      </w:r>
      <w:r w:rsidRPr="00181EF3">
        <w:t>:</w:t>
      </w:r>
    </w:p>
    <w:p w14:paraId="7BAF3E37" w14:textId="1DEDD583" w:rsidR="008A5642" w:rsidRDefault="00446D86" w:rsidP="00713A3E">
      <w:pPr>
        <w:pStyle w:val="Note"/>
      </w:pPr>
      <w:r>
        <w:t>Figures are age-standardised to the 2001 Census total Māori population</w:t>
      </w:r>
      <w:r w:rsidR="00713A3E" w:rsidRPr="00181EF3">
        <w:t>.</w:t>
      </w:r>
    </w:p>
    <w:p w14:paraId="2BE0DC86" w14:textId="193AB144" w:rsidR="00713A3E" w:rsidRPr="00181EF3" w:rsidRDefault="00713A3E" w:rsidP="00713A3E">
      <w:pPr>
        <w:pStyle w:val="Note"/>
      </w:pPr>
      <w:r>
        <w:t>Prioritised ethnicity has been used.</w:t>
      </w:r>
    </w:p>
    <w:p w14:paraId="6C78C0E4" w14:textId="77777777" w:rsidR="00713A3E" w:rsidRPr="00181EF3" w:rsidRDefault="00713A3E" w:rsidP="00713A3E">
      <w:pPr>
        <w:pStyle w:val="Source"/>
      </w:pPr>
      <w:r w:rsidRPr="00181EF3">
        <w:t>Source: National Minimum Dataset (NMDS, 10 January 2019)</w:t>
      </w:r>
      <w:r>
        <w:t>,</w:t>
      </w:r>
      <w:r w:rsidRPr="00140176">
        <w:rPr>
          <w:rFonts w:eastAsia="Calibri"/>
        </w:rPr>
        <w:t xml:space="preserve"> </w:t>
      </w:r>
      <w:r w:rsidRPr="00181EF3">
        <w:rPr>
          <w:rFonts w:eastAsia="Calibri"/>
        </w:rPr>
        <w:t>Ministry of Health</w:t>
      </w:r>
      <w:r>
        <w:rPr>
          <w:rFonts w:eastAsia="Calibri"/>
        </w:rPr>
        <w:t>,</w:t>
      </w:r>
      <w:r w:rsidRPr="00507AA7">
        <w:t xml:space="preserve"> </w:t>
      </w:r>
      <w:r>
        <w:t>2007</w:t>
      </w:r>
      <w:r w:rsidRPr="00181EF3">
        <w:t>–</w:t>
      </w:r>
      <w:r>
        <w:t>08</w:t>
      </w:r>
      <w:r w:rsidRPr="00181EF3">
        <w:t xml:space="preserve"> to 201</w:t>
      </w:r>
      <w:r>
        <w:t>6</w:t>
      </w:r>
      <w:r w:rsidRPr="00181EF3">
        <w:t>–1</w:t>
      </w:r>
      <w:r>
        <w:t>7</w:t>
      </w:r>
      <w:r w:rsidRPr="00181EF3">
        <w:rPr>
          <w:rFonts w:eastAsia="Calibri"/>
        </w:rPr>
        <w:t>.</w:t>
      </w:r>
    </w:p>
    <w:p w14:paraId="6F8CDE37" w14:textId="77777777" w:rsidR="00713A3E" w:rsidRPr="00713A3E" w:rsidRDefault="00713A3E" w:rsidP="00713A3E"/>
    <w:p w14:paraId="0A35D9B2" w14:textId="1FA067AC" w:rsidR="007F6DC9" w:rsidRDefault="007F6DC9" w:rsidP="007F6DC9">
      <w:r w:rsidRPr="00181EF3">
        <w:t>Figure 1</w:t>
      </w:r>
      <w:r w:rsidR="00713A3E">
        <w:t>7</w:t>
      </w:r>
      <w:r w:rsidR="00B74586">
        <w:t>5</w:t>
      </w:r>
      <w:r w:rsidRPr="00181EF3">
        <w:t xml:space="preserve"> shows both Māori males and females had higher age-standardised rates of emergency department attendances compared </w:t>
      </w:r>
      <w:r w:rsidR="00FF1892">
        <w:t>with</w:t>
      </w:r>
      <w:r w:rsidR="00FF1892" w:rsidRPr="00181EF3">
        <w:t xml:space="preserve"> </w:t>
      </w:r>
      <w:r w:rsidR="00EC03A3">
        <w:t>non</w:t>
      </w:r>
      <w:r w:rsidR="00EC03A3">
        <w:noBreakHyphen/>
        <w:t>M</w:t>
      </w:r>
      <w:r w:rsidRPr="00181EF3">
        <w:t xml:space="preserve">āori </w:t>
      </w:r>
      <w:r w:rsidR="00EC03A3">
        <w:t>non</w:t>
      </w:r>
      <w:r w:rsidR="00EC03A3">
        <w:noBreakHyphen/>
        <w:t>P</w:t>
      </w:r>
      <w:r w:rsidRPr="00181EF3">
        <w:t>acific males and females. The difference was larger for females than for males.</w:t>
      </w:r>
    </w:p>
    <w:p w14:paraId="3C2D15C9" w14:textId="77777777" w:rsidR="00E01121" w:rsidRPr="00181EF3" w:rsidRDefault="00E01121" w:rsidP="007F6DC9"/>
    <w:p w14:paraId="4EED42ED" w14:textId="77777777" w:rsidR="007F6DC9" w:rsidRPr="00181EF3" w:rsidRDefault="007F6DC9" w:rsidP="00713A3E">
      <w:pPr>
        <w:pStyle w:val="Heading4"/>
      </w:pPr>
      <w:r w:rsidRPr="00181EF3">
        <w:lastRenderedPageBreak/>
        <w:t>Age-standardised rates of emergency department attendances have increased</w:t>
      </w:r>
    </w:p>
    <w:p w14:paraId="7F2D5FF3" w14:textId="32EF5120" w:rsidR="007F6DC9" w:rsidRDefault="007F6DC9" w:rsidP="00E01121">
      <w:pPr>
        <w:keepLines/>
      </w:pPr>
      <w:r w:rsidRPr="00181EF3">
        <w:t xml:space="preserve">Between 2007–08 and 2012–13, age-standardised rates of emergency department attendances for Māori males increased by 13 percent (from 25 to 28 attendances per 100), more than for </w:t>
      </w:r>
      <w:r w:rsidR="00EC03A3">
        <w:t>non</w:t>
      </w:r>
      <w:r w:rsidR="00EC03A3">
        <w:noBreakHyphen/>
        <w:t>M</w:t>
      </w:r>
      <w:r w:rsidRPr="00181EF3">
        <w:t xml:space="preserve">āori </w:t>
      </w:r>
      <w:r w:rsidR="00EC03A3">
        <w:t>non</w:t>
      </w:r>
      <w:r w:rsidR="00EC03A3">
        <w:noBreakHyphen/>
        <w:t>P</w:t>
      </w:r>
      <w:r w:rsidRPr="00181EF3">
        <w:t xml:space="preserve">acific males which increased by 8 percent (from 20 to 21 attendances per 100). For females, the rate of emergency department attendances per 100 for Māori females increased by 21 percent (from 23 to 28 emergency department attendances per 100), higher than the increase for </w:t>
      </w:r>
      <w:r w:rsidR="00EC03A3">
        <w:t>non</w:t>
      </w:r>
      <w:r w:rsidR="00EC03A3">
        <w:noBreakHyphen/>
        <w:t>M</w:t>
      </w:r>
      <w:r w:rsidRPr="00181EF3">
        <w:t xml:space="preserve">āori </w:t>
      </w:r>
      <w:r w:rsidR="00EC03A3">
        <w:t>non</w:t>
      </w:r>
      <w:r w:rsidR="00EC03A3">
        <w:noBreakHyphen/>
        <w:t>P</w:t>
      </w:r>
      <w:r w:rsidRPr="00181EF3">
        <w:t>acific females which was 18 percent (from 17 to 20 emergency department attendances per 100).</w:t>
      </w:r>
    </w:p>
    <w:p w14:paraId="0AC6F606" w14:textId="77777777" w:rsidR="007F6DC9" w:rsidRPr="00181EF3" w:rsidRDefault="007F6DC9" w:rsidP="007F6DC9"/>
    <w:p w14:paraId="0DD90AB1" w14:textId="2815AF4C" w:rsidR="00713A3E" w:rsidRPr="00181EF3" w:rsidRDefault="00713A3E" w:rsidP="00713A3E">
      <w:pPr>
        <w:pStyle w:val="Table"/>
      </w:pPr>
      <w:bookmarkStart w:id="548" w:name="_Toc18594792"/>
      <w:r w:rsidRPr="00181EF3">
        <w:t xml:space="preserve">Table </w:t>
      </w:r>
      <w:r>
        <w:t>52</w:t>
      </w:r>
      <w:r w:rsidRPr="00181EF3">
        <w:t>: Emergency department attendance</w:t>
      </w:r>
      <w:r>
        <w:t xml:space="preserve"> </w:t>
      </w:r>
      <w:r w:rsidRPr="00181EF3">
        <w:t>rates</w:t>
      </w:r>
      <w:r>
        <w:t>, by gender,</w:t>
      </w:r>
      <w:r w:rsidRPr="00181EF3">
        <w:t xml:space="preserve"> Māori and </w:t>
      </w:r>
      <w:r w:rsidR="00EC03A3">
        <w:t>non</w:t>
      </w:r>
      <w:r w:rsidR="00EC03A3">
        <w:noBreakHyphen/>
        <w:t>M</w:t>
      </w:r>
      <w:r w:rsidRPr="00181EF3">
        <w:t xml:space="preserve">āori </w:t>
      </w:r>
      <w:r w:rsidR="00EC03A3">
        <w:t>non</w:t>
      </w:r>
      <w:r w:rsidR="00EC03A3">
        <w:noBreakHyphen/>
        <w:t>P</w:t>
      </w:r>
      <w:r w:rsidRPr="00181EF3">
        <w:t>acific, 2007–08 to 2016–17</w:t>
      </w:r>
      <w:bookmarkEnd w:id="548"/>
    </w:p>
    <w:tbl>
      <w:tblPr>
        <w:tblW w:w="5816" w:type="dxa"/>
        <w:tblInd w:w="57" w:type="dxa"/>
        <w:tblLayout w:type="fixed"/>
        <w:tblCellMar>
          <w:left w:w="57" w:type="dxa"/>
          <w:right w:w="57" w:type="dxa"/>
        </w:tblCellMar>
        <w:tblLook w:val="04A0" w:firstRow="1" w:lastRow="0" w:firstColumn="1" w:lastColumn="0" w:noHBand="0" w:noVBand="1"/>
      </w:tblPr>
      <w:tblGrid>
        <w:gridCol w:w="1288"/>
        <w:gridCol w:w="1132"/>
        <w:gridCol w:w="1132"/>
        <w:gridCol w:w="1132"/>
        <w:gridCol w:w="1132"/>
      </w:tblGrid>
      <w:tr w:rsidR="00950B81" w:rsidRPr="00181EF3" w14:paraId="56B0C694" w14:textId="77777777" w:rsidTr="00950B81">
        <w:trPr>
          <w:cantSplit/>
        </w:trPr>
        <w:tc>
          <w:tcPr>
            <w:tcW w:w="1288" w:type="dxa"/>
            <w:vMerge w:val="restart"/>
            <w:tcBorders>
              <w:right w:val="single" w:sz="4" w:space="0" w:color="A6A6A6" w:themeColor="background1" w:themeShade="A6"/>
            </w:tcBorders>
            <w:shd w:val="clear" w:color="auto" w:fill="D9D9D9" w:themeFill="background1" w:themeFillShade="D9"/>
          </w:tcPr>
          <w:p w14:paraId="5A7BD8DA" w14:textId="77777777" w:rsidR="00950B81" w:rsidRPr="00181EF3" w:rsidRDefault="00950B81" w:rsidP="00E01121">
            <w:pPr>
              <w:pStyle w:val="TableText"/>
              <w:rPr>
                <w:b/>
                <w:szCs w:val="18"/>
              </w:rPr>
            </w:pPr>
            <w:r w:rsidRPr="00181EF3">
              <w:rPr>
                <w:b/>
              </w:rPr>
              <w:t>Year</w:t>
            </w:r>
          </w:p>
        </w:tc>
        <w:tc>
          <w:tcPr>
            <w:tcW w:w="2264" w:type="dxa"/>
            <w:gridSpan w:val="2"/>
            <w:tcBorders>
              <w:left w:val="single" w:sz="4" w:space="0" w:color="A6A6A6" w:themeColor="background1" w:themeShade="A6"/>
              <w:right w:val="single" w:sz="4" w:space="0" w:color="A6A6A6" w:themeColor="background1" w:themeShade="A6"/>
            </w:tcBorders>
            <w:shd w:val="clear" w:color="auto" w:fill="D9D9D9" w:themeFill="background1" w:themeFillShade="D9"/>
          </w:tcPr>
          <w:p w14:paraId="5C3B1802" w14:textId="77777777" w:rsidR="00950B81" w:rsidRPr="00181EF3" w:rsidRDefault="00950B81" w:rsidP="00E01121">
            <w:pPr>
              <w:pStyle w:val="TableText"/>
              <w:spacing w:after="0"/>
              <w:jc w:val="center"/>
              <w:rPr>
                <w:b/>
              </w:rPr>
            </w:pPr>
            <w:r w:rsidRPr="00181EF3">
              <w:rPr>
                <w:b/>
              </w:rPr>
              <w:t>Māori</w:t>
            </w:r>
          </w:p>
        </w:tc>
        <w:tc>
          <w:tcPr>
            <w:tcW w:w="2264" w:type="dxa"/>
            <w:gridSpan w:val="2"/>
            <w:tcBorders>
              <w:left w:val="single" w:sz="4" w:space="0" w:color="A6A6A6" w:themeColor="background1" w:themeShade="A6"/>
            </w:tcBorders>
            <w:shd w:val="clear" w:color="auto" w:fill="D9D9D9" w:themeFill="background1" w:themeFillShade="D9"/>
          </w:tcPr>
          <w:p w14:paraId="6214E562" w14:textId="311AB901" w:rsidR="00950B81" w:rsidRPr="00181EF3" w:rsidRDefault="00EC03A3" w:rsidP="00E01121">
            <w:pPr>
              <w:pStyle w:val="TableText"/>
              <w:spacing w:after="0"/>
              <w:jc w:val="center"/>
              <w:rPr>
                <w:b/>
                <w:szCs w:val="18"/>
              </w:rPr>
            </w:pPr>
            <w:r>
              <w:rPr>
                <w:b/>
              </w:rPr>
              <w:t>Non</w:t>
            </w:r>
            <w:r>
              <w:rPr>
                <w:b/>
              </w:rPr>
              <w:noBreakHyphen/>
              <w:t>M</w:t>
            </w:r>
            <w:r w:rsidR="00950B81" w:rsidRPr="00181EF3">
              <w:rPr>
                <w:b/>
              </w:rPr>
              <w:t xml:space="preserve">āori </w:t>
            </w:r>
            <w:r>
              <w:rPr>
                <w:b/>
              </w:rPr>
              <w:t>non</w:t>
            </w:r>
            <w:r>
              <w:rPr>
                <w:b/>
              </w:rPr>
              <w:noBreakHyphen/>
              <w:t>P</w:t>
            </w:r>
            <w:r w:rsidR="00950B81" w:rsidRPr="00181EF3">
              <w:rPr>
                <w:b/>
              </w:rPr>
              <w:t>acific</w:t>
            </w:r>
          </w:p>
        </w:tc>
      </w:tr>
      <w:tr w:rsidR="00950B81" w:rsidRPr="00181EF3" w14:paraId="62F47A15" w14:textId="77777777" w:rsidTr="00950B81">
        <w:trPr>
          <w:cantSplit/>
        </w:trPr>
        <w:tc>
          <w:tcPr>
            <w:tcW w:w="1288" w:type="dxa"/>
            <w:vMerge/>
            <w:tcBorders>
              <w:right w:val="single" w:sz="4" w:space="0" w:color="A6A6A6" w:themeColor="background1" w:themeShade="A6"/>
            </w:tcBorders>
            <w:shd w:val="clear" w:color="auto" w:fill="D9D9D9" w:themeFill="background1" w:themeFillShade="D9"/>
          </w:tcPr>
          <w:p w14:paraId="56BEFDC5" w14:textId="77777777" w:rsidR="00950B81" w:rsidRPr="00181EF3" w:rsidRDefault="00950B81" w:rsidP="00E01121">
            <w:pPr>
              <w:pStyle w:val="TableText"/>
              <w:rPr>
                <w:b/>
                <w:szCs w:val="18"/>
              </w:rPr>
            </w:pPr>
          </w:p>
        </w:tc>
        <w:tc>
          <w:tcPr>
            <w:tcW w:w="1132" w:type="dxa"/>
            <w:tcBorders>
              <w:left w:val="single" w:sz="4" w:space="0" w:color="A6A6A6" w:themeColor="background1" w:themeShade="A6"/>
            </w:tcBorders>
            <w:shd w:val="clear" w:color="auto" w:fill="D9D9D9" w:themeFill="background1" w:themeFillShade="D9"/>
            <w:vAlign w:val="bottom"/>
          </w:tcPr>
          <w:p w14:paraId="781A5EE1" w14:textId="77777777" w:rsidR="00950B81" w:rsidRPr="00181EF3" w:rsidRDefault="00950B81" w:rsidP="00E01121">
            <w:pPr>
              <w:pStyle w:val="TableText"/>
              <w:jc w:val="center"/>
              <w:rPr>
                <w:b/>
              </w:rPr>
            </w:pPr>
            <w:r w:rsidRPr="00181EF3">
              <w:rPr>
                <w:b/>
              </w:rPr>
              <w:t>Males</w:t>
            </w:r>
          </w:p>
        </w:tc>
        <w:tc>
          <w:tcPr>
            <w:tcW w:w="1132" w:type="dxa"/>
            <w:tcBorders>
              <w:right w:val="single" w:sz="4" w:space="0" w:color="A6A6A6" w:themeColor="background1" w:themeShade="A6"/>
            </w:tcBorders>
            <w:shd w:val="clear" w:color="auto" w:fill="D9D9D9" w:themeFill="background1" w:themeFillShade="D9"/>
            <w:vAlign w:val="bottom"/>
          </w:tcPr>
          <w:p w14:paraId="26B6E8A8" w14:textId="77777777" w:rsidR="00950B81" w:rsidRPr="00181EF3" w:rsidRDefault="00950B81" w:rsidP="00E01121">
            <w:pPr>
              <w:pStyle w:val="TableText"/>
              <w:jc w:val="center"/>
              <w:rPr>
                <w:b/>
              </w:rPr>
            </w:pPr>
            <w:r w:rsidRPr="00181EF3">
              <w:rPr>
                <w:b/>
              </w:rPr>
              <w:t>Females</w:t>
            </w:r>
          </w:p>
        </w:tc>
        <w:tc>
          <w:tcPr>
            <w:tcW w:w="1132" w:type="dxa"/>
            <w:tcBorders>
              <w:left w:val="single" w:sz="4" w:space="0" w:color="A6A6A6" w:themeColor="background1" w:themeShade="A6"/>
            </w:tcBorders>
            <w:shd w:val="clear" w:color="auto" w:fill="D9D9D9" w:themeFill="background1" w:themeFillShade="D9"/>
            <w:vAlign w:val="bottom"/>
          </w:tcPr>
          <w:p w14:paraId="520845E1" w14:textId="77777777" w:rsidR="00950B81" w:rsidRPr="00181EF3" w:rsidRDefault="00950B81" w:rsidP="00E01121">
            <w:pPr>
              <w:pStyle w:val="TableText"/>
              <w:jc w:val="center"/>
              <w:rPr>
                <w:b/>
              </w:rPr>
            </w:pPr>
            <w:r w:rsidRPr="00181EF3">
              <w:rPr>
                <w:b/>
              </w:rPr>
              <w:t>Males</w:t>
            </w:r>
          </w:p>
        </w:tc>
        <w:tc>
          <w:tcPr>
            <w:tcW w:w="1132" w:type="dxa"/>
            <w:shd w:val="clear" w:color="auto" w:fill="D9D9D9" w:themeFill="background1" w:themeFillShade="D9"/>
            <w:vAlign w:val="bottom"/>
          </w:tcPr>
          <w:p w14:paraId="226DA234" w14:textId="77777777" w:rsidR="00950B81" w:rsidRPr="00181EF3" w:rsidRDefault="00950B81" w:rsidP="00E01121">
            <w:pPr>
              <w:pStyle w:val="TableText"/>
              <w:jc w:val="center"/>
              <w:rPr>
                <w:b/>
              </w:rPr>
            </w:pPr>
            <w:r w:rsidRPr="00181EF3">
              <w:rPr>
                <w:b/>
              </w:rPr>
              <w:t>Females</w:t>
            </w:r>
          </w:p>
        </w:tc>
      </w:tr>
      <w:tr w:rsidR="00950B81" w:rsidRPr="00181EF3" w14:paraId="08CBCEEF" w14:textId="77777777" w:rsidTr="00950B81">
        <w:trPr>
          <w:cantSplit/>
        </w:trPr>
        <w:tc>
          <w:tcPr>
            <w:tcW w:w="1288" w:type="dxa"/>
            <w:tcBorders>
              <w:bottom w:val="single" w:sz="4" w:space="0" w:color="A6A6A6" w:themeColor="background1" w:themeShade="A6"/>
              <w:right w:val="single" w:sz="4" w:space="0" w:color="A6A6A6" w:themeColor="background1" w:themeShade="A6"/>
            </w:tcBorders>
            <w:shd w:val="clear" w:color="auto" w:fill="auto"/>
            <w:vAlign w:val="bottom"/>
          </w:tcPr>
          <w:p w14:paraId="57FC659F" w14:textId="77777777" w:rsidR="00950B81" w:rsidRPr="00181EF3" w:rsidRDefault="00950B81" w:rsidP="00E01121">
            <w:pPr>
              <w:pStyle w:val="TableText"/>
            </w:pPr>
            <w:r w:rsidRPr="00181EF3">
              <w:t>2007–08</w:t>
            </w:r>
          </w:p>
        </w:tc>
        <w:tc>
          <w:tcPr>
            <w:tcW w:w="1132" w:type="dxa"/>
            <w:tcBorders>
              <w:left w:val="single" w:sz="4" w:space="0" w:color="A6A6A6" w:themeColor="background1" w:themeShade="A6"/>
              <w:bottom w:val="single" w:sz="4" w:space="0" w:color="A6A6A6" w:themeColor="background1" w:themeShade="A6"/>
            </w:tcBorders>
            <w:shd w:val="clear" w:color="auto" w:fill="auto"/>
            <w:vAlign w:val="bottom"/>
          </w:tcPr>
          <w:p w14:paraId="08D3777B" w14:textId="77777777" w:rsidR="00950B81" w:rsidRPr="00181EF3" w:rsidRDefault="00950B81" w:rsidP="00E01121">
            <w:pPr>
              <w:pStyle w:val="TableText"/>
              <w:jc w:val="center"/>
            </w:pPr>
            <w:r w:rsidRPr="00181EF3">
              <w:t>25.2</w:t>
            </w:r>
          </w:p>
        </w:tc>
        <w:tc>
          <w:tcPr>
            <w:tcW w:w="1132" w:type="dxa"/>
            <w:tcBorders>
              <w:bottom w:val="single" w:sz="4" w:space="0" w:color="A6A6A6" w:themeColor="background1" w:themeShade="A6"/>
              <w:right w:val="single" w:sz="4" w:space="0" w:color="A6A6A6" w:themeColor="background1" w:themeShade="A6"/>
            </w:tcBorders>
            <w:shd w:val="clear" w:color="auto" w:fill="auto"/>
            <w:vAlign w:val="bottom"/>
          </w:tcPr>
          <w:p w14:paraId="339B60AF" w14:textId="77777777" w:rsidR="00950B81" w:rsidRPr="00181EF3" w:rsidRDefault="00950B81" w:rsidP="00E01121">
            <w:pPr>
              <w:pStyle w:val="TableText"/>
              <w:jc w:val="center"/>
            </w:pPr>
            <w:r w:rsidRPr="00181EF3">
              <w:t>23.1</w:t>
            </w:r>
          </w:p>
        </w:tc>
        <w:tc>
          <w:tcPr>
            <w:tcW w:w="1132" w:type="dxa"/>
            <w:tcBorders>
              <w:left w:val="single" w:sz="4" w:space="0" w:color="A6A6A6" w:themeColor="background1" w:themeShade="A6"/>
              <w:bottom w:val="single" w:sz="4" w:space="0" w:color="A6A6A6" w:themeColor="background1" w:themeShade="A6"/>
            </w:tcBorders>
            <w:shd w:val="clear" w:color="auto" w:fill="auto"/>
            <w:vAlign w:val="bottom"/>
          </w:tcPr>
          <w:p w14:paraId="6AD8D97C" w14:textId="77777777" w:rsidR="00950B81" w:rsidRPr="00181EF3" w:rsidRDefault="00950B81" w:rsidP="00E01121">
            <w:pPr>
              <w:pStyle w:val="TableText"/>
              <w:jc w:val="center"/>
            </w:pPr>
            <w:r w:rsidRPr="00181EF3">
              <w:t>19.7</w:t>
            </w:r>
          </w:p>
        </w:tc>
        <w:tc>
          <w:tcPr>
            <w:tcW w:w="1132" w:type="dxa"/>
            <w:tcBorders>
              <w:bottom w:val="single" w:sz="4" w:space="0" w:color="A6A6A6" w:themeColor="background1" w:themeShade="A6"/>
            </w:tcBorders>
            <w:shd w:val="clear" w:color="auto" w:fill="auto"/>
            <w:vAlign w:val="bottom"/>
          </w:tcPr>
          <w:p w14:paraId="1C1C67EE" w14:textId="77777777" w:rsidR="00950B81" w:rsidRPr="00181EF3" w:rsidRDefault="00950B81" w:rsidP="00E01121">
            <w:pPr>
              <w:pStyle w:val="TableText"/>
              <w:jc w:val="center"/>
            </w:pPr>
            <w:r w:rsidRPr="00181EF3">
              <w:t>16.6</w:t>
            </w:r>
          </w:p>
        </w:tc>
      </w:tr>
      <w:tr w:rsidR="00950B81" w:rsidRPr="00181EF3" w14:paraId="3628B431" w14:textId="77777777" w:rsidTr="00950B81">
        <w:trPr>
          <w:cantSplit/>
        </w:trPr>
        <w:tc>
          <w:tcPr>
            <w:tcW w:w="1288"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bottom"/>
          </w:tcPr>
          <w:p w14:paraId="0DCE6684" w14:textId="77777777" w:rsidR="00950B81" w:rsidRPr="00181EF3" w:rsidRDefault="00950B81" w:rsidP="00E01121">
            <w:pPr>
              <w:pStyle w:val="TableText"/>
            </w:pPr>
            <w:r w:rsidRPr="00181EF3">
              <w:t>2008–09</w:t>
            </w:r>
          </w:p>
        </w:tc>
        <w:tc>
          <w:tcPr>
            <w:tcW w:w="113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bottom"/>
          </w:tcPr>
          <w:p w14:paraId="423F9891" w14:textId="77777777" w:rsidR="00950B81" w:rsidRPr="00181EF3" w:rsidRDefault="00950B81" w:rsidP="00E01121">
            <w:pPr>
              <w:pStyle w:val="TableText"/>
              <w:jc w:val="center"/>
            </w:pPr>
            <w:r w:rsidRPr="00181EF3">
              <w:t>26.5</w:t>
            </w:r>
          </w:p>
        </w:tc>
        <w:tc>
          <w:tcPr>
            <w:tcW w:w="1132"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bottom"/>
          </w:tcPr>
          <w:p w14:paraId="1CCCB883" w14:textId="77777777" w:rsidR="00950B81" w:rsidRPr="00181EF3" w:rsidRDefault="00950B81" w:rsidP="00E01121">
            <w:pPr>
              <w:pStyle w:val="TableText"/>
              <w:jc w:val="center"/>
            </w:pPr>
            <w:r w:rsidRPr="00181EF3">
              <w:t>25.0</w:t>
            </w:r>
          </w:p>
        </w:tc>
        <w:tc>
          <w:tcPr>
            <w:tcW w:w="113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bottom"/>
          </w:tcPr>
          <w:p w14:paraId="74CF3827" w14:textId="77777777" w:rsidR="00950B81" w:rsidRPr="00181EF3" w:rsidRDefault="00950B81" w:rsidP="00E01121">
            <w:pPr>
              <w:pStyle w:val="TableText"/>
              <w:jc w:val="center"/>
            </w:pPr>
            <w:r w:rsidRPr="00181EF3">
              <w:t>20.8</w:t>
            </w:r>
          </w:p>
        </w:tc>
        <w:tc>
          <w:tcPr>
            <w:tcW w:w="1132" w:type="dxa"/>
            <w:tcBorders>
              <w:top w:val="single" w:sz="4" w:space="0" w:color="A6A6A6" w:themeColor="background1" w:themeShade="A6"/>
              <w:bottom w:val="single" w:sz="4" w:space="0" w:color="A6A6A6" w:themeColor="background1" w:themeShade="A6"/>
            </w:tcBorders>
            <w:shd w:val="clear" w:color="auto" w:fill="auto"/>
            <w:vAlign w:val="bottom"/>
          </w:tcPr>
          <w:p w14:paraId="4CAA23B5" w14:textId="77777777" w:rsidR="00950B81" w:rsidRPr="00181EF3" w:rsidRDefault="00950B81" w:rsidP="00E01121">
            <w:pPr>
              <w:pStyle w:val="TableText"/>
              <w:jc w:val="center"/>
            </w:pPr>
            <w:r w:rsidRPr="00181EF3">
              <w:t>17.7</w:t>
            </w:r>
          </w:p>
        </w:tc>
      </w:tr>
      <w:tr w:rsidR="00950B81" w:rsidRPr="00181EF3" w14:paraId="7826AE5F" w14:textId="77777777" w:rsidTr="00950B81">
        <w:trPr>
          <w:cantSplit/>
        </w:trPr>
        <w:tc>
          <w:tcPr>
            <w:tcW w:w="1288"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bottom"/>
          </w:tcPr>
          <w:p w14:paraId="529582AF" w14:textId="77777777" w:rsidR="00950B81" w:rsidRPr="00181EF3" w:rsidRDefault="00950B81" w:rsidP="00E01121">
            <w:pPr>
              <w:pStyle w:val="TableText"/>
            </w:pPr>
            <w:r w:rsidRPr="00181EF3">
              <w:t>2009–10</w:t>
            </w:r>
          </w:p>
        </w:tc>
        <w:tc>
          <w:tcPr>
            <w:tcW w:w="113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bottom"/>
          </w:tcPr>
          <w:p w14:paraId="4CC346F8" w14:textId="77777777" w:rsidR="00950B81" w:rsidRPr="00181EF3" w:rsidRDefault="00950B81" w:rsidP="00E01121">
            <w:pPr>
              <w:pStyle w:val="TableText"/>
              <w:jc w:val="center"/>
            </w:pPr>
            <w:r w:rsidRPr="00181EF3">
              <w:t>27.9</w:t>
            </w:r>
          </w:p>
        </w:tc>
        <w:tc>
          <w:tcPr>
            <w:tcW w:w="1132"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bottom"/>
          </w:tcPr>
          <w:p w14:paraId="7A86784C" w14:textId="77777777" w:rsidR="00950B81" w:rsidRPr="00181EF3" w:rsidRDefault="00950B81" w:rsidP="00E01121">
            <w:pPr>
              <w:pStyle w:val="TableText"/>
              <w:jc w:val="center"/>
            </w:pPr>
            <w:r w:rsidRPr="00181EF3">
              <w:t>26.7</w:t>
            </w:r>
          </w:p>
        </w:tc>
        <w:tc>
          <w:tcPr>
            <w:tcW w:w="113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bottom"/>
          </w:tcPr>
          <w:p w14:paraId="13C20482" w14:textId="77777777" w:rsidR="00950B81" w:rsidRPr="00181EF3" w:rsidRDefault="00950B81" w:rsidP="00E01121">
            <w:pPr>
              <w:pStyle w:val="TableText"/>
              <w:jc w:val="center"/>
            </w:pPr>
            <w:r w:rsidRPr="00181EF3">
              <w:t>21.3</w:t>
            </w:r>
          </w:p>
        </w:tc>
        <w:tc>
          <w:tcPr>
            <w:tcW w:w="1132" w:type="dxa"/>
            <w:tcBorders>
              <w:top w:val="single" w:sz="4" w:space="0" w:color="A6A6A6" w:themeColor="background1" w:themeShade="A6"/>
              <w:bottom w:val="single" w:sz="4" w:space="0" w:color="A6A6A6" w:themeColor="background1" w:themeShade="A6"/>
            </w:tcBorders>
            <w:shd w:val="clear" w:color="auto" w:fill="auto"/>
            <w:vAlign w:val="bottom"/>
          </w:tcPr>
          <w:p w14:paraId="15339D4F" w14:textId="77777777" w:rsidR="00950B81" w:rsidRPr="00181EF3" w:rsidRDefault="00950B81" w:rsidP="00E01121">
            <w:pPr>
              <w:pStyle w:val="TableText"/>
              <w:jc w:val="center"/>
            </w:pPr>
            <w:r w:rsidRPr="00181EF3">
              <w:t>18.7</w:t>
            </w:r>
          </w:p>
        </w:tc>
      </w:tr>
      <w:tr w:rsidR="00950B81" w:rsidRPr="00181EF3" w14:paraId="21E69748" w14:textId="77777777" w:rsidTr="00950B81">
        <w:trPr>
          <w:cantSplit/>
        </w:trPr>
        <w:tc>
          <w:tcPr>
            <w:tcW w:w="1288"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bottom"/>
          </w:tcPr>
          <w:p w14:paraId="7EFC6812" w14:textId="77777777" w:rsidR="00950B81" w:rsidRPr="00181EF3" w:rsidRDefault="00950B81" w:rsidP="0002781D">
            <w:pPr>
              <w:pStyle w:val="TableText"/>
            </w:pPr>
            <w:r w:rsidRPr="00181EF3">
              <w:t>2010–11</w:t>
            </w:r>
          </w:p>
        </w:tc>
        <w:tc>
          <w:tcPr>
            <w:tcW w:w="113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bottom"/>
          </w:tcPr>
          <w:p w14:paraId="34317A98" w14:textId="77777777" w:rsidR="00950B81" w:rsidRPr="00181EF3" w:rsidRDefault="00950B81" w:rsidP="0002781D">
            <w:pPr>
              <w:pStyle w:val="TableText"/>
              <w:jc w:val="center"/>
            </w:pPr>
            <w:r w:rsidRPr="00181EF3">
              <w:t>28.3</w:t>
            </w:r>
          </w:p>
        </w:tc>
        <w:tc>
          <w:tcPr>
            <w:tcW w:w="1132"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bottom"/>
          </w:tcPr>
          <w:p w14:paraId="6938DD07" w14:textId="77777777" w:rsidR="00950B81" w:rsidRPr="00181EF3" w:rsidRDefault="00950B81" w:rsidP="0002781D">
            <w:pPr>
              <w:pStyle w:val="TableText"/>
              <w:jc w:val="center"/>
            </w:pPr>
            <w:r w:rsidRPr="00181EF3">
              <w:t>27.6</w:t>
            </w:r>
          </w:p>
        </w:tc>
        <w:tc>
          <w:tcPr>
            <w:tcW w:w="113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bottom"/>
          </w:tcPr>
          <w:p w14:paraId="45843E25" w14:textId="77777777" w:rsidR="00950B81" w:rsidRPr="00181EF3" w:rsidRDefault="00950B81" w:rsidP="0002781D">
            <w:pPr>
              <w:pStyle w:val="TableText"/>
              <w:jc w:val="center"/>
            </w:pPr>
            <w:r w:rsidRPr="00181EF3">
              <w:t>21.1</w:t>
            </w:r>
          </w:p>
        </w:tc>
        <w:tc>
          <w:tcPr>
            <w:tcW w:w="1132" w:type="dxa"/>
            <w:tcBorders>
              <w:top w:val="single" w:sz="4" w:space="0" w:color="A6A6A6" w:themeColor="background1" w:themeShade="A6"/>
              <w:bottom w:val="single" w:sz="4" w:space="0" w:color="A6A6A6" w:themeColor="background1" w:themeShade="A6"/>
            </w:tcBorders>
            <w:shd w:val="clear" w:color="auto" w:fill="auto"/>
            <w:vAlign w:val="bottom"/>
          </w:tcPr>
          <w:p w14:paraId="7D50DACB" w14:textId="77777777" w:rsidR="00950B81" w:rsidRPr="00181EF3" w:rsidRDefault="00950B81" w:rsidP="0002781D">
            <w:pPr>
              <w:pStyle w:val="TableText"/>
              <w:jc w:val="center"/>
            </w:pPr>
            <w:r w:rsidRPr="00181EF3">
              <w:t>18.9</w:t>
            </w:r>
          </w:p>
        </w:tc>
      </w:tr>
      <w:tr w:rsidR="00950B81" w:rsidRPr="00181EF3" w14:paraId="43CBE6CE" w14:textId="77777777" w:rsidTr="00950B81">
        <w:trPr>
          <w:cantSplit/>
        </w:trPr>
        <w:tc>
          <w:tcPr>
            <w:tcW w:w="1288"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bottom"/>
          </w:tcPr>
          <w:p w14:paraId="2646709C" w14:textId="77777777" w:rsidR="00950B81" w:rsidRPr="00181EF3" w:rsidRDefault="00950B81" w:rsidP="0002781D">
            <w:pPr>
              <w:pStyle w:val="TableText"/>
            </w:pPr>
            <w:r w:rsidRPr="00181EF3">
              <w:t>2011–12</w:t>
            </w:r>
          </w:p>
        </w:tc>
        <w:tc>
          <w:tcPr>
            <w:tcW w:w="113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bottom"/>
          </w:tcPr>
          <w:p w14:paraId="775AE723" w14:textId="77777777" w:rsidR="00950B81" w:rsidRPr="00181EF3" w:rsidRDefault="00950B81" w:rsidP="0002781D">
            <w:pPr>
              <w:pStyle w:val="TableText"/>
              <w:jc w:val="center"/>
            </w:pPr>
            <w:r w:rsidRPr="00181EF3">
              <w:t>28.1</w:t>
            </w:r>
          </w:p>
        </w:tc>
        <w:tc>
          <w:tcPr>
            <w:tcW w:w="1132"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bottom"/>
          </w:tcPr>
          <w:p w14:paraId="75621B14" w14:textId="77777777" w:rsidR="00950B81" w:rsidRPr="00181EF3" w:rsidRDefault="00950B81" w:rsidP="0002781D">
            <w:pPr>
              <w:pStyle w:val="TableText"/>
              <w:jc w:val="center"/>
            </w:pPr>
            <w:r w:rsidRPr="00181EF3">
              <w:t>27.6</w:t>
            </w:r>
          </w:p>
        </w:tc>
        <w:tc>
          <w:tcPr>
            <w:tcW w:w="113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bottom"/>
          </w:tcPr>
          <w:p w14:paraId="4FB5C7B9" w14:textId="77777777" w:rsidR="00950B81" w:rsidRPr="00181EF3" w:rsidRDefault="00950B81" w:rsidP="0002781D">
            <w:pPr>
              <w:pStyle w:val="TableText"/>
              <w:jc w:val="center"/>
            </w:pPr>
            <w:r w:rsidRPr="00181EF3">
              <w:t>21.2</w:t>
            </w:r>
          </w:p>
        </w:tc>
        <w:tc>
          <w:tcPr>
            <w:tcW w:w="1132" w:type="dxa"/>
            <w:tcBorders>
              <w:top w:val="single" w:sz="4" w:space="0" w:color="A6A6A6" w:themeColor="background1" w:themeShade="A6"/>
              <w:bottom w:val="single" w:sz="4" w:space="0" w:color="A6A6A6" w:themeColor="background1" w:themeShade="A6"/>
            </w:tcBorders>
            <w:shd w:val="clear" w:color="auto" w:fill="auto"/>
            <w:vAlign w:val="bottom"/>
          </w:tcPr>
          <w:p w14:paraId="0BBBEEFC" w14:textId="77777777" w:rsidR="00950B81" w:rsidRPr="00181EF3" w:rsidRDefault="00950B81" w:rsidP="0002781D">
            <w:pPr>
              <w:pStyle w:val="TableText"/>
              <w:jc w:val="center"/>
            </w:pPr>
            <w:r w:rsidRPr="00181EF3">
              <w:t>19.1</w:t>
            </w:r>
          </w:p>
        </w:tc>
      </w:tr>
      <w:tr w:rsidR="00950B81" w:rsidRPr="00181EF3" w14:paraId="34852C05" w14:textId="77777777" w:rsidTr="00950B81">
        <w:trPr>
          <w:cantSplit/>
        </w:trPr>
        <w:tc>
          <w:tcPr>
            <w:tcW w:w="1288"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bottom"/>
          </w:tcPr>
          <w:p w14:paraId="00623B97" w14:textId="77777777" w:rsidR="00950B81" w:rsidRPr="00181EF3" w:rsidRDefault="00950B81" w:rsidP="0002781D">
            <w:pPr>
              <w:pStyle w:val="TableText"/>
            </w:pPr>
            <w:r w:rsidRPr="00181EF3">
              <w:t>2012–13</w:t>
            </w:r>
          </w:p>
        </w:tc>
        <w:tc>
          <w:tcPr>
            <w:tcW w:w="113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bottom"/>
          </w:tcPr>
          <w:p w14:paraId="5394BFA9" w14:textId="77777777" w:rsidR="00950B81" w:rsidRPr="00181EF3" w:rsidRDefault="00950B81" w:rsidP="0002781D">
            <w:pPr>
              <w:pStyle w:val="TableText"/>
              <w:jc w:val="center"/>
            </w:pPr>
            <w:r w:rsidRPr="00181EF3">
              <w:t>28.4</w:t>
            </w:r>
          </w:p>
        </w:tc>
        <w:tc>
          <w:tcPr>
            <w:tcW w:w="1132"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bottom"/>
          </w:tcPr>
          <w:p w14:paraId="0C898BE5" w14:textId="77777777" w:rsidR="00950B81" w:rsidRPr="00181EF3" w:rsidRDefault="00950B81" w:rsidP="0002781D">
            <w:pPr>
              <w:pStyle w:val="TableText"/>
              <w:jc w:val="center"/>
            </w:pPr>
            <w:r w:rsidRPr="00181EF3">
              <w:t>28.0</w:t>
            </w:r>
          </w:p>
        </w:tc>
        <w:tc>
          <w:tcPr>
            <w:tcW w:w="113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bottom"/>
          </w:tcPr>
          <w:p w14:paraId="13C8755C" w14:textId="77777777" w:rsidR="00950B81" w:rsidRPr="00181EF3" w:rsidRDefault="00950B81" w:rsidP="0002781D">
            <w:pPr>
              <w:pStyle w:val="TableText"/>
              <w:jc w:val="center"/>
            </w:pPr>
            <w:r w:rsidRPr="00181EF3">
              <w:t>21.2</w:t>
            </w:r>
          </w:p>
        </w:tc>
        <w:tc>
          <w:tcPr>
            <w:tcW w:w="1132" w:type="dxa"/>
            <w:tcBorders>
              <w:top w:val="single" w:sz="4" w:space="0" w:color="A6A6A6" w:themeColor="background1" w:themeShade="A6"/>
              <w:bottom w:val="single" w:sz="4" w:space="0" w:color="A6A6A6" w:themeColor="background1" w:themeShade="A6"/>
            </w:tcBorders>
            <w:shd w:val="clear" w:color="auto" w:fill="auto"/>
            <w:vAlign w:val="bottom"/>
          </w:tcPr>
          <w:p w14:paraId="0C4B017F" w14:textId="77777777" w:rsidR="00950B81" w:rsidRPr="00181EF3" w:rsidRDefault="00950B81" w:rsidP="0002781D">
            <w:pPr>
              <w:pStyle w:val="TableText"/>
              <w:jc w:val="center"/>
            </w:pPr>
            <w:r w:rsidRPr="00181EF3">
              <w:t>19.5</w:t>
            </w:r>
          </w:p>
        </w:tc>
      </w:tr>
      <w:tr w:rsidR="00950B81" w:rsidRPr="00181EF3" w14:paraId="5C616795" w14:textId="77777777" w:rsidTr="00950B81">
        <w:trPr>
          <w:cantSplit/>
        </w:trPr>
        <w:tc>
          <w:tcPr>
            <w:tcW w:w="1288"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bottom"/>
          </w:tcPr>
          <w:p w14:paraId="73F68F35" w14:textId="77777777" w:rsidR="00950B81" w:rsidRPr="00181EF3" w:rsidRDefault="00950B81" w:rsidP="0002781D">
            <w:pPr>
              <w:pStyle w:val="TableText"/>
            </w:pPr>
            <w:r w:rsidRPr="00181EF3">
              <w:t>2013–14</w:t>
            </w:r>
          </w:p>
        </w:tc>
        <w:tc>
          <w:tcPr>
            <w:tcW w:w="113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bottom"/>
          </w:tcPr>
          <w:p w14:paraId="54E0EAD3" w14:textId="77777777" w:rsidR="00950B81" w:rsidRPr="00181EF3" w:rsidRDefault="00950B81" w:rsidP="0002781D">
            <w:pPr>
              <w:pStyle w:val="TableText"/>
              <w:jc w:val="center"/>
            </w:pPr>
            <w:r w:rsidRPr="00181EF3">
              <w:t>28.5</w:t>
            </w:r>
          </w:p>
        </w:tc>
        <w:tc>
          <w:tcPr>
            <w:tcW w:w="1132"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bottom"/>
          </w:tcPr>
          <w:p w14:paraId="539D832F" w14:textId="77777777" w:rsidR="00950B81" w:rsidRPr="00181EF3" w:rsidRDefault="00950B81" w:rsidP="0002781D">
            <w:pPr>
              <w:pStyle w:val="TableText"/>
              <w:jc w:val="center"/>
            </w:pPr>
            <w:r w:rsidRPr="00181EF3">
              <w:t>28.8</w:t>
            </w:r>
          </w:p>
        </w:tc>
        <w:tc>
          <w:tcPr>
            <w:tcW w:w="113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bottom"/>
          </w:tcPr>
          <w:p w14:paraId="5CBE7671" w14:textId="77777777" w:rsidR="00950B81" w:rsidRPr="00181EF3" w:rsidRDefault="00950B81" w:rsidP="0002781D">
            <w:pPr>
              <w:pStyle w:val="TableText"/>
              <w:jc w:val="center"/>
            </w:pPr>
          </w:p>
        </w:tc>
        <w:tc>
          <w:tcPr>
            <w:tcW w:w="1132" w:type="dxa"/>
            <w:tcBorders>
              <w:top w:val="single" w:sz="4" w:space="0" w:color="A6A6A6" w:themeColor="background1" w:themeShade="A6"/>
              <w:bottom w:val="single" w:sz="4" w:space="0" w:color="A6A6A6" w:themeColor="background1" w:themeShade="A6"/>
            </w:tcBorders>
            <w:shd w:val="clear" w:color="auto" w:fill="auto"/>
          </w:tcPr>
          <w:p w14:paraId="11D2BB20" w14:textId="77777777" w:rsidR="00950B81" w:rsidRPr="00181EF3" w:rsidRDefault="00950B81" w:rsidP="0002781D">
            <w:pPr>
              <w:pStyle w:val="TableText"/>
              <w:jc w:val="center"/>
              <w:rPr>
                <w:szCs w:val="18"/>
              </w:rPr>
            </w:pPr>
          </w:p>
        </w:tc>
      </w:tr>
      <w:tr w:rsidR="00950B81" w:rsidRPr="00181EF3" w14:paraId="6087053C" w14:textId="77777777" w:rsidTr="00950B81">
        <w:trPr>
          <w:cantSplit/>
        </w:trPr>
        <w:tc>
          <w:tcPr>
            <w:tcW w:w="1288"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bottom"/>
          </w:tcPr>
          <w:p w14:paraId="1FCF985F" w14:textId="77777777" w:rsidR="00950B81" w:rsidRPr="00181EF3" w:rsidRDefault="00950B81" w:rsidP="0002781D">
            <w:pPr>
              <w:pStyle w:val="TableText"/>
            </w:pPr>
            <w:r w:rsidRPr="00181EF3">
              <w:t>2014–15</w:t>
            </w:r>
          </w:p>
        </w:tc>
        <w:tc>
          <w:tcPr>
            <w:tcW w:w="113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bottom"/>
          </w:tcPr>
          <w:p w14:paraId="7A1534CC" w14:textId="77777777" w:rsidR="00950B81" w:rsidRPr="00181EF3" w:rsidRDefault="00950B81" w:rsidP="0002781D">
            <w:pPr>
              <w:pStyle w:val="TableText"/>
              <w:jc w:val="center"/>
            </w:pPr>
            <w:r w:rsidRPr="00181EF3">
              <w:t>29.9</w:t>
            </w:r>
          </w:p>
        </w:tc>
        <w:tc>
          <w:tcPr>
            <w:tcW w:w="1132"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bottom"/>
          </w:tcPr>
          <w:p w14:paraId="1A977078" w14:textId="77777777" w:rsidR="00950B81" w:rsidRPr="00181EF3" w:rsidRDefault="00950B81" w:rsidP="0002781D">
            <w:pPr>
              <w:pStyle w:val="TableText"/>
              <w:jc w:val="center"/>
            </w:pPr>
            <w:r w:rsidRPr="00181EF3">
              <w:t>29.7</w:t>
            </w:r>
          </w:p>
        </w:tc>
        <w:tc>
          <w:tcPr>
            <w:tcW w:w="113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3EC276E6" w14:textId="77777777" w:rsidR="00950B81" w:rsidRPr="00181EF3" w:rsidRDefault="00950B81" w:rsidP="0002781D">
            <w:pPr>
              <w:pStyle w:val="TableText"/>
              <w:jc w:val="center"/>
              <w:rPr>
                <w:szCs w:val="18"/>
              </w:rPr>
            </w:pPr>
          </w:p>
        </w:tc>
        <w:tc>
          <w:tcPr>
            <w:tcW w:w="1132" w:type="dxa"/>
            <w:tcBorders>
              <w:top w:val="single" w:sz="4" w:space="0" w:color="A6A6A6" w:themeColor="background1" w:themeShade="A6"/>
              <w:bottom w:val="single" w:sz="4" w:space="0" w:color="A6A6A6" w:themeColor="background1" w:themeShade="A6"/>
            </w:tcBorders>
            <w:shd w:val="clear" w:color="auto" w:fill="auto"/>
          </w:tcPr>
          <w:p w14:paraId="45581E16" w14:textId="77777777" w:rsidR="00950B81" w:rsidRPr="00181EF3" w:rsidRDefault="00950B81" w:rsidP="0002781D">
            <w:pPr>
              <w:pStyle w:val="TableText"/>
              <w:jc w:val="center"/>
              <w:rPr>
                <w:szCs w:val="18"/>
              </w:rPr>
            </w:pPr>
          </w:p>
        </w:tc>
      </w:tr>
      <w:tr w:rsidR="00950B81" w:rsidRPr="00181EF3" w14:paraId="65273274" w14:textId="77777777" w:rsidTr="00950B81">
        <w:trPr>
          <w:cantSplit/>
        </w:trPr>
        <w:tc>
          <w:tcPr>
            <w:tcW w:w="1288"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bottom"/>
          </w:tcPr>
          <w:p w14:paraId="36E0C76F" w14:textId="77777777" w:rsidR="00950B81" w:rsidRPr="00181EF3" w:rsidRDefault="00950B81" w:rsidP="0002781D">
            <w:pPr>
              <w:pStyle w:val="TableText"/>
            </w:pPr>
            <w:r w:rsidRPr="00181EF3">
              <w:t>2015–16</w:t>
            </w:r>
          </w:p>
        </w:tc>
        <w:tc>
          <w:tcPr>
            <w:tcW w:w="113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bottom"/>
          </w:tcPr>
          <w:p w14:paraId="684FB1BB" w14:textId="77777777" w:rsidR="00950B81" w:rsidRPr="00181EF3" w:rsidRDefault="00950B81" w:rsidP="0002781D">
            <w:pPr>
              <w:pStyle w:val="TableText"/>
              <w:jc w:val="center"/>
            </w:pPr>
            <w:r w:rsidRPr="00181EF3">
              <w:t>30.7</w:t>
            </w:r>
          </w:p>
        </w:tc>
        <w:tc>
          <w:tcPr>
            <w:tcW w:w="1132"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bottom"/>
          </w:tcPr>
          <w:p w14:paraId="54624CEA" w14:textId="77777777" w:rsidR="00950B81" w:rsidRPr="00181EF3" w:rsidRDefault="00950B81" w:rsidP="0002781D">
            <w:pPr>
              <w:pStyle w:val="TableText"/>
              <w:jc w:val="center"/>
            </w:pPr>
            <w:r w:rsidRPr="00181EF3">
              <w:t>30.7</w:t>
            </w:r>
          </w:p>
        </w:tc>
        <w:tc>
          <w:tcPr>
            <w:tcW w:w="113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5A2DA21F" w14:textId="77777777" w:rsidR="00950B81" w:rsidRPr="00181EF3" w:rsidRDefault="00950B81" w:rsidP="0002781D">
            <w:pPr>
              <w:pStyle w:val="TableText"/>
              <w:jc w:val="center"/>
              <w:rPr>
                <w:szCs w:val="18"/>
              </w:rPr>
            </w:pPr>
          </w:p>
        </w:tc>
        <w:tc>
          <w:tcPr>
            <w:tcW w:w="1132" w:type="dxa"/>
            <w:tcBorders>
              <w:top w:val="single" w:sz="4" w:space="0" w:color="A6A6A6" w:themeColor="background1" w:themeShade="A6"/>
              <w:bottom w:val="single" w:sz="4" w:space="0" w:color="A6A6A6" w:themeColor="background1" w:themeShade="A6"/>
            </w:tcBorders>
            <w:shd w:val="clear" w:color="auto" w:fill="auto"/>
          </w:tcPr>
          <w:p w14:paraId="23B1556E" w14:textId="77777777" w:rsidR="00950B81" w:rsidRPr="00181EF3" w:rsidRDefault="00950B81" w:rsidP="0002781D">
            <w:pPr>
              <w:pStyle w:val="TableText"/>
              <w:jc w:val="center"/>
              <w:rPr>
                <w:szCs w:val="18"/>
              </w:rPr>
            </w:pPr>
          </w:p>
        </w:tc>
      </w:tr>
      <w:tr w:rsidR="00950B81" w:rsidRPr="00181EF3" w14:paraId="5AFE4940" w14:textId="77777777" w:rsidTr="00950B81">
        <w:trPr>
          <w:cantSplit/>
        </w:trPr>
        <w:tc>
          <w:tcPr>
            <w:tcW w:w="1288"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bottom"/>
          </w:tcPr>
          <w:p w14:paraId="2BC76FA6" w14:textId="77777777" w:rsidR="00950B81" w:rsidRPr="00181EF3" w:rsidRDefault="00950B81" w:rsidP="0002781D">
            <w:pPr>
              <w:pStyle w:val="TableText"/>
            </w:pPr>
            <w:r w:rsidRPr="00181EF3">
              <w:t>2016–17</w:t>
            </w:r>
          </w:p>
        </w:tc>
        <w:tc>
          <w:tcPr>
            <w:tcW w:w="113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vAlign w:val="bottom"/>
          </w:tcPr>
          <w:p w14:paraId="1D12EF2D" w14:textId="77777777" w:rsidR="00950B81" w:rsidRPr="00181EF3" w:rsidRDefault="00950B81" w:rsidP="0002781D">
            <w:pPr>
              <w:pStyle w:val="TableText"/>
              <w:jc w:val="center"/>
            </w:pPr>
            <w:r w:rsidRPr="00181EF3">
              <w:t>30.5</w:t>
            </w:r>
          </w:p>
        </w:tc>
        <w:tc>
          <w:tcPr>
            <w:tcW w:w="1132"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bottom"/>
          </w:tcPr>
          <w:p w14:paraId="7A6E49D7" w14:textId="77777777" w:rsidR="00950B81" w:rsidRPr="00181EF3" w:rsidRDefault="00950B81" w:rsidP="0002781D">
            <w:pPr>
              <w:pStyle w:val="TableText"/>
              <w:jc w:val="center"/>
            </w:pPr>
            <w:r w:rsidRPr="00181EF3">
              <w:t>31.3</w:t>
            </w:r>
          </w:p>
        </w:tc>
        <w:tc>
          <w:tcPr>
            <w:tcW w:w="1132"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uto"/>
          </w:tcPr>
          <w:p w14:paraId="7413BBA8" w14:textId="77777777" w:rsidR="00950B81" w:rsidRPr="00181EF3" w:rsidRDefault="00950B81" w:rsidP="0002781D">
            <w:pPr>
              <w:pStyle w:val="TableText"/>
              <w:jc w:val="center"/>
              <w:rPr>
                <w:szCs w:val="18"/>
              </w:rPr>
            </w:pPr>
          </w:p>
        </w:tc>
        <w:tc>
          <w:tcPr>
            <w:tcW w:w="1132" w:type="dxa"/>
            <w:tcBorders>
              <w:top w:val="single" w:sz="4" w:space="0" w:color="A6A6A6" w:themeColor="background1" w:themeShade="A6"/>
              <w:bottom w:val="single" w:sz="4" w:space="0" w:color="A6A6A6" w:themeColor="background1" w:themeShade="A6"/>
            </w:tcBorders>
            <w:shd w:val="clear" w:color="auto" w:fill="auto"/>
          </w:tcPr>
          <w:p w14:paraId="3413144B" w14:textId="77777777" w:rsidR="00950B81" w:rsidRPr="00181EF3" w:rsidRDefault="00950B81" w:rsidP="0002781D">
            <w:pPr>
              <w:pStyle w:val="TableText"/>
              <w:jc w:val="center"/>
              <w:rPr>
                <w:szCs w:val="18"/>
              </w:rPr>
            </w:pPr>
          </w:p>
        </w:tc>
      </w:tr>
    </w:tbl>
    <w:p w14:paraId="684D0B71" w14:textId="77777777" w:rsidR="00713A3E" w:rsidRDefault="00713A3E" w:rsidP="00713A3E">
      <w:pPr>
        <w:pStyle w:val="Note"/>
      </w:pPr>
      <w:r w:rsidRPr="00181EF3">
        <w:t>Note</w:t>
      </w:r>
      <w:r>
        <w:t>s</w:t>
      </w:r>
      <w:r w:rsidRPr="00181EF3">
        <w:t>:</w:t>
      </w:r>
    </w:p>
    <w:p w14:paraId="54DF18F7" w14:textId="4651FA5A" w:rsidR="008A5642" w:rsidRDefault="00446D86" w:rsidP="00713A3E">
      <w:pPr>
        <w:pStyle w:val="Note"/>
      </w:pPr>
      <w:r>
        <w:t>Figures are age-standardised to the 2001 Census total Māori population</w:t>
      </w:r>
      <w:r w:rsidR="00713A3E" w:rsidRPr="00181EF3">
        <w:t>.</w:t>
      </w:r>
    </w:p>
    <w:p w14:paraId="5E7DA2C5" w14:textId="0CF2ACE2" w:rsidR="00713A3E" w:rsidRPr="00181EF3" w:rsidRDefault="00713A3E" w:rsidP="00713A3E">
      <w:pPr>
        <w:pStyle w:val="Note"/>
      </w:pPr>
      <w:r>
        <w:t>Prioritised ethnicity has been used.</w:t>
      </w:r>
    </w:p>
    <w:p w14:paraId="14DA4BFE" w14:textId="77777777" w:rsidR="00713A3E" w:rsidRPr="00181EF3" w:rsidRDefault="00713A3E" w:rsidP="00713A3E">
      <w:pPr>
        <w:pStyle w:val="Source"/>
      </w:pPr>
      <w:r w:rsidRPr="00181EF3">
        <w:t>Source: National Minimum Dataset (NMDS, 10 January 2019)</w:t>
      </w:r>
      <w:r>
        <w:t>,</w:t>
      </w:r>
      <w:r w:rsidRPr="00140176">
        <w:rPr>
          <w:rFonts w:eastAsia="Calibri"/>
        </w:rPr>
        <w:t xml:space="preserve"> </w:t>
      </w:r>
      <w:r w:rsidRPr="00181EF3">
        <w:rPr>
          <w:rFonts w:eastAsia="Calibri"/>
        </w:rPr>
        <w:t>Ministry of Health</w:t>
      </w:r>
      <w:r>
        <w:rPr>
          <w:rFonts w:eastAsia="Calibri"/>
        </w:rPr>
        <w:t>,</w:t>
      </w:r>
      <w:r w:rsidRPr="00507AA7">
        <w:t xml:space="preserve"> </w:t>
      </w:r>
      <w:r>
        <w:t>2007</w:t>
      </w:r>
      <w:r w:rsidRPr="00181EF3">
        <w:t>–</w:t>
      </w:r>
      <w:r>
        <w:t>08</w:t>
      </w:r>
      <w:r w:rsidRPr="00181EF3">
        <w:t xml:space="preserve"> to 201</w:t>
      </w:r>
      <w:r>
        <w:t>6</w:t>
      </w:r>
      <w:r w:rsidRPr="00181EF3">
        <w:t>–1</w:t>
      </w:r>
      <w:r>
        <w:t>7</w:t>
      </w:r>
      <w:r w:rsidRPr="00181EF3">
        <w:rPr>
          <w:rFonts w:eastAsia="Calibri"/>
        </w:rPr>
        <w:t>.</w:t>
      </w:r>
    </w:p>
    <w:p w14:paraId="0066A81F" w14:textId="77777777" w:rsidR="00764DE1" w:rsidRPr="00D2650B" w:rsidRDefault="00764DE1" w:rsidP="006E429F">
      <w:pPr>
        <w:rPr>
          <w:highlight w:val="yellow"/>
        </w:rPr>
      </w:pPr>
    </w:p>
    <w:p w14:paraId="7D4C6215" w14:textId="77777777" w:rsidR="004A7F24" w:rsidRPr="00751C9C" w:rsidRDefault="004A7F24" w:rsidP="006E429F">
      <w:pPr>
        <w:pStyle w:val="Heading1"/>
      </w:pPr>
      <w:bookmarkStart w:id="549" w:name="_Toc495071620"/>
      <w:bookmarkStart w:id="550" w:name="_Toc6498084"/>
      <w:bookmarkStart w:id="551" w:name="_Toc19102513"/>
      <w:r w:rsidRPr="00751C9C">
        <w:lastRenderedPageBreak/>
        <w:t>References</w:t>
      </w:r>
      <w:bookmarkEnd w:id="466"/>
      <w:bookmarkEnd w:id="467"/>
      <w:bookmarkEnd w:id="468"/>
      <w:bookmarkEnd w:id="549"/>
      <w:bookmarkEnd w:id="550"/>
      <w:bookmarkEnd w:id="551"/>
    </w:p>
    <w:p w14:paraId="46A5A4EB" w14:textId="77777777" w:rsidR="009A2BA1" w:rsidRDefault="009A2BA1" w:rsidP="003A493A">
      <w:pPr>
        <w:pStyle w:val="References"/>
      </w:pPr>
      <w:bookmarkStart w:id="552" w:name="_Toc354993983"/>
      <w:bookmarkStart w:id="553" w:name="_Toc397424539"/>
      <w:bookmarkStart w:id="554" w:name="_Toc311786226"/>
      <w:r>
        <w:t xml:space="preserve">Altmann A, Tian L, Henderson VW, et al. 2014. Sex modifies the APOE‐related risk of developing Alzheimer disease. </w:t>
      </w:r>
      <w:r>
        <w:rPr>
          <w:i/>
          <w:iCs/>
        </w:rPr>
        <w:t>Annals of Neurology</w:t>
      </w:r>
      <w:r w:rsidRPr="00870677">
        <w:t xml:space="preserve"> </w:t>
      </w:r>
      <w:r w:rsidRPr="00870677">
        <w:rPr>
          <w:iCs/>
        </w:rPr>
        <w:t>75</w:t>
      </w:r>
      <w:r w:rsidRPr="00870677">
        <w:t>(4)</w:t>
      </w:r>
      <w:r>
        <w:t>:</w:t>
      </w:r>
      <w:r w:rsidRPr="00870677">
        <w:t xml:space="preserve"> 563</w:t>
      </w:r>
      <w:r>
        <w:t>–</w:t>
      </w:r>
      <w:r w:rsidRPr="00870677">
        <w:t>73.</w:t>
      </w:r>
    </w:p>
    <w:p w14:paraId="765BC201" w14:textId="11FA33E5" w:rsidR="00376671" w:rsidRDefault="00376671" w:rsidP="003A493A">
      <w:pPr>
        <w:pStyle w:val="References"/>
      </w:pPr>
      <w:r w:rsidRPr="00376671">
        <w:t xml:space="preserve">Andrews G, Slade T. 2001. Interpreting scores on the Kessler Psychological Distress Scale (K10). </w:t>
      </w:r>
      <w:r w:rsidRPr="00376671">
        <w:rPr>
          <w:i/>
        </w:rPr>
        <w:t>Australian and New Zealand Journal of Public Health</w:t>
      </w:r>
      <w:r w:rsidRPr="00376671">
        <w:t xml:space="preserve"> 25: 494–7.</w:t>
      </w:r>
    </w:p>
    <w:p w14:paraId="4C98BAA7" w14:textId="0B973A69" w:rsidR="00F76C67" w:rsidRDefault="00F76C67" w:rsidP="003A493A">
      <w:pPr>
        <w:pStyle w:val="References"/>
      </w:pPr>
      <w:r>
        <w:t xml:space="preserve">Arthritis New Zealand. n.d. </w:t>
      </w:r>
      <w:r w:rsidR="00FF6849">
        <w:rPr>
          <w:i/>
        </w:rPr>
        <w:t>Forms of Arthritis</w:t>
      </w:r>
      <w:r>
        <w:rPr>
          <w:i/>
        </w:rPr>
        <w:t xml:space="preserve">. </w:t>
      </w:r>
      <w:r>
        <w:t xml:space="preserve">URL: </w:t>
      </w:r>
      <w:r w:rsidR="00FF6849" w:rsidRPr="00A41923">
        <w:rPr>
          <w:rStyle w:val="Hyperlink"/>
        </w:rPr>
        <w:t>www.arthritis.org.nz/information/forms-of-arthritis/</w:t>
      </w:r>
      <w:r w:rsidRPr="00F12AE1">
        <w:t xml:space="preserve"> </w:t>
      </w:r>
      <w:r w:rsidRPr="00A13BB7">
        <w:t>(accessed 26 August 2019</w:t>
      </w:r>
      <w:r w:rsidRPr="004731AC">
        <w:t>).</w:t>
      </w:r>
    </w:p>
    <w:p w14:paraId="02B82E60" w14:textId="516F50A9" w:rsidR="0029182F" w:rsidRDefault="0029182F" w:rsidP="003A493A">
      <w:pPr>
        <w:pStyle w:val="References"/>
      </w:pPr>
      <w:r>
        <w:t xml:space="preserve">ASH. n.d. </w:t>
      </w:r>
      <w:r>
        <w:rPr>
          <w:i/>
        </w:rPr>
        <w:t>2016 ASH Year 10 Snapshot: Smoking among M</w:t>
      </w:r>
      <w:r>
        <w:rPr>
          <w:rFonts w:cs="Segoe UI"/>
          <w:i/>
        </w:rPr>
        <w:t>ā</w:t>
      </w:r>
      <w:r>
        <w:rPr>
          <w:i/>
        </w:rPr>
        <w:t xml:space="preserve">ori youth. </w:t>
      </w:r>
      <w:r>
        <w:t xml:space="preserve">Wellington: Health Promotion Agency. URL: </w:t>
      </w:r>
      <w:hyperlink r:id="rId217" w:history="1">
        <w:r>
          <w:rPr>
            <w:rStyle w:val="Hyperlink"/>
          </w:rPr>
          <w:t>https://d3n8a8pro7vhmx.cloudfront.net/ashnz/pages/70/attachments/original/1518396379/2016_ASH_Y10_Snapshot_Maori_FINAL.pdf?1518396379</w:t>
        </w:r>
      </w:hyperlink>
      <w:r w:rsidRPr="00F12AE1">
        <w:t xml:space="preserve"> </w:t>
      </w:r>
      <w:r w:rsidRPr="00A13BB7">
        <w:t>(accessed 26</w:t>
      </w:r>
      <w:r w:rsidR="00F12AE1">
        <w:t> </w:t>
      </w:r>
      <w:r w:rsidRPr="00A13BB7">
        <w:t>August 2019</w:t>
      </w:r>
      <w:r w:rsidRPr="004731AC">
        <w:t>).</w:t>
      </w:r>
    </w:p>
    <w:p w14:paraId="392E8AB0" w14:textId="77777777" w:rsidR="00324B55" w:rsidRDefault="00324B55" w:rsidP="003A493A">
      <w:pPr>
        <w:pStyle w:val="References"/>
      </w:pPr>
      <w:r w:rsidRPr="002714AC">
        <w:t xml:space="preserve">Asia Pacific Cohort Studies Collaboration. 2004. Body mass index and cardiovascular disease in the Asia-Pacific Region; an overview of 33 cohorts involving 310,000 participants. </w:t>
      </w:r>
      <w:r w:rsidRPr="002714AC">
        <w:rPr>
          <w:i/>
        </w:rPr>
        <w:t xml:space="preserve">International Journal of Epidemiology </w:t>
      </w:r>
      <w:r w:rsidRPr="002714AC">
        <w:t>33: 751–8.</w:t>
      </w:r>
    </w:p>
    <w:p w14:paraId="498B522F" w14:textId="77777777" w:rsidR="0045021E" w:rsidRDefault="0045021E" w:rsidP="003A493A">
      <w:pPr>
        <w:pStyle w:val="References"/>
      </w:pPr>
      <w:r>
        <w:t xml:space="preserve">Atkinson J, Salmond C, Crampton P. 2014. </w:t>
      </w:r>
      <w:r w:rsidRPr="0045021E">
        <w:rPr>
          <w:i/>
        </w:rPr>
        <w:t>NZDep2013 Index of Deprivation.</w:t>
      </w:r>
      <w:r>
        <w:t xml:space="preserve"> Wellington: Department of the Public Health, University of Otago.</w:t>
      </w:r>
    </w:p>
    <w:p w14:paraId="00DCC386" w14:textId="77777777" w:rsidR="00C43859" w:rsidRDefault="00C43859" w:rsidP="003A493A">
      <w:pPr>
        <w:pStyle w:val="References"/>
      </w:pPr>
      <w:r w:rsidRPr="007548ED">
        <w:t xml:space="preserve">Babor T, Higgins-Biddle J, Saunders J, </w:t>
      </w:r>
      <w:r>
        <w:t>et al</w:t>
      </w:r>
      <w:r w:rsidRPr="007548ED">
        <w:t>. 2001.</w:t>
      </w:r>
      <w:r>
        <w:t xml:space="preserve"> </w:t>
      </w:r>
      <w:r w:rsidRPr="00C43859">
        <w:rPr>
          <w:i/>
        </w:rPr>
        <w:t>AUDIT: The Alcohol Use Disorders Identification Test: Guidelines for use in primary care. Second edition.</w:t>
      </w:r>
      <w:r w:rsidRPr="007548ED">
        <w:t xml:space="preserve"> Geneva: World Health Organization.</w:t>
      </w:r>
    </w:p>
    <w:p w14:paraId="3045951E" w14:textId="6D972F0F" w:rsidR="004D12AC" w:rsidRDefault="004D12AC" w:rsidP="003A493A">
      <w:pPr>
        <w:pStyle w:val="References"/>
      </w:pPr>
      <w:r w:rsidRPr="004D12AC">
        <w:t xml:space="preserve">Bombak AE. 2013. Self-rated health and public health: a critical perspective. </w:t>
      </w:r>
      <w:r w:rsidRPr="004D12AC">
        <w:rPr>
          <w:i/>
        </w:rPr>
        <w:t>Frontiers in Public Health</w:t>
      </w:r>
      <w:r w:rsidRPr="004D12AC">
        <w:t xml:space="preserve"> 1: 15.</w:t>
      </w:r>
    </w:p>
    <w:p w14:paraId="5BF54B88" w14:textId="30FA4A75" w:rsidR="009A2BA1" w:rsidRDefault="009A2BA1" w:rsidP="003A493A">
      <w:pPr>
        <w:pStyle w:val="References"/>
      </w:pPr>
      <w:r>
        <w:t xml:space="preserve">Brain Research New Zealand. n.d. </w:t>
      </w:r>
      <w:r>
        <w:rPr>
          <w:i/>
        </w:rPr>
        <w:t xml:space="preserve">New Dementia Research on Māori Led by Māori. </w:t>
      </w:r>
      <w:r>
        <w:t xml:space="preserve">URL: </w:t>
      </w:r>
      <w:hyperlink r:id="rId218" w:history="1">
        <w:r w:rsidRPr="00AA2358">
          <w:rPr>
            <w:rStyle w:val="Hyperlink"/>
          </w:rPr>
          <w:t>www.brnz.ac.nz/news-events/new-dementia-research-on-maori-led-by-maori</w:t>
        </w:r>
      </w:hyperlink>
      <w:r w:rsidRPr="00F12AE1">
        <w:t xml:space="preserve"> </w:t>
      </w:r>
      <w:r w:rsidRPr="00A13BB7">
        <w:t>(accessed 26 August 2019</w:t>
      </w:r>
      <w:r w:rsidRPr="004731AC">
        <w:t>).</w:t>
      </w:r>
    </w:p>
    <w:p w14:paraId="78766488" w14:textId="77777777" w:rsidR="00324B55" w:rsidRPr="002714AC" w:rsidRDefault="00324B55" w:rsidP="00324B55">
      <w:pPr>
        <w:pStyle w:val="References"/>
      </w:pPr>
      <w:r w:rsidRPr="002714AC">
        <w:t xml:space="preserve">Cole TJ, Bellizzi MC, Flegal KM, et al. 2000. Establishing a standard definition for child overweight and obesity worldwide: international survey. </w:t>
      </w:r>
      <w:r w:rsidRPr="002714AC">
        <w:rPr>
          <w:i/>
          <w:iCs/>
        </w:rPr>
        <w:t xml:space="preserve">British Medical Journal </w:t>
      </w:r>
      <w:r w:rsidRPr="002714AC">
        <w:t>320:</w:t>
      </w:r>
      <w:r>
        <w:t> </w:t>
      </w:r>
      <w:r w:rsidRPr="002714AC">
        <w:t>1−6.</w:t>
      </w:r>
    </w:p>
    <w:p w14:paraId="70FBA96E" w14:textId="4D5DA943" w:rsidR="00324B55" w:rsidRDefault="00324B55" w:rsidP="00324B55">
      <w:pPr>
        <w:pStyle w:val="References"/>
      </w:pPr>
      <w:r w:rsidRPr="002714AC">
        <w:t xml:space="preserve">Cole TJ, Flegal KM, Nicholls D, et al. 2007. Body mass index cut offs to define thinness in children and adolescents: international survey. </w:t>
      </w:r>
      <w:r w:rsidRPr="002714AC">
        <w:rPr>
          <w:i/>
          <w:iCs/>
        </w:rPr>
        <w:t xml:space="preserve">British Medical Journal </w:t>
      </w:r>
      <w:r w:rsidRPr="002714AC">
        <w:t>335(7612): 194.</w:t>
      </w:r>
    </w:p>
    <w:p w14:paraId="1D334C1B" w14:textId="53FB5657" w:rsidR="00A23AFA" w:rsidRDefault="00A23AFA" w:rsidP="00324B55">
      <w:pPr>
        <w:pStyle w:val="References"/>
      </w:pPr>
      <w:r>
        <w:t xml:space="preserve">Dyall L. 2014. Dementia: continuation of health and ethnic inequalities in New Zealand. </w:t>
      </w:r>
      <w:r>
        <w:rPr>
          <w:i/>
          <w:iCs/>
        </w:rPr>
        <w:t>New Zealand Medical Journal</w:t>
      </w:r>
      <w:r w:rsidRPr="00F8020E">
        <w:t xml:space="preserve"> </w:t>
      </w:r>
      <w:r w:rsidRPr="00F8020E">
        <w:rPr>
          <w:iCs/>
        </w:rPr>
        <w:t>127</w:t>
      </w:r>
      <w:r w:rsidRPr="00F8020E">
        <w:t>(1389)</w:t>
      </w:r>
      <w:r>
        <w:t>:</w:t>
      </w:r>
      <w:r w:rsidRPr="00F8020E">
        <w:t xml:space="preserve"> 68</w:t>
      </w:r>
      <w:r>
        <w:t>–</w:t>
      </w:r>
      <w:r w:rsidRPr="00F8020E">
        <w:t>80.</w:t>
      </w:r>
    </w:p>
    <w:p w14:paraId="019FD87A" w14:textId="06E2729E" w:rsidR="00ED14AD" w:rsidRDefault="00ED14AD" w:rsidP="00ED14AD">
      <w:pPr>
        <w:pStyle w:val="References"/>
      </w:pPr>
      <w:r w:rsidRPr="00307BB0">
        <w:t xml:space="preserve">Ferris J, Wynne H. 2001. </w:t>
      </w:r>
      <w:r w:rsidRPr="00307BB0">
        <w:rPr>
          <w:i/>
          <w:iCs/>
        </w:rPr>
        <w:t>The Canadian Problem Gambling Index: Final Report</w:t>
      </w:r>
      <w:r w:rsidRPr="00307BB0">
        <w:t>. Ottawa: Canadian Centre on Substance Abuse</w:t>
      </w:r>
      <w:r>
        <w:t>.</w:t>
      </w:r>
    </w:p>
    <w:p w14:paraId="3853C88D" w14:textId="2BEF1297" w:rsidR="00DF00D4" w:rsidRDefault="00DF00D4" w:rsidP="00ED14AD">
      <w:pPr>
        <w:pStyle w:val="References"/>
      </w:pPr>
      <w:r>
        <w:t xml:space="preserve">Health Navigator New Zealand. 2019a. </w:t>
      </w:r>
      <w:r>
        <w:rPr>
          <w:i/>
        </w:rPr>
        <w:t>Anxiety</w:t>
      </w:r>
      <w:r w:rsidRPr="00A13BB7">
        <w:rPr>
          <w:i/>
        </w:rPr>
        <w:t xml:space="preserve">. </w:t>
      </w:r>
      <w:r>
        <w:t xml:space="preserve">URL: </w:t>
      </w:r>
      <w:hyperlink r:id="rId219" w:history="1">
        <w:r w:rsidRPr="00AA2358">
          <w:rPr>
            <w:rStyle w:val="Hyperlink"/>
          </w:rPr>
          <w:t>www.healthnavigator.org.nz/health-a-z/a/anxiety/</w:t>
        </w:r>
      </w:hyperlink>
      <w:r>
        <w:rPr>
          <w:rStyle w:val="Hyperlink"/>
          <w:b w:val="0"/>
        </w:rPr>
        <w:t xml:space="preserve"> </w:t>
      </w:r>
      <w:r w:rsidRPr="00A13BB7">
        <w:t>(accessed 26 August 2019).</w:t>
      </w:r>
    </w:p>
    <w:p w14:paraId="71967ABE" w14:textId="36B17BB1" w:rsidR="00FF6849" w:rsidRDefault="00FF6849" w:rsidP="00ED14AD">
      <w:pPr>
        <w:pStyle w:val="References"/>
      </w:pPr>
      <w:r>
        <w:lastRenderedPageBreak/>
        <w:t>Health Navigator New Zealand. 2019</w:t>
      </w:r>
      <w:r w:rsidR="00DF00D4">
        <w:t>b</w:t>
      </w:r>
      <w:r>
        <w:t xml:space="preserve">. </w:t>
      </w:r>
      <w:r>
        <w:rPr>
          <w:i/>
        </w:rPr>
        <w:t xml:space="preserve">Chronic </w:t>
      </w:r>
      <w:r w:rsidR="00DF00D4">
        <w:rPr>
          <w:i/>
        </w:rPr>
        <w:t>P</w:t>
      </w:r>
      <w:r>
        <w:rPr>
          <w:i/>
        </w:rPr>
        <w:t>ain</w:t>
      </w:r>
      <w:r w:rsidRPr="00A13BB7">
        <w:rPr>
          <w:i/>
        </w:rPr>
        <w:t xml:space="preserve">. </w:t>
      </w:r>
      <w:r>
        <w:t xml:space="preserve">URL: </w:t>
      </w:r>
      <w:hyperlink r:id="rId220" w:history="1">
        <w:r w:rsidRPr="00AA2358">
          <w:rPr>
            <w:rStyle w:val="Hyperlink"/>
          </w:rPr>
          <w:t>www.healthnavigator.org.nz/health-a-z/c/chronic-pain/</w:t>
        </w:r>
      </w:hyperlink>
      <w:r>
        <w:rPr>
          <w:rStyle w:val="Hyperlink"/>
          <w:b w:val="0"/>
        </w:rPr>
        <w:t xml:space="preserve"> </w:t>
      </w:r>
      <w:r w:rsidRPr="00A13BB7">
        <w:t>(accessed 26 August 2019).</w:t>
      </w:r>
    </w:p>
    <w:p w14:paraId="6E536D5D" w14:textId="73C419B0" w:rsidR="009A2BA1" w:rsidRDefault="009A2BA1" w:rsidP="00ED14AD">
      <w:pPr>
        <w:pStyle w:val="References"/>
      </w:pPr>
      <w:r>
        <w:t xml:space="preserve">Hughes TM, Kuller LH, Barinas-Mitchell EJ, et al. 2013. Pulse wave velocity is associated with β-amyloid deposition in the brains of very elderly adults. </w:t>
      </w:r>
      <w:r>
        <w:rPr>
          <w:i/>
          <w:iCs/>
        </w:rPr>
        <w:t>Neurology</w:t>
      </w:r>
      <w:r w:rsidRPr="00870677">
        <w:t xml:space="preserve"> </w:t>
      </w:r>
      <w:r w:rsidRPr="00870677">
        <w:rPr>
          <w:iCs/>
        </w:rPr>
        <w:t>81</w:t>
      </w:r>
      <w:r w:rsidRPr="00870677">
        <w:t>(19)</w:t>
      </w:r>
      <w:r>
        <w:t>:</w:t>
      </w:r>
      <w:r w:rsidR="00F12AE1">
        <w:br/>
      </w:r>
      <w:r w:rsidRPr="00870677">
        <w:t>1711–18.</w:t>
      </w:r>
    </w:p>
    <w:p w14:paraId="45EF2190" w14:textId="123F95CE" w:rsidR="009A2BA1" w:rsidRDefault="009A2BA1" w:rsidP="00ED14AD">
      <w:pPr>
        <w:pStyle w:val="References"/>
      </w:pPr>
      <w:r>
        <w:t xml:space="preserve">Jacklin KM, Walker JD, Shawande M. 2013. The emergence of dementia as a health concern among First Nations populations in Alberta, Canada. </w:t>
      </w:r>
      <w:r>
        <w:rPr>
          <w:i/>
          <w:iCs/>
        </w:rPr>
        <w:t>Canadian Journal of Public Health</w:t>
      </w:r>
      <w:r w:rsidRPr="00F8020E">
        <w:t xml:space="preserve"> </w:t>
      </w:r>
      <w:r w:rsidRPr="00F8020E">
        <w:rPr>
          <w:iCs/>
        </w:rPr>
        <w:t>104</w:t>
      </w:r>
      <w:r w:rsidRPr="00F8020E">
        <w:t>(1).</w:t>
      </w:r>
    </w:p>
    <w:p w14:paraId="2C62B3D6" w14:textId="6199F4D4" w:rsidR="009A2BA1" w:rsidRDefault="009A2BA1" w:rsidP="00ED14AD">
      <w:pPr>
        <w:pStyle w:val="References"/>
      </w:pPr>
      <w:r>
        <w:t xml:space="preserve">Kerse N, Lapsley H, Moyes S, et al. 2017. </w:t>
      </w:r>
      <w:r w:rsidRPr="00F8020E">
        <w:rPr>
          <w:i/>
        </w:rPr>
        <w:t>Dementia: Supplementary Findings from LiLACS NZ</w:t>
      </w:r>
      <w:r>
        <w:rPr>
          <w:i/>
        </w:rPr>
        <w:t xml:space="preserve"> </w:t>
      </w:r>
      <w:r w:rsidRPr="009013E6">
        <w:rPr>
          <w:i/>
        </w:rPr>
        <w:t>for Section Five, ‘Service Use and Common Health Conditions’ in the report ‘Health, Independence and Caregiving in Advanced Age’.</w:t>
      </w:r>
      <w:r>
        <w:t xml:space="preserve"> Auckland: School of Population Health, The University of Auckland. URL: </w:t>
      </w:r>
      <w:hyperlink r:id="rId221" w:history="1">
        <w:r w:rsidRPr="004731AC">
          <w:rPr>
            <w:rStyle w:val="Hyperlink"/>
          </w:rPr>
          <w:t>www.health.govt.nz/publication/dementia</w:t>
        </w:r>
        <w:r w:rsidRPr="00B76FF4">
          <w:rPr>
            <w:rStyle w:val="Hyperlink"/>
          </w:rPr>
          <w:t>-supplementary-findings-lilacs-nz-section-five-service-use-and-common-health-conditions</w:t>
        </w:r>
      </w:hyperlink>
      <w:r>
        <w:t xml:space="preserve"> (accessed 26 August 2019).</w:t>
      </w:r>
    </w:p>
    <w:p w14:paraId="6C406901" w14:textId="77777777" w:rsidR="00AC7707" w:rsidRPr="00307BB0" w:rsidRDefault="00AC7707" w:rsidP="00ED14AD">
      <w:pPr>
        <w:pStyle w:val="References"/>
      </w:pPr>
      <w:r w:rsidRPr="00AC7707">
        <w:t xml:space="preserve">Kramer MS. 1987. Determinants of low birthweight: methodological assessment and meta-analysis. </w:t>
      </w:r>
      <w:r w:rsidRPr="00AC7707">
        <w:rPr>
          <w:i/>
        </w:rPr>
        <w:t>Bulletin of the World Health Organization</w:t>
      </w:r>
      <w:r w:rsidRPr="00AC7707">
        <w:t xml:space="preserve"> 65(5): 663–737.</w:t>
      </w:r>
    </w:p>
    <w:p w14:paraId="7E093D67" w14:textId="77777777" w:rsidR="003A493A" w:rsidRDefault="003A493A" w:rsidP="003A493A">
      <w:pPr>
        <w:pStyle w:val="References"/>
      </w:pPr>
      <w:r>
        <w:t xml:space="preserve">Ministry of Health. 2006. </w:t>
      </w:r>
      <w:r w:rsidRPr="003A493A">
        <w:rPr>
          <w:i/>
        </w:rPr>
        <w:t>Tatau Kahukura: Māori Health Chart Book, Public Health Intelligence Monitoring Report No. 5</w:t>
      </w:r>
      <w:r>
        <w:t>. Wellington: Ministry of Health.</w:t>
      </w:r>
    </w:p>
    <w:p w14:paraId="43858F54" w14:textId="77777777" w:rsidR="002D68F3" w:rsidRDefault="002D68F3" w:rsidP="003A493A">
      <w:pPr>
        <w:pStyle w:val="References"/>
      </w:pPr>
      <w:r w:rsidRPr="002D68F3">
        <w:t>Ministry of Health. 2010</w:t>
      </w:r>
      <w:r>
        <w:t>a.</w:t>
      </w:r>
      <w:r w:rsidRPr="002D68F3">
        <w:t xml:space="preserve"> </w:t>
      </w:r>
      <w:r w:rsidRPr="002D68F3">
        <w:rPr>
          <w:i/>
        </w:rPr>
        <w:t>Our Oral Health: Key findings of the 2009 New Zealand Oral Health Survey</w:t>
      </w:r>
      <w:r w:rsidRPr="002D68F3">
        <w:t>. Wellington: Ministry of Health.</w:t>
      </w:r>
    </w:p>
    <w:p w14:paraId="75D86D8B" w14:textId="1FB9DE1C" w:rsidR="00FC6DDF" w:rsidRDefault="00FC6DDF" w:rsidP="00FC6DDF">
      <w:pPr>
        <w:pStyle w:val="References"/>
      </w:pPr>
      <w:r w:rsidRPr="00C12AFE">
        <w:t>Ministry of Health. 2010</w:t>
      </w:r>
      <w:r>
        <w:t>b</w:t>
      </w:r>
      <w:r w:rsidRPr="00C12AFE">
        <w:t xml:space="preserve">. </w:t>
      </w:r>
      <w:r w:rsidRPr="00C12AFE">
        <w:rPr>
          <w:i/>
        </w:rPr>
        <w:t>Saving Lives: Amenable Mortality in New Zealand,</w:t>
      </w:r>
      <w:r w:rsidR="00F12AE1">
        <w:rPr>
          <w:i/>
        </w:rPr>
        <w:br/>
      </w:r>
      <w:r w:rsidRPr="00C12AFE">
        <w:rPr>
          <w:i/>
        </w:rPr>
        <w:t>1996–2006</w:t>
      </w:r>
      <w:r w:rsidRPr="00C12AFE">
        <w:t>. Wellington: Ministry of Health.</w:t>
      </w:r>
    </w:p>
    <w:p w14:paraId="0AEF5A25" w14:textId="77777777" w:rsidR="003A493A" w:rsidRDefault="003A493A" w:rsidP="003A493A">
      <w:pPr>
        <w:pStyle w:val="References"/>
      </w:pPr>
      <w:r>
        <w:t>Ministry of Health. 2010</w:t>
      </w:r>
      <w:r w:rsidR="00FC6DDF">
        <w:t>c</w:t>
      </w:r>
      <w:r>
        <w:t xml:space="preserve">. </w:t>
      </w:r>
      <w:r w:rsidRPr="003A493A">
        <w:rPr>
          <w:i/>
        </w:rPr>
        <w:t>Tatau Kahukura: Māori Health Chart Book 2010 (2nd edition)</w:t>
      </w:r>
      <w:r>
        <w:t>. Wellington: Ministry of Health.</w:t>
      </w:r>
    </w:p>
    <w:p w14:paraId="1B61FF9B" w14:textId="77777777" w:rsidR="004D12AC" w:rsidRDefault="004D12AC" w:rsidP="003A493A">
      <w:pPr>
        <w:pStyle w:val="References"/>
      </w:pPr>
      <w:r w:rsidRPr="00EB15F5">
        <w:t>Ministry of Health. 2010</w:t>
      </w:r>
      <w:r w:rsidR="00FC6DDF">
        <w:t>d</w:t>
      </w:r>
      <w:r w:rsidRPr="00EB15F5">
        <w:t xml:space="preserve">. </w:t>
      </w:r>
      <w:r w:rsidRPr="00654D79">
        <w:rPr>
          <w:i/>
        </w:rPr>
        <w:t>The New Zealand Health Survey: Objectives and topic areas</w:t>
      </w:r>
      <w:r>
        <w:t>.</w:t>
      </w:r>
      <w:r w:rsidRPr="00EB15F5">
        <w:t xml:space="preserve"> August. Wellington: Ministry of Health.</w:t>
      </w:r>
    </w:p>
    <w:p w14:paraId="19979FB3" w14:textId="77777777" w:rsidR="00AC7707" w:rsidRDefault="00AC7707" w:rsidP="003A493A">
      <w:pPr>
        <w:pStyle w:val="References"/>
      </w:pPr>
      <w:r w:rsidRPr="00AC7707">
        <w:t xml:space="preserve">Ministry of Health. 2012. </w:t>
      </w:r>
      <w:r w:rsidRPr="00AC7707">
        <w:rPr>
          <w:i/>
        </w:rPr>
        <w:t>Fetal and Infant Deaths 2008 and 2009.</w:t>
      </w:r>
      <w:r w:rsidRPr="00AC7707">
        <w:t xml:space="preserve"> Wellington: Ministry of Health.</w:t>
      </w:r>
    </w:p>
    <w:p w14:paraId="68D646F4" w14:textId="79753239" w:rsidR="00324B55" w:rsidRDefault="00324B55" w:rsidP="003A493A">
      <w:pPr>
        <w:pStyle w:val="References"/>
      </w:pPr>
      <w:r w:rsidRPr="002714AC">
        <w:t xml:space="preserve">Ministry of Health. 2014. </w:t>
      </w:r>
      <w:r w:rsidRPr="002714AC">
        <w:rPr>
          <w:i/>
          <w:iCs/>
        </w:rPr>
        <w:t>Indicator Interpretation Guide 2013/14: New Zealand Health Survey</w:t>
      </w:r>
      <w:r w:rsidRPr="002714AC">
        <w:t>. Wellington: Ministry of Health.</w:t>
      </w:r>
    </w:p>
    <w:p w14:paraId="5686D3B7" w14:textId="5D72E9E9" w:rsidR="00EF17BE" w:rsidRDefault="00EF17BE" w:rsidP="00EF17BE">
      <w:pPr>
        <w:pStyle w:val="References"/>
      </w:pPr>
      <w:r>
        <w:t xml:space="preserve">Ministry of Health. 2015a. </w:t>
      </w:r>
      <w:r w:rsidRPr="00A13BB7">
        <w:rPr>
          <w:i/>
        </w:rPr>
        <w:t>Eating and Activity Guidelines for New Zealand Adults.</w:t>
      </w:r>
      <w:r>
        <w:t xml:space="preserve"> Wellington: Ministry of Health.</w:t>
      </w:r>
    </w:p>
    <w:p w14:paraId="7F6CEFEE" w14:textId="53280352" w:rsidR="004A7F24" w:rsidRDefault="003A493A" w:rsidP="003A493A">
      <w:pPr>
        <w:pStyle w:val="References"/>
      </w:pPr>
      <w:r>
        <w:t>Ministry of Health. 2015</w:t>
      </w:r>
      <w:r w:rsidR="00EF17BE">
        <w:t>b</w:t>
      </w:r>
      <w:r>
        <w:t xml:space="preserve">. </w:t>
      </w:r>
      <w:r w:rsidRPr="003A493A">
        <w:rPr>
          <w:i/>
        </w:rPr>
        <w:t>Tatau Kahukura: Māori Health Chart Book 2015 (3rd edition)</w:t>
      </w:r>
      <w:r>
        <w:t>. Wellington: Ministry of Health.</w:t>
      </w:r>
    </w:p>
    <w:p w14:paraId="4114372F" w14:textId="35EB532D" w:rsidR="000B7F7E" w:rsidRDefault="000B7F7E" w:rsidP="003A493A">
      <w:pPr>
        <w:pStyle w:val="References"/>
      </w:pPr>
      <w:r>
        <w:t xml:space="preserve">Ministry of Health. 2016a. </w:t>
      </w:r>
      <w:r>
        <w:rPr>
          <w:i/>
        </w:rPr>
        <w:t>Breastfeeding Is Perfect for You and Your Baby</w:t>
      </w:r>
      <w:r w:rsidRPr="00A13BB7">
        <w:rPr>
          <w:i/>
        </w:rPr>
        <w:t>.</w:t>
      </w:r>
      <w:r>
        <w:t xml:space="preserve"> URL: </w:t>
      </w:r>
      <w:hyperlink r:id="rId222" w:history="1">
        <w:r>
          <w:rPr>
            <w:rStyle w:val="Hyperlink"/>
          </w:rPr>
          <w:t>https://www.health.govt.nz/your-health/pregnancy-and-kids/first-year/helpful-advice-during-first-year/breastfeeding-perfect-you-and-your-baby</w:t>
        </w:r>
      </w:hyperlink>
      <w:r>
        <w:rPr>
          <w:rStyle w:val="Hyperlink"/>
          <w:b w:val="0"/>
        </w:rPr>
        <w:t xml:space="preserve"> </w:t>
      </w:r>
      <w:r w:rsidRPr="00A13BB7">
        <w:t>(accessed 26</w:t>
      </w:r>
      <w:r w:rsidR="00F12AE1">
        <w:t> </w:t>
      </w:r>
      <w:r w:rsidRPr="00A13BB7">
        <w:t>August 2019).</w:t>
      </w:r>
    </w:p>
    <w:p w14:paraId="113D6FE1" w14:textId="223B2C87" w:rsidR="00FC6DDF" w:rsidRDefault="00FC6DDF" w:rsidP="00FC6DDF">
      <w:pPr>
        <w:pStyle w:val="References"/>
      </w:pPr>
      <w:r w:rsidRPr="005A5AD9">
        <w:t>Ministry of Health. 201</w:t>
      </w:r>
      <w:r>
        <w:t>6</w:t>
      </w:r>
      <w:r w:rsidR="000B7F7E">
        <w:t>b</w:t>
      </w:r>
      <w:r w:rsidRPr="005A5AD9">
        <w:t xml:space="preserve">. </w:t>
      </w:r>
      <w:r w:rsidRPr="00C12AFE">
        <w:rPr>
          <w:i/>
        </w:rPr>
        <w:t>Defining Amenable Mortality</w:t>
      </w:r>
      <w:r w:rsidRPr="005A5AD9">
        <w:t>. Wellington: Ministry of Health.</w:t>
      </w:r>
    </w:p>
    <w:p w14:paraId="7CF9CC4C" w14:textId="5FF4893F" w:rsidR="00FC6DDF" w:rsidRDefault="00FC6DDF" w:rsidP="00FC6DDF">
      <w:pPr>
        <w:pStyle w:val="References"/>
      </w:pPr>
      <w:r w:rsidRPr="005A5AD9">
        <w:lastRenderedPageBreak/>
        <w:t>Ministry of Health. 201</w:t>
      </w:r>
      <w:r>
        <w:t>7</w:t>
      </w:r>
      <w:r w:rsidR="00D56E91">
        <w:t>a</w:t>
      </w:r>
      <w:r w:rsidRPr="005A5AD9">
        <w:t xml:space="preserve">. </w:t>
      </w:r>
      <w:r w:rsidRPr="00C12AFE">
        <w:rPr>
          <w:i/>
        </w:rPr>
        <w:t>Health and Independence Report 2016</w:t>
      </w:r>
      <w:r w:rsidRPr="005A5AD9">
        <w:t>. Wellington: Ministry of Health.</w:t>
      </w:r>
    </w:p>
    <w:p w14:paraId="434212F3" w14:textId="27380FBA" w:rsidR="00D56E91" w:rsidRPr="0029182F" w:rsidRDefault="00D56E91" w:rsidP="00FC6DDF">
      <w:pPr>
        <w:pStyle w:val="References"/>
      </w:pPr>
      <w:r>
        <w:t xml:space="preserve">Ministry of Health. 2017b. </w:t>
      </w:r>
      <w:r w:rsidRPr="00A13BB7">
        <w:rPr>
          <w:i/>
        </w:rPr>
        <w:t xml:space="preserve">Methodology Report 2016/17: New Zealand Health Survey. </w:t>
      </w:r>
      <w:r>
        <w:t xml:space="preserve">Wellington: Ministry of Health. URL: </w:t>
      </w:r>
      <w:hyperlink r:id="rId223" w:history="1">
        <w:r w:rsidRPr="00B76FF4">
          <w:rPr>
            <w:rStyle w:val="Hyperlink"/>
          </w:rPr>
          <w:t>www.health.govt.nz/publication/methodology-report-2016-17-new-zealand-health-survey</w:t>
        </w:r>
      </w:hyperlink>
      <w:r>
        <w:rPr>
          <w:rStyle w:val="Hyperlink"/>
          <w:b w:val="0"/>
        </w:rPr>
        <w:t xml:space="preserve"> </w:t>
      </w:r>
      <w:r w:rsidRPr="00A13BB7">
        <w:t>(accessed 26 August 2019).</w:t>
      </w:r>
    </w:p>
    <w:p w14:paraId="4D1C8370" w14:textId="57BC5265" w:rsidR="00F76C67" w:rsidRDefault="00F76C67" w:rsidP="003A493A">
      <w:pPr>
        <w:pStyle w:val="References"/>
      </w:pPr>
      <w:r w:rsidRPr="00D229A4">
        <w:t>Ministry of Health. 2018</w:t>
      </w:r>
      <w:r>
        <w:t>a</w:t>
      </w:r>
      <w:r w:rsidRPr="00D229A4">
        <w:t xml:space="preserve">. </w:t>
      </w:r>
      <w:r>
        <w:rPr>
          <w:i/>
        </w:rPr>
        <w:t>Arthritis</w:t>
      </w:r>
      <w:r w:rsidRPr="00D229A4">
        <w:t xml:space="preserve">. </w:t>
      </w:r>
      <w:r>
        <w:t xml:space="preserve">URL: </w:t>
      </w:r>
      <w:hyperlink r:id="rId224" w:history="1">
        <w:r w:rsidRPr="00AA2358">
          <w:rPr>
            <w:rStyle w:val="Hyperlink"/>
          </w:rPr>
          <w:t>www.health.govt.nz/your-health/conditions-and-treatments/diseases-and-illnesses/arthritis</w:t>
        </w:r>
      </w:hyperlink>
      <w:r>
        <w:t xml:space="preserve"> </w:t>
      </w:r>
      <w:r w:rsidRPr="00A13BB7">
        <w:t>(accessed 26</w:t>
      </w:r>
      <w:r w:rsidR="00F12AE1">
        <w:t> </w:t>
      </w:r>
      <w:r w:rsidRPr="00A13BB7">
        <w:t>August 2019)</w:t>
      </w:r>
      <w:r>
        <w:t>.</w:t>
      </w:r>
    </w:p>
    <w:p w14:paraId="15E08F73" w14:textId="3636B447" w:rsidR="00FF6849" w:rsidRDefault="00FF6849" w:rsidP="003A493A">
      <w:pPr>
        <w:pStyle w:val="References"/>
      </w:pPr>
      <w:r w:rsidRPr="00D229A4">
        <w:t>Ministry of Health. 2018</w:t>
      </w:r>
      <w:r>
        <w:t>b</w:t>
      </w:r>
      <w:r w:rsidRPr="00D229A4">
        <w:t xml:space="preserve">. </w:t>
      </w:r>
      <w:r>
        <w:rPr>
          <w:i/>
        </w:rPr>
        <w:t>Dementia</w:t>
      </w:r>
      <w:r w:rsidRPr="00D229A4">
        <w:t xml:space="preserve">. </w:t>
      </w:r>
      <w:r>
        <w:t xml:space="preserve">URL: </w:t>
      </w:r>
      <w:hyperlink r:id="rId225" w:history="1">
        <w:r>
          <w:rPr>
            <w:rStyle w:val="Hyperlink"/>
          </w:rPr>
          <w:t>https://www.health.govt.nz/your-health/conditions-and-treatments/diseases-and-illnesses/dementia</w:t>
        </w:r>
      </w:hyperlink>
      <w:r>
        <w:t xml:space="preserve"> </w:t>
      </w:r>
      <w:r w:rsidRPr="00A13BB7">
        <w:t>(accessed 26</w:t>
      </w:r>
      <w:r w:rsidR="00F12AE1">
        <w:t> </w:t>
      </w:r>
      <w:r w:rsidRPr="00A13BB7">
        <w:t>August 2019)</w:t>
      </w:r>
      <w:r>
        <w:t>.</w:t>
      </w:r>
    </w:p>
    <w:p w14:paraId="161F7D58" w14:textId="2B5E4034" w:rsidR="00D229A4" w:rsidRDefault="00D229A4" w:rsidP="003A493A">
      <w:pPr>
        <w:pStyle w:val="References"/>
      </w:pPr>
      <w:r w:rsidRPr="00D229A4">
        <w:t>Ministry of Health. 2018</w:t>
      </w:r>
      <w:r w:rsidR="00A23AFA">
        <w:t>c</w:t>
      </w:r>
      <w:r w:rsidRPr="00D229A4">
        <w:t xml:space="preserve">. </w:t>
      </w:r>
      <w:r w:rsidRPr="00D229A4">
        <w:rPr>
          <w:i/>
        </w:rPr>
        <w:t>HIV/AIDS</w:t>
      </w:r>
      <w:r w:rsidRPr="00D229A4">
        <w:t xml:space="preserve">. </w:t>
      </w:r>
      <w:r w:rsidR="001100CE">
        <w:t xml:space="preserve">URL: </w:t>
      </w:r>
      <w:hyperlink r:id="rId226" w:history="1">
        <w:r w:rsidRPr="00B6309B">
          <w:rPr>
            <w:rStyle w:val="Hyperlink"/>
          </w:rPr>
          <w:t>www.health.govt.nz/your-health/conditions-and-treatments/diseases-and-illnesses/hiv-aids</w:t>
        </w:r>
      </w:hyperlink>
      <w:r>
        <w:t xml:space="preserve"> </w:t>
      </w:r>
      <w:r w:rsidR="0009232C" w:rsidRPr="00A13BB7">
        <w:t>(accessed 26</w:t>
      </w:r>
      <w:r w:rsidR="00F12AE1">
        <w:t> </w:t>
      </w:r>
      <w:r w:rsidR="0009232C" w:rsidRPr="00A13BB7">
        <w:t>August 2019)</w:t>
      </w:r>
      <w:r w:rsidR="0009232C">
        <w:t>.</w:t>
      </w:r>
    </w:p>
    <w:p w14:paraId="2EBE0BD6" w14:textId="09F2C53C" w:rsidR="00A13BB7" w:rsidRDefault="00A13BB7" w:rsidP="003A493A">
      <w:pPr>
        <w:pStyle w:val="References"/>
      </w:pPr>
      <w:r w:rsidRPr="00D229A4">
        <w:t>Ministry of Health. 2018</w:t>
      </w:r>
      <w:r w:rsidR="00A23AFA">
        <w:t>d</w:t>
      </w:r>
      <w:r>
        <w:t xml:space="preserve">. </w:t>
      </w:r>
      <w:r w:rsidRPr="00A13BB7">
        <w:rPr>
          <w:i/>
        </w:rPr>
        <w:t>Long</w:t>
      </w:r>
      <w:r>
        <w:rPr>
          <w:i/>
        </w:rPr>
        <w:t>-</w:t>
      </w:r>
      <w:r w:rsidR="00DF00D4">
        <w:rPr>
          <w:i/>
        </w:rPr>
        <w:t>T</w:t>
      </w:r>
      <w:r w:rsidRPr="00A13BB7">
        <w:rPr>
          <w:i/>
        </w:rPr>
        <w:t xml:space="preserve">erm </w:t>
      </w:r>
      <w:r w:rsidR="00DF00D4">
        <w:rPr>
          <w:i/>
        </w:rPr>
        <w:t>C</w:t>
      </w:r>
      <w:r w:rsidRPr="00A13BB7">
        <w:rPr>
          <w:i/>
        </w:rPr>
        <w:t>ondition</w:t>
      </w:r>
      <w:r>
        <w:rPr>
          <w:i/>
        </w:rPr>
        <w:t>s</w:t>
      </w:r>
      <w:r>
        <w:t>.</w:t>
      </w:r>
      <w:hyperlink w:history="1">
        <w:r w:rsidR="00FF6849" w:rsidRPr="00AA2358">
          <w:rPr>
            <w:rStyle w:val="Hyperlink"/>
          </w:rPr>
          <w:t xml:space="preserve"> </w:t>
        </w:r>
        <w:r w:rsidR="00FF6849">
          <w:t>URL:</w:t>
        </w:r>
        <w:r w:rsidR="00FF6849" w:rsidRPr="00AA2358">
          <w:rPr>
            <w:rStyle w:val="Hyperlink"/>
          </w:rPr>
          <w:t xml:space="preserve"> www.health.govt.nz/our-work/diseases-and-conditions/long-term-conditions</w:t>
        </w:r>
      </w:hyperlink>
      <w:r w:rsidR="0009232C">
        <w:rPr>
          <w:rStyle w:val="Hyperlink"/>
        </w:rPr>
        <w:t xml:space="preserve"> </w:t>
      </w:r>
      <w:r w:rsidR="0009232C" w:rsidRPr="00A13BB7">
        <w:t>(accessed 26 August 2019)</w:t>
      </w:r>
      <w:r w:rsidR="0009232C">
        <w:t>.</w:t>
      </w:r>
    </w:p>
    <w:p w14:paraId="511844A7" w14:textId="1492EFD2" w:rsidR="00D229A4" w:rsidRDefault="00D229A4" w:rsidP="003A493A">
      <w:pPr>
        <w:pStyle w:val="References"/>
      </w:pPr>
      <w:r w:rsidRPr="00D229A4">
        <w:t>Ministry of Health. 2018</w:t>
      </w:r>
      <w:r w:rsidR="00A23AFA">
        <w:t>e</w:t>
      </w:r>
      <w:r w:rsidRPr="00D229A4">
        <w:t xml:space="preserve">. </w:t>
      </w:r>
      <w:r w:rsidRPr="00D229A4">
        <w:rPr>
          <w:i/>
        </w:rPr>
        <w:t>Meningococcal Disease (including meningitis)</w:t>
      </w:r>
      <w:r w:rsidRPr="00D229A4">
        <w:t xml:space="preserve">. </w:t>
      </w:r>
      <w:r w:rsidR="001100CE">
        <w:t xml:space="preserve">URL: </w:t>
      </w:r>
      <w:hyperlink r:id="rId227" w:history="1">
        <w:r w:rsidR="001100CE" w:rsidRPr="008F0248">
          <w:rPr>
            <w:rStyle w:val="Hyperlink"/>
          </w:rPr>
          <w:t>www.health.govt.nz/your-health/conditions-and-treatments/diseases-and-illnesses/meningococcal-disease-including-meningitis</w:t>
        </w:r>
      </w:hyperlink>
      <w:r>
        <w:t xml:space="preserve"> </w:t>
      </w:r>
      <w:r w:rsidR="0009232C" w:rsidRPr="00A13BB7">
        <w:t>(accessed 26 August 2019)</w:t>
      </w:r>
      <w:r w:rsidR="0009232C">
        <w:t>.</w:t>
      </w:r>
    </w:p>
    <w:p w14:paraId="1447ED79" w14:textId="6104D0D9" w:rsidR="00FF6849" w:rsidRDefault="00FF6849" w:rsidP="003A493A">
      <w:pPr>
        <w:pStyle w:val="References"/>
      </w:pPr>
      <w:r w:rsidRPr="00D229A4">
        <w:t>Ministry of Health. 2018</w:t>
      </w:r>
      <w:r w:rsidR="00A23AFA">
        <w:t>f</w:t>
      </w:r>
      <w:r w:rsidRPr="00D229A4">
        <w:t xml:space="preserve">. </w:t>
      </w:r>
      <w:r>
        <w:rPr>
          <w:i/>
        </w:rPr>
        <w:t>Osteoporosis</w:t>
      </w:r>
      <w:r w:rsidRPr="00D229A4">
        <w:t xml:space="preserve">. </w:t>
      </w:r>
      <w:r>
        <w:t xml:space="preserve">URL: </w:t>
      </w:r>
      <w:hyperlink r:id="rId228" w:history="1">
        <w:r w:rsidRPr="00AA2358">
          <w:rPr>
            <w:rStyle w:val="Hyperlink"/>
          </w:rPr>
          <w:t>www.health.govt.nz/your-health/conditions-and-treatments/diseases-and-illnesses/osteoporosis</w:t>
        </w:r>
      </w:hyperlink>
      <w:r>
        <w:t xml:space="preserve"> </w:t>
      </w:r>
      <w:r w:rsidRPr="00A13BB7">
        <w:t>(accessed 26</w:t>
      </w:r>
      <w:r w:rsidR="00F12AE1">
        <w:t> </w:t>
      </w:r>
      <w:r w:rsidRPr="00A13BB7">
        <w:t>August 2019)</w:t>
      </w:r>
      <w:r>
        <w:t>.</w:t>
      </w:r>
    </w:p>
    <w:p w14:paraId="5DF2F274" w14:textId="6E25C551" w:rsidR="00D56E91" w:rsidRDefault="00D56E91" w:rsidP="003A493A">
      <w:pPr>
        <w:pStyle w:val="References"/>
      </w:pPr>
      <w:r>
        <w:t>Ministry of Health. 2018</w:t>
      </w:r>
      <w:r w:rsidR="00A23AFA">
        <w:t>g</w:t>
      </w:r>
      <w:r>
        <w:t xml:space="preserve">. </w:t>
      </w:r>
      <w:r w:rsidRPr="00A13BB7">
        <w:rPr>
          <w:i/>
        </w:rPr>
        <w:t>Position Paper on Māori Health Analytics – Age standardisation.</w:t>
      </w:r>
      <w:r>
        <w:t xml:space="preserve"> Wellington: Ministry of Health. URL: </w:t>
      </w:r>
      <w:hyperlink r:id="rId229" w:history="1">
        <w:r w:rsidRPr="00B76FF4">
          <w:rPr>
            <w:rStyle w:val="Hyperlink"/>
          </w:rPr>
          <w:t>www.health.govt.nz/publication/position-paper-maori-health-analytics-age-standardisation</w:t>
        </w:r>
      </w:hyperlink>
      <w:r>
        <w:rPr>
          <w:rStyle w:val="Hyperlink"/>
        </w:rPr>
        <w:t xml:space="preserve"> </w:t>
      </w:r>
      <w:r w:rsidRPr="00A13BB7">
        <w:t>(accessed 26 August 2019).</w:t>
      </w:r>
    </w:p>
    <w:p w14:paraId="2B0E908A" w14:textId="502DE001" w:rsidR="005A489F" w:rsidRDefault="005A489F" w:rsidP="003A493A">
      <w:pPr>
        <w:pStyle w:val="References"/>
      </w:pPr>
      <w:r>
        <w:t>Ministry of Health. 2018</w:t>
      </w:r>
      <w:r w:rsidR="00A23AFA">
        <w:t>h</w:t>
      </w:r>
      <w:r>
        <w:t xml:space="preserve">. </w:t>
      </w:r>
      <w:r w:rsidRPr="005A489F">
        <w:rPr>
          <w:i/>
        </w:rPr>
        <w:t>Tuberculosis Disease.</w:t>
      </w:r>
      <w:r w:rsidRPr="005A489F">
        <w:t xml:space="preserve"> </w:t>
      </w:r>
      <w:r w:rsidR="001100CE">
        <w:t xml:space="preserve">URL: </w:t>
      </w:r>
      <w:hyperlink r:id="rId230" w:history="1">
        <w:r w:rsidRPr="00B6309B">
          <w:rPr>
            <w:rStyle w:val="Hyperlink"/>
          </w:rPr>
          <w:t>www.health.govt.nz/your-health/conditions-and-treatments/diseases-and-illnesses/tuberculosis-disease</w:t>
        </w:r>
      </w:hyperlink>
      <w:r>
        <w:t xml:space="preserve"> </w:t>
      </w:r>
      <w:r w:rsidR="0009232C" w:rsidRPr="00A13BB7">
        <w:t>(accessed 26 August 2019)</w:t>
      </w:r>
      <w:r w:rsidR="0009232C">
        <w:t>.</w:t>
      </w:r>
    </w:p>
    <w:p w14:paraId="0AF771BE" w14:textId="76E1299B" w:rsidR="00DF00D4" w:rsidRDefault="00DF00D4" w:rsidP="003A493A">
      <w:pPr>
        <w:pStyle w:val="References"/>
      </w:pPr>
      <w:r>
        <w:t>Ministry of Health. 2019a.</w:t>
      </w:r>
      <w:r w:rsidRPr="00386FEA">
        <w:t xml:space="preserve"> </w:t>
      </w:r>
      <w:r>
        <w:rPr>
          <w:i/>
        </w:rPr>
        <w:t>Anxiety</w:t>
      </w:r>
      <w:r w:rsidRPr="00692D17">
        <w:rPr>
          <w:i/>
        </w:rPr>
        <w:t>.</w:t>
      </w:r>
      <w:r>
        <w:t xml:space="preserve"> URL: </w:t>
      </w:r>
      <w:hyperlink r:id="rId231" w:history="1">
        <w:r w:rsidRPr="00AA2358">
          <w:rPr>
            <w:rStyle w:val="Hyperlink"/>
          </w:rPr>
          <w:t>www.health.govt.nz/your-health/conditions-and-treatments/mental-health/anxiety</w:t>
        </w:r>
      </w:hyperlink>
      <w:r w:rsidRPr="00F12AE1">
        <w:rPr>
          <w:rFonts w:eastAsia="MS Gothic"/>
        </w:rPr>
        <w:t xml:space="preserve"> </w:t>
      </w:r>
      <w:r w:rsidRPr="00A13BB7">
        <w:t>(accessed 26 August 2019)</w:t>
      </w:r>
      <w:r>
        <w:t>.</w:t>
      </w:r>
    </w:p>
    <w:p w14:paraId="0D33E0F6" w14:textId="263F90DC" w:rsidR="00DF00D4" w:rsidRDefault="00DF00D4" w:rsidP="003A493A">
      <w:pPr>
        <w:pStyle w:val="References"/>
      </w:pPr>
      <w:r>
        <w:t>Ministry of Health. 2019b.</w:t>
      </w:r>
      <w:r w:rsidRPr="00386FEA">
        <w:t xml:space="preserve"> </w:t>
      </w:r>
      <w:r>
        <w:rPr>
          <w:i/>
        </w:rPr>
        <w:t>Bipolar Disorder</w:t>
      </w:r>
      <w:r w:rsidRPr="00692D17">
        <w:rPr>
          <w:i/>
        </w:rPr>
        <w:t>.</w:t>
      </w:r>
      <w:r>
        <w:t xml:space="preserve"> URL: </w:t>
      </w:r>
      <w:hyperlink r:id="rId232" w:history="1">
        <w:r w:rsidRPr="00AA2358">
          <w:rPr>
            <w:rStyle w:val="Hyperlink"/>
          </w:rPr>
          <w:t>www.health.govt.nz/your-health/conditions-and-treatments/mental-health/bipolar-disorder</w:t>
        </w:r>
      </w:hyperlink>
      <w:r w:rsidRPr="00F12AE1">
        <w:rPr>
          <w:rFonts w:eastAsia="MS Gothic"/>
        </w:rPr>
        <w:t xml:space="preserve"> </w:t>
      </w:r>
      <w:r w:rsidRPr="00A13BB7">
        <w:t>(accessed 26</w:t>
      </w:r>
      <w:r w:rsidR="00F12AE1">
        <w:t> </w:t>
      </w:r>
      <w:r w:rsidRPr="00A13BB7">
        <w:t>August 2019)</w:t>
      </w:r>
      <w:r>
        <w:t>.</w:t>
      </w:r>
    </w:p>
    <w:p w14:paraId="68CBB7C0" w14:textId="5D31D467" w:rsidR="00DC0539" w:rsidRDefault="00DC0539" w:rsidP="003A493A">
      <w:pPr>
        <w:pStyle w:val="References"/>
      </w:pPr>
      <w:r>
        <w:t>Ministry of Health. 2019</w:t>
      </w:r>
      <w:r w:rsidR="00DF00D4">
        <w:t>c</w:t>
      </w:r>
      <w:r>
        <w:t>.</w:t>
      </w:r>
      <w:r w:rsidRPr="00386FEA">
        <w:t xml:space="preserve"> </w:t>
      </w:r>
      <w:r w:rsidRPr="00692D17">
        <w:rPr>
          <w:i/>
        </w:rPr>
        <w:t>Cancer.</w:t>
      </w:r>
      <w:r>
        <w:t xml:space="preserve"> </w:t>
      </w:r>
      <w:r w:rsidR="001100CE">
        <w:t xml:space="preserve">URL: </w:t>
      </w:r>
      <w:hyperlink r:id="rId233" w:history="1">
        <w:r w:rsidR="001100CE" w:rsidRPr="008F0248">
          <w:rPr>
            <w:rStyle w:val="Hyperlink"/>
            <w:rFonts w:eastAsia="MS Gothic"/>
          </w:rPr>
          <w:t>www.health.govt.nz/your-health/conditions-and-treatments/diseases-and-illnesses/cancer</w:t>
        </w:r>
      </w:hyperlink>
      <w:r w:rsidR="0009232C" w:rsidRPr="00F12AE1">
        <w:rPr>
          <w:rFonts w:eastAsia="MS Gothic"/>
        </w:rPr>
        <w:t xml:space="preserve"> </w:t>
      </w:r>
      <w:r w:rsidR="0009232C" w:rsidRPr="00A13BB7">
        <w:t>(accessed 26 August 2019)</w:t>
      </w:r>
      <w:r w:rsidR="0009232C">
        <w:t>.</w:t>
      </w:r>
    </w:p>
    <w:p w14:paraId="65ADDF08" w14:textId="4A469E18" w:rsidR="00B00292" w:rsidRPr="00F12AE1" w:rsidRDefault="00B00292" w:rsidP="003A493A">
      <w:pPr>
        <w:pStyle w:val="References"/>
        <w:rPr>
          <w:rStyle w:val="Hyperlink"/>
          <w:rFonts w:eastAsia="MS Gothic"/>
          <w:b w:val="0"/>
        </w:rPr>
      </w:pPr>
      <w:r>
        <w:t>Ministry of Health. 2019</w:t>
      </w:r>
      <w:r w:rsidR="00DF00D4">
        <w:t>d</w:t>
      </w:r>
      <w:r>
        <w:t>.</w:t>
      </w:r>
      <w:r w:rsidRPr="00386FEA">
        <w:t xml:space="preserve"> </w:t>
      </w:r>
      <w:r>
        <w:rPr>
          <w:i/>
        </w:rPr>
        <w:t>D</w:t>
      </w:r>
      <w:r w:rsidR="00DF00D4">
        <w:rPr>
          <w:i/>
        </w:rPr>
        <w:t>epression</w:t>
      </w:r>
      <w:r w:rsidRPr="00692D17">
        <w:rPr>
          <w:i/>
        </w:rPr>
        <w:t>.</w:t>
      </w:r>
      <w:r>
        <w:t xml:space="preserve"> URL: </w:t>
      </w:r>
      <w:hyperlink r:id="rId234" w:history="1">
        <w:r w:rsidR="00DF00D4" w:rsidRPr="00AA2358">
          <w:rPr>
            <w:rStyle w:val="Hyperlink"/>
          </w:rPr>
          <w:t>www.health.govt.nz/your-health/conditions-and-treatments/mental-health/depression</w:t>
        </w:r>
      </w:hyperlink>
      <w:r w:rsidRPr="00F12AE1">
        <w:rPr>
          <w:rFonts w:eastAsia="MS Gothic"/>
        </w:rPr>
        <w:t xml:space="preserve"> </w:t>
      </w:r>
      <w:r w:rsidRPr="00A13BB7">
        <w:t>(accessed 26 August 2019)</w:t>
      </w:r>
      <w:r>
        <w:t>.</w:t>
      </w:r>
    </w:p>
    <w:p w14:paraId="6A5534BD" w14:textId="387E67D8" w:rsidR="001462D4" w:rsidRDefault="001462D4" w:rsidP="003A493A">
      <w:pPr>
        <w:pStyle w:val="References"/>
      </w:pPr>
      <w:r w:rsidRPr="001462D4">
        <w:t>Ministry of Health. 2019</w:t>
      </w:r>
      <w:r w:rsidR="00DF00D4">
        <w:t>e</w:t>
      </w:r>
      <w:r w:rsidRPr="001462D4">
        <w:t xml:space="preserve">. </w:t>
      </w:r>
      <w:r w:rsidRPr="001462D4">
        <w:rPr>
          <w:i/>
        </w:rPr>
        <w:t>Rheumatic Fever.</w:t>
      </w:r>
      <w:r w:rsidRPr="001462D4">
        <w:t xml:space="preserve"> </w:t>
      </w:r>
      <w:r w:rsidR="001100CE">
        <w:t xml:space="preserve">URL: </w:t>
      </w:r>
      <w:hyperlink r:id="rId235" w:history="1">
        <w:r w:rsidR="00562BF6" w:rsidRPr="008F0248">
          <w:rPr>
            <w:rStyle w:val="Hyperlink"/>
          </w:rPr>
          <w:t>www.health.govt.nz/our-work/diseases-and-conditions/rheumatic-fever</w:t>
        </w:r>
      </w:hyperlink>
      <w:r>
        <w:t xml:space="preserve"> </w:t>
      </w:r>
      <w:r w:rsidR="0009232C" w:rsidRPr="00A13BB7">
        <w:t>(accessed 26 August 2019)</w:t>
      </w:r>
      <w:r w:rsidR="0009232C">
        <w:t>.</w:t>
      </w:r>
    </w:p>
    <w:p w14:paraId="35EA77BB" w14:textId="27B4C513" w:rsidR="009447BF" w:rsidRDefault="009447BF" w:rsidP="003A493A">
      <w:pPr>
        <w:pStyle w:val="References"/>
      </w:pPr>
      <w:r>
        <w:lastRenderedPageBreak/>
        <w:t xml:space="preserve">National Breastfeeding Advisory Committee of New Zealand. 2009. </w:t>
      </w:r>
      <w:r w:rsidRPr="009447BF">
        <w:rPr>
          <w:i/>
        </w:rPr>
        <w:t>National Strategic Plan of Action for Breastfeeding 2008–2012: National Breastfeeding Advisory Committee of New Zealand’s advice to the Director-General of Health.</w:t>
      </w:r>
      <w:r>
        <w:t xml:space="preserve"> Wellington. Ministry of Health</w:t>
      </w:r>
      <w:r w:rsidR="00F12AE1">
        <w:t>.</w:t>
      </w:r>
    </w:p>
    <w:p w14:paraId="40068C57" w14:textId="77777777" w:rsidR="004D5318" w:rsidRDefault="004D5318" w:rsidP="00ED14AD">
      <w:pPr>
        <w:pStyle w:val="References"/>
      </w:pPr>
      <w:r>
        <w:t xml:space="preserve">Prince M, Comas-Herrera A, Knapp M, et al. 2016. </w:t>
      </w:r>
      <w:r w:rsidRPr="00F8020E">
        <w:rPr>
          <w:i/>
        </w:rPr>
        <w:t xml:space="preserve">World Alzheimer </w:t>
      </w:r>
      <w:r>
        <w:rPr>
          <w:i/>
        </w:rPr>
        <w:t>R</w:t>
      </w:r>
      <w:r w:rsidRPr="00F8020E">
        <w:rPr>
          <w:i/>
        </w:rPr>
        <w:t xml:space="preserve">eport 2016: </w:t>
      </w:r>
      <w:r>
        <w:rPr>
          <w:i/>
        </w:rPr>
        <w:t>I</w:t>
      </w:r>
      <w:r w:rsidRPr="00F8020E">
        <w:rPr>
          <w:i/>
        </w:rPr>
        <w:t>mproving healthcare for people living with dementia: coverage, quality and costs now and in the future</w:t>
      </w:r>
      <w:r>
        <w:t xml:space="preserve">. London: Alzheimer’s Disease International. URL: </w:t>
      </w:r>
      <w:hyperlink r:id="rId236" w:history="1">
        <w:r w:rsidRPr="00B76FF4">
          <w:rPr>
            <w:rStyle w:val="Hyperlink"/>
          </w:rPr>
          <w:t>www.alz.co.uk/research/WorldAlzheimerReport2016.pdf</w:t>
        </w:r>
      </w:hyperlink>
      <w:r>
        <w:t xml:space="preserve"> (accessed 26 August 2019).</w:t>
      </w:r>
    </w:p>
    <w:p w14:paraId="61D51764" w14:textId="0FAECD4C" w:rsidR="00ED14AD" w:rsidRPr="00307BB0" w:rsidRDefault="00ED14AD" w:rsidP="00ED14AD">
      <w:pPr>
        <w:pStyle w:val="References"/>
      </w:pPr>
      <w:r w:rsidRPr="00307BB0">
        <w:t xml:space="preserve">Rossen F. 2015. </w:t>
      </w:r>
      <w:r w:rsidRPr="00307BB0">
        <w:rPr>
          <w:i/>
          <w:iCs/>
        </w:rPr>
        <w:t xml:space="preserve">Gambling and Problem Gambling: Results of the 2011/12 New Zealand Health Survey. </w:t>
      </w:r>
      <w:r w:rsidRPr="00307BB0">
        <w:t>Centre for Addiction Research, Prepared for the Ministry of Health. Auckland, New Zealand: Auckland UniServices Limited, The University of Auckland.</w:t>
      </w:r>
    </w:p>
    <w:p w14:paraId="46EF4446" w14:textId="77777777" w:rsidR="0045021E" w:rsidRDefault="0045021E" w:rsidP="0045021E">
      <w:pPr>
        <w:pStyle w:val="References"/>
      </w:pPr>
      <w:r>
        <w:t xml:space="preserve">Salmond C, Crampton P, Atkinson J. 2007. </w:t>
      </w:r>
      <w:r w:rsidRPr="0045021E">
        <w:rPr>
          <w:i/>
        </w:rPr>
        <w:t>NZDep2006 Index of Deprivation</w:t>
      </w:r>
      <w:r>
        <w:t>. Wellington: Department of Public Health, University of Otago.</w:t>
      </w:r>
    </w:p>
    <w:p w14:paraId="641B0F50" w14:textId="053BBC7B" w:rsidR="002545BA" w:rsidRDefault="008F0248" w:rsidP="003A493A">
      <w:pPr>
        <w:pStyle w:val="References"/>
      </w:pPr>
      <w:r>
        <w:t>Stats NZ</w:t>
      </w:r>
      <w:r w:rsidR="002545BA">
        <w:t xml:space="preserve">. 2005. </w:t>
      </w:r>
      <w:r w:rsidR="002545BA">
        <w:rPr>
          <w:i/>
        </w:rPr>
        <w:t>Māori Population: Looking out to 2021</w:t>
      </w:r>
      <w:r w:rsidR="002545BA">
        <w:t>. Hui Taumata 2005. Wellington: Statistics New Zealand.</w:t>
      </w:r>
    </w:p>
    <w:p w14:paraId="7D2760C0" w14:textId="2E8BC804" w:rsidR="00324B55" w:rsidRDefault="008F0248" w:rsidP="00324B55">
      <w:pPr>
        <w:pStyle w:val="References"/>
      </w:pPr>
      <w:r>
        <w:t>Stats NZ</w:t>
      </w:r>
      <w:r w:rsidR="002545BA">
        <w:t xml:space="preserve">. 2015. </w:t>
      </w:r>
      <w:r w:rsidR="002545BA">
        <w:rPr>
          <w:i/>
        </w:rPr>
        <w:t>Births and Deaths: Year ended December 2014</w:t>
      </w:r>
      <w:r w:rsidR="002545BA">
        <w:t>. Wellington: Statistics New Zealand.</w:t>
      </w:r>
    </w:p>
    <w:p w14:paraId="43850E54" w14:textId="7BFBF926" w:rsidR="00431DC7" w:rsidRDefault="00431DC7" w:rsidP="00324B55">
      <w:pPr>
        <w:pStyle w:val="References"/>
      </w:pPr>
      <w:r>
        <w:t xml:space="preserve">Stats NZ. 2017. </w:t>
      </w:r>
      <w:r>
        <w:rPr>
          <w:i/>
        </w:rPr>
        <w:t xml:space="preserve">Prevalence of </w:t>
      </w:r>
      <w:r w:rsidR="00DF00D4">
        <w:rPr>
          <w:i/>
        </w:rPr>
        <w:t>P</w:t>
      </w:r>
      <w:r>
        <w:rPr>
          <w:i/>
        </w:rPr>
        <w:t xml:space="preserve">sychological </w:t>
      </w:r>
      <w:r w:rsidR="00DF00D4">
        <w:rPr>
          <w:i/>
        </w:rPr>
        <w:t>D</w:t>
      </w:r>
      <w:r>
        <w:rPr>
          <w:i/>
        </w:rPr>
        <w:t>istress</w:t>
      </w:r>
      <w:r>
        <w:t xml:space="preserve">. URL: </w:t>
      </w:r>
      <w:hyperlink r:id="rId237" w:history="1">
        <w:r w:rsidRPr="00AA2358">
          <w:rPr>
            <w:rStyle w:val="Hyperlink"/>
          </w:rPr>
          <w:t>http://archive.stats.govt.nz/browse_for_stats/snapshots-of-nz/nz-social-indicators/Home/Health/prevalence-psych-distress.aspx</w:t>
        </w:r>
      </w:hyperlink>
      <w:r w:rsidRPr="00F12AE1">
        <w:t xml:space="preserve"> </w:t>
      </w:r>
      <w:r>
        <w:t>(accessed 26 August 2019).</w:t>
      </w:r>
    </w:p>
    <w:p w14:paraId="0C9230E7" w14:textId="0671404C" w:rsidR="000B7F7E" w:rsidRPr="002714AC" w:rsidRDefault="000B7F7E" w:rsidP="00324B55">
      <w:pPr>
        <w:pStyle w:val="References"/>
      </w:pPr>
      <w:r>
        <w:t xml:space="preserve">US Department of Health and Human Services. </w:t>
      </w:r>
      <w:r w:rsidR="00F12AE1">
        <w:t xml:space="preserve">2011. </w:t>
      </w:r>
      <w:r w:rsidRPr="000B7F7E">
        <w:rPr>
          <w:i/>
        </w:rPr>
        <w:t>The Surgeon General’s Call to Action to Support Breastfeeding.</w:t>
      </w:r>
      <w:r>
        <w:t xml:space="preserve"> Washington, DC: US Department of Health and Human Services, Office of the Surgeon General.</w:t>
      </w:r>
    </w:p>
    <w:p w14:paraId="6AB7AD25" w14:textId="77777777" w:rsidR="00324B55" w:rsidRDefault="00324B55" w:rsidP="00324B55">
      <w:pPr>
        <w:pStyle w:val="References"/>
      </w:pPr>
      <w:r w:rsidRPr="002714AC">
        <w:t xml:space="preserve">WHO. 2007. </w:t>
      </w:r>
      <w:r w:rsidRPr="002714AC">
        <w:rPr>
          <w:i/>
          <w:iCs/>
        </w:rPr>
        <w:t>Global Database on Body Mass Index</w:t>
      </w:r>
      <w:r w:rsidRPr="002714AC">
        <w:t>. Geneva: World Health Organization</w:t>
      </w:r>
      <w:r>
        <w:t>.</w:t>
      </w:r>
    </w:p>
    <w:p w14:paraId="237A46F9" w14:textId="77777777" w:rsidR="00324B55" w:rsidRPr="006E429F" w:rsidRDefault="00324B55" w:rsidP="003A493A">
      <w:pPr>
        <w:pStyle w:val="References"/>
      </w:pPr>
    </w:p>
    <w:p w14:paraId="250192D4" w14:textId="77777777" w:rsidR="004A7F24" w:rsidRPr="00751C9C" w:rsidRDefault="004A7F24" w:rsidP="006E429F">
      <w:pPr>
        <w:pStyle w:val="Heading1"/>
      </w:pPr>
      <w:bookmarkStart w:id="555" w:name="_Toc495071621"/>
      <w:bookmarkStart w:id="556" w:name="_Toc6498085"/>
      <w:bookmarkStart w:id="557" w:name="_Toc19102514"/>
      <w:r w:rsidRPr="00751C9C">
        <w:lastRenderedPageBreak/>
        <w:t>Appendices</w:t>
      </w:r>
      <w:bookmarkEnd w:id="552"/>
      <w:bookmarkEnd w:id="553"/>
      <w:bookmarkEnd w:id="555"/>
      <w:bookmarkEnd w:id="556"/>
      <w:bookmarkEnd w:id="557"/>
    </w:p>
    <w:p w14:paraId="486A96B9" w14:textId="1A670629" w:rsidR="004A7F24" w:rsidRPr="00751C9C" w:rsidRDefault="004A7F24" w:rsidP="006E429F">
      <w:pPr>
        <w:pStyle w:val="Heading2"/>
      </w:pPr>
      <w:bookmarkStart w:id="558" w:name="_Toc354993984"/>
      <w:bookmarkStart w:id="559" w:name="_Toc397424540"/>
      <w:bookmarkStart w:id="560" w:name="_Toc495071622"/>
      <w:bookmarkStart w:id="561" w:name="_Toc6498086"/>
      <w:bookmarkStart w:id="562" w:name="_Toc19102515"/>
      <w:r w:rsidRPr="00751C9C">
        <w:t xml:space="preserve">Appendix 1: </w:t>
      </w:r>
      <w:bookmarkEnd w:id="554"/>
      <w:bookmarkEnd w:id="558"/>
      <w:bookmarkEnd w:id="559"/>
      <w:bookmarkEnd w:id="560"/>
      <w:bookmarkEnd w:id="561"/>
      <w:r w:rsidR="00CF26C8" w:rsidRPr="00CF26C8">
        <w:t xml:space="preserve">What </w:t>
      </w:r>
      <w:r w:rsidR="00CF26C8">
        <w:t xml:space="preserve">Māori and </w:t>
      </w:r>
      <w:r w:rsidR="00EC03A3">
        <w:t>non</w:t>
      </w:r>
      <w:r w:rsidR="00EC03A3">
        <w:noBreakHyphen/>
        <w:t>M</w:t>
      </w:r>
      <w:r w:rsidR="00CF26C8" w:rsidRPr="00CF26C8">
        <w:t xml:space="preserve">āori </w:t>
      </w:r>
      <w:r w:rsidR="00EC03A3">
        <w:t>non</w:t>
      </w:r>
      <w:r w:rsidR="00EC03A3">
        <w:noBreakHyphen/>
        <w:t>P</w:t>
      </w:r>
      <w:r w:rsidR="00CF26C8" w:rsidRPr="00CF26C8">
        <w:t xml:space="preserve">acific analysis can be prepared for the </w:t>
      </w:r>
      <w:r w:rsidR="00CF26C8">
        <w:t xml:space="preserve">Wai 2575 </w:t>
      </w:r>
      <w:r w:rsidR="00CF26C8" w:rsidRPr="00CF26C8">
        <w:t>Health Services and Outcomes Inquiry</w:t>
      </w:r>
      <w:bookmarkEnd w:id="562"/>
    </w:p>
    <w:p w14:paraId="3C250A87" w14:textId="77777777" w:rsidR="00CF26C8" w:rsidRPr="00181EF3" w:rsidRDefault="00CF26C8" w:rsidP="00CF26C8">
      <w:pPr>
        <w:pStyle w:val="Heading3"/>
      </w:pPr>
      <w:bookmarkStart w:id="563" w:name="_Clinical_codes_and"/>
      <w:bookmarkStart w:id="564" w:name="_Toc19102516"/>
      <w:bookmarkStart w:id="565" w:name="_Ref436736542"/>
      <w:bookmarkStart w:id="566" w:name="_Toc495071623"/>
      <w:bookmarkStart w:id="567" w:name="_Toc6498087"/>
      <w:bookmarkStart w:id="568" w:name="_Toc315979829"/>
      <w:bookmarkEnd w:id="563"/>
      <w:r w:rsidRPr="00181EF3">
        <w:t>Issue</w:t>
      </w:r>
      <w:bookmarkEnd w:id="564"/>
    </w:p>
    <w:p w14:paraId="7411B648" w14:textId="0568AD3E" w:rsidR="00CF26C8" w:rsidRPr="00181EF3" w:rsidRDefault="00CF26C8" w:rsidP="00CF26C8">
      <w:r w:rsidRPr="00181EF3">
        <w:t>Claimants in Wai</w:t>
      </w:r>
      <w:r>
        <w:t xml:space="preserve"> </w:t>
      </w:r>
      <w:r w:rsidRPr="00181EF3">
        <w:t>2575 have requested the Ministry of Health (</w:t>
      </w:r>
      <w:r>
        <w:t xml:space="preserve">the </w:t>
      </w:r>
      <w:r w:rsidRPr="00181EF3">
        <w:t xml:space="preserve">Ministry) to compare statistics on Māori health </w:t>
      </w:r>
      <w:r w:rsidR="00074A01">
        <w:t>with</w:t>
      </w:r>
      <w:r w:rsidR="00074A01" w:rsidRPr="00181EF3">
        <w:t xml:space="preserve"> </w:t>
      </w:r>
      <w:r w:rsidRPr="00181EF3">
        <w:t xml:space="preserve">a </w:t>
      </w:r>
      <w:r w:rsidR="00EC03A3">
        <w:t>non</w:t>
      </w:r>
      <w:r w:rsidR="00EC03A3">
        <w:noBreakHyphen/>
        <w:t>M</w:t>
      </w:r>
      <w:r w:rsidRPr="00181EF3">
        <w:t xml:space="preserve">āori </w:t>
      </w:r>
      <w:r w:rsidR="00EC03A3">
        <w:t>non</w:t>
      </w:r>
      <w:r w:rsidR="00EC03A3">
        <w:noBreakHyphen/>
        <w:t>P</w:t>
      </w:r>
      <w:r w:rsidRPr="00181EF3">
        <w:t xml:space="preserve">acific comparator group for a selected group of health conditions and risk factors. Comparisons between two groups are often made by comparing age-standardised rates of each group. Age standardisation requires population estimates which are prepared by </w:t>
      </w:r>
      <w:r w:rsidR="008F0248">
        <w:t>Stats NZ</w:t>
      </w:r>
      <w:r w:rsidRPr="00181EF3">
        <w:t>.</w:t>
      </w:r>
    </w:p>
    <w:p w14:paraId="668ACECE" w14:textId="77777777" w:rsidR="00CF26C8" w:rsidRPr="00181EF3" w:rsidRDefault="00CF26C8" w:rsidP="00CF26C8"/>
    <w:p w14:paraId="762CAF57" w14:textId="4FA12CEE" w:rsidR="00CF26C8" w:rsidRPr="00181EF3" w:rsidRDefault="00CF26C8" w:rsidP="00CF26C8">
      <w:r w:rsidRPr="00181EF3">
        <w:t xml:space="preserve">This paper sets out how </w:t>
      </w:r>
      <w:r>
        <w:t xml:space="preserve">Māori and </w:t>
      </w:r>
      <w:r w:rsidR="00EC03A3">
        <w:t>non</w:t>
      </w:r>
      <w:r w:rsidR="00EC03A3">
        <w:noBreakHyphen/>
        <w:t>M</w:t>
      </w:r>
      <w:r w:rsidRPr="00181EF3">
        <w:t xml:space="preserve">āori </w:t>
      </w:r>
      <w:r w:rsidR="00EC03A3">
        <w:t>non</w:t>
      </w:r>
      <w:r w:rsidR="00EC03A3">
        <w:noBreakHyphen/>
        <w:t>P</w:t>
      </w:r>
      <w:r w:rsidRPr="00181EF3">
        <w:t>acific analysis could be undertaken in Wai</w:t>
      </w:r>
      <w:r>
        <w:t xml:space="preserve"> </w:t>
      </w:r>
      <w:r w:rsidRPr="00181EF3">
        <w:t>2575.</w:t>
      </w:r>
    </w:p>
    <w:p w14:paraId="2B4F9C23" w14:textId="77777777" w:rsidR="00CF26C8" w:rsidRPr="00181EF3" w:rsidRDefault="00CF26C8" w:rsidP="00CF26C8"/>
    <w:p w14:paraId="2825A430" w14:textId="70C87A0C" w:rsidR="00CF26C8" w:rsidRPr="00181EF3" w:rsidRDefault="00CF26C8" w:rsidP="00CF26C8">
      <w:pPr>
        <w:pStyle w:val="Heading4"/>
      </w:pPr>
      <w:r w:rsidRPr="00181EF3">
        <w:t xml:space="preserve">Māori compared </w:t>
      </w:r>
      <w:r w:rsidR="00FF1892">
        <w:t>with</w:t>
      </w:r>
      <w:r w:rsidR="00FF1892" w:rsidRPr="00181EF3">
        <w:t xml:space="preserve"> </w:t>
      </w:r>
      <w:r w:rsidRPr="00181EF3">
        <w:t xml:space="preserve">the </w:t>
      </w:r>
      <w:r w:rsidR="00EC03A3">
        <w:t>non</w:t>
      </w:r>
      <w:r w:rsidR="00EC03A3">
        <w:noBreakHyphen/>
        <w:t>M</w:t>
      </w:r>
      <w:r w:rsidRPr="00181EF3">
        <w:t xml:space="preserve">āori comparator </w:t>
      </w:r>
      <w:r w:rsidR="00FF1892">
        <w:t>g</w:t>
      </w:r>
      <w:r w:rsidRPr="00181EF3">
        <w:t>roup</w:t>
      </w:r>
    </w:p>
    <w:p w14:paraId="47188520" w14:textId="577129AD" w:rsidR="00CF26C8" w:rsidRPr="00181EF3" w:rsidRDefault="00CF26C8" w:rsidP="00CF26C8">
      <w:r w:rsidRPr="00181EF3">
        <w:t>The Ministry will use the 1991 to 2017 National Māori Population Estimates</w:t>
      </w:r>
      <w:r w:rsidRPr="00181EF3">
        <w:rPr>
          <w:rStyle w:val="FootnoteReference"/>
        </w:rPr>
        <w:footnoteReference w:id="28"/>
      </w:r>
      <w:r w:rsidRPr="00181EF3">
        <w:t xml:space="preserve"> produced by </w:t>
      </w:r>
      <w:r w:rsidR="008F0248">
        <w:t>Stats NZ</w:t>
      </w:r>
      <w:r w:rsidRPr="00181EF3">
        <w:t xml:space="preserve"> for the Māori population when preparing analysis for Wai</w:t>
      </w:r>
      <w:r>
        <w:t xml:space="preserve"> </w:t>
      </w:r>
      <w:r w:rsidRPr="00181EF3">
        <w:t>2575. These population estimates are based on the 1991, 2001, 2006 and 2013 Censuses and ignore results from the 1996 Census. The 1996 Census is believed to over-estimate the Māori population due to different wording being used in the ethnicity question of that Census.</w:t>
      </w:r>
      <w:r w:rsidRPr="00181EF3">
        <w:rPr>
          <w:rStyle w:val="FootnoteReference"/>
        </w:rPr>
        <w:footnoteReference w:id="29"/>
      </w:r>
    </w:p>
    <w:p w14:paraId="12B8059A" w14:textId="77777777" w:rsidR="00CF26C8" w:rsidRPr="00181EF3" w:rsidRDefault="00CF26C8" w:rsidP="00CF26C8"/>
    <w:p w14:paraId="38BBAAC7" w14:textId="2D6091ED" w:rsidR="00CF26C8" w:rsidRPr="00181EF3" w:rsidRDefault="00CF26C8" w:rsidP="00CF26C8">
      <w:r w:rsidRPr="00181EF3">
        <w:t xml:space="preserve">The Ministry can derive the </w:t>
      </w:r>
      <w:r w:rsidR="00EC03A3">
        <w:t>non</w:t>
      </w:r>
      <w:r w:rsidR="00EC03A3">
        <w:noBreakHyphen/>
        <w:t>M</w:t>
      </w:r>
      <w:r w:rsidRPr="00181EF3">
        <w:t xml:space="preserve">āori population by subtracting National Māori Population Estimates from National Population Estimates. This is the Ministry’s standard practice for providing National </w:t>
      </w:r>
      <w:r w:rsidR="00EC03A3">
        <w:t>Non</w:t>
      </w:r>
      <w:r w:rsidR="00EC03A3">
        <w:noBreakHyphen/>
        <w:t>M</w:t>
      </w:r>
      <w:r w:rsidRPr="00181EF3">
        <w:t>āori Population Estimates.</w:t>
      </w:r>
    </w:p>
    <w:p w14:paraId="12937939" w14:textId="77777777" w:rsidR="00CF26C8" w:rsidRPr="00181EF3" w:rsidRDefault="00CF26C8" w:rsidP="00CF26C8"/>
    <w:p w14:paraId="3E9E4CE2" w14:textId="0782CE33" w:rsidR="00CF26C8" w:rsidRPr="00181EF3" w:rsidRDefault="00CF26C8" w:rsidP="00CF26C8">
      <w:pPr>
        <w:pStyle w:val="Heading4"/>
      </w:pPr>
      <w:r w:rsidRPr="00181EF3">
        <w:lastRenderedPageBreak/>
        <w:t xml:space="preserve">Māori compared </w:t>
      </w:r>
      <w:r w:rsidR="00074A01">
        <w:t>with</w:t>
      </w:r>
      <w:r w:rsidR="00074A01" w:rsidRPr="00181EF3">
        <w:t xml:space="preserve"> </w:t>
      </w:r>
      <w:r w:rsidRPr="00181EF3">
        <w:t xml:space="preserve">the </w:t>
      </w:r>
      <w:r w:rsidR="00EC03A3">
        <w:t>non</w:t>
      </w:r>
      <w:r w:rsidR="00EC03A3">
        <w:noBreakHyphen/>
        <w:t>M</w:t>
      </w:r>
      <w:r w:rsidRPr="00181EF3">
        <w:t xml:space="preserve">āori </w:t>
      </w:r>
      <w:r w:rsidR="00EC03A3">
        <w:t>non</w:t>
      </w:r>
      <w:r w:rsidR="00EC03A3">
        <w:noBreakHyphen/>
        <w:t>P</w:t>
      </w:r>
      <w:r w:rsidRPr="00181EF3">
        <w:t>acific comparator group</w:t>
      </w:r>
    </w:p>
    <w:p w14:paraId="59F85763" w14:textId="23CD7690" w:rsidR="00CF26C8" w:rsidRPr="00181EF3" w:rsidRDefault="00CF26C8" w:rsidP="00CF26C8">
      <w:r w:rsidRPr="00181EF3">
        <w:t xml:space="preserve">To compare Māori </w:t>
      </w:r>
      <w:r w:rsidR="00074A01">
        <w:t>with</w:t>
      </w:r>
      <w:r w:rsidR="00074A01" w:rsidRPr="00181EF3">
        <w:t xml:space="preserve"> </w:t>
      </w:r>
      <w:r w:rsidRPr="00181EF3">
        <w:t xml:space="preserve">a </w:t>
      </w:r>
      <w:r w:rsidR="00EC03A3">
        <w:t>non</w:t>
      </w:r>
      <w:r w:rsidR="00EC03A3">
        <w:noBreakHyphen/>
        <w:t>M</w:t>
      </w:r>
      <w:r w:rsidRPr="00181EF3">
        <w:t xml:space="preserve">āori </w:t>
      </w:r>
      <w:r w:rsidR="00EC03A3">
        <w:t>non</w:t>
      </w:r>
      <w:r w:rsidR="00EC03A3">
        <w:noBreakHyphen/>
        <w:t>P</w:t>
      </w:r>
      <w:r w:rsidRPr="00181EF3">
        <w:t xml:space="preserve">acific population, the Ministry will require estimates of the Māori and </w:t>
      </w:r>
      <w:r w:rsidR="00EC03A3">
        <w:t>non</w:t>
      </w:r>
      <w:r w:rsidR="00EC03A3">
        <w:noBreakHyphen/>
        <w:t>M</w:t>
      </w:r>
      <w:r w:rsidRPr="00181EF3">
        <w:t xml:space="preserve">āori </w:t>
      </w:r>
      <w:r w:rsidR="00EC03A3">
        <w:t>non</w:t>
      </w:r>
      <w:r w:rsidR="00EC03A3">
        <w:noBreakHyphen/>
        <w:t>P</w:t>
      </w:r>
      <w:r w:rsidRPr="00181EF3">
        <w:t xml:space="preserve">acific populations. It will also be useful to include </w:t>
      </w:r>
      <w:r w:rsidR="00EC03A3">
        <w:t>non</w:t>
      </w:r>
      <w:r w:rsidR="00EC03A3">
        <w:noBreakHyphen/>
        <w:t>M</w:t>
      </w:r>
      <w:r w:rsidRPr="00181EF3">
        <w:t xml:space="preserve">āori analysis at the same time as most readers will also be interested in </w:t>
      </w:r>
      <w:r w:rsidR="00EC03A3">
        <w:t>non</w:t>
      </w:r>
      <w:r w:rsidR="00EC03A3">
        <w:noBreakHyphen/>
        <w:t>M</w:t>
      </w:r>
      <w:r w:rsidRPr="00181EF3">
        <w:t xml:space="preserve">āori analysis, and the Ministry and claimants will have a complete Māori </w:t>
      </w:r>
      <w:r w:rsidR="00EC03A3">
        <w:t>non</w:t>
      </w:r>
      <w:r w:rsidR="00EC03A3">
        <w:noBreakHyphen/>
        <w:t>M</w:t>
      </w:r>
      <w:r w:rsidR="008F0248">
        <w:rPr>
          <w:rFonts w:cs="Segoe UI"/>
        </w:rPr>
        <w:t>ā</w:t>
      </w:r>
      <w:r w:rsidRPr="00181EF3">
        <w:t>ori analysis for all health conditions and risk factors analysed in Wai</w:t>
      </w:r>
      <w:r>
        <w:t xml:space="preserve"> </w:t>
      </w:r>
      <w:r w:rsidRPr="00181EF3">
        <w:t>2575.</w:t>
      </w:r>
    </w:p>
    <w:p w14:paraId="273D5047" w14:textId="77777777" w:rsidR="00CF26C8" w:rsidRPr="00181EF3" w:rsidRDefault="00CF26C8" w:rsidP="00CF26C8"/>
    <w:p w14:paraId="763D6910" w14:textId="6519B6B9" w:rsidR="00CF26C8" w:rsidRPr="00181EF3" w:rsidRDefault="00CF26C8" w:rsidP="00CF26C8">
      <w:r w:rsidRPr="00181EF3">
        <w:t xml:space="preserve">DHB Population Estimates tables have been produced for the period 1996 to 2013 by </w:t>
      </w:r>
      <w:r w:rsidR="008F0248">
        <w:t>Stats NZ</w:t>
      </w:r>
      <w:r w:rsidRPr="00181EF3">
        <w:t xml:space="preserve">. Māori, Pacific and Other ethnicities are provided in these estimates where Other are all ethnicities excluding Māori and Pacific – effectively a </w:t>
      </w:r>
      <w:r w:rsidR="00EC03A3">
        <w:t>non</w:t>
      </w:r>
      <w:r w:rsidR="00EC03A3">
        <w:noBreakHyphen/>
        <w:t>M</w:t>
      </w:r>
      <w:r w:rsidRPr="00181EF3">
        <w:t xml:space="preserve">āori </w:t>
      </w:r>
      <w:r w:rsidR="00EC03A3">
        <w:t>non</w:t>
      </w:r>
      <w:r w:rsidR="00EC03A3">
        <w:noBreakHyphen/>
        <w:t>P</w:t>
      </w:r>
      <w:r w:rsidRPr="00181EF3">
        <w:t>acific population. DHB Population Estimates provide ethnicity data in this way to comply with the 2017 Ethnicity Data Protocols which describe the standard procedures for collecting, recording and using data on the ethnicity of people treated by the New Zealand health and disability sector.</w:t>
      </w:r>
      <w:r w:rsidRPr="00181EF3">
        <w:rPr>
          <w:rStyle w:val="FootnoteReference"/>
        </w:rPr>
        <w:footnoteReference w:id="30"/>
      </w:r>
    </w:p>
    <w:p w14:paraId="2CF490A3" w14:textId="77777777" w:rsidR="00CF26C8" w:rsidRPr="00181EF3" w:rsidRDefault="00CF26C8" w:rsidP="00CF26C8"/>
    <w:p w14:paraId="3D5D8093" w14:textId="77777777" w:rsidR="00CF26C8" w:rsidRPr="00181EF3" w:rsidRDefault="00CF26C8" w:rsidP="00CF26C8">
      <w:r w:rsidRPr="00181EF3">
        <w:t>DHB Population Estimates for a particular year are derived from the Censuses either side of that year, and for years when a Census is held, from that year’s Census. For example</w:t>
      </w:r>
      <w:r>
        <w:t>,</w:t>
      </w:r>
      <w:r w:rsidRPr="00181EF3">
        <w:t xml:space="preserve"> estimates for 1999 are derived from the 1996 and 2001 Censuses, and estimates for 2006 are derived from the 2006 Census. Estimates for 2014 to 2018 will not be derived until the results of the 2018 Census are available.</w:t>
      </w:r>
    </w:p>
    <w:p w14:paraId="471A6C8E" w14:textId="77777777" w:rsidR="00CF26C8" w:rsidRPr="00181EF3" w:rsidRDefault="00CF26C8" w:rsidP="00CF26C8"/>
    <w:p w14:paraId="5BC365AA" w14:textId="2895C3B8" w:rsidR="00CF26C8" w:rsidRPr="00181EF3" w:rsidRDefault="00CF26C8" w:rsidP="00CF26C8">
      <w:r w:rsidRPr="00181EF3">
        <w:t xml:space="preserve">When comparing Māori to a </w:t>
      </w:r>
      <w:r w:rsidR="00EC03A3">
        <w:t>non</w:t>
      </w:r>
      <w:r w:rsidR="00EC03A3">
        <w:noBreakHyphen/>
        <w:t>M</w:t>
      </w:r>
      <w:r w:rsidRPr="00181EF3">
        <w:t xml:space="preserve">āori </w:t>
      </w:r>
      <w:r w:rsidR="00EC03A3">
        <w:t>non</w:t>
      </w:r>
      <w:r w:rsidR="00EC03A3">
        <w:noBreakHyphen/>
        <w:t>P</w:t>
      </w:r>
      <w:r w:rsidRPr="00181EF3">
        <w:t>acific group it is important that the same data set is used for both population groups because different datasets use different methods to collect data. The National Māori Population Estimates and the DHB Population Estimate tables use different Census to estimate the period from 1996 to 2000: the National Māori Population estimates ignore results from the 1996 Census whereas the DHB Population Estimates include results from the 1996 Census.</w:t>
      </w:r>
    </w:p>
    <w:p w14:paraId="7220220A" w14:textId="77777777" w:rsidR="00CF26C8" w:rsidRPr="00181EF3" w:rsidRDefault="00CF26C8" w:rsidP="00CF26C8"/>
    <w:p w14:paraId="55C6E06E" w14:textId="77777777" w:rsidR="00CF26C8" w:rsidRPr="00181EF3" w:rsidRDefault="00CF26C8" w:rsidP="00CF26C8">
      <w:r w:rsidRPr="00181EF3">
        <w:t>The differences in the estimates of the Māori population can be seen in the following table.</w:t>
      </w:r>
    </w:p>
    <w:p w14:paraId="499CAD1C" w14:textId="77777777" w:rsidR="00CF26C8" w:rsidRPr="00181EF3" w:rsidRDefault="00CF26C8" w:rsidP="00CF26C8"/>
    <w:p w14:paraId="1AA9DA26" w14:textId="77777777" w:rsidR="00CF26C8" w:rsidRPr="00181EF3" w:rsidRDefault="00CF26C8" w:rsidP="00CF26C8">
      <w:pPr>
        <w:pStyle w:val="Table"/>
      </w:pPr>
      <w:bookmarkStart w:id="569" w:name="_Toc18594793"/>
      <w:r w:rsidRPr="00181EF3">
        <w:lastRenderedPageBreak/>
        <w:t>Table A</w:t>
      </w:r>
      <w:r>
        <w:t>1</w:t>
      </w:r>
      <w:r w:rsidRPr="00181EF3">
        <w:t>.1: Estimates of the Māori population using National Māori Population Estimates and DHB Māori Population Estimates</w:t>
      </w:r>
      <w:bookmarkEnd w:id="569"/>
    </w:p>
    <w:tbl>
      <w:tblPr>
        <w:tblW w:w="8080" w:type="dxa"/>
        <w:tblInd w:w="57" w:type="dxa"/>
        <w:tblLayout w:type="fixed"/>
        <w:tblCellMar>
          <w:left w:w="57" w:type="dxa"/>
          <w:right w:w="57" w:type="dxa"/>
        </w:tblCellMar>
        <w:tblLook w:val="04A0" w:firstRow="1" w:lastRow="0" w:firstColumn="1" w:lastColumn="0" w:noHBand="0" w:noVBand="1"/>
      </w:tblPr>
      <w:tblGrid>
        <w:gridCol w:w="851"/>
        <w:gridCol w:w="2835"/>
        <w:gridCol w:w="2835"/>
        <w:gridCol w:w="1559"/>
      </w:tblGrid>
      <w:tr w:rsidR="00CF26C8" w:rsidRPr="00181EF3" w14:paraId="3BAA837F" w14:textId="77777777" w:rsidTr="001B13EC">
        <w:trPr>
          <w:cantSplit/>
        </w:trPr>
        <w:tc>
          <w:tcPr>
            <w:tcW w:w="851" w:type="dxa"/>
            <w:shd w:val="clear" w:color="auto" w:fill="D9D9D9" w:themeFill="background1" w:themeFillShade="D9"/>
          </w:tcPr>
          <w:p w14:paraId="0122A885" w14:textId="77777777" w:rsidR="00CF26C8" w:rsidRPr="00181EF3" w:rsidRDefault="00CF26C8" w:rsidP="001B13EC">
            <w:pPr>
              <w:pStyle w:val="TableText"/>
              <w:keepNext/>
              <w:spacing w:before="55" w:after="55"/>
              <w:rPr>
                <w:b/>
              </w:rPr>
            </w:pPr>
            <w:r w:rsidRPr="00181EF3">
              <w:rPr>
                <w:b/>
              </w:rPr>
              <w:t>Year</w:t>
            </w:r>
          </w:p>
        </w:tc>
        <w:tc>
          <w:tcPr>
            <w:tcW w:w="2835" w:type="dxa"/>
            <w:shd w:val="clear" w:color="auto" w:fill="D9D9D9" w:themeFill="background1" w:themeFillShade="D9"/>
          </w:tcPr>
          <w:p w14:paraId="29A79916" w14:textId="77777777" w:rsidR="00CF26C8" w:rsidRPr="00181EF3" w:rsidRDefault="00CF26C8" w:rsidP="001B13EC">
            <w:pPr>
              <w:pStyle w:val="TableText"/>
              <w:keepNext/>
              <w:spacing w:before="55" w:after="55"/>
              <w:jc w:val="center"/>
              <w:rPr>
                <w:b/>
              </w:rPr>
            </w:pPr>
            <w:r w:rsidRPr="00181EF3">
              <w:rPr>
                <w:b/>
              </w:rPr>
              <w:t>National Māori Population Estimates</w:t>
            </w:r>
            <w:r w:rsidRPr="00181EF3">
              <w:rPr>
                <w:b/>
              </w:rPr>
              <w:br/>
              <w:t>(excludes results from</w:t>
            </w:r>
            <w:r w:rsidRPr="00181EF3">
              <w:rPr>
                <w:b/>
              </w:rPr>
              <w:br/>
              <w:t>the 1996 Census)</w:t>
            </w:r>
          </w:p>
        </w:tc>
        <w:tc>
          <w:tcPr>
            <w:tcW w:w="2835" w:type="dxa"/>
            <w:shd w:val="clear" w:color="auto" w:fill="D9D9D9" w:themeFill="background1" w:themeFillShade="D9"/>
          </w:tcPr>
          <w:p w14:paraId="1DA89F43" w14:textId="77777777" w:rsidR="00CF26C8" w:rsidRPr="00181EF3" w:rsidRDefault="00CF26C8" w:rsidP="001B13EC">
            <w:pPr>
              <w:pStyle w:val="TableText"/>
              <w:keepNext/>
              <w:spacing w:before="55" w:after="55"/>
              <w:jc w:val="center"/>
              <w:rPr>
                <w:b/>
              </w:rPr>
            </w:pPr>
            <w:r w:rsidRPr="00181EF3">
              <w:rPr>
                <w:b/>
              </w:rPr>
              <w:t>DHB Māori Population Estimates</w:t>
            </w:r>
            <w:r w:rsidRPr="00181EF3">
              <w:rPr>
                <w:b/>
              </w:rPr>
              <w:br/>
              <w:t>(includes results from</w:t>
            </w:r>
            <w:r w:rsidRPr="00181EF3">
              <w:rPr>
                <w:b/>
              </w:rPr>
              <w:br/>
              <w:t>the 1996 Census)</w:t>
            </w:r>
          </w:p>
        </w:tc>
        <w:tc>
          <w:tcPr>
            <w:tcW w:w="1559" w:type="dxa"/>
            <w:shd w:val="clear" w:color="auto" w:fill="D9D9D9" w:themeFill="background1" w:themeFillShade="D9"/>
          </w:tcPr>
          <w:p w14:paraId="68F28A24" w14:textId="77777777" w:rsidR="00CF26C8" w:rsidRPr="00181EF3" w:rsidRDefault="00CF26C8" w:rsidP="001B13EC">
            <w:pPr>
              <w:pStyle w:val="TableText"/>
              <w:keepNext/>
              <w:spacing w:before="55" w:after="55"/>
              <w:jc w:val="center"/>
              <w:rPr>
                <w:b/>
              </w:rPr>
            </w:pPr>
            <w:r w:rsidRPr="00181EF3">
              <w:rPr>
                <w:b/>
              </w:rPr>
              <w:t>Difference</w:t>
            </w:r>
            <w:r w:rsidRPr="00181EF3">
              <w:rPr>
                <w:b/>
              </w:rPr>
              <w:br/>
              <w:t>(+ a believed over estimate)</w:t>
            </w:r>
          </w:p>
        </w:tc>
      </w:tr>
      <w:tr w:rsidR="00CF26C8" w:rsidRPr="00181EF3" w14:paraId="4BA84BA5" w14:textId="77777777" w:rsidTr="001B13EC">
        <w:trPr>
          <w:cantSplit/>
        </w:trPr>
        <w:tc>
          <w:tcPr>
            <w:tcW w:w="851" w:type="dxa"/>
            <w:tcBorders>
              <w:bottom w:val="single" w:sz="4" w:space="0" w:color="A6A6A6" w:themeColor="background1" w:themeShade="A6"/>
            </w:tcBorders>
          </w:tcPr>
          <w:p w14:paraId="17837D66" w14:textId="77777777" w:rsidR="00CF26C8" w:rsidRPr="00181EF3" w:rsidRDefault="00CF26C8" w:rsidP="001B13EC">
            <w:pPr>
              <w:pStyle w:val="TableText"/>
              <w:keepNext/>
              <w:spacing w:before="55" w:after="55"/>
            </w:pPr>
            <w:r w:rsidRPr="00181EF3">
              <w:t>1991</w:t>
            </w:r>
          </w:p>
        </w:tc>
        <w:tc>
          <w:tcPr>
            <w:tcW w:w="2835" w:type="dxa"/>
            <w:tcBorders>
              <w:bottom w:val="single" w:sz="4" w:space="0" w:color="A6A6A6" w:themeColor="background1" w:themeShade="A6"/>
            </w:tcBorders>
          </w:tcPr>
          <w:p w14:paraId="2A6E78DD" w14:textId="77777777" w:rsidR="00CF26C8" w:rsidRPr="00181EF3" w:rsidRDefault="00CF26C8" w:rsidP="001B13EC">
            <w:pPr>
              <w:pStyle w:val="TableText"/>
              <w:keepNext/>
              <w:spacing w:before="55" w:after="55"/>
              <w:jc w:val="center"/>
            </w:pPr>
            <w:r w:rsidRPr="00181EF3">
              <w:t>468,400</w:t>
            </w:r>
          </w:p>
        </w:tc>
        <w:tc>
          <w:tcPr>
            <w:tcW w:w="2835" w:type="dxa"/>
            <w:tcBorders>
              <w:bottom w:val="single" w:sz="4" w:space="0" w:color="A6A6A6" w:themeColor="background1" w:themeShade="A6"/>
            </w:tcBorders>
          </w:tcPr>
          <w:p w14:paraId="6B1F82B6" w14:textId="77777777" w:rsidR="00CF26C8" w:rsidRPr="00181EF3" w:rsidRDefault="00CF26C8" w:rsidP="001B13EC">
            <w:pPr>
              <w:pStyle w:val="TableText"/>
              <w:keepNext/>
              <w:spacing w:before="55" w:after="55"/>
              <w:jc w:val="center"/>
            </w:pPr>
          </w:p>
        </w:tc>
        <w:tc>
          <w:tcPr>
            <w:tcW w:w="1559" w:type="dxa"/>
            <w:tcBorders>
              <w:bottom w:val="single" w:sz="4" w:space="0" w:color="A6A6A6" w:themeColor="background1" w:themeShade="A6"/>
            </w:tcBorders>
          </w:tcPr>
          <w:p w14:paraId="32E66473" w14:textId="77777777" w:rsidR="00CF26C8" w:rsidRPr="00181EF3" w:rsidRDefault="00CF26C8" w:rsidP="001B13EC">
            <w:pPr>
              <w:pStyle w:val="TableText"/>
              <w:keepNext/>
              <w:spacing w:before="55" w:after="55"/>
              <w:jc w:val="center"/>
            </w:pPr>
          </w:p>
        </w:tc>
      </w:tr>
      <w:tr w:rsidR="00CF26C8" w:rsidRPr="00181EF3" w14:paraId="5D7139B3" w14:textId="77777777" w:rsidTr="001B13EC">
        <w:trPr>
          <w:cantSplit/>
        </w:trPr>
        <w:tc>
          <w:tcPr>
            <w:tcW w:w="851" w:type="dxa"/>
            <w:tcBorders>
              <w:top w:val="single" w:sz="4" w:space="0" w:color="A6A6A6" w:themeColor="background1" w:themeShade="A6"/>
              <w:bottom w:val="single" w:sz="4" w:space="0" w:color="A6A6A6" w:themeColor="background1" w:themeShade="A6"/>
            </w:tcBorders>
          </w:tcPr>
          <w:p w14:paraId="126AD7CE" w14:textId="77777777" w:rsidR="00CF26C8" w:rsidRPr="00181EF3" w:rsidRDefault="00CF26C8" w:rsidP="001B13EC">
            <w:pPr>
              <w:pStyle w:val="TableText"/>
              <w:keepNext/>
              <w:spacing w:before="55" w:after="55"/>
            </w:pPr>
            <w:r w:rsidRPr="00181EF3">
              <w:t>1992</w:t>
            </w:r>
          </w:p>
        </w:tc>
        <w:tc>
          <w:tcPr>
            <w:tcW w:w="2835" w:type="dxa"/>
            <w:tcBorders>
              <w:top w:val="single" w:sz="4" w:space="0" w:color="A6A6A6" w:themeColor="background1" w:themeShade="A6"/>
              <w:bottom w:val="single" w:sz="4" w:space="0" w:color="A6A6A6" w:themeColor="background1" w:themeShade="A6"/>
            </w:tcBorders>
          </w:tcPr>
          <w:p w14:paraId="27E5ABAA" w14:textId="77777777" w:rsidR="00CF26C8" w:rsidRPr="00181EF3" w:rsidRDefault="00CF26C8" w:rsidP="001B13EC">
            <w:pPr>
              <w:pStyle w:val="TableText"/>
              <w:keepNext/>
              <w:spacing w:before="55" w:after="55"/>
              <w:jc w:val="center"/>
            </w:pPr>
            <w:r w:rsidRPr="00181EF3">
              <w:t>481,000</w:t>
            </w:r>
          </w:p>
        </w:tc>
        <w:tc>
          <w:tcPr>
            <w:tcW w:w="2835" w:type="dxa"/>
            <w:tcBorders>
              <w:top w:val="single" w:sz="4" w:space="0" w:color="A6A6A6" w:themeColor="background1" w:themeShade="A6"/>
              <w:bottom w:val="single" w:sz="4" w:space="0" w:color="A6A6A6" w:themeColor="background1" w:themeShade="A6"/>
            </w:tcBorders>
          </w:tcPr>
          <w:p w14:paraId="30F76A95" w14:textId="77777777" w:rsidR="00CF26C8" w:rsidRPr="00181EF3" w:rsidRDefault="00CF26C8" w:rsidP="001B13EC">
            <w:pPr>
              <w:pStyle w:val="TableText"/>
              <w:keepNext/>
              <w:spacing w:before="55" w:after="55"/>
              <w:jc w:val="center"/>
            </w:pPr>
          </w:p>
        </w:tc>
        <w:tc>
          <w:tcPr>
            <w:tcW w:w="1559" w:type="dxa"/>
            <w:tcBorders>
              <w:top w:val="single" w:sz="4" w:space="0" w:color="A6A6A6" w:themeColor="background1" w:themeShade="A6"/>
              <w:bottom w:val="single" w:sz="4" w:space="0" w:color="A6A6A6" w:themeColor="background1" w:themeShade="A6"/>
            </w:tcBorders>
          </w:tcPr>
          <w:p w14:paraId="1EC09718" w14:textId="77777777" w:rsidR="00CF26C8" w:rsidRPr="00181EF3" w:rsidRDefault="00CF26C8" w:rsidP="001B13EC">
            <w:pPr>
              <w:pStyle w:val="TableText"/>
              <w:keepNext/>
              <w:spacing w:before="55" w:after="55"/>
              <w:jc w:val="center"/>
            </w:pPr>
          </w:p>
        </w:tc>
      </w:tr>
      <w:tr w:rsidR="00CF26C8" w:rsidRPr="00181EF3" w14:paraId="288C8430" w14:textId="77777777" w:rsidTr="001B13EC">
        <w:trPr>
          <w:cantSplit/>
        </w:trPr>
        <w:tc>
          <w:tcPr>
            <w:tcW w:w="851" w:type="dxa"/>
            <w:tcBorders>
              <w:top w:val="single" w:sz="4" w:space="0" w:color="A6A6A6" w:themeColor="background1" w:themeShade="A6"/>
              <w:bottom w:val="single" w:sz="4" w:space="0" w:color="A6A6A6" w:themeColor="background1" w:themeShade="A6"/>
            </w:tcBorders>
          </w:tcPr>
          <w:p w14:paraId="5BBF7AE4" w14:textId="77777777" w:rsidR="00CF26C8" w:rsidRPr="00181EF3" w:rsidRDefault="00CF26C8" w:rsidP="001B13EC">
            <w:pPr>
              <w:pStyle w:val="TableText"/>
              <w:keepNext/>
              <w:spacing w:before="55" w:after="55"/>
            </w:pPr>
            <w:r w:rsidRPr="00181EF3">
              <w:t>1993</w:t>
            </w:r>
          </w:p>
        </w:tc>
        <w:tc>
          <w:tcPr>
            <w:tcW w:w="2835" w:type="dxa"/>
            <w:tcBorders>
              <w:top w:val="single" w:sz="4" w:space="0" w:color="A6A6A6" w:themeColor="background1" w:themeShade="A6"/>
              <w:bottom w:val="single" w:sz="4" w:space="0" w:color="A6A6A6" w:themeColor="background1" w:themeShade="A6"/>
            </w:tcBorders>
          </w:tcPr>
          <w:p w14:paraId="5BDA6820" w14:textId="77777777" w:rsidR="00CF26C8" w:rsidRPr="00181EF3" w:rsidRDefault="00CF26C8" w:rsidP="001B13EC">
            <w:pPr>
              <w:pStyle w:val="TableText"/>
              <w:keepNext/>
              <w:spacing w:before="55" w:after="55"/>
              <w:jc w:val="center"/>
            </w:pPr>
            <w:r w:rsidRPr="00181EF3">
              <w:t>493,310</w:t>
            </w:r>
          </w:p>
        </w:tc>
        <w:tc>
          <w:tcPr>
            <w:tcW w:w="2835" w:type="dxa"/>
            <w:tcBorders>
              <w:top w:val="single" w:sz="4" w:space="0" w:color="A6A6A6" w:themeColor="background1" w:themeShade="A6"/>
              <w:bottom w:val="single" w:sz="4" w:space="0" w:color="A6A6A6" w:themeColor="background1" w:themeShade="A6"/>
            </w:tcBorders>
          </w:tcPr>
          <w:p w14:paraId="64D971A8" w14:textId="77777777" w:rsidR="00CF26C8" w:rsidRPr="00181EF3" w:rsidRDefault="00CF26C8" w:rsidP="001B13EC">
            <w:pPr>
              <w:pStyle w:val="TableText"/>
              <w:keepNext/>
              <w:spacing w:before="55" w:after="55"/>
              <w:jc w:val="center"/>
            </w:pPr>
          </w:p>
        </w:tc>
        <w:tc>
          <w:tcPr>
            <w:tcW w:w="1559" w:type="dxa"/>
            <w:tcBorders>
              <w:top w:val="single" w:sz="4" w:space="0" w:color="A6A6A6" w:themeColor="background1" w:themeShade="A6"/>
              <w:bottom w:val="single" w:sz="4" w:space="0" w:color="A6A6A6" w:themeColor="background1" w:themeShade="A6"/>
            </w:tcBorders>
          </w:tcPr>
          <w:p w14:paraId="04EA38AA" w14:textId="77777777" w:rsidR="00CF26C8" w:rsidRPr="00181EF3" w:rsidRDefault="00CF26C8" w:rsidP="001B13EC">
            <w:pPr>
              <w:pStyle w:val="TableText"/>
              <w:keepNext/>
              <w:spacing w:before="55" w:after="55"/>
              <w:jc w:val="center"/>
            </w:pPr>
          </w:p>
        </w:tc>
      </w:tr>
      <w:tr w:rsidR="00CF26C8" w:rsidRPr="00181EF3" w14:paraId="6E81749A" w14:textId="77777777" w:rsidTr="001B13EC">
        <w:trPr>
          <w:cantSplit/>
        </w:trPr>
        <w:tc>
          <w:tcPr>
            <w:tcW w:w="851" w:type="dxa"/>
            <w:tcBorders>
              <w:top w:val="single" w:sz="4" w:space="0" w:color="A6A6A6" w:themeColor="background1" w:themeShade="A6"/>
              <w:bottom w:val="single" w:sz="4" w:space="0" w:color="A6A6A6" w:themeColor="background1" w:themeShade="A6"/>
            </w:tcBorders>
          </w:tcPr>
          <w:p w14:paraId="31B7E248" w14:textId="77777777" w:rsidR="00CF26C8" w:rsidRPr="00181EF3" w:rsidRDefault="00CF26C8" w:rsidP="001B13EC">
            <w:pPr>
              <w:pStyle w:val="TableText"/>
              <w:keepNext/>
              <w:spacing w:before="55" w:after="55"/>
            </w:pPr>
            <w:r w:rsidRPr="00181EF3">
              <w:t>1994</w:t>
            </w:r>
          </w:p>
        </w:tc>
        <w:tc>
          <w:tcPr>
            <w:tcW w:w="2835" w:type="dxa"/>
            <w:tcBorders>
              <w:top w:val="single" w:sz="4" w:space="0" w:color="A6A6A6" w:themeColor="background1" w:themeShade="A6"/>
              <w:bottom w:val="single" w:sz="4" w:space="0" w:color="A6A6A6" w:themeColor="background1" w:themeShade="A6"/>
            </w:tcBorders>
          </w:tcPr>
          <w:p w14:paraId="7670AA83" w14:textId="77777777" w:rsidR="00CF26C8" w:rsidRPr="00181EF3" w:rsidRDefault="00CF26C8" w:rsidP="001B13EC">
            <w:pPr>
              <w:pStyle w:val="TableText"/>
              <w:keepNext/>
              <w:spacing w:before="55" w:after="55"/>
              <w:jc w:val="center"/>
            </w:pPr>
            <w:r w:rsidRPr="00181EF3">
              <w:t>505,100</w:t>
            </w:r>
          </w:p>
        </w:tc>
        <w:tc>
          <w:tcPr>
            <w:tcW w:w="2835" w:type="dxa"/>
            <w:tcBorders>
              <w:top w:val="single" w:sz="4" w:space="0" w:color="A6A6A6" w:themeColor="background1" w:themeShade="A6"/>
              <w:bottom w:val="single" w:sz="4" w:space="0" w:color="A6A6A6" w:themeColor="background1" w:themeShade="A6"/>
            </w:tcBorders>
          </w:tcPr>
          <w:p w14:paraId="5B4A52EF" w14:textId="77777777" w:rsidR="00CF26C8" w:rsidRPr="00181EF3" w:rsidRDefault="00CF26C8" w:rsidP="001B13EC">
            <w:pPr>
              <w:pStyle w:val="TableText"/>
              <w:keepNext/>
              <w:spacing w:before="55" w:after="55"/>
              <w:jc w:val="center"/>
            </w:pPr>
          </w:p>
        </w:tc>
        <w:tc>
          <w:tcPr>
            <w:tcW w:w="1559" w:type="dxa"/>
            <w:tcBorders>
              <w:top w:val="single" w:sz="4" w:space="0" w:color="A6A6A6" w:themeColor="background1" w:themeShade="A6"/>
              <w:bottom w:val="single" w:sz="4" w:space="0" w:color="A6A6A6" w:themeColor="background1" w:themeShade="A6"/>
            </w:tcBorders>
          </w:tcPr>
          <w:p w14:paraId="4D5C71AA" w14:textId="77777777" w:rsidR="00CF26C8" w:rsidRPr="00181EF3" w:rsidRDefault="00CF26C8" w:rsidP="001B13EC">
            <w:pPr>
              <w:pStyle w:val="TableText"/>
              <w:keepNext/>
              <w:spacing w:before="55" w:after="55"/>
              <w:jc w:val="center"/>
            </w:pPr>
          </w:p>
        </w:tc>
      </w:tr>
      <w:tr w:rsidR="00CF26C8" w:rsidRPr="00181EF3" w14:paraId="234B40C4" w14:textId="77777777" w:rsidTr="001B13EC">
        <w:trPr>
          <w:cantSplit/>
        </w:trPr>
        <w:tc>
          <w:tcPr>
            <w:tcW w:w="851" w:type="dxa"/>
            <w:tcBorders>
              <w:top w:val="single" w:sz="4" w:space="0" w:color="A6A6A6" w:themeColor="background1" w:themeShade="A6"/>
              <w:bottom w:val="single" w:sz="4" w:space="0" w:color="A6A6A6" w:themeColor="background1" w:themeShade="A6"/>
            </w:tcBorders>
          </w:tcPr>
          <w:p w14:paraId="77631CB9" w14:textId="77777777" w:rsidR="00CF26C8" w:rsidRPr="00181EF3" w:rsidRDefault="00CF26C8" w:rsidP="001B13EC">
            <w:pPr>
              <w:pStyle w:val="TableText"/>
              <w:keepNext/>
              <w:spacing w:before="55" w:after="55"/>
            </w:pPr>
            <w:r w:rsidRPr="00181EF3">
              <w:t>1995</w:t>
            </w:r>
          </w:p>
        </w:tc>
        <w:tc>
          <w:tcPr>
            <w:tcW w:w="2835" w:type="dxa"/>
            <w:tcBorders>
              <w:top w:val="single" w:sz="4" w:space="0" w:color="A6A6A6" w:themeColor="background1" w:themeShade="A6"/>
              <w:bottom w:val="single" w:sz="4" w:space="0" w:color="A6A6A6" w:themeColor="background1" w:themeShade="A6"/>
            </w:tcBorders>
          </w:tcPr>
          <w:p w14:paraId="3051CAE3" w14:textId="77777777" w:rsidR="00CF26C8" w:rsidRPr="00181EF3" w:rsidRDefault="00CF26C8" w:rsidP="001B13EC">
            <w:pPr>
              <w:pStyle w:val="TableText"/>
              <w:keepNext/>
              <w:spacing w:before="55" w:after="55"/>
              <w:jc w:val="center"/>
            </w:pPr>
            <w:r w:rsidRPr="00181EF3">
              <w:t>517,360</w:t>
            </w:r>
          </w:p>
        </w:tc>
        <w:tc>
          <w:tcPr>
            <w:tcW w:w="2835" w:type="dxa"/>
            <w:tcBorders>
              <w:top w:val="single" w:sz="4" w:space="0" w:color="A6A6A6" w:themeColor="background1" w:themeShade="A6"/>
              <w:bottom w:val="single" w:sz="4" w:space="0" w:color="A6A6A6" w:themeColor="background1" w:themeShade="A6"/>
            </w:tcBorders>
          </w:tcPr>
          <w:p w14:paraId="4CE12CAC" w14:textId="77777777" w:rsidR="00CF26C8" w:rsidRPr="00181EF3" w:rsidRDefault="00CF26C8" w:rsidP="001B13EC">
            <w:pPr>
              <w:pStyle w:val="TableText"/>
              <w:keepNext/>
              <w:spacing w:before="55" w:after="55"/>
              <w:jc w:val="center"/>
            </w:pPr>
          </w:p>
        </w:tc>
        <w:tc>
          <w:tcPr>
            <w:tcW w:w="1559" w:type="dxa"/>
            <w:tcBorders>
              <w:top w:val="single" w:sz="4" w:space="0" w:color="A6A6A6" w:themeColor="background1" w:themeShade="A6"/>
              <w:bottom w:val="single" w:sz="4" w:space="0" w:color="A6A6A6" w:themeColor="background1" w:themeShade="A6"/>
            </w:tcBorders>
          </w:tcPr>
          <w:p w14:paraId="757BA3E3" w14:textId="77777777" w:rsidR="00CF26C8" w:rsidRPr="00181EF3" w:rsidRDefault="00CF26C8" w:rsidP="001B13EC">
            <w:pPr>
              <w:pStyle w:val="TableText"/>
              <w:keepNext/>
              <w:spacing w:before="55" w:after="55"/>
              <w:jc w:val="center"/>
            </w:pPr>
          </w:p>
        </w:tc>
      </w:tr>
      <w:tr w:rsidR="00CF26C8" w:rsidRPr="00181EF3" w14:paraId="04D86353" w14:textId="77777777" w:rsidTr="001B13EC">
        <w:trPr>
          <w:cantSplit/>
        </w:trPr>
        <w:tc>
          <w:tcPr>
            <w:tcW w:w="851" w:type="dxa"/>
            <w:tcBorders>
              <w:top w:val="single" w:sz="4" w:space="0" w:color="A6A6A6" w:themeColor="background1" w:themeShade="A6"/>
              <w:bottom w:val="single" w:sz="4" w:space="0" w:color="A6A6A6" w:themeColor="background1" w:themeShade="A6"/>
            </w:tcBorders>
          </w:tcPr>
          <w:p w14:paraId="19005814" w14:textId="77777777" w:rsidR="00CF26C8" w:rsidRPr="00181EF3" w:rsidRDefault="00CF26C8" w:rsidP="001B13EC">
            <w:pPr>
              <w:pStyle w:val="TableText"/>
              <w:keepNext/>
              <w:spacing w:before="55" w:after="55"/>
            </w:pPr>
            <w:r w:rsidRPr="00181EF3">
              <w:t>1996</w:t>
            </w:r>
          </w:p>
        </w:tc>
        <w:tc>
          <w:tcPr>
            <w:tcW w:w="2835" w:type="dxa"/>
            <w:tcBorders>
              <w:top w:val="single" w:sz="4" w:space="0" w:color="A6A6A6" w:themeColor="background1" w:themeShade="A6"/>
              <w:bottom w:val="single" w:sz="4" w:space="0" w:color="A6A6A6" w:themeColor="background1" w:themeShade="A6"/>
            </w:tcBorders>
          </w:tcPr>
          <w:p w14:paraId="3D3FA592" w14:textId="77777777" w:rsidR="00CF26C8" w:rsidRPr="00181EF3" w:rsidRDefault="00CF26C8" w:rsidP="001B13EC">
            <w:pPr>
              <w:pStyle w:val="TableText"/>
              <w:keepNext/>
              <w:spacing w:before="55" w:after="55"/>
              <w:jc w:val="center"/>
            </w:pPr>
            <w:r w:rsidRPr="00181EF3">
              <w:t>528,910</w:t>
            </w:r>
          </w:p>
        </w:tc>
        <w:tc>
          <w:tcPr>
            <w:tcW w:w="2835" w:type="dxa"/>
            <w:tcBorders>
              <w:top w:val="single" w:sz="4" w:space="0" w:color="A6A6A6" w:themeColor="background1" w:themeShade="A6"/>
              <w:bottom w:val="single" w:sz="4" w:space="0" w:color="A6A6A6" w:themeColor="background1" w:themeShade="A6"/>
            </w:tcBorders>
          </w:tcPr>
          <w:p w14:paraId="4DBFB59E" w14:textId="77777777" w:rsidR="00CF26C8" w:rsidRPr="00181EF3" w:rsidRDefault="00CF26C8" w:rsidP="001B13EC">
            <w:pPr>
              <w:pStyle w:val="TableText"/>
              <w:keepNext/>
              <w:spacing w:before="55" w:after="55"/>
              <w:jc w:val="center"/>
            </w:pPr>
            <w:r w:rsidRPr="00181EF3">
              <w:t>573,150</w:t>
            </w:r>
          </w:p>
        </w:tc>
        <w:tc>
          <w:tcPr>
            <w:tcW w:w="1559" w:type="dxa"/>
            <w:tcBorders>
              <w:top w:val="single" w:sz="4" w:space="0" w:color="A6A6A6" w:themeColor="background1" w:themeShade="A6"/>
              <w:bottom w:val="single" w:sz="4" w:space="0" w:color="A6A6A6" w:themeColor="background1" w:themeShade="A6"/>
            </w:tcBorders>
          </w:tcPr>
          <w:p w14:paraId="4EA75799" w14:textId="77777777" w:rsidR="00CF26C8" w:rsidRPr="00181EF3" w:rsidRDefault="00CF26C8" w:rsidP="001B13EC">
            <w:pPr>
              <w:pStyle w:val="TableText"/>
              <w:keepNext/>
              <w:spacing w:before="55" w:after="55"/>
              <w:jc w:val="center"/>
            </w:pPr>
            <w:r w:rsidRPr="00181EF3">
              <w:t>+44,240</w:t>
            </w:r>
          </w:p>
        </w:tc>
      </w:tr>
      <w:tr w:rsidR="00CF26C8" w:rsidRPr="00181EF3" w14:paraId="666FEFC1" w14:textId="77777777" w:rsidTr="001B13EC">
        <w:trPr>
          <w:cantSplit/>
        </w:trPr>
        <w:tc>
          <w:tcPr>
            <w:tcW w:w="851" w:type="dxa"/>
            <w:tcBorders>
              <w:top w:val="single" w:sz="4" w:space="0" w:color="A6A6A6" w:themeColor="background1" w:themeShade="A6"/>
              <w:bottom w:val="single" w:sz="4" w:space="0" w:color="A6A6A6" w:themeColor="background1" w:themeShade="A6"/>
            </w:tcBorders>
          </w:tcPr>
          <w:p w14:paraId="7C67195A" w14:textId="77777777" w:rsidR="00CF26C8" w:rsidRPr="00181EF3" w:rsidRDefault="00CF26C8" w:rsidP="001B13EC">
            <w:pPr>
              <w:pStyle w:val="TableText"/>
              <w:keepNext/>
              <w:spacing w:before="55" w:after="55"/>
            </w:pPr>
            <w:r w:rsidRPr="00181EF3">
              <w:t>1997</w:t>
            </w:r>
          </w:p>
        </w:tc>
        <w:tc>
          <w:tcPr>
            <w:tcW w:w="2835" w:type="dxa"/>
            <w:tcBorders>
              <w:top w:val="single" w:sz="4" w:space="0" w:color="A6A6A6" w:themeColor="background1" w:themeShade="A6"/>
              <w:bottom w:val="single" w:sz="4" w:space="0" w:color="A6A6A6" w:themeColor="background1" w:themeShade="A6"/>
            </w:tcBorders>
          </w:tcPr>
          <w:p w14:paraId="1A44865C" w14:textId="77777777" w:rsidR="00CF26C8" w:rsidRPr="00181EF3" w:rsidRDefault="00CF26C8" w:rsidP="001B13EC">
            <w:pPr>
              <w:pStyle w:val="TableText"/>
              <w:keepNext/>
              <w:spacing w:before="55" w:after="55"/>
              <w:jc w:val="center"/>
            </w:pPr>
            <w:r w:rsidRPr="00181EF3">
              <w:t>540,530</w:t>
            </w:r>
          </w:p>
        </w:tc>
        <w:tc>
          <w:tcPr>
            <w:tcW w:w="2835" w:type="dxa"/>
            <w:tcBorders>
              <w:top w:val="single" w:sz="4" w:space="0" w:color="A6A6A6" w:themeColor="background1" w:themeShade="A6"/>
              <w:bottom w:val="single" w:sz="4" w:space="0" w:color="A6A6A6" w:themeColor="background1" w:themeShade="A6"/>
            </w:tcBorders>
          </w:tcPr>
          <w:p w14:paraId="51E34A38" w14:textId="77777777" w:rsidR="00CF26C8" w:rsidRPr="00181EF3" w:rsidRDefault="00CF26C8" w:rsidP="001B13EC">
            <w:pPr>
              <w:pStyle w:val="TableText"/>
              <w:keepNext/>
              <w:spacing w:before="55" w:after="55"/>
              <w:jc w:val="center"/>
            </w:pPr>
            <w:r w:rsidRPr="00181EF3">
              <w:t>577,390</w:t>
            </w:r>
          </w:p>
        </w:tc>
        <w:tc>
          <w:tcPr>
            <w:tcW w:w="1559" w:type="dxa"/>
            <w:tcBorders>
              <w:top w:val="single" w:sz="4" w:space="0" w:color="A6A6A6" w:themeColor="background1" w:themeShade="A6"/>
              <w:bottom w:val="single" w:sz="4" w:space="0" w:color="A6A6A6" w:themeColor="background1" w:themeShade="A6"/>
            </w:tcBorders>
          </w:tcPr>
          <w:p w14:paraId="17A3152C" w14:textId="77777777" w:rsidR="00CF26C8" w:rsidRPr="00181EF3" w:rsidRDefault="00CF26C8" w:rsidP="001B13EC">
            <w:pPr>
              <w:pStyle w:val="TableText"/>
              <w:keepNext/>
              <w:spacing w:before="55" w:after="55"/>
              <w:jc w:val="center"/>
            </w:pPr>
            <w:r w:rsidRPr="00181EF3">
              <w:t>+36,860</w:t>
            </w:r>
          </w:p>
        </w:tc>
      </w:tr>
      <w:tr w:rsidR="00CF26C8" w:rsidRPr="00181EF3" w14:paraId="72AE7005" w14:textId="77777777" w:rsidTr="001B13EC">
        <w:trPr>
          <w:cantSplit/>
        </w:trPr>
        <w:tc>
          <w:tcPr>
            <w:tcW w:w="851" w:type="dxa"/>
            <w:tcBorders>
              <w:top w:val="single" w:sz="4" w:space="0" w:color="A6A6A6" w:themeColor="background1" w:themeShade="A6"/>
              <w:bottom w:val="single" w:sz="4" w:space="0" w:color="A6A6A6" w:themeColor="background1" w:themeShade="A6"/>
            </w:tcBorders>
          </w:tcPr>
          <w:p w14:paraId="6F4DB6D9" w14:textId="77777777" w:rsidR="00CF26C8" w:rsidRPr="00181EF3" w:rsidRDefault="00CF26C8" w:rsidP="001B13EC">
            <w:pPr>
              <w:pStyle w:val="TableText"/>
              <w:keepNext/>
              <w:spacing w:before="55" w:after="55"/>
            </w:pPr>
            <w:r w:rsidRPr="00181EF3">
              <w:t>1998</w:t>
            </w:r>
          </w:p>
        </w:tc>
        <w:tc>
          <w:tcPr>
            <w:tcW w:w="2835" w:type="dxa"/>
            <w:tcBorders>
              <w:top w:val="single" w:sz="4" w:space="0" w:color="A6A6A6" w:themeColor="background1" w:themeShade="A6"/>
              <w:bottom w:val="single" w:sz="4" w:space="0" w:color="A6A6A6" w:themeColor="background1" w:themeShade="A6"/>
            </w:tcBorders>
          </w:tcPr>
          <w:p w14:paraId="136C86B7" w14:textId="77777777" w:rsidR="00CF26C8" w:rsidRPr="00181EF3" w:rsidRDefault="00CF26C8" w:rsidP="001B13EC">
            <w:pPr>
              <w:pStyle w:val="TableText"/>
              <w:keepNext/>
              <w:spacing w:before="55" w:after="55"/>
              <w:jc w:val="center"/>
            </w:pPr>
            <w:r w:rsidRPr="00181EF3">
              <w:t>552,020</w:t>
            </w:r>
          </w:p>
        </w:tc>
        <w:tc>
          <w:tcPr>
            <w:tcW w:w="2835" w:type="dxa"/>
            <w:tcBorders>
              <w:top w:val="single" w:sz="4" w:space="0" w:color="A6A6A6" w:themeColor="background1" w:themeShade="A6"/>
              <w:bottom w:val="single" w:sz="4" w:space="0" w:color="A6A6A6" w:themeColor="background1" w:themeShade="A6"/>
            </w:tcBorders>
          </w:tcPr>
          <w:p w14:paraId="4578D2E7" w14:textId="77777777" w:rsidR="00CF26C8" w:rsidRPr="00181EF3" w:rsidRDefault="00CF26C8" w:rsidP="001B13EC">
            <w:pPr>
              <w:pStyle w:val="TableText"/>
              <w:keepNext/>
              <w:spacing w:before="55" w:after="55"/>
              <w:jc w:val="center"/>
            </w:pPr>
            <w:r w:rsidRPr="00181EF3">
              <w:t>580,310</w:t>
            </w:r>
          </w:p>
        </w:tc>
        <w:tc>
          <w:tcPr>
            <w:tcW w:w="1559" w:type="dxa"/>
            <w:tcBorders>
              <w:top w:val="single" w:sz="4" w:space="0" w:color="A6A6A6" w:themeColor="background1" w:themeShade="A6"/>
              <w:bottom w:val="single" w:sz="4" w:space="0" w:color="A6A6A6" w:themeColor="background1" w:themeShade="A6"/>
            </w:tcBorders>
          </w:tcPr>
          <w:p w14:paraId="473FB924" w14:textId="77777777" w:rsidR="00CF26C8" w:rsidRPr="00181EF3" w:rsidRDefault="00CF26C8" w:rsidP="001B13EC">
            <w:pPr>
              <w:pStyle w:val="TableText"/>
              <w:keepNext/>
              <w:spacing w:before="55" w:after="55"/>
              <w:jc w:val="center"/>
            </w:pPr>
            <w:r w:rsidRPr="00181EF3">
              <w:t>+28,290</w:t>
            </w:r>
          </w:p>
        </w:tc>
      </w:tr>
      <w:tr w:rsidR="00CF26C8" w:rsidRPr="00181EF3" w14:paraId="6C8AE2D5" w14:textId="77777777" w:rsidTr="001B13EC">
        <w:trPr>
          <w:cantSplit/>
        </w:trPr>
        <w:tc>
          <w:tcPr>
            <w:tcW w:w="851" w:type="dxa"/>
            <w:tcBorders>
              <w:top w:val="single" w:sz="4" w:space="0" w:color="A6A6A6" w:themeColor="background1" w:themeShade="A6"/>
              <w:bottom w:val="single" w:sz="4" w:space="0" w:color="A6A6A6" w:themeColor="background1" w:themeShade="A6"/>
            </w:tcBorders>
          </w:tcPr>
          <w:p w14:paraId="290C56C5" w14:textId="77777777" w:rsidR="00CF26C8" w:rsidRPr="00181EF3" w:rsidRDefault="00CF26C8" w:rsidP="001B13EC">
            <w:pPr>
              <w:pStyle w:val="TableText"/>
              <w:keepNext/>
              <w:spacing w:before="55" w:after="55"/>
            </w:pPr>
            <w:r w:rsidRPr="00181EF3">
              <w:t>1999</w:t>
            </w:r>
          </w:p>
        </w:tc>
        <w:tc>
          <w:tcPr>
            <w:tcW w:w="2835" w:type="dxa"/>
            <w:tcBorders>
              <w:top w:val="single" w:sz="4" w:space="0" w:color="A6A6A6" w:themeColor="background1" w:themeShade="A6"/>
              <w:bottom w:val="single" w:sz="4" w:space="0" w:color="A6A6A6" w:themeColor="background1" w:themeShade="A6"/>
            </w:tcBorders>
          </w:tcPr>
          <w:p w14:paraId="59698D38" w14:textId="77777777" w:rsidR="00CF26C8" w:rsidRPr="00181EF3" w:rsidRDefault="00CF26C8" w:rsidP="001B13EC">
            <w:pPr>
              <w:pStyle w:val="TableText"/>
              <w:keepNext/>
              <w:spacing w:before="55" w:after="55"/>
              <w:jc w:val="center"/>
            </w:pPr>
            <w:r w:rsidRPr="00181EF3">
              <w:t>562,810</w:t>
            </w:r>
          </w:p>
        </w:tc>
        <w:tc>
          <w:tcPr>
            <w:tcW w:w="2835" w:type="dxa"/>
            <w:tcBorders>
              <w:top w:val="single" w:sz="4" w:space="0" w:color="A6A6A6" w:themeColor="background1" w:themeShade="A6"/>
              <w:bottom w:val="single" w:sz="4" w:space="0" w:color="A6A6A6" w:themeColor="background1" w:themeShade="A6"/>
            </w:tcBorders>
          </w:tcPr>
          <w:p w14:paraId="415B8C63" w14:textId="77777777" w:rsidR="00CF26C8" w:rsidRPr="00181EF3" w:rsidRDefault="00CF26C8" w:rsidP="001B13EC">
            <w:pPr>
              <w:pStyle w:val="TableText"/>
              <w:keepNext/>
              <w:spacing w:before="55" w:after="55"/>
              <w:jc w:val="center"/>
            </w:pPr>
            <w:r w:rsidRPr="00181EF3">
              <w:t>582,030</w:t>
            </w:r>
          </w:p>
        </w:tc>
        <w:tc>
          <w:tcPr>
            <w:tcW w:w="1559" w:type="dxa"/>
            <w:tcBorders>
              <w:top w:val="single" w:sz="4" w:space="0" w:color="A6A6A6" w:themeColor="background1" w:themeShade="A6"/>
              <w:bottom w:val="single" w:sz="4" w:space="0" w:color="A6A6A6" w:themeColor="background1" w:themeShade="A6"/>
            </w:tcBorders>
          </w:tcPr>
          <w:p w14:paraId="70259325" w14:textId="77777777" w:rsidR="00CF26C8" w:rsidRPr="00181EF3" w:rsidRDefault="00CF26C8" w:rsidP="001B13EC">
            <w:pPr>
              <w:pStyle w:val="TableText"/>
              <w:keepNext/>
              <w:spacing w:before="55" w:after="55"/>
              <w:jc w:val="center"/>
            </w:pPr>
            <w:r w:rsidRPr="00181EF3">
              <w:t>+19,220</w:t>
            </w:r>
          </w:p>
        </w:tc>
      </w:tr>
      <w:tr w:rsidR="00CF26C8" w:rsidRPr="00181EF3" w14:paraId="0C5905B3" w14:textId="77777777" w:rsidTr="001B13EC">
        <w:trPr>
          <w:cantSplit/>
        </w:trPr>
        <w:tc>
          <w:tcPr>
            <w:tcW w:w="851" w:type="dxa"/>
            <w:tcBorders>
              <w:top w:val="single" w:sz="4" w:space="0" w:color="A6A6A6" w:themeColor="background1" w:themeShade="A6"/>
              <w:bottom w:val="single" w:sz="4" w:space="0" w:color="A6A6A6" w:themeColor="background1" w:themeShade="A6"/>
            </w:tcBorders>
          </w:tcPr>
          <w:p w14:paraId="272CF0E7" w14:textId="77777777" w:rsidR="00CF26C8" w:rsidRPr="00181EF3" w:rsidRDefault="00CF26C8" w:rsidP="001B13EC">
            <w:pPr>
              <w:pStyle w:val="TableText"/>
              <w:keepNext/>
              <w:spacing w:before="55" w:after="55"/>
            </w:pPr>
            <w:r w:rsidRPr="00181EF3">
              <w:t>2000</w:t>
            </w:r>
          </w:p>
        </w:tc>
        <w:tc>
          <w:tcPr>
            <w:tcW w:w="2835" w:type="dxa"/>
            <w:tcBorders>
              <w:top w:val="single" w:sz="4" w:space="0" w:color="A6A6A6" w:themeColor="background1" w:themeShade="A6"/>
              <w:bottom w:val="single" w:sz="4" w:space="0" w:color="A6A6A6" w:themeColor="background1" w:themeShade="A6"/>
            </w:tcBorders>
          </w:tcPr>
          <w:p w14:paraId="02229A93" w14:textId="77777777" w:rsidR="00CF26C8" w:rsidRPr="00181EF3" w:rsidRDefault="00CF26C8" w:rsidP="001B13EC">
            <w:pPr>
              <w:pStyle w:val="TableText"/>
              <w:keepNext/>
              <w:spacing w:before="55" w:after="55"/>
              <w:jc w:val="center"/>
            </w:pPr>
            <w:r w:rsidRPr="00181EF3">
              <w:t>573,780</w:t>
            </w:r>
          </w:p>
        </w:tc>
        <w:tc>
          <w:tcPr>
            <w:tcW w:w="2835" w:type="dxa"/>
            <w:tcBorders>
              <w:top w:val="single" w:sz="4" w:space="0" w:color="A6A6A6" w:themeColor="background1" w:themeShade="A6"/>
              <w:bottom w:val="single" w:sz="4" w:space="0" w:color="A6A6A6" w:themeColor="background1" w:themeShade="A6"/>
            </w:tcBorders>
          </w:tcPr>
          <w:p w14:paraId="0490A5EA" w14:textId="77777777" w:rsidR="00CF26C8" w:rsidRPr="00181EF3" w:rsidRDefault="00CF26C8" w:rsidP="001B13EC">
            <w:pPr>
              <w:pStyle w:val="TableText"/>
              <w:keepNext/>
              <w:spacing w:before="55" w:after="55"/>
              <w:jc w:val="center"/>
            </w:pPr>
            <w:r w:rsidRPr="00181EF3">
              <w:t>583,990</w:t>
            </w:r>
          </w:p>
        </w:tc>
        <w:tc>
          <w:tcPr>
            <w:tcW w:w="1559" w:type="dxa"/>
            <w:tcBorders>
              <w:top w:val="single" w:sz="4" w:space="0" w:color="A6A6A6" w:themeColor="background1" w:themeShade="A6"/>
              <w:bottom w:val="single" w:sz="4" w:space="0" w:color="A6A6A6" w:themeColor="background1" w:themeShade="A6"/>
            </w:tcBorders>
          </w:tcPr>
          <w:p w14:paraId="3C39B171" w14:textId="77777777" w:rsidR="00CF26C8" w:rsidRPr="00181EF3" w:rsidRDefault="00CF26C8" w:rsidP="001B13EC">
            <w:pPr>
              <w:pStyle w:val="TableText"/>
              <w:keepNext/>
              <w:spacing w:before="55" w:after="55"/>
              <w:jc w:val="center"/>
            </w:pPr>
            <w:r w:rsidRPr="00181EF3">
              <w:t>+10,210</w:t>
            </w:r>
          </w:p>
        </w:tc>
      </w:tr>
      <w:tr w:rsidR="00CF26C8" w:rsidRPr="00181EF3" w14:paraId="1B0F1C2B" w14:textId="77777777" w:rsidTr="001B13EC">
        <w:trPr>
          <w:cantSplit/>
        </w:trPr>
        <w:tc>
          <w:tcPr>
            <w:tcW w:w="851" w:type="dxa"/>
            <w:tcBorders>
              <w:top w:val="single" w:sz="4" w:space="0" w:color="A6A6A6" w:themeColor="background1" w:themeShade="A6"/>
              <w:bottom w:val="single" w:sz="4" w:space="0" w:color="A6A6A6" w:themeColor="background1" w:themeShade="A6"/>
            </w:tcBorders>
          </w:tcPr>
          <w:p w14:paraId="4E3C5D6C" w14:textId="77777777" w:rsidR="00CF26C8" w:rsidRPr="00181EF3" w:rsidRDefault="00CF26C8" w:rsidP="001B13EC">
            <w:pPr>
              <w:pStyle w:val="TableText"/>
              <w:keepNext/>
              <w:spacing w:before="55" w:after="55"/>
            </w:pPr>
            <w:r w:rsidRPr="00181EF3">
              <w:t>2001</w:t>
            </w:r>
          </w:p>
        </w:tc>
        <w:tc>
          <w:tcPr>
            <w:tcW w:w="2835" w:type="dxa"/>
            <w:tcBorders>
              <w:top w:val="single" w:sz="4" w:space="0" w:color="A6A6A6" w:themeColor="background1" w:themeShade="A6"/>
              <w:bottom w:val="single" w:sz="4" w:space="0" w:color="A6A6A6" w:themeColor="background1" w:themeShade="A6"/>
            </w:tcBorders>
          </w:tcPr>
          <w:p w14:paraId="7CD8D751" w14:textId="77777777" w:rsidR="00CF26C8" w:rsidRPr="00181EF3" w:rsidRDefault="00CF26C8" w:rsidP="001B13EC">
            <w:pPr>
              <w:pStyle w:val="TableText"/>
              <w:keepNext/>
              <w:spacing w:before="55" w:after="55"/>
              <w:jc w:val="center"/>
            </w:pPr>
            <w:r w:rsidRPr="00181EF3">
              <w:t>585,970</w:t>
            </w:r>
          </w:p>
        </w:tc>
        <w:tc>
          <w:tcPr>
            <w:tcW w:w="2835" w:type="dxa"/>
            <w:tcBorders>
              <w:top w:val="single" w:sz="4" w:space="0" w:color="A6A6A6" w:themeColor="background1" w:themeShade="A6"/>
              <w:bottom w:val="single" w:sz="4" w:space="0" w:color="A6A6A6" w:themeColor="background1" w:themeShade="A6"/>
            </w:tcBorders>
          </w:tcPr>
          <w:p w14:paraId="25C92B86" w14:textId="77777777" w:rsidR="00CF26C8" w:rsidRPr="00181EF3" w:rsidRDefault="00CF26C8" w:rsidP="001B13EC">
            <w:pPr>
              <w:pStyle w:val="TableText"/>
              <w:keepNext/>
              <w:spacing w:before="55" w:after="55"/>
              <w:jc w:val="center"/>
            </w:pPr>
            <w:r w:rsidRPr="00181EF3">
              <w:t>585,940</w:t>
            </w:r>
          </w:p>
        </w:tc>
        <w:tc>
          <w:tcPr>
            <w:tcW w:w="1559" w:type="dxa"/>
            <w:tcBorders>
              <w:top w:val="single" w:sz="4" w:space="0" w:color="A6A6A6" w:themeColor="background1" w:themeShade="A6"/>
              <w:bottom w:val="single" w:sz="4" w:space="0" w:color="A6A6A6" w:themeColor="background1" w:themeShade="A6"/>
            </w:tcBorders>
          </w:tcPr>
          <w:p w14:paraId="31977924" w14:textId="77777777" w:rsidR="00CF26C8" w:rsidRPr="00181EF3" w:rsidRDefault="00CF26C8" w:rsidP="001B13EC">
            <w:pPr>
              <w:pStyle w:val="TableText"/>
              <w:keepNext/>
              <w:spacing w:before="55" w:after="55"/>
              <w:jc w:val="center"/>
            </w:pPr>
            <w:r w:rsidRPr="00181EF3">
              <w:t>30</w:t>
            </w:r>
          </w:p>
        </w:tc>
      </w:tr>
      <w:tr w:rsidR="00CF26C8" w:rsidRPr="00181EF3" w14:paraId="62A8C05F" w14:textId="77777777" w:rsidTr="001B13EC">
        <w:trPr>
          <w:cantSplit/>
        </w:trPr>
        <w:tc>
          <w:tcPr>
            <w:tcW w:w="851" w:type="dxa"/>
            <w:tcBorders>
              <w:top w:val="single" w:sz="4" w:space="0" w:color="A6A6A6" w:themeColor="background1" w:themeShade="A6"/>
              <w:bottom w:val="single" w:sz="4" w:space="0" w:color="A6A6A6" w:themeColor="background1" w:themeShade="A6"/>
            </w:tcBorders>
          </w:tcPr>
          <w:p w14:paraId="2DB8590A" w14:textId="77777777" w:rsidR="00CF26C8" w:rsidRPr="00181EF3" w:rsidRDefault="00CF26C8" w:rsidP="001B13EC">
            <w:pPr>
              <w:pStyle w:val="TableText"/>
              <w:keepNext/>
              <w:spacing w:before="55" w:after="55"/>
            </w:pPr>
            <w:r w:rsidRPr="00181EF3">
              <w:t>2002</w:t>
            </w:r>
          </w:p>
        </w:tc>
        <w:tc>
          <w:tcPr>
            <w:tcW w:w="2835" w:type="dxa"/>
            <w:tcBorders>
              <w:top w:val="single" w:sz="4" w:space="0" w:color="A6A6A6" w:themeColor="background1" w:themeShade="A6"/>
              <w:bottom w:val="single" w:sz="4" w:space="0" w:color="A6A6A6" w:themeColor="background1" w:themeShade="A6"/>
            </w:tcBorders>
          </w:tcPr>
          <w:p w14:paraId="143CB00C" w14:textId="77777777" w:rsidR="00CF26C8" w:rsidRPr="00181EF3" w:rsidRDefault="00CF26C8" w:rsidP="001B13EC">
            <w:pPr>
              <w:pStyle w:val="TableText"/>
              <w:keepNext/>
              <w:spacing w:before="55" w:after="55"/>
              <w:jc w:val="center"/>
            </w:pPr>
            <w:r w:rsidRPr="00181EF3">
              <w:t>594,890</w:t>
            </w:r>
          </w:p>
        </w:tc>
        <w:tc>
          <w:tcPr>
            <w:tcW w:w="2835" w:type="dxa"/>
            <w:tcBorders>
              <w:top w:val="single" w:sz="4" w:space="0" w:color="A6A6A6" w:themeColor="background1" w:themeShade="A6"/>
              <w:bottom w:val="single" w:sz="4" w:space="0" w:color="A6A6A6" w:themeColor="background1" w:themeShade="A6"/>
            </w:tcBorders>
          </w:tcPr>
          <w:p w14:paraId="773A86E9" w14:textId="77777777" w:rsidR="00CF26C8" w:rsidRPr="00181EF3" w:rsidRDefault="00CF26C8" w:rsidP="001B13EC">
            <w:pPr>
              <w:pStyle w:val="TableText"/>
              <w:keepNext/>
              <w:spacing w:before="55" w:after="55"/>
              <w:jc w:val="center"/>
            </w:pPr>
            <w:r w:rsidRPr="00181EF3">
              <w:t>594,900</w:t>
            </w:r>
          </w:p>
        </w:tc>
        <w:tc>
          <w:tcPr>
            <w:tcW w:w="1559" w:type="dxa"/>
            <w:tcBorders>
              <w:top w:val="single" w:sz="4" w:space="0" w:color="A6A6A6" w:themeColor="background1" w:themeShade="A6"/>
              <w:bottom w:val="single" w:sz="4" w:space="0" w:color="A6A6A6" w:themeColor="background1" w:themeShade="A6"/>
            </w:tcBorders>
          </w:tcPr>
          <w:p w14:paraId="1B568E96" w14:textId="77777777" w:rsidR="00CF26C8" w:rsidRPr="00181EF3" w:rsidRDefault="00CF26C8" w:rsidP="001B13EC">
            <w:pPr>
              <w:pStyle w:val="TableText"/>
              <w:keepNext/>
              <w:spacing w:before="55" w:after="55"/>
              <w:jc w:val="center"/>
            </w:pPr>
            <w:r w:rsidRPr="00181EF3">
              <w:t>10</w:t>
            </w:r>
          </w:p>
        </w:tc>
      </w:tr>
      <w:tr w:rsidR="00CF26C8" w:rsidRPr="00181EF3" w14:paraId="292D5FFB" w14:textId="77777777" w:rsidTr="001B13EC">
        <w:trPr>
          <w:cantSplit/>
        </w:trPr>
        <w:tc>
          <w:tcPr>
            <w:tcW w:w="851" w:type="dxa"/>
            <w:tcBorders>
              <w:top w:val="single" w:sz="4" w:space="0" w:color="A6A6A6" w:themeColor="background1" w:themeShade="A6"/>
              <w:bottom w:val="single" w:sz="4" w:space="0" w:color="A6A6A6" w:themeColor="background1" w:themeShade="A6"/>
            </w:tcBorders>
          </w:tcPr>
          <w:p w14:paraId="7EE8D8F8" w14:textId="77777777" w:rsidR="00CF26C8" w:rsidRPr="00181EF3" w:rsidRDefault="00CF26C8" w:rsidP="001B13EC">
            <w:pPr>
              <w:pStyle w:val="TableText"/>
              <w:keepNext/>
              <w:spacing w:before="55" w:after="55"/>
            </w:pPr>
            <w:r w:rsidRPr="00181EF3">
              <w:t>2003</w:t>
            </w:r>
          </w:p>
        </w:tc>
        <w:tc>
          <w:tcPr>
            <w:tcW w:w="2835" w:type="dxa"/>
            <w:tcBorders>
              <w:top w:val="single" w:sz="4" w:space="0" w:color="A6A6A6" w:themeColor="background1" w:themeShade="A6"/>
              <w:bottom w:val="single" w:sz="4" w:space="0" w:color="A6A6A6" w:themeColor="background1" w:themeShade="A6"/>
            </w:tcBorders>
          </w:tcPr>
          <w:p w14:paraId="45D8A7D7" w14:textId="77777777" w:rsidR="00CF26C8" w:rsidRPr="00181EF3" w:rsidRDefault="00CF26C8" w:rsidP="001B13EC">
            <w:pPr>
              <w:pStyle w:val="TableText"/>
              <w:keepNext/>
              <w:spacing w:before="55" w:after="55"/>
              <w:jc w:val="center"/>
            </w:pPr>
            <w:r w:rsidRPr="00181EF3">
              <w:t>602,960</w:t>
            </w:r>
          </w:p>
        </w:tc>
        <w:tc>
          <w:tcPr>
            <w:tcW w:w="2835" w:type="dxa"/>
            <w:tcBorders>
              <w:top w:val="single" w:sz="4" w:space="0" w:color="A6A6A6" w:themeColor="background1" w:themeShade="A6"/>
              <w:bottom w:val="single" w:sz="4" w:space="0" w:color="A6A6A6" w:themeColor="background1" w:themeShade="A6"/>
            </w:tcBorders>
          </w:tcPr>
          <w:p w14:paraId="23ABC5CA" w14:textId="77777777" w:rsidR="00CF26C8" w:rsidRPr="00181EF3" w:rsidRDefault="00CF26C8" w:rsidP="001B13EC">
            <w:pPr>
              <w:pStyle w:val="TableText"/>
              <w:keepNext/>
              <w:spacing w:before="55" w:after="55"/>
              <w:jc w:val="center"/>
            </w:pPr>
            <w:r w:rsidRPr="00181EF3">
              <w:t>602,940</w:t>
            </w:r>
          </w:p>
        </w:tc>
        <w:tc>
          <w:tcPr>
            <w:tcW w:w="1559" w:type="dxa"/>
            <w:tcBorders>
              <w:top w:val="single" w:sz="4" w:space="0" w:color="A6A6A6" w:themeColor="background1" w:themeShade="A6"/>
              <w:bottom w:val="single" w:sz="4" w:space="0" w:color="A6A6A6" w:themeColor="background1" w:themeShade="A6"/>
            </w:tcBorders>
          </w:tcPr>
          <w:p w14:paraId="0FCF9254" w14:textId="77777777" w:rsidR="00CF26C8" w:rsidRPr="00181EF3" w:rsidRDefault="00CF26C8" w:rsidP="001B13EC">
            <w:pPr>
              <w:pStyle w:val="TableText"/>
              <w:keepNext/>
              <w:spacing w:before="55" w:after="55"/>
              <w:jc w:val="center"/>
            </w:pPr>
            <w:r w:rsidRPr="00181EF3">
              <w:t>20</w:t>
            </w:r>
          </w:p>
        </w:tc>
      </w:tr>
      <w:tr w:rsidR="00CF26C8" w:rsidRPr="00181EF3" w14:paraId="1A8F1030" w14:textId="77777777" w:rsidTr="001B13EC">
        <w:trPr>
          <w:cantSplit/>
        </w:trPr>
        <w:tc>
          <w:tcPr>
            <w:tcW w:w="851" w:type="dxa"/>
            <w:tcBorders>
              <w:top w:val="single" w:sz="4" w:space="0" w:color="A6A6A6" w:themeColor="background1" w:themeShade="A6"/>
              <w:bottom w:val="single" w:sz="4" w:space="0" w:color="A6A6A6" w:themeColor="background1" w:themeShade="A6"/>
            </w:tcBorders>
          </w:tcPr>
          <w:p w14:paraId="4CC7F441" w14:textId="77777777" w:rsidR="00CF26C8" w:rsidRPr="00181EF3" w:rsidRDefault="00CF26C8" w:rsidP="001B13EC">
            <w:pPr>
              <w:pStyle w:val="TableText"/>
              <w:spacing w:before="55" w:after="55"/>
            </w:pPr>
            <w:r w:rsidRPr="00181EF3">
              <w:t>2004</w:t>
            </w:r>
          </w:p>
        </w:tc>
        <w:tc>
          <w:tcPr>
            <w:tcW w:w="2835" w:type="dxa"/>
            <w:tcBorders>
              <w:top w:val="single" w:sz="4" w:space="0" w:color="A6A6A6" w:themeColor="background1" w:themeShade="A6"/>
              <w:bottom w:val="single" w:sz="4" w:space="0" w:color="A6A6A6" w:themeColor="background1" w:themeShade="A6"/>
            </w:tcBorders>
          </w:tcPr>
          <w:p w14:paraId="2DF233D0" w14:textId="77777777" w:rsidR="00CF26C8" w:rsidRPr="00181EF3" w:rsidRDefault="00CF26C8" w:rsidP="001B13EC">
            <w:pPr>
              <w:pStyle w:val="TableText"/>
              <w:spacing w:before="55" w:after="55"/>
              <w:jc w:val="center"/>
            </w:pPr>
            <w:r w:rsidRPr="00181EF3">
              <w:t>610,600</w:t>
            </w:r>
          </w:p>
        </w:tc>
        <w:tc>
          <w:tcPr>
            <w:tcW w:w="2835" w:type="dxa"/>
            <w:tcBorders>
              <w:top w:val="single" w:sz="4" w:space="0" w:color="A6A6A6" w:themeColor="background1" w:themeShade="A6"/>
              <w:bottom w:val="single" w:sz="4" w:space="0" w:color="A6A6A6" w:themeColor="background1" w:themeShade="A6"/>
            </w:tcBorders>
          </w:tcPr>
          <w:p w14:paraId="3FBA7001" w14:textId="77777777" w:rsidR="00CF26C8" w:rsidRPr="00181EF3" w:rsidRDefault="00CF26C8" w:rsidP="001B13EC">
            <w:pPr>
              <w:pStyle w:val="TableText"/>
              <w:spacing w:before="55" w:after="55"/>
              <w:jc w:val="center"/>
            </w:pPr>
            <w:r w:rsidRPr="00181EF3">
              <w:t>610,670</w:t>
            </w:r>
          </w:p>
        </w:tc>
        <w:tc>
          <w:tcPr>
            <w:tcW w:w="1559" w:type="dxa"/>
            <w:tcBorders>
              <w:top w:val="single" w:sz="4" w:space="0" w:color="A6A6A6" w:themeColor="background1" w:themeShade="A6"/>
              <w:bottom w:val="single" w:sz="4" w:space="0" w:color="A6A6A6" w:themeColor="background1" w:themeShade="A6"/>
            </w:tcBorders>
          </w:tcPr>
          <w:p w14:paraId="6E67AE1A" w14:textId="77777777" w:rsidR="00CF26C8" w:rsidRPr="00181EF3" w:rsidRDefault="00CF26C8" w:rsidP="001B13EC">
            <w:pPr>
              <w:pStyle w:val="TableText"/>
              <w:spacing w:before="55" w:after="55"/>
              <w:jc w:val="center"/>
            </w:pPr>
            <w:r w:rsidRPr="00181EF3">
              <w:t>70</w:t>
            </w:r>
          </w:p>
        </w:tc>
      </w:tr>
      <w:tr w:rsidR="00CF26C8" w:rsidRPr="00181EF3" w14:paraId="21AAFB85" w14:textId="77777777" w:rsidTr="001B13EC">
        <w:trPr>
          <w:cantSplit/>
        </w:trPr>
        <w:tc>
          <w:tcPr>
            <w:tcW w:w="851" w:type="dxa"/>
            <w:tcBorders>
              <w:top w:val="single" w:sz="4" w:space="0" w:color="A6A6A6" w:themeColor="background1" w:themeShade="A6"/>
              <w:bottom w:val="single" w:sz="4" w:space="0" w:color="A6A6A6" w:themeColor="background1" w:themeShade="A6"/>
            </w:tcBorders>
          </w:tcPr>
          <w:p w14:paraId="7D6CB4E9" w14:textId="77777777" w:rsidR="00CF26C8" w:rsidRPr="00181EF3" w:rsidRDefault="00CF26C8" w:rsidP="001B13EC">
            <w:pPr>
              <w:pStyle w:val="TableText"/>
              <w:spacing w:before="55" w:after="55"/>
            </w:pPr>
            <w:r w:rsidRPr="00181EF3">
              <w:t>2005</w:t>
            </w:r>
          </w:p>
        </w:tc>
        <w:tc>
          <w:tcPr>
            <w:tcW w:w="2835" w:type="dxa"/>
            <w:tcBorders>
              <w:top w:val="single" w:sz="4" w:space="0" w:color="A6A6A6" w:themeColor="background1" w:themeShade="A6"/>
              <w:bottom w:val="single" w:sz="4" w:space="0" w:color="A6A6A6" w:themeColor="background1" w:themeShade="A6"/>
            </w:tcBorders>
          </w:tcPr>
          <w:p w14:paraId="4E6546AE" w14:textId="77777777" w:rsidR="00CF26C8" w:rsidRPr="00181EF3" w:rsidRDefault="00CF26C8" w:rsidP="001B13EC">
            <w:pPr>
              <w:pStyle w:val="TableText"/>
              <w:spacing w:before="55" w:after="55"/>
              <w:jc w:val="center"/>
            </w:pPr>
            <w:r w:rsidRPr="00181EF3">
              <w:t>617,590</w:t>
            </w:r>
          </w:p>
        </w:tc>
        <w:tc>
          <w:tcPr>
            <w:tcW w:w="2835" w:type="dxa"/>
            <w:tcBorders>
              <w:top w:val="single" w:sz="4" w:space="0" w:color="A6A6A6" w:themeColor="background1" w:themeShade="A6"/>
              <w:bottom w:val="single" w:sz="4" w:space="0" w:color="A6A6A6" w:themeColor="background1" w:themeShade="A6"/>
            </w:tcBorders>
          </w:tcPr>
          <w:p w14:paraId="1E555AC1" w14:textId="77777777" w:rsidR="00CF26C8" w:rsidRPr="00181EF3" w:rsidRDefault="00CF26C8" w:rsidP="001B13EC">
            <w:pPr>
              <w:pStyle w:val="TableText"/>
              <w:spacing w:before="55" w:after="55"/>
              <w:jc w:val="center"/>
            </w:pPr>
            <w:r w:rsidRPr="00181EF3">
              <w:t>617,560</w:t>
            </w:r>
          </w:p>
        </w:tc>
        <w:tc>
          <w:tcPr>
            <w:tcW w:w="1559" w:type="dxa"/>
            <w:tcBorders>
              <w:top w:val="single" w:sz="4" w:space="0" w:color="A6A6A6" w:themeColor="background1" w:themeShade="A6"/>
              <w:bottom w:val="single" w:sz="4" w:space="0" w:color="A6A6A6" w:themeColor="background1" w:themeShade="A6"/>
            </w:tcBorders>
          </w:tcPr>
          <w:p w14:paraId="4B8753E9" w14:textId="77777777" w:rsidR="00CF26C8" w:rsidRPr="00181EF3" w:rsidRDefault="00CF26C8" w:rsidP="001B13EC">
            <w:pPr>
              <w:pStyle w:val="TableText"/>
              <w:spacing w:before="55" w:after="55"/>
              <w:jc w:val="center"/>
            </w:pPr>
            <w:r w:rsidRPr="00181EF3">
              <w:t>30</w:t>
            </w:r>
          </w:p>
        </w:tc>
      </w:tr>
      <w:tr w:rsidR="00CF26C8" w:rsidRPr="00181EF3" w14:paraId="1D4AF4C8" w14:textId="77777777" w:rsidTr="001B13EC">
        <w:trPr>
          <w:cantSplit/>
        </w:trPr>
        <w:tc>
          <w:tcPr>
            <w:tcW w:w="851" w:type="dxa"/>
            <w:tcBorders>
              <w:top w:val="single" w:sz="4" w:space="0" w:color="A6A6A6" w:themeColor="background1" w:themeShade="A6"/>
              <w:bottom w:val="single" w:sz="4" w:space="0" w:color="A6A6A6" w:themeColor="background1" w:themeShade="A6"/>
            </w:tcBorders>
          </w:tcPr>
          <w:p w14:paraId="377FEA0B" w14:textId="77777777" w:rsidR="00CF26C8" w:rsidRPr="00181EF3" w:rsidRDefault="00CF26C8" w:rsidP="001B13EC">
            <w:pPr>
              <w:pStyle w:val="TableText"/>
              <w:spacing w:before="55" w:after="55"/>
            </w:pPr>
            <w:r w:rsidRPr="00181EF3">
              <w:t>2006</w:t>
            </w:r>
          </w:p>
        </w:tc>
        <w:tc>
          <w:tcPr>
            <w:tcW w:w="2835" w:type="dxa"/>
            <w:tcBorders>
              <w:top w:val="single" w:sz="4" w:space="0" w:color="A6A6A6" w:themeColor="background1" w:themeShade="A6"/>
              <w:bottom w:val="single" w:sz="4" w:space="0" w:color="A6A6A6" w:themeColor="background1" w:themeShade="A6"/>
            </w:tcBorders>
          </w:tcPr>
          <w:p w14:paraId="414281D6" w14:textId="77777777" w:rsidR="00CF26C8" w:rsidRPr="00181EF3" w:rsidRDefault="00CF26C8" w:rsidP="001B13EC">
            <w:pPr>
              <w:pStyle w:val="TableText"/>
              <w:spacing w:before="55" w:after="55"/>
              <w:jc w:val="center"/>
            </w:pPr>
            <w:r w:rsidRPr="00181EF3">
              <w:t>624,290</w:t>
            </w:r>
          </w:p>
        </w:tc>
        <w:tc>
          <w:tcPr>
            <w:tcW w:w="2835" w:type="dxa"/>
            <w:tcBorders>
              <w:top w:val="single" w:sz="4" w:space="0" w:color="A6A6A6" w:themeColor="background1" w:themeShade="A6"/>
              <w:bottom w:val="single" w:sz="4" w:space="0" w:color="A6A6A6" w:themeColor="background1" w:themeShade="A6"/>
            </w:tcBorders>
          </w:tcPr>
          <w:p w14:paraId="2F7BC06A" w14:textId="77777777" w:rsidR="00CF26C8" w:rsidRPr="00181EF3" w:rsidRDefault="00CF26C8" w:rsidP="001B13EC">
            <w:pPr>
              <w:pStyle w:val="TableText"/>
              <w:spacing w:before="55" w:after="55"/>
              <w:jc w:val="center"/>
            </w:pPr>
            <w:r w:rsidRPr="00181EF3">
              <w:t>624,330</w:t>
            </w:r>
          </w:p>
        </w:tc>
        <w:tc>
          <w:tcPr>
            <w:tcW w:w="1559" w:type="dxa"/>
            <w:tcBorders>
              <w:top w:val="single" w:sz="4" w:space="0" w:color="A6A6A6" w:themeColor="background1" w:themeShade="A6"/>
              <w:bottom w:val="single" w:sz="4" w:space="0" w:color="A6A6A6" w:themeColor="background1" w:themeShade="A6"/>
            </w:tcBorders>
          </w:tcPr>
          <w:p w14:paraId="39917BE6" w14:textId="77777777" w:rsidR="00CF26C8" w:rsidRPr="00181EF3" w:rsidRDefault="00CF26C8" w:rsidP="001B13EC">
            <w:pPr>
              <w:pStyle w:val="TableText"/>
              <w:spacing w:before="55" w:after="55"/>
              <w:jc w:val="center"/>
            </w:pPr>
            <w:r w:rsidRPr="00181EF3">
              <w:t>40</w:t>
            </w:r>
          </w:p>
        </w:tc>
      </w:tr>
      <w:tr w:rsidR="00CF26C8" w:rsidRPr="00181EF3" w14:paraId="23D0FC03" w14:textId="77777777" w:rsidTr="001B13EC">
        <w:trPr>
          <w:cantSplit/>
        </w:trPr>
        <w:tc>
          <w:tcPr>
            <w:tcW w:w="851" w:type="dxa"/>
            <w:tcBorders>
              <w:top w:val="single" w:sz="4" w:space="0" w:color="A6A6A6" w:themeColor="background1" w:themeShade="A6"/>
              <w:bottom w:val="single" w:sz="4" w:space="0" w:color="A6A6A6" w:themeColor="background1" w:themeShade="A6"/>
            </w:tcBorders>
          </w:tcPr>
          <w:p w14:paraId="5F9D6868" w14:textId="77777777" w:rsidR="00CF26C8" w:rsidRPr="00181EF3" w:rsidRDefault="00CF26C8" w:rsidP="001B13EC">
            <w:pPr>
              <w:pStyle w:val="TableText"/>
              <w:spacing w:before="55" w:after="55"/>
            </w:pPr>
            <w:r w:rsidRPr="00181EF3">
              <w:t>2007</w:t>
            </w:r>
          </w:p>
        </w:tc>
        <w:tc>
          <w:tcPr>
            <w:tcW w:w="2835" w:type="dxa"/>
            <w:tcBorders>
              <w:top w:val="single" w:sz="4" w:space="0" w:color="A6A6A6" w:themeColor="background1" w:themeShade="A6"/>
              <w:bottom w:val="single" w:sz="4" w:space="0" w:color="A6A6A6" w:themeColor="background1" w:themeShade="A6"/>
            </w:tcBorders>
          </w:tcPr>
          <w:p w14:paraId="34BB501F" w14:textId="77777777" w:rsidR="00CF26C8" w:rsidRPr="00181EF3" w:rsidRDefault="00CF26C8" w:rsidP="001B13EC">
            <w:pPr>
              <w:pStyle w:val="TableText"/>
              <w:spacing w:before="55" w:after="55"/>
              <w:jc w:val="center"/>
            </w:pPr>
            <w:r w:rsidRPr="00181EF3">
              <w:t>634,300</w:t>
            </w:r>
          </w:p>
        </w:tc>
        <w:tc>
          <w:tcPr>
            <w:tcW w:w="2835" w:type="dxa"/>
            <w:tcBorders>
              <w:top w:val="single" w:sz="4" w:space="0" w:color="A6A6A6" w:themeColor="background1" w:themeShade="A6"/>
              <w:bottom w:val="single" w:sz="4" w:space="0" w:color="A6A6A6" w:themeColor="background1" w:themeShade="A6"/>
            </w:tcBorders>
          </w:tcPr>
          <w:p w14:paraId="10FD9626" w14:textId="77777777" w:rsidR="00CF26C8" w:rsidRPr="00181EF3" w:rsidRDefault="00CF26C8" w:rsidP="001B13EC">
            <w:pPr>
              <w:pStyle w:val="TableText"/>
              <w:spacing w:before="55" w:after="55"/>
              <w:jc w:val="center"/>
            </w:pPr>
            <w:r w:rsidRPr="00181EF3">
              <w:t>634,330</w:t>
            </w:r>
          </w:p>
        </w:tc>
        <w:tc>
          <w:tcPr>
            <w:tcW w:w="1559" w:type="dxa"/>
            <w:tcBorders>
              <w:top w:val="single" w:sz="4" w:space="0" w:color="A6A6A6" w:themeColor="background1" w:themeShade="A6"/>
              <w:bottom w:val="single" w:sz="4" w:space="0" w:color="A6A6A6" w:themeColor="background1" w:themeShade="A6"/>
            </w:tcBorders>
          </w:tcPr>
          <w:p w14:paraId="6B75DDF5" w14:textId="77777777" w:rsidR="00CF26C8" w:rsidRPr="00181EF3" w:rsidRDefault="00CF26C8" w:rsidP="001B13EC">
            <w:pPr>
              <w:pStyle w:val="TableText"/>
              <w:spacing w:before="55" w:after="55"/>
              <w:jc w:val="center"/>
            </w:pPr>
            <w:r w:rsidRPr="00181EF3">
              <w:t>30</w:t>
            </w:r>
          </w:p>
        </w:tc>
      </w:tr>
      <w:tr w:rsidR="00CF26C8" w:rsidRPr="00181EF3" w14:paraId="4B4846AE" w14:textId="77777777" w:rsidTr="001B13EC">
        <w:trPr>
          <w:cantSplit/>
        </w:trPr>
        <w:tc>
          <w:tcPr>
            <w:tcW w:w="851" w:type="dxa"/>
            <w:tcBorders>
              <w:top w:val="single" w:sz="4" w:space="0" w:color="A6A6A6" w:themeColor="background1" w:themeShade="A6"/>
              <w:bottom w:val="single" w:sz="4" w:space="0" w:color="A6A6A6" w:themeColor="background1" w:themeShade="A6"/>
            </w:tcBorders>
          </w:tcPr>
          <w:p w14:paraId="2360CA3F" w14:textId="77777777" w:rsidR="00CF26C8" w:rsidRPr="00181EF3" w:rsidRDefault="00CF26C8" w:rsidP="001B13EC">
            <w:pPr>
              <w:pStyle w:val="TableText"/>
              <w:spacing w:before="55" w:after="55"/>
            </w:pPr>
            <w:r w:rsidRPr="00181EF3">
              <w:t>2008</w:t>
            </w:r>
          </w:p>
        </w:tc>
        <w:tc>
          <w:tcPr>
            <w:tcW w:w="2835" w:type="dxa"/>
            <w:tcBorders>
              <w:top w:val="single" w:sz="4" w:space="0" w:color="A6A6A6" w:themeColor="background1" w:themeShade="A6"/>
              <w:bottom w:val="single" w:sz="4" w:space="0" w:color="A6A6A6" w:themeColor="background1" w:themeShade="A6"/>
            </w:tcBorders>
          </w:tcPr>
          <w:p w14:paraId="533B8D7B" w14:textId="77777777" w:rsidR="00CF26C8" w:rsidRPr="00181EF3" w:rsidRDefault="00CF26C8" w:rsidP="001B13EC">
            <w:pPr>
              <w:pStyle w:val="TableText"/>
              <w:spacing w:before="55" w:after="55"/>
              <w:jc w:val="center"/>
            </w:pPr>
            <w:r w:rsidRPr="00181EF3">
              <w:t>644,980</w:t>
            </w:r>
          </w:p>
        </w:tc>
        <w:tc>
          <w:tcPr>
            <w:tcW w:w="2835" w:type="dxa"/>
            <w:tcBorders>
              <w:top w:val="single" w:sz="4" w:space="0" w:color="A6A6A6" w:themeColor="background1" w:themeShade="A6"/>
              <w:bottom w:val="single" w:sz="4" w:space="0" w:color="A6A6A6" w:themeColor="background1" w:themeShade="A6"/>
            </w:tcBorders>
          </w:tcPr>
          <w:p w14:paraId="2EAF832C" w14:textId="77777777" w:rsidR="00CF26C8" w:rsidRPr="00181EF3" w:rsidRDefault="00CF26C8" w:rsidP="001B13EC">
            <w:pPr>
              <w:pStyle w:val="TableText"/>
              <w:spacing w:before="55" w:after="55"/>
              <w:jc w:val="center"/>
            </w:pPr>
            <w:r w:rsidRPr="00181EF3">
              <w:t>644,960</w:t>
            </w:r>
          </w:p>
        </w:tc>
        <w:tc>
          <w:tcPr>
            <w:tcW w:w="1559" w:type="dxa"/>
            <w:tcBorders>
              <w:top w:val="single" w:sz="4" w:space="0" w:color="A6A6A6" w:themeColor="background1" w:themeShade="A6"/>
              <w:bottom w:val="single" w:sz="4" w:space="0" w:color="A6A6A6" w:themeColor="background1" w:themeShade="A6"/>
            </w:tcBorders>
          </w:tcPr>
          <w:p w14:paraId="1E480082" w14:textId="77777777" w:rsidR="00CF26C8" w:rsidRPr="00181EF3" w:rsidRDefault="00CF26C8" w:rsidP="001B13EC">
            <w:pPr>
              <w:pStyle w:val="TableText"/>
              <w:spacing w:before="55" w:after="55"/>
              <w:jc w:val="center"/>
            </w:pPr>
            <w:r w:rsidRPr="00181EF3">
              <w:t>20</w:t>
            </w:r>
          </w:p>
        </w:tc>
      </w:tr>
      <w:tr w:rsidR="00CF26C8" w:rsidRPr="00181EF3" w14:paraId="03A703B6" w14:textId="77777777" w:rsidTr="001B13EC">
        <w:trPr>
          <w:cantSplit/>
        </w:trPr>
        <w:tc>
          <w:tcPr>
            <w:tcW w:w="851" w:type="dxa"/>
            <w:tcBorders>
              <w:top w:val="single" w:sz="4" w:space="0" w:color="A6A6A6" w:themeColor="background1" w:themeShade="A6"/>
              <w:bottom w:val="single" w:sz="4" w:space="0" w:color="A6A6A6" w:themeColor="background1" w:themeShade="A6"/>
            </w:tcBorders>
          </w:tcPr>
          <w:p w14:paraId="2ECC57AE" w14:textId="77777777" w:rsidR="00CF26C8" w:rsidRPr="00181EF3" w:rsidRDefault="00CF26C8" w:rsidP="001B13EC">
            <w:pPr>
              <w:pStyle w:val="TableText"/>
              <w:spacing w:before="55" w:after="55"/>
            </w:pPr>
            <w:r w:rsidRPr="00181EF3">
              <w:t>2009</w:t>
            </w:r>
          </w:p>
        </w:tc>
        <w:tc>
          <w:tcPr>
            <w:tcW w:w="2835" w:type="dxa"/>
            <w:tcBorders>
              <w:top w:val="single" w:sz="4" w:space="0" w:color="A6A6A6" w:themeColor="background1" w:themeShade="A6"/>
              <w:bottom w:val="single" w:sz="4" w:space="0" w:color="A6A6A6" w:themeColor="background1" w:themeShade="A6"/>
            </w:tcBorders>
          </w:tcPr>
          <w:p w14:paraId="704C7936" w14:textId="77777777" w:rsidR="00CF26C8" w:rsidRPr="00181EF3" w:rsidRDefault="00CF26C8" w:rsidP="001B13EC">
            <w:pPr>
              <w:pStyle w:val="TableText"/>
              <w:spacing w:before="55" w:after="55"/>
              <w:jc w:val="center"/>
            </w:pPr>
            <w:r w:rsidRPr="00181EF3">
              <w:t>654,890</w:t>
            </w:r>
          </w:p>
        </w:tc>
        <w:tc>
          <w:tcPr>
            <w:tcW w:w="2835" w:type="dxa"/>
            <w:tcBorders>
              <w:top w:val="single" w:sz="4" w:space="0" w:color="A6A6A6" w:themeColor="background1" w:themeShade="A6"/>
              <w:bottom w:val="single" w:sz="4" w:space="0" w:color="A6A6A6" w:themeColor="background1" w:themeShade="A6"/>
            </w:tcBorders>
          </w:tcPr>
          <w:p w14:paraId="40D30600" w14:textId="77777777" w:rsidR="00CF26C8" w:rsidRPr="00181EF3" w:rsidRDefault="00CF26C8" w:rsidP="001B13EC">
            <w:pPr>
              <w:pStyle w:val="TableText"/>
              <w:spacing w:before="55" w:after="55"/>
              <w:jc w:val="center"/>
            </w:pPr>
            <w:r w:rsidRPr="00181EF3">
              <w:t>654,920</w:t>
            </w:r>
          </w:p>
        </w:tc>
        <w:tc>
          <w:tcPr>
            <w:tcW w:w="1559" w:type="dxa"/>
            <w:tcBorders>
              <w:top w:val="single" w:sz="4" w:space="0" w:color="A6A6A6" w:themeColor="background1" w:themeShade="A6"/>
              <w:bottom w:val="single" w:sz="4" w:space="0" w:color="A6A6A6" w:themeColor="background1" w:themeShade="A6"/>
            </w:tcBorders>
          </w:tcPr>
          <w:p w14:paraId="7A9A11BA" w14:textId="77777777" w:rsidR="00CF26C8" w:rsidRPr="00181EF3" w:rsidRDefault="00CF26C8" w:rsidP="001B13EC">
            <w:pPr>
              <w:pStyle w:val="TableText"/>
              <w:spacing w:before="55" w:after="55"/>
              <w:jc w:val="center"/>
            </w:pPr>
            <w:r w:rsidRPr="00181EF3">
              <w:t>30</w:t>
            </w:r>
          </w:p>
        </w:tc>
      </w:tr>
      <w:tr w:rsidR="00CF26C8" w:rsidRPr="00181EF3" w14:paraId="35E43F5E" w14:textId="77777777" w:rsidTr="001B13EC">
        <w:trPr>
          <w:cantSplit/>
        </w:trPr>
        <w:tc>
          <w:tcPr>
            <w:tcW w:w="851" w:type="dxa"/>
            <w:tcBorders>
              <w:top w:val="single" w:sz="4" w:space="0" w:color="A6A6A6" w:themeColor="background1" w:themeShade="A6"/>
              <w:bottom w:val="single" w:sz="4" w:space="0" w:color="A6A6A6" w:themeColor="background1" w:themeShade="A6"/>
            </w:tcBorders>
          </w:tcPr>
          <w:p w14:paraId="39460967" w14:textId="77777777" w:rsidR="00CF26C8" w:rsidRPr="00181EF3" w:rsidRDefault="00CF26C8" w:rsidP="001B13EC">
            <w:pPr>
              <w:pStyle w:val="TableText"/>
              <w:spacing w:before="55" w:after="55"/>
            </w:pPr>
            <w:r w:rsidRPr="00181EF3">
              <w:t>2010</w:t>
            </w:r>
          </w:p>
        </w:tc>
        <w:tc>
          <w:tcPr>
            <w:tcW w:w="2835" w:type="dxa"/>
            <w:tcBorders>
              <w:top w:val="single" w:sz="4" w:space="0" w:color="A6A6A6" w:themeColor="background1" w:themeShade="A6"/>
              <w:bottom w:val="single" w:sz="4" w:space="0" w:color="A6A6A6" w:themeColor="background1" w:themeShade="A6"/>
            </w:tcBorders>
          </w:tcPr>
          <w:p w14:paraId="4EE3754E" w14:textId="77777777" w:rsidR="00CF26C8" w:rsidRPr="00181EF3" w:rsidRDefault="00CF26C8" w:rsidP="001B13EC">
            <w:pPr>
              <w:pStyle w:val="TableText"/>
              <w:spacing w:before="55" w:after="55"/>
              <w:jc w:val="center"/>
            </w:pPr>
            <w:r w:rsidRPr="00181EF3">
              <w:t>665,890</w:t>
            </w:r>
          </w:p>
        </w:tc>
        <w:tc>
          <w:tcPr>
            <w:tcW w:w="2835" w:type="dxa"/>
            <w:tcBorders>
              <w:top w:val="single" w:sz="4" w:space="0" w:color="A6A6A6" w:themeColor="background1" w:themeShade="A6"/>
              <w:bottom w:val="single" w:sz="4" w:space="0" w:color="A6A6A6" w:themeColor="background1" w:themeShade="A6"/>
            </w:tcBorders>
          </w:tcPr>
          <w:p w14:paraId="071816B8" w14:textId="77777777" w:rsidR="00CF26C8" w:rsidRPr="00181EF3" w:rsidRDefault="00CF26C8" w:rsidP="001B13EC">
            <w:pPr>
              <w:pStyle w:val="TableText"/>
              <w:spacing w:before="55" w:after="55"/>
              <w:jc w:val="center"/>
            </w:pPr>
            <w:r w:rsidRPr="00181EF3">
              <w:t>665,890</w:t>
            </w:r>
          </w:p>
        </w:tc>
        <w:tc>
          <w:tcPr>
            <w:tcW w:w="1559" w:type="dxa"/>
            <w:tcBorders>
              <w:top w:val="single" w:sz="4" w:space="0" w:color="A6A6A6" w:themeColor="background1" w:themeShade="A6"/>
              <w:bottom w:val="single" w:sz="4" w:space="0" w:color="A6A6A6" w:themeColor="background1" w:themeShade="A6"/>
            </w:tcBorders>
          </w:tcPr>
          <w:p w14:paraId="422C3B1A" w14:textId="77777777" w:rsidR="00CF26C8" w:rsidRPr="00181EF3" w:rsidRDefault="00CF26C8" w:rsidP="001B13EC">
            <w:pPr>
              <w:pStyle w:val="TableText"/>
              <w:spacing w:before="55" w:after="55"/>
              <w:jc w:val="center"/>
            </w:pPr>
            <w:r w:rsidRPr="00181EF3">
              <w:t>0</w:t>
            </w:r>
          </w:p>
        </w:tc>
      </w:tr>
      <w:tr w:rsidR="00CF26C8" w:rsidRPr="00181EF3" w14:paraId="4D4A0141" w14:textId="77777777" w:rsidTr="001B13EC">
        <w:trPr>
          <w:cantSplit/>
        </w:trPr>
        <w:tc>
          <w:tcPr>
            <w:tcW w:w="851" w:type="dxa"/>
            <w:tcBorders>
              <w:top w:val="single" w:sz="4" w:space="0" w:color="A6A6A6" w:themeColor="background1" w:themeShade="A6"/>
              <w:bottom w:val="single" w:sz="4" w:space="0" w:color="A6A6A6" w:themeColor="background1" w:themeShade="A6"/>
            </w:tcBorders>
          </w:tcPr>
          <w:p w14:paraId="105FDAB5" w14:textId="77777777" w:rsidR="00CF26C8" w:rsidRPr="00181EF3" w:rsidRDefault="00CF26C8" w:rsidP="001B13EC">
            <w:pPr>
              <w:pStyle w:val="TableText"/>
              <w:spacing w:before="55" w:after="55"/>
            </w:pPr>
            <w:r w:rsidRPr="00181EF3">
              <w:t>2011</w:t>
            </w:r>
          </w:p>
        </w:tc>
        <w:tc>
          <w:tcPr>
            <w:tcW w:w="2835" w:type="dxa"/>
            <w:tcBorders>
              <w:top w:val="single" w:sz="4" w:space="0" w:color="A6A6A6" w:themeColor="background1" w:themeShade="A6"/>
              <w:bottom w:val="single" w:sz="4" w:space="0" w:color="A6A6A6" w:themeColor="background1" w:themeShade="A6"/>
            </w:tcBorders>
          </w:tcPr>
          <w:p w14:paraId="48561843" w14:textId="77777777" w:rsidR="00CF26C8" w:rsidRPr="00181EF3" w:rsidRDefault="00CF26C8" w:rsidP="001B13EC">
            <w:pPr>
              <w:pStyle w:val="TableText"/>
              <w:spacing w:before="55" w:after="55"/>
              <w:jc w:val="center"/>
            </w:pPr>
            <w:r w:rsidRPr="00181EF3">
              <w:t>675,490</w:t>
            </w:r>
          </w:p>
        </w:tc>
        <w:tc>
          <w:tcPr>
            <w:tcW w:w="2835" w:type="dxa"/>
            <w:tcBorders>
              <w:top w:val="single" w:sz="4" w:space="0" w:color="A6A6A6" w:themeColor="background1" w:themeShade="A6"/>
              <w:bottom w:val="single" w:sz="4" w:space="0" w:color="A6A6A6" w:themeColor="background1" w:themeShade="A6"/>
            </w:tcBorders>
          </w:tcPr>
          <w:p w14:paraId="29ED9942" w14:textId="77777777" w:rsidR="00CF26C8" w:rsidRPr="00181EF3" w:rsidRDefault="00CF26C8" w:rsidP="001B13EC">
            <w:pPr>
              <w:pStyle w:val="TableText"/>
              <w:spacing w:before="55" w:after="55"/>
              <w:jc w:val="center"/>
            </w:pPr>
            <w:r w:rsidRPr="00181EF3">
              <w:t>675,520</w:t>
            </w:r>
          </w:p>
        </w:tc>
        <w:tc>
          <w:tcPr>
            <w:tcW w:w="1559" w:type="dxa"/>
            <w:tcBorders>
              <w:top w:val="single" w:sz="4" w:space="0" w:color="A6A6A6" w:themeColor="background1" w:themeShade="A6"/>
              <w:bottom w:val="single" w:sz="4" w:space="0" w:color="A6A6A6" w:themeColor="background1" w:themeShade="A6"/>
            </w:tcBorders>
          </w:tcPr>
          <w:p w14:paraId="1B1D476E" w14:textId="77777777" w:rsidR="00CF26C8" w:rsidRPr="00181EF3" w:rsidRDefault="00CF26C8" w:rsidP="001B13EC">
            <w:pPr>
              <w:pStyle w:val="TableText"/>
              <w:spacing w:before="55" w:after="55"/>
              <w:jc w:val="center"/>
            </w:pPr>
            <w:r w:rsidRPr="00181EF3">
              <w:t>30</w:t>
            </w:r>
          </w:p>
        </w:tc>
      </w:tr>
      <w:tr w:rsidR="00CF26C8" w:rsidRPr="00181EF3" w14:paraId="233CD755" w14:textId="77777777" w:rsidTr="001B13EC">
        <w:trPr>
          <w:cantSplit/>
        </w:trPr>
        <w:tc>
          <w:tcPr>
            <w:tcW w:w="851" w:type="dxa"/>
            <w:tcBorders>
              <w:top w:val="single" w:sz="4" w:space="0" w:color="A6A6A6" w:themeColor="background1" w:themeShade="A6"/>
              <w:bottom w:val="single" w:sz="4" w:space="0" w:color="A6A6A6" w:themeColor="background1" w:themeShade="A6"/>
            </w:tcBorders>
          </w:tcPr>
          <w:p w14:paraId="2B1F0098" w14:textId="77777777" w:rsidR="00CF26C8" w:rsidRPr="00181EF3" w:rsidRDefault="00CF26C8" w:rsidP="001B13EC">
            <w:pPr>
              <w:pStyle w:val="TableText"/>
              <w:spacing w:before="55" w:after="55"/>
            </w:pPr>
            <w:r w:rsidRPr="00181EF3">
              <w:t>2012</w:t>
            </w:r>
          </w:p>
        </w:tc>
        <w:tc>
          <w:tcPr>
            <w:tcW w:w="2835" w:type="dxa"/>
            <w:tcBorders>
              <w:top w:val="single" w:sz="4" w:space="0" w:color="A6A6A6" w:themeColor="background1" w:themeShade="A6"/>
              <w:bottom w:val="single" w:sz="4" w:space="0" w:color="A6A6A6" w:themeColor="background1" w:themeShade="A6"/>
            </w:tcBorders>
          </w:tcPr>
          <w:p w14:paraId="5F6682DC" w14:textId="77777777" w:rsidR="00CF26C8" w:rsidRPr="00181EF3" w:rsidRDefault="00CF26C8" w:rsidP="001B13EC">
            <w:pPr>
              <w:pStyle w:val="TableText"/>
              <w:spacing w:before="55" w:after="55"/>
              <w:jc w:val="center"/>
            </w:pPr>
            <w:r w:rsidRPr="00181EF3">
              <w:t>684,160</w:t>
            </w:r>
          </w:p>
        </w:tc>
        <w:tc>
          <w:tcPr>
            <w:tcW w:w="2835" w:type="dxa"/>
            <w:tcBorders>
              <w:top w:val="single" w:sz="4" w:space="0" w:color="A6A6A6" w:themeColor="background1" w:themeShade="A6"/>
              <w:bottom w:val="single" w:sz="4" w:space="0" w:color="A6A6A6" w:themeColor="background1" w:themeShade="A6"/>
            </w:tcBorders>
          </w:tcPr>
          <w:p w14:paraId="7AB7223C" w14:textId="77777777" w:rsidR="00CF26C8" w:rsidRPr="00181EF3" w:rsidRDefault="00CF26C8" w:rsidP="001B13EC">
            <w:pPr>
              <w:pStyle w:val="TableText"/>
              <w:spacing w:before="55" w:after="55"/>
              <w:jc w:val="center"/>
            </w:pPr>
            <w:r w:rsidRPr="00181EF3">
              <w:t>684,180</w:t>
            </w:r>
          </w:p>
        </w:tc>
        <w:tc>
          <w:tcPr>
            <w:tcW w:w="1559" w:type="dxa"/>
            <w:tcBorders>
              <w:top w:val="single" w:sz="4" w:space="0" w:color="A6A6A6" w:themeColor="background1" w:themeShade="A6"/>
              <w:bottom w:val="single" w:sz="4" w:space="0" w:color="A6A6A6" w:themeColor="background1" w:themeShade="A6"/>
            </w:tcBorders>
          </w:tcPr>
          <w:p w14:paraId="5EA962B6" w14:textId="77777777" w:rsidR="00CF26C8" w:rsidRPr="00181EF3" w:rsidRDefault="00CF26C8" w:rsidP="001B13EC">
            <w:pPr>
              <w:pStyle w:val="TableText"/>
              <w:spacing w:before="55" w:after="55"/>
              <w:jc w:val="center"/>
            </w:pPr>
            <w:r w:rsidRPr="00181EF3">
              <w:t>20</w:t>
            </w:r>
          </w:p>
        </w:tc>
      </w:tr>
      <w:tr w:rsidR="00CF26C8" w:rsidRPr="00181EF3" w14:paraId="7986E609" w14:textId="77777777" w:rsidTr="001B13EC">
        <w:trPr>
          <w:cantSplit/>
        </w:trPr>
        <w:tc>
          <w:tcPr>
            <w:tcW w:w="851" w:type="dxa"/>
            <w:tcBorders>
              <w:top w:val="single" w:sz="4" w:space="0" w:color="A6A6A6" w:themeColor="background1" w:themeShade="A6"/>
              <w:bottom w:val="single" w:sz="4" w:space="0" w:color="A6A6A6" w:themeColor="background1" w:themeShade="A6"/>
            </w:tcBorders>
          </w:tcPr>
          <w:p w14:paraId="701D8AFA" w14:textId="77777777" w:rsidR="00CF26C8" w:rsidRPr="00181EF3" w:rsidRDefault="00CF26C8" w:rsidP="001B13EC">
            <w:pPr>
              <w:pStyle w:val="TableText"/>
              <w:spacing w:before="55" w:after="55"/>
            </w:pPr>
            <w:r w:rsidRPr="00181EF3">
              <w:t>2013</w:t>
            </w:r>
          </w:p>
        </w:tc>
        <w:tc>
          <w:tcPr>
            <w:tcW w:w="2835" w:type="dxa"/>
            <w:tcBorders>
              <w:top w:val="single" w:sz="4" w:space="0" w:color="A6A6A6" w:themeColor="background1" w:themeShade="A6"/>
              <w:bottom w:val="single" w:sz="4" w:space="0" w:color="A6A6A6" w:themeColor="background1" w:themeShade="A6"/>
            </w:tcBorders>
          </w:tcPr>
          <w:p w14:paraId="38699461" w14:textId="77777777" w:rsidR="00CF26C8" w:rsidRPr="00181EF3" w:rsidRDefault="00CF26C8" w:rsidP="001B13EC">
            <w:pPr>
              <w:pStyle w:val="TableText"/>
              <w:spacing w:before="55" w:after="55"/>
              <w:jc w:val="center"/>
            </w:pPr>
            <w:r w:rsidRPr="00181EF3">
              <w:t>692,300</w:t>
            </w:r>
          </w:p>
        </w:tc>
        <w:tc>
          <w:tcPr>
            <w:tcW w:w="2835" w:type="dxa"/>
            <w:tcBorders>
              <w:top w:val="single" w:sz="4" w:space="0" w:color="A6A6A6" w:themeColor="background1" w:themeShade="A6"/>
              <w:bottom w:val="single" w:sz="4" w:space="0" w:color="A6A6A6" w:themeColor="background1" w:themeShade="A6"/>
            </w:tcBorders>
          </w:tcPr>
          <w:p w14:paraId="456E14F2" w14:textId="77777777" w:rsidR="00CF26C8" w:rsidRPr="00181EF3" w:rsidRDefault="00CF26C8" w:rsidP="001B13EC">
            <w:pPr>
              <w:pStyle w:val="TableText"/>
              <w:spacing w:before="55" w:after="55"/>
              <w:jc w:val="center"/>
            </w:pPr>
            <w:r w:rsidRPr="00181EF3">
              <w:t>692,270</w:t>
            </w:r>
          </w:p>
        </w:tc>
        <w:tc>
          <w:tcPr>
            <w:tcW w:w="1559" w:type="dxa"/>
            <w:tcBorders>
              <w:top w:val="single" w:sz="4" w:space="0" w:color="A6A6A6" w:themeColor="background1" w:themeShade="A6"/>
              <w:bottom w:val="single" w:sz="4" w:space="0" w:color="A6A6A6" w:themeColor="background1" w:themeShade="A6"/>
            </w:tcBorders>
          </w:tcPr>
          <w:p w14:paraId="2B265B3C" w14:textId="77777777" w:rsidR="00CF26C8" w:rsidRPr="00181EF3" w:rsidRDefault="00CF26C8" w:rsidP="001B13EC">
            <w:pPr>
              <w:pStyle w:val="TableText"/>
              <w:spacing w:before="55" w:after="55"/>
              <w:jc w:val="center"/>
            </w:pPr>
            <w:r w:rsidRPr="00181EF3">
              <w:t>30</w:t>
            </w:r>
          </w:p>
        </w:tc>
      </w:tr>
      <w:tr w:rsidR="00CF26C8" w:rsidRPr="00181EF3" w14:paraId="59CFB70F" w14:textId="77777777" w:rsidTr="001B13EC">
        <w:trPr>
          <w:cantSplit/>
        </w:trPr>
        <w:tc>
          <w:tcPr>
            <w:tcW w:w="851" w:type="dxa"/>
            <w:tcBorders>
              <w:top w:val="single" w:sz="4" w:space="0" w:color="A6A6A6" w:themeColor="background1" w:themeShade="A6"/>
              <w:bottom w:val="single" w:sz="4" w:space="0" w:color="A6A6A6" w:themeColor="background1" w:themeShade="A6"/>
            </w:tcBorders>
          </w:tcPr>
          <w:p w14:paraId="4733CDEC" w14:textId="77777777" w:rsidR="00CF26C8" w:rsidRPr="00181EF3" w:rsidRDefault="00CF26C8" w:rsidP="001B13EC">
            <w:pPr>
              <w:pStyle w:val="TableText"/>
              <w:spacing w:before="55" w:after="55"/>
            </w:pPr>
            <w:r w:rsidRPr="00181EF3">
              <w:t>2014</w:t>
            </w:r>
          </w:p>
        </w:tc>
        <w:tc>
          <w:tcPr>
            <w:tcW w:w="2835" w:type="dxa"/>
            <w:tcBorders>
              <w:top w:val="single" w:sz="4" w:space="0" w:color="A6A6A6" w:themeColor="background1" w:themeShade="A6"/>
              <w:bottom w:val="single" w:sz="4" w:space="0" w:color="A6A6A6" w:themeColor="background1" w:themeShade="A6"/>
            </w:tcBorders>
          </w:tcPr>
          <w:p w14:paraId="296FAAE1" w14:textId="77777777" w:rsidR="00CF26C8" w:rsidRPr="00181EF3" w:rsidRDefault="00CF26C8" w:rsidP="001B13EC">
            <w:pPr>
              <w:pStyle w:val="TableText"/>
              <w:spacing w:before="55" w:after="55"/>
              <w:jc w:val="center"/>
            </w:pPr>
            <w:r w:rsidRPr="00181EF3">
              <w:t>701,640</w:t>
            </w:r>
          </w:p>
        </w:tc>
        <w:tc>
          <w:tcPr>
            <w:tcW w:w="2835" w:type="dxa"/>
            <w:tcBorders>
              <w:top w:val="single" w:sz="4" w:space="0" w:color="A6A6A6" w:themeColor="background1" w:themeShade="A6"/>
              <w:bottom w:val="single" w:sz="4" w:space="0" w:color="A6A6A6" w:themeColor="background1" w:themeShade="A6"/>
            </w:tcBorders>
          </w:tcPr>
          <w:p w14:paraId="3BFB52E7" w14:textId="77777777" w:rsidR="00CF26C8" w:rsidRPr="00181EF3" w:rsidRDefault="00CF26C8" w:rsidP="001B13EC">
            <w:pPr>
              <w:pStyle w:val="TableText"/>
              <w:spacing w:before="55" w:after="55"/>
              <w:jc w:val="center"/>
            </w:pPr>
          </w:p>
        </w:tc>
        <w:tc>
          <w:tcPr>
            <w:tcW w:w="1559" w:type="dxa"/>
            <w:tcBorders>
              <w:top w:val="single" w:sz="4" w:space="0" w:color="A6A6A6" w:themeColor="background1" w:themeShade="A6"/>
              <w:bottom w:val="single" w:sz="4" w:space="0" w:color="A6A6A6" w:themeColor="background1" w:themeShade="A6"/>
            </w:tcBorders>
          </w:tcPr>
          <w:p w14:paraId="33A8479A" w14:textId="77777777" w:rsidR="00CF26C8" w:rsidRPr="00181EF3" w:rsidRDefault="00CF26C8" w:rsidP="001B13EC">
            <w:pPr>
              <w:pStyle w:val="TableText"/>
              <w:spacing w:before="55" w:after="55"/>
              <w:jc w:val="center"/>
            </w:pPr>
          </w:p>
        </w:tc>
      </w:tr>
      <w:tr w:rsidR="00CF26C8" w:rsidRPr="00181EF3" w14:paraId="2ECBA03D" w14:textId="77777777" w:rsidTr="001B13EC">
        <w:trPr>
          <w:cantSplit/>
        </w:trPr>
        <w:tc>
          <w:tcPr>
            <w:tcW w:w="851" w:type="dxa"/>
            <w:tcBorders>
              <w:top w:val="single" w:sz="4" w:space="0" w:color="A6A6A6" w:themeColor="background1" w:themeShade="A6"/>
              <w:bottom w:val="single" w:sz="4" w:space="0" w:color="A6A6A6" w:themeColor="background1" w:themeShade="A6"/>
            </w:tcBorders>
          </w:tcPr>
          <w:p w14:paraId="10AEABAB" w14:textId="77777777" w:rsidR="00CF26C8" w:rsidRPr="00181EF3" w:rsidRDefault="00CF26C8" w:rsidP="001B13EC">
            <w:pPr>
              <w:pStyle w:val="TableText"/>
              <w:spacing w:before="55" w:after="55"/>
            </w:pPr>
            <w:r w:rsidRPr="00181EF3">
              <w:t>2015</w:t>
            </w:r>
          </w:p>
        </w:tc>
        <w:tc>
          <w:tcPr>
            <w:tcW w:w="2835" w:type="dxa"/>
            <w:tcBorders>
              <w:top w:val="single" w:sz="4" w:space="0" w:color="A6A6A6" w:themeColor="background1" w:themeShade="A6"/>
              <w:bottom w:val="single" w:sz="4" w:space="0" w:color="A6A6A6" w:themeColor="background1" w:themeShade="A6"/>
            </w:tcBorders>
          </w:tcPr>
          <w:p w14:paraId="17FC8435" w14:textId="77777777" w:rsidR="00CF26C8" w:rsidRPr="00181EF3" w:rsidRDefault="00CF26C8" w:rsidP="001B13EC">
            <w:pPr>
              <w:pStyle w:val="TableText"/>
              <w:spacing w:before="55" w:after="55"/>
              <w:jc w:val="center"/>
            </w:pPr>
            <w:r w:rsidRPr="00181EF3">
              <w:t>712,210</w:t>
            </w:r>
          </w:p>
        </w:tc>
        <w:tc>
          <w:tcPr>
            <w:tcW w:w="2835" w:type="dxa"/>
            <w:tcBorders>
              <w:top w:val="single" w:sz="4" w:space="0" w:color="A6A6A6" w:themeColor="background1" w:themeShade="A6"/>
              <w:bottom w:val="single" w:sz="4" w:space="0" w:color="A6A6A6" w:themeColor="background1" w:themeShade="A6"/>
            </w:tcBorders>
          </w:tcPr>
          <w:p w14:paraId="4D68AADD" w14:textId="77777777" w:rsidR="00CF26C8" w:rsidRPr="00181EF3" w:rsidRDefault="00CF26C8" w:rsidP="001B13EC">
            <w:pPr>
              <w:pStyle w:val="TableText"/>
              <w:spacing w:before="55" w:after="55"/>
              <w:jc w:val="center"/>
            </w:pPr>
          </w:p>
        </w:tc>
        <w:tc>
          <w:tcPr>
            <w:tcW w:w="1559" w:type="dxa"/>
            <w:tcBorders>
              <w:top w:val="single" w:sz="4" w:space="0" w:color="A6A6A6" w:themeColor="background1" w:themeShade="A6"/>
              <w:bottom w:val="single" w:sz="4" w:space="0" w:color="A6A6A6" w:themeColor="background1" w:themeShade="A6"/>
            </w:tcBorders>
          </w:tcPr>
          <w:p w14:paraId="436FB04F" w14:textId="77777777" w:rsidR="00CF26C8" w:rsidRPr="00181EF3" w:rsidRDefault="00CF26C8" w:rsidP="001B13EC">
            <w:pPr>
              <w:pStyle w:val="TableText"/>
              <w:spacing w:before="55" w:after="55"/>
              <w:jc w:val="center"/>
            </w:pPr>
          </w:p>
        </w:tc>
      </w:tr>
      <w:tr w:rsidR="00CF26C8" w:rsidRPr="00181EF3" w14:paraId="3FF7E123" w14:textId="77777777" w:rsidTr="001B13EC">
        <w:trPr>
          <w:cantSplit/>
        </w:trPr>
        <w:tc>
          <w:tcPr>
            <w:tcW w:w="851" w:type="dxa"/>
            <w:tcBorders>
              <w:top w:val="single" w:sz="4" w:space="0" w:color="A6A6A6" w:themeColor="background1" w:themeShade="A6"/>
              <w:bottom w:val="single" w:sz="4" w:space="0" w:color="A6A6A6" w:themeColor="background1" w:themeShade="A6"/>
            </w:tcBorders>
          </w:tcPr>
          <w:p w14:paraId="54CF2052" w14:textId="77777777" w:rsidR="00CF26C8" w:rsidRPr="00181EF3" w:rsidRDefault="00CF26C8" w:rsidP="001B13EC">
            <w:pPr>
              <w:pStyle w:val="TableText"/>
              <w:spacing w:before="55" w:after="55"/>
            </w:pPr>
            <w:r w:rsidRPr="00181EF3">
              <w:t>2016</w:t>
            </w:r>
          </w:p>
        </w:tc>
        <w:tc>
          <w:tcPr>
            <w:tcW w:w="2835" w:type="dxa"/>
            <w:tcBorders>
              <w:top w:val="single" w:sz="4" w:space="0" w:color="A6A6A6" w:themeColor="background1" w:themeShade="A6"/>
              <w:bottom w:val="single" w:sz="4" w:space="0" w:color="A6A6A6" w:themeColor="background1" w:themeShade="A6"/>
            </w:tcBorders>
          </w:tcPr>
          <w:p w14:paraId="2917D3AA" w14:textId="77777777" w:rsidR="00CF26C8" w:rsidRPr="00181EF3" w:rsidRDefault="00CF26C8" w:rsidP="001B13EC">
            <w:pPr>
              <w:pStyle w:val="TableText"/>
              <w:spacing w:before="55" w:after="55"/>
              <w:jc w:val="center"/>
            </w:pPr>
            <w:r w:rsidRPr="00181EF3">
              <w:t>723,410</w:t>
            </w:r>
          </w:p>
        </w:tc>
        <w:tc>
          <w:tcPr>
            <w:tcW w:w="2835" w:type="dxa"/>
            <w:tcBorders>
              <w:top w:val="single" w:sz="4" w:space="0" w:color="A6A6A6" w:themeColor="background1" w:themeShade="A6"/>
              <w:bottom w:val="single" w:sz="4" w:space="0" w:color="A6A6A6" w:themeColor="background1" w:themeShade="A6"/>
            </w:tcBorders>
          </w:tcPr>
          <w:p w14:paraId="121FED7D" w14:textId="77777777" w:rsidR="00CF26C8" w:rsidRPr="00181EF3" w:rsidRDefault="00CF26C8" w:rsidP="001B13EC">
            <w:pPr>
              <w:pStyle w:val="TableText"/>
              <w:spacing w:before="55" w:after="55"/>
              <w:jc w:val="center"/>
            </w:pPr>
          </w:p>
        </w:tc>
        <w:tc>
          <w:tcPr>
            <w:tcW w:w="1559" w:type="dxa"/>
            <w:tcBorders>
              <w:top w:val="single" w:sz="4" w:space="0" w:color="A6A6A6" w:themeColor="background1" w:themeShade="A6"/>
              <w:bottom w:val="single" w:sz="4" w:space="0" w:color="A6A6A6" w:themeColor="background1" w:themeShade="A6"/>
            </w:tcBorders>
          </w:tcPr>
          <w:p w14:paraId="6DE687E2" w14:textId="77777777" w:rsidR="00CF26C8" w:rsidRPr="00181EF3" w:rsidRDefault="00CF26C8" w:rsidP="001B13EC">
            <w:pPr>
              <w:pStyle w:val="TableText"/>
              <w:spacing w:before="55" w:after="55"/>
              <w:jc w:val="center"/>
            </w:pPr>
          </w:p>
        </w:tc>
      </w:tr>
      <w:tr w:rsidR="00CF26C8" w:rsidRPr="00181EF3" w14:paraId="3FEF6C27" w14:textId="77777777" w:rsidTr="001B13EC">
        <w:trPr>
          <w:cantSplit/>
        </w:trPr>
        <w:tc>
          <w:tcPr>
            <w:tcW w:w="851" w:type="dxa"/>
            <w:tcBorders>
              <w:top w:val="single" w:sz="4" w:space="0" w:color="A6A6A6" w:themeColor="background1" w:themeShade="A6"/>
              <w:bottom w:val="single" w:sz="4" w:space="0" w:color="A6A6A6" w:themeColor="background1" w:themeShade="A6"/>
            </w:tcBorders>
          </w:tcPr>
          <w:p w14:paraId="2384D542" w14:textId="77777777" w:rsidR="00CF26C8" w:rsidRPr="00181EF3" w:rsidRDefault="00CF26C8" w:rsidP="001B13EC">
            <w:pPr>
              <w:pStyle w:val="TableText"/>
              <w:spacing w:before="55" w:after="55"/>
            </w:pPr>
            <w:r w:rsidRPr="00181EF3">
              <w:t>2017</w:t>
            </w:r>
          </w:p>
        </w:tc>
        <w:tc>
          <w:tcPr>
            <w:tcW w:w="2835" w:type="dxa"/>
            <w:tcBorders>
              <w:top w:val="single" w:sz="4" w:space="0" w:color="A6A6A6" w:themeColor="background1" w:themeShade="A6"/>
              <w:bottom w:val="single" w:sz="4" w:space="0" w:color="A6A6A6" w:themeColor="background1" w:themeShade="A6"/>
            </w:tcBorders>
          </w:tcPr>
          <w:p w14:paraId="39F5FAC7" w14:textId="77777777" w:rsidR="00CF26C8" w:rsidRPr="00181EF3" w:rsidRDefault="00CF26C8" w:rsidP="001B13EC">
            <w:pPr>
              <w:pStyle w:val="TableText"/>
              <w:spacing w:before="55" w:after="55"/>
              <w:jc w:val="center"/>
            </w:pPr>
            <w:r w:rsidRPr="00181EF3">
              <w:t>734,270</w:t>
            </w:r>
          </w:p>
        </w:tc>
        <w:tc>
          <w:tcPr>
            <w:tcW w:w="2835" w:type="dxa"/>
            <w:tcBorders>
              <w:top w:val="single" w:sz="4" w:space="0" w:color="A6A6A6" w:themeColor="background1" w:themeShade="A6"/>
              <w:bottom w:val="single" w:sz="4" w:space="0" w:color="A6A6A6" w:themeColor="background1" w:themeShade="A6"/>
            </w:tcBorders>
          </w:tcPr>
          <w:p w14:paraId="2CA267CE" w14:textId="77777777" w:rsidR="00CF26C8" w:rsidRPr="00181EF3" w:rsidRDefault="00CF26C8" w:rsidP="001B13EC">
            <w:pPr>
              <w:pStyle w:val="TableText"/>
              <w:spacing w:before="55" w:after="55"/>
              <w:jc w:val="center"/>
            </w:pPr>
          </w:p>
        </w:tc>
        <w:tc>
          <w:tcPr>
            <w:tcW w:w="1559" w:type="dxa"/>
            <w:tcBorders>
              <w:top w:val="single" w:sz="4" w:space="0" w:color="A6A6A6" w:themeColor="background1" w:themeShade="A6"/>
              <w:bottom w:val="single" w:sz="4" w:space="0" w:color="A6A6A6" w:themeColor="background1" w:themeShade="A6"/>
            </w:tcBorders>
          </w:tcPr>
          <w:p w14:paraId="6D75168F" w14:textId="77777777" w:rsidR="00CF26C8" w:rsidRPr="00181EF3" w:rsidRDefault="00CF26C8" w:rsidP="001B13EC">
            <w:pPr>
              <w:pStyle w:val="TableText"/>
              <w:spacing w:before="55" w:after="55"/>
              <w:jc w:val="center"/>
            </w:pPr>
          </w:p>
        </w:tc>
      </w:tr>
    </w:tbl>
    <w:p w14:paraId="5F14E5EA" w14:textId="0C7EC387" w:rsidR="00CF26C8" w:rsidRPr="00181EF3" w:rsidRDefault="00CF26C8" w:rsidP="00CF26C8">
      <w:pPr>
        <w:pStyle w:val="Source"/>
      </w:pPr>
      <w:r w:rsidRPr="00181EF3">
        <w:t xml:space="preserve">Source: </w:t>
      </w:r>
      <w:r w:rsidR="008F0248">
        <w:t>Stats NZ</w:t>
      </w:r>
      <w:r w:rsidRPr="00181EF3">
        <w:t>, Wellington.</w:t>
      </w:r>
    </w:p>
    <w:p w14:paraId="3FC5225E" w14:textId="77777777" w:rsidR="00CF26C8" w:rsidRPr="00181EF3" w:rsidRDefault="00CF26C8" w:rsidP="00CF26C8"/>
    <w:p w14:paraId="08C43A42" w14:textId="77777777" w:rsidR="00CF26C8" w:rsidRPr="00181EF3" w:rsidRDefault="00CF26C8" w:rsidP="00CF26C8">
      <w:r w:rsidRPr="00181EF3">
        <w:t>Table A</w:t>
      </w:r>
      <w:r>
        <w:t>1</w:t>
      </w:r>
      <w:r w:rsidRPr="00181EF3">
        <w:t>.1 shows that estimates for the Māori population differ in the two population estimates, particularly in the years 1996 to 2000. This is because of National Māori Population Estimates ignore results from the 1996 Census whereas DHB Population Estimates do not. From 2001 to 2013 there is very little difference between the estimates. Analysis using either population estimates between 2001 and 2013 will produce very similar results. The differences between 2001 and 2013 are due to rounding which is a procedure designed to protect the confidentiality of individuals.</w:t>
      </w:r>
    </w:p>
    <w:p w14:paraId="6AFB9BBD" w14:textId="77777777" w:rsidR="00CF26C8" w:rsidRPr="00181EF3" w:rsidRDefault="00CF26C8" w:rsidP="00CF26C8"/>
    <w:p w14:paraId="5192907A" w14:textId="77777777" w:rsidR="00CF26C8" w:rsidRPr="00181EF3" w:rsidRDefault="00CF26C8" w:rsidP="00CF26C8">
      <w:pPr>
        <w:pStyle w:val="Heading3"/>
      </w:pPr>
      <w:bookmarkStart w:id="570" w:name="_Toc19102517"/>
      <w:r w:rsidRPr="00181EF3">
        <w:lastRenderedPageBreak/>
        <w:t>Recommendation</w:t>
      </w:r>
      <w:bookmarkEnd w:id="570"/>
    </w:p>
    <w:p w14:paraId="7EBD8B08" w14:textId="60944E79" w:rsidR="00CF26C8" w:rsidRPr="00181EF3" w:rsidRDefault="00CF26C8" w:rsidP="00CF26C8">
      <w:r w:rsidRPr="00181EF3">
        <w:t xml:space="preserve">The Ministry of Health recommends </w:t>
      </w:r>
      <w:r w:rsidRPr="00181EF3">
        <w:rPr>
          <w:b/>
        </w:rPr>
        <w:t xml:space="preserve">that Māori compared </w:t>
      </w:r>
      <w:r w:rsidR="00074A01">
        <w:rPr>
          <w:b/>
        </w:rPr>
        <w:t>with</w:t>
      </w:r>
      <w:r w:rsidR="00074A01" w:rsidRPr="00181EF3">
        <w:rPr>
          <w:b/>
        </w:rPr>
        <w:t xml:space="preserve"> </w:t>
      </w:r>
      <w:r w:rsidR="00EC03A3">
        <w:rPr>
          <w:b/>
        </w:rPr>
        <w:t>non</w:t>
      </w:r>
      <w:r w:rsidR="00EC03A3">
        <w:rPr>
          <w:b/>
        </w:rPr>
        <w:noBreakHyphen/>
        <w:t>M</w:t>
      </w:r>
      <w:r w:rsidRPr="00181EF3">
        <w:rPr>
          <w:b/>
        </w:rPr>
        <w:t xml:space="preserve">āori </w:t>
      </w:r>
      <w:r w:rsidR="00EC03A3">
        <w:rPr>
          <w:b/>
        </w:rPr>
        <w:t>non</w:t>
      </w:r>
      <w:r w:rsidR="00EC03A3">
        <w:rPr>
          <w:b/>
        </w:rPr>
        <w:noBreakHyphen/>
        <w:t>P</w:t>
      </w:r>
      <w:r w:rsidRPr="00181EF3">
        <w:rPr>
          <w:b/>
        </w:rPr>
        <w:t>acific analysis is only prepared for the period 2001 to 2013</w:t>
      </w:r>
      <w:r w:rsidRPr="00181EF3">
        <w:t>.</w:t>
      </w:r>
    </w:p>
    <w:p w14:paraId="488BB5A1" w14:textId="77777777" w:rsidR="00CF26C8" w:rsidRPr="00181EF3" w:rsidRDefault="00CF26C8" w:rsidP="00CF26C8"/>
    <w:p w14:paraId="32C3C7EB" w14:textId="77777777" w:rsidR="00CF26C8" w:rsidRPr="00181EF3" w:rsidRDefault="00CF26C8" w:rsidP="00CF26C8">
      <w:r w:rsidRPr="00181EF3">
        <w:t>Because:</w:t>
      </w:r>
    </w:p>
    <w:p w14:paraId="1BD94177" w14:textId="77777777" w:rsidR="00CF26C8" w:rsidRPr="00181EF3" w:rsidRDefault="00CF26C8" w:rsidP="00CF26C8">
      <w:pPr>
        <w:pStyle w:val="Bullet"/>
      </w:pPr>
      <w:r w:rsidRPr="00181EF3">
        <w:t>it is good practice to use the same dataset when analysing different populations</w:t>
      </w:r>
    </w:p>
    <w:p w14:paraId="78B12375" w14:textId="77777777" w:rsidR="00CF26C8" w:rsidRPr="00181EF3" w:rsidRDefault="00CF26C8" w:rsidP="00CF26C8">
      <w:pPr>
        <w:pStyle w:val="Bullet"/>
      </w:pPr>
      <w:r w:rsidRPr="00181EF3">
        <w:t>National Māori Population Estimates are the preferred estimates to measure the Māori population</w:t>
      </w:r>
    </w:p>
    <w:p w14:paraId="3EAA264E" w14:textId="77777777" w:rsidR="00CF26C8" w:rsidRPr="00181EF3" w:rsidRDefault="00CF26C8" w:rsidP="00CF26C8">
      <w:pPr>
        <w:pStyle w:val="Bullet"/>
      </w:pPr>
      <w:r w:rsidRPr="00181EF3">
        <w:t>the 1996 Census is believed to overestimate the Māori population</w:t>
      </w:r>
    </w:p>
    <w:p w14:paraId="208C6045" w14:textId="77777777" w:rsidR="00CF26C8" w:rsidRPr="00181EF3" w:rsidRDefault="00CF26C8" w:rsidP="00CF26C8">
      <w:pPr>
        <w:pStyle w:val="Bullet"/>
      </w:pPr>
      <w:r w:rsidRPr="00181EF3">
        <w:t>DHB Population Estimates between 1996 and 2000 are derived from the 1996 Census, and</w:t>
      </w:r>
    </w:p>
    <w:p w14:paraId="4455FA0D" w14:textId="77777777" w:rsidR="00CF26C8" w:rsidRDefault="00CF26C8" w:rsidP="00CF26C8">
      <w:pPr>
        <w:pStyle w:val="Bullet"/>
      </w:pPr>
      <w:r w:rsidRPr="00181EF3">
        <w:t>DHB Population Estimates have only been prepared for the period 1996 to 2013.</w:t>
      </w:r>
    </w:p>
    <w:p w14:paraId="4042B08D" w14:textId="77777777" w:rsidR="00AD0312" w:rsidRPr="00181EF3" w:rsidRDefault="00AD0312" w:rsidP="00AD0312"/>
    <w:p w14:paraId="3166AD66" w14:textId="77777777" w:rsidR="004A7F24" w:rsidRDefault="004A7F24" w:rsidP="006E429F">
      <w:pPr>
        <w:pStyle w:val="Heading2"/>
        <w:pageBreakBefore/>
        <w:spacing w:before="0"/>
      </w:pPr>
      <w:bookmarkStart w:id="571" w:name="_Toc19102518"/>
      <w:r w:rsidRPr="00751C9C">
        <w:lastRenderedPageBreak/>
        <w:t xml:space="preserve">Appendix 2: </w:t>
      </w:r>
      <w:bookmarkEnd w:id="565"/>
      <w:bookmarkEnd w:id="566"/>
      <w:bookmarkEnd w:id="567"/>
      <w:r w:rsidR="001B13EC">
        <w:t>ICD codes</w:t>
      </w:r>
      <w:bookmarkEnd w:id="571"/>
    </w:p>
    <w:p w14:paraId="4B16F261" w14:textId="77777777" w:rsidR="001B13EC" w:rsidRPr="00181EF3" w:rsidRDefault="001B13EC" w:rsidP="001B13EC">
      <w:pPr>
        <w:pStyle w:val="Table"/>
        <w:rPr>
          <w:i/>
        </w:rPr>
      </w:pPr>
      <w:bookmarkStart w:id="572" w:name="_Toc18594794"/>
      <w:r w:rsidRPr="00181EF3">
        <w:t>Table A</w:t>
      </w:r>
      <w:r w:rsidR="00E24433">
        <w:t>2</w:t>
      </w:r>
      <w:r w:rsidRPr="00181EF3">
        <w:t xml:space="preserve">.1: Amenable mortality codes – 2012 version, codes as defined in </w:t>
      </w:r>
      <w:r w:rsidRPr="00181EF3">
        <w:rPr>
          <w:i/>
        </w:rPr>
        <w:t>Saving Lives: Amenable mortality in New Zealand, 1996–2006</w:t>
      </w:r>
      <w:bookmarkEnd w:id="572"/>
    </w:p>
    <w:tbl>
      <w:tblPr>
        <w:tblW w:w="8080" w:type="dxa"/>
        <w:tblInd w:w="57" w:type="dxa"/>
        <w:tblLayout w:type="fixed"/>
        <w:tblCellMar>
          <w:left w:w="57" w:type="dxa"/>
          <w:right w:w="57" w:type="dxa"/>
        </w:tblCellMar>
        <w:tblLook w:val="04A0" w:firstRow="1" w:lastRow="0" w:firstColumn="1" w:lastColumn="0" w:noHBand="0" w:noVBand="1"/>
      </w:tblPr>
      <w:tblGrid>
        <w:gridCol w:w="993"/>
        <w:gridCol w:w="1842"/>
        <w:gridCol w:w="1984"/>
        <w:gridCol w:w="1985"/>
        <w:gridCol w:w="1276"/>
      </w:tblGrid>
      <w:tr w:rsidR="001B13EC" w:rsidRPr="00181EF3" w14:paraId="66B2A7C1" w14:textId="77777777" w:rsidTr="001B13EC">
        <w:trPr>
          <w:cantSplit/>
          <w:tblHeader/>
        </w:trPr>
        <w:tc>
          <w:tcPr>
            <w:tcW w:w="993" w:type="dxa"/>
            <w:shd w:val="clear" w:color="auto" w:fill="D9D9D9" w:themeFill="background1" w:themeFillShade="D9"/>
            <w:noWrap/>
            <w:hideMark/>
          </w:tcPr>
          <w:p w14:paraId="4A5D424A" w14:textId="77777777" w:rsidR="001B13EC" w:rsidRPr="00181EF3" w:rsidRDefault="001B13EC" w:rsidP="001B13EC">
            <w:pPr>
              <w:pStyle w:val="TableText"/>
              <w:keepNext/>
              <w:rPr>
                <w:b/>
              </w:rPr>
            </w:pPr>
            <w:r w:rsidRPr="00181EF3">
              <w:rPr>
                <w:b/>
              </w:rPr>
              <w:t>Group</w:t>
            </w:r>
          </w:p>
        </w:tc>
        <w:tc>
          <w:tcPr>
            <w:tcW w:w="1842" w:type="dxa"/>
            <w:shd w:val="clear" w:color="auto" w:fill="D9D9D9" w:themeFill="background1" w:themeFillShade="D9"/>
            <w:noWrap/>
            <w:hideMark/>
          </w:tcPr>
          <w:p w14:paraId="76C4DC8F" w14:textId="77777777" w:rsidR="001B13EC" w:rsidRPr="00181EF3" w:rsidRDefault="001B13EC" w:rsidP="001B13EC">
            <w:pPr>
              <w:pStyle w:val="TableText"/>
              <w:keepNext/>
              <w:rPr>
                <w:b/>
              </w:rPr>
            </w:pPr>
            <w:r w:rsidRPr="00181EF3">
              <w:rPr>
                <w:b/>
              </w:rPr>
              <w:t>Condition</w:t>
            </w:r>
          </w:p>
        </w:tc>
        <w:tc>
          <w:tcPr>
            <w:tcW w:w="1984" w:type="dxa"/>
            <w:shd w:val="clear" w:color="auto" w:fill="D9D9D9" w:themeFill="background1" w:themeFillShade="D9"/>
            <w:noWrap/>
            <w:hideMark/>
          </w:tcPr>
          <w:p w14:paraId="794E4551" w14:textId="77777777" w:rsidR="001B13EC" w:rsidRPr="00181EF3" w:rsidRDefault="001B13EC" w:rsidP="001B13EC">
            <w:pPr>
              <w:pStyle w:val="TableText"/>
              <w:keepNext/>
              <w:rPr>
                <w:b/>
              </w:rPr>
            </w:pPr>
            <w:r w:rsidRPr="00181EF3">
              <w:rPr>
                <w:b/>
              </w:rPr>
              <w:t>ICD-9-CMA-II</w:t>
            </w:r>
          </w:p>
        </w:tc>
        <w:tc>
          <w:tcPr>
            <w:tcW w:w="1985" w:type="dxa"/>
            <w:shd w:val="clear" w:color="auto" w:fill="D9D9D9" w:themeFill="background1" w:themeFillShade="D9"/>
            <w:noWrap/>
            <w:hideMark/>
          </w:tcPr>
          <w:p w14:paraId="4AC63FDE" w14:textId="77777777" w:rsidR="001B13EC" w:rsidRPr="00181EF3" w:rsidRDefault="001B13EC" w:rsidP="001B13EC">
            <w:pPr>
              <w:pStyle w:val="TableText"/>
              <w:keepNext/>
              <w:rPr>
                <w:b/>
              </w:rPr>
            </w:pPr>
            <w:r w:rsidRPr="00181EF3">
              <w:rPr>
                <w:b/>
              </w:rPr>
              <w:t>ICD-10-AM-II</w:t>
            </w:r>
          </w:p>
        </w:tc>
        <w:tc>
          <w:tcPr>
            <w:tcW w:w="1276" w:type="dxa"/>
            <w:shd w:val="clear" w:color="auto" w:fill="D9D9D9" w:themeFill="background1" w:themeFillShade="D9"/>
            <w:noWrap/>
            <w:hideMark/>
          </w:tcPr>
          <w:p w14:paraId="328D02D6" w14:textId="77777777" w:rsidR="001B13EC" w:rsidRPr="00181EF3" w:rsidRDefault="001B13EC" w:rsidP="001B13EC">
            <w:pPr>
              <w:pStyle w:val="TableText"/>
              <w:keepNext/>
              <w:rPr>
                <w:b/>
              </w:rPr>
            </w:pPr>
            <w:r w:rsidRPr="00181EF3">
              <w:rPr>
                <w:b/>
              </w:rPr>
              <w:t>Notes</w:t>
            </w:r>
          </w:p>
        </w:tc>
      </w:tr>
      <w:tr w:rsidR="001B13EC" w:rsidRPr="00181EF3" w14:paraId="1429A8AF" w14:textId="77777777" w:rsidTr="001B13EC">
        <w:trPr>
          <w:cantSplit/>
        </w:trPr>
        <w:tc>
          <w:tcPr>
            <w:tcW w:w="993" w:type="dxa"/>
            <w:vMerge w:val="restart"/>
            <w:noWrap/>
            <w:hideMark/>
          </w:tcPr>
          <w:p w14:paraId="6EDA730C" w14:textId="77777777" w:rsidR="001B13EC" w:rsidRPr="00181EF3" w:rsidRDefault="001B13EC" w:rsidP="001B13EC">
            <w:pPr>
              <w:pStyle w:val="TableText"/>
              <w:keepNext/>
            </w:pPr>
            <w:r w:rsidRPr="00181EF3">
              <w:t>Infections</w:t>
            </w:r>
          </w:p>
        </w:tc>
        <w:tc>
          <w:tcPr>
            <w:tcW w:w="1842" w:type="dxa"/>
            <w:tcBorders>
              <w:bottom w:val="single" w:sz="4" w:space="0" w:color="A6A6A6" w:themeColor="background1" w:themeShade="A6"/>
            </w:tcBorders>
            <w:noWrap/>
            <w:hideMark/>
          </w:tcPr>
          <w:p w14:paraId="4D7C8EB1" w14:textId="77777777" w:rsidR="001B13EC" w:rsidRPr="00181EF3" w:rsidRDefault="001B13EC" w:rsidP="001B13EC">
            <w:pPr>
              <w:pStyle w:val="TableText"/>
              <w:keepNext/>
            </w:pPr>
            <w:r w:rsidRPr="00181EF3">
              <w:t>Pulmonary tuberculosis</w:t>
            </w:r>
          </w:p>
        </w:tc>
        <w:tc>
          <w:tcPr>
            <w:tcW w:w="1984" w:type="dxa"/>
            <w:tcBorders>
              <w:bottom w:val="single" w:sz="4" w:space="0" w:color="A6A6A6" w:themeColor="background1" w:themeShade="A6"/>
            </w:tcBorders>
            <w:hideMark/>
          </w:tcPr>
          <w:p w14:paraId="3E7AF58A" w14:textId="77777777" w:rsidR="001B13EC" w:rsidRPr="00181EF3" w:rsidRDefault="001B13EC" w:rsidP="001B13EC">
            <w:pPr>
              <w:pStyle w:val="TableText"/>
              <w:keepNext/>
            </w:pPr>
            <w:r w:rsidRPr="00181EF3">
              <w:t>011</w:t>
            </w:r>
          </w:p>
        </w:tc>
        <w:tc>
          <w:tcPr>
            <w:tcW w:w="1985" w:type="dxa"/>
            <w:tcBorders>
              <w:bottom w:val="single" w:sz="4" w:space="0" w:color="A6A6A6" w:themeColor="background1" w:themeShade="A6"/>
            </w:tcBorders>
            <w:hideMark/>
          </w:tcPr>
          <w:p w14:paraId="0E2A95CA" w14:textId="77777777" w:rsidR="001B13EC" w:rsidRPr="00181EF3" w:rsidRDefault="001B13EC" w:rsidP="001B13EC">
            <w:pPr>
              <w:pStyle w:val="TableText"/>
              <w:keepNext/>
            </w:pPr>
            <w:r w:rsidRPr="00181EF3">
              <w:t>A15–A16</w:t>
            </w:r>
          </w:p>
        </w:tc>
        <w:tc>
          <w:tcPr>
            <w:tcW w:w="1276" w:type="dxa"/>
            <w:tcBorders>
              <w:bottom w:val="single" w:sz="4" w:space="0" w:color="A6A6A6" w:themeColor="background1" w:themeShade="A6"/>
            </w:tcBorders>
            <w:noWrap/>
          </w:tcPr>
          <w:p w14:paraId="12C11404" w14:textId="77777777" w:rsidR="001B13EC" w:rsidRPr="00181EF3" w:rsidRDefault="001B13EC" w:rsidP="001B13EC">
            <w:pPr>
              <w:pStyle w:val="TableText"/>
              <w:keepNext/>
            </w:pPr>
          </w:p>
        </w:tc>
      </w:tr>
      <w:tr w:rsidR="001B13EC" w:rsidRPr="00181EF3" w14:paraId="45FB8073" w14:textId="77777777" w:rsidTr="001B13EC">
        <w:trPr>
          <w:cantSplit/>
        </w:trPr>
        <w:tc>
          <w:tcPr>
            <w:tcW w:w="993" w:type="dxa"/>
            <w:vMerge/>
            <w:noWrap/>
          </w:tcPr>
          <w:p w14:paraId="1D390324" w14:textId="77777777" w:rsidR="001B13EC" w:rsidRPr="00181EF3" w:rsidRDefault="001B13EC" w:rsidP="001B13EC">
            <w:pPr>
              <w:pStyle w:val="TableText"/>
              <w:keepNext/>
            </w:pPr>
          </w:p>
        </w:tc>
        <w:tc>
          <w:tcPr>
            <w:tcW w:w="1842" w:type="dxa"/>
            <w:tcBorders>
              <w:top w:val="single" w:sz="4" w:space="0" w:color="A6A6A6" w:themeColor="background1" w:themeShade="A6"/>
              <w:bottom w:val="single" w:sz="4" w:space="0" w:color="A6A6A6" w:themeColor="background1" w:themeShade="A6"/>
            </w:tcBorders>
            <w:noWrap/>
            <w:hideMark/>
          </w:tcPr>
          <w:p w14:paraId="2F3A2D15" w14:textId="77777777" w:rsidR="001B13EC" w:rsidRPr="00181EF3" w:rsidRDefault="001B13EC" w:rsidP="001B13EC">
            <w:pPr>
              <w:pStyle w:val="TableText"/>
              <w:keepNext/>
            </w:pPr>
            <w:r w:rsidRPr="00181EF3">
              <w:t>Meningococcal disease</w:t>
            </w:r>
          </w:p>
        </w:tc>
        <w:tc>
          <w:tcPr>
            <w:tcW w:w="1984" w:type="dxa"/>
            <w:tcBorders>
              <w:top w:val="single" w:sz="4" w:space="0" w:color="A6A6A6" w:themeColor="background1" w:themeShade="A6"/>
              <w:bottom w:val="single" w:sz="4" w:space="0" w:color="A6A6A6" w:themeColor="background1" w:themeShade="A6"/>
            </w:tcBorders>
            <w:hideMark/>
          </w:tcPr>
          <w:p w14:paraId="65E05086" w14:textId="77777777" w:rsidR="001B13EC" w:rsidRPr="00181EF3" w:rsidRDefault="001B13EC" w:rsidP="001B13EC">
            <w:pPr>
              <w:pStyle w:val="TableText"/>
              <w:keepNext/>
            </w:pPr>
            <w:r w:rsidRPr="00181EF3">
              <w:t>036</w:t>
            </w:r>
          </w:p>
        </w:tc>
        <w:tc>
          <w:tcPr>
            <w:tcW w:w="1985" w:type="dxa"/>
            <w:tcBorders>
              <w:top w:val="single" w:sz="4" w:space="0" w:color="A6A6A6" w:themeColor="background1" w:themeShade="A6"/>
              <w:bottom w:val="single" w:sz="4" w:space="0" w:color="A6A6A6" w:themeColor="background1" w:themeShade="A6"/>
            </w:tcBorders>
            <w:hideMark/>
          </w:tcPr>
          <w:p w14:paraId="697E12F9" w14:textId="77777777" w:rsidR="001B13EC" w:rsidRPr="00181EF3" w:rsidRDefault="001B13EC" w:rsidP="001B13EC">
            <w:pPr>
              <w:pStyle w:val="TableText"/>
              <w:keepNext/>
            </w:pPr>
            <w:r w:rsidRPr="00181EF3">
              <w:t>A39</w:t>
            </w:r>
          </w:p>
        </w:tc>
        <w:tc>
          <w:tcPr>
            <w:tcW w:w="1276" w:type="dxa"/>
            <w:tcBorders>
              <w:top w:val="single" w:sz="4" w:space="0" w:color="A6A6A6" w:themeColor="background1" w:themeShade="A6"/>
              <w:bottom w:val="single" w:sz="4" w:space="0" w:color="A6A6A6" w:themeColor="background1" w:themeShade="A6"/>
            </w:tcBorders>
            <w:noWrap/>
          </w:tcPr>
          <w:p w14:paraId="24AAC2AF" w14:textId="77777777" w:rsidR="001B13EC" w:rsidRPr="00181EF3" w:rsidRDefault="001B13EC" w:rsidP="001B13EC">
            <w:pPr>
              <w:pStyle w:val="TableText"/>
              <w:keepNext/>
            </w:pPr>
          </w:p>
        </w:tc>
      </w:tr>
      <w:tr w:rsidR="001B13EC" w:rsidRPr="00181EF3" w14:paraId="27561CE1" w14:textId="77777777" w:rsidTr="001B13EC">
        <w:trPr>
          <w:cantSplit/>
        </w:trPr>
        <w:tc>
          <w:tcPr>
            <w:tcW w:w="993" w:type="dxa"/>
            <w:vMerge/>
            <w:noWrap/>
          </w:tcPr>
          <w:p w14:paraId="5C7BA38D" w14:textId="77777777" w:rsidR="001B13EC" w:rsidRPr="00181EF3" w:rsidRDefault="001B13EC" w:rsidP="001B13EC">
            <w:pPr>
              <w:pStyle w:val="TableText"/>
              <w:keepNext/>
            </w:pPr>
          </w:p>
        </w:tc>
        <w:tc>
          <w:tcPr>
            <w:tcW w:w="1842" w:type="dxa"/>
            <w:tcBorders>
              <w:top w:val="single" w:sz="4" w:space="0" w:color="A6A6A6" w:themeColor="background1" w:themeShade="A6"/>
              <w:bottom w:val="single" w:sz="4" w:space="0" w:color="A6A6A6" w:themeColor="background1" w:themeShade="A6"/>
            </w:tcBorders>
            <w:noWrap/>
            <w:hideMark/>
          </w:tcPr>
          <w:p w14:paraId="0E3E4805" w14:textId="77777777" w:rsidR="001B13EC" w:rsidRPr="00181EF3" w:rsidRDefault="001B13EC" w:rsidP="001B13EC">
            <w:pPr>
              <w:pStyle w:val="TableText"/>
              <w:keepNext/>
            </w:pPr>
            <w:r w:rsidRPr="00181EF3">
              <w:t>Pneumococcal disease</w:t>
            </w:r>
          </w:p>
        </w:tc>
        <w:tc>
          <w:tcPr>
            <w:tcW w:w="1984" w:type="dxa"/>
            <w:tcBorders>
              <w:top w:val="single" w:sz="4" w:space="0" w:color="A6A6A6" w:themeColor="background1" w:themeShade="A6"/>
              <w:bottom w:val="single" w:sz="4" w:space="0" w:color="A6A6A6" w:themeColor="background1" w:themeShade="A6"/>
            </w:tcBorders>
            <w:hideMark/>
          </w:tcPr>
          <w:p w14:paraId="065D9B99" w14:textId="77777777" w:rsidR="001B13EC" w:rsidRPr="00181EF3" w:rsidRDefault="001B13EC" w:rsidP="001B13EC">
            <w:pPr>
              <w:pStyle w:val="TableText"/>
              <w:keepNext/>
            </w:pPr>
            <w:r w:rsidRPr="00181EF3">
              <w:t>038.2, 320.1, 481</w:t>
            </w:r>
          </w:p>
        </w:tc>
        <w:tc>
          <w:tcPr>
            <w:tcW w:w="1985" w:type="dxa"/>
            <w:tcBorders>
              <w:top w:val="single" w:sz="4" w:space="0" w:color="A6A6A6" w:themeColor="background1" w:themeShade="A6"/>
              <w:bottom w:val="single" w:sz="4" w:space="0" w:color="A6A6A6" w:themeColor="background1" w:themeShade="A6"/>
            </w:tcBorders>
            <w:hideMark/>
          </w:tcPr>
          <w:p w14:paraId="5026DD66" w14:textId="77777777" w:rsidR="001B13EC" w:rsidRPr="00181EF3" w:rsidRDefault="001B13EC" w:rsidP="001B13EC">
            <w:pPr>
              <w:pStyle w:val="TableText"/>
              <w:keepNext/>
            </w:pPr>
            <w:r w:rsidRPr="00181EF3">
              <w:t>A40.3, G00.1, J13</w:t>
            </w:r>
          </w:p>
        </w:tc>
        <w:tc>
          <w:tcPr>
            <w:tcW w:w="1276" w:type="dxa"/>
            <w:tcBorders>
              <w:top w:val="single" w:sz="4" w:space="0" w:color="A6A6A6" w:themeColor="background1" w:themeShade="A6"/>
              <w:bottom w:val="single" w:sz="4" w:space="0" w:color="A6A6A6" w:themeColor="background1" w:themeShade="A6"/>
            </w:tcBorders>
            <w:noWrap/>
          </w:tcPr>
          <w:p w14:paraId="7E088152" w14:textId="77777777" w:rsidR="001B13EC" w:rsidRPr="00181EF3" w:rsidRDefault="001B13EC" w:rsidP="001B13EC">
            <w:pPr>
              <w:pStyle w:val="TableText"/>
              <w:keepNext/>
            </w:pPr>
          </w:p>
        </w:tc>
      </w:tr>
      <w:tr w:rsidR="001B13EC" w:rsidRPr="00181EF3" w14:paraId="44EFE233" w14:textId="77777777" w:rsidTr="001B13EC">
        <w:trPr>
          <w:cantSplit/>
        </w:trPr>
        <w:tc>
          <w:tcPr>
            <w:tcW w:w="993" w:type="dxa"/>
            <w:vMerge/>
            <w:tcBorders>
              <w:bottom w:val="single" w:sz="4" w:space="0" w:color="7F7F7F" w:themeColor="text1" w:themeTint="80"/>
            </w:tcBorders>
            <w:noWrap/>
          </w:tcPr>
          <w:p w14:paraId="2D9EA168" w14:textId="77777777" w:rsidR="001B13EC" w:rsidRPr="00181EF3" w:rsidRDefault="001B13EC" w:rsidP="001B13EC">
            <w:pPr>
              <w:pStyle w:val="TableText"/>
              <w:keepNext/>
            </w:pPr>
          </w:p>
        </w:tc>
        <w:tc>
          <w:tcPr>
            <w:tcW w:w="1842" w:type="dxa"/>
            <w:tcBorders>
              <w:top w:val="single" w:sz="4" w:space="0" w:color="A6A6A6" w:themeColor="background1" w:themeShade="A6"/>
              <w:bottom w:val="single" w:sz="4" w:space="0" w:color="7F7F7F" w:themeColor="text1" w:themeTint="80"/>
            </w:tcBorders>
            <w:noWrap/>
            <w:hideMark/>
          </w:tcPr>
          <w:p w14:paraId="39A2D911" w14:textId="77777777" w:rsidR="001B13EC" w:rsidRPr="00181EF3" w:rsidRDefault="001B13EC" w:rsidP="001B13EC">
            <w:pPr>
              <w:pStyle w:val="TableText"/>
              <w:keepNext/>
            </w:pPr>
            <w:r w:rsidRPr="00181EF3">
              <w:t>HIV/AIDS</w:t>
            </w:r>
          </w:p>
        </w:tc>
        <w:tc>
          <w:tcPr>
            <w:tcW w:w="1984" w:type="dxa"/>
            <w:tcBorders>
              <w:top w:val="single" w:sz="4" w:space="0" w:color="A6A6A6" w:themeColor="background1" w:themeShade="A6"/>
              <w:bottom w:val="single" w:sz="4" w:space="0" w:color="7F7F7F" w:themeColor="text1" w:themeTint="80"/>
            </w:tcBorders>
            <w:hideMark/>
          </w:tcPr>
          <w:p w14:paraId="376E2330" w14:textId="77777777" w:rsidR="001B13EC" w:rsidRPr="00181EF3" w:rsidRDefault="001B13EC" w:rsidP="001B13EC">
            <w:pPr>
              <w:pStyle w:val="TableText"/>
              <w:keepNext/>
            </w:pPr>
            <w:r w:rsidRPr="00181EF3">
              <w:t>042</w:t>
            </w:r>
          </w:p>
        </w:tc>
        <w:tc>
          <w:tcPr>
            <w:tcW w:w="1985" w:type="dxa"/>
            <w:tcBorders>
              <w:top w:val="single" w:sz="4" w:space="0" w:color="A6A6A6" w:themeColor="background1" w:themeShade="A6"/>
              <w:bottom w:val="single" w:sz="4" w:space="0" w:color="7F7F7F" w:themeColor="text1" w:themeTint="80"/>
            </w:tcBorders>
            <w:hideMark/>
          </w:tcPr>
          <w:p w14:paraId="1748C341" w14:textId="77777777" w:rsidR="001B13EC" w:rsidRPr="00181EF3" w:rsidRDefault="001B13EC" w:rsidP="001B13EC">
            <w:pPr>
              <w:pStyle w:val="TableText"/>
              <w:keepNext/>
            </w:pPr>
            <w:r w:rsidRPr="00181EF3">
              <w:t>B20–B24</w:t>
            </w:r>
          </w:p>
        </w:tc>
        <w:tc>
          <w:tcPr>
            <w:tcW w:w="1276" w:type="dxa"/>
            <w:tcBorders>
              <w:top w:val="single" w:sz="4" w:space="0" w:color="A6A6A6" w:themeColor="background1" w:themeShade="A6"/>
              <w:bottom w:val="single" w:sz="4" w:space="0" w:color="7F7F7F" w:themeColor="text1" w:themeTint="80"/>
            </w:tcBorders>
            <w:noWrap/>
          </w:tcPr>
          <w:p w14:paraId="5D774DC8" w14:textId="77777777" w:rsidR="001B13EC" w:rsidRPr="00181EF3" w:rsidRDefault="001B13EC" w:rsidP="001B13EC">
            <w:pPr>
              <w:pStyle w:val="TableText"/>
              <w:keepNext/>
            </w:pPr>
          </w:p>
        </w:tc>
      </w:tr>
      <w:tr w:rsidR="001B13EC" w:rsidRPr="00181EF3" w14:paraId="571F8673" w14:textId="77777777" w:rsidTr="001B13EC">
        <w:trPr>
          <w:cantSplit/>
        </w:trPr>
        <w:tc>
          <w:tcPr>
            <w:tcW w:w="993" w:type="dxa"/>
            <w:vMerge w:val="restart"/>
            <w:tcBorders>
              <w:top w:val="single" w:sz="4" w:space="0" w:color="7F7F7F" w:themeColor="text1" w:themeTint="80"/>
            </w:tcBorders>
            <w:noWrap/>
            <w:hideMark/>
          </w:tcPr>
          <w:p w14:paraId="41C5919F" w14:textId="77777777" w:rsidR="001B13EC" w:rsidRPr="00181EF3" w:rsidRDefault="001B13EC" w:rsidP="001B13EC">
            <w:pPr>
              <w:pStyle w:val="TableText"/>
              <w:keepNext/>
            </w:pPr>
            <w:r w:rsidRPr="00181EF3">
              <w:t>Cancers</w:t>
            </w:r>
          </w:p>
        </w:tc>
        <w:tc>
          <w:tcPr>
            <w:tcW w:w="1842" w:type="dxa"/>
            <w:tcBorders>
              <w:top w:val="single" w:sz="4" w:space="0" w:color="7F7F7F" w:themeColor="text1" w:themeTint="80"/>
              <w:bottom w:val="single" w:sz="4" w:space="0" w:color="A6A6A6" w:themeColor="background1" w:themeShade="A6"/>
            </w:tcBorders>
            <w:noWrap/>
            <w:hideMark/>
          </w:tcPr>
          <w:p w14:paraId="53706B75" w14:textId="77777777" w:rsidR="001B13EC" w:rsidRPr="00181EF3" w:rsidRDefault="001B13EC" w:rsidP="001B13EC">
            <w:pPr>
              <w:pStyle w:val="TableText"/>
              <w:keepNext/>
            </w:pPr>
            <w:r w:rsidRPr="00181EF3">
              <w:t>Stomach cancer</w:t>
            </w:r>
          </w:p>
        </w:tc>
        <w:tc>
          <w:tcPr>
            <w:tcW w:w="1984" w:type="dxa"/>
            <w:tcBorders>
              <w:top w:val="single" w:sz="4" w:space="0" w:color="7F7F7F" w:themeColor="text1" w:themeTint="80"/>
              <w:bottom w:val="single" w:sz="4" w:space="0" w:color="A6A6A6" w:themeColor="background1" w:themeShade="A6"/>
            </w:tcBorders>
            <w:hideMark/>
          </w:tcPr>
          <w:p w14:paraId="1AD75A85" w14:textId="77777777" w:rsidR="001B13EC" w:rsidRPr="00181EF3" w:rsidRDefault="001B13EC" w:rsidP="001B13EC">
            <w:pPr>
              <w:pStyle w:val="TableText"/>
              <w:keepNext/>
            </w:pPr>
            <w:r w:rsidRPr="00181EF3">
              <w:t>151</w:t>
            </w:r>
          </w:p>
        </w:tc>
        <w:tc>
          <w:tcPr>
            <w:tcW w:w="1985" w:type="dxa"/>
            <w:tcBorders>
              <w:top w:val="single" w:sz="4" w:space="0" w:color="7F7F7F" w:themeColor="text1" w:themeTint="80"/>
              <w:bottom w:val="single" w:sz="4" w:space="0" w:color="A6A6A6" w:themeColor="background1" w:themeShade="A6"/>
            </w:tcBorders>
            <w:hideMark/>
          </w:tcPr>
          <w:p w14:paraId="52B87330" w14:textId="77777777" w:rsidR="001B13EC" w:rsidRPr="00181EF3" w:rsidRDefault="001B13EC" w:rsidP="001B13EC">
            <w:pPr>
              <w:pStyle w:val="TableText"/>
              <w:keepNext/>
            </w:pPr>
            <w:r w:rsidRPr="00181EF3">
              <w:t>C16</w:t>
            </w:r>
          </w:p>
        </w:tc>
        <w:tc>
          <w:tcPr>
            <w:tcW w:w="1276" w:type="dxa"/>
            <w:tcBorders>
              <w:top w:val="single" w:sz="4" w:space="0" w:color="7F7F7F" w:themeColor="text1" w:themeTint="80"/>
              <w:bottom w:val="single" w:sz="4" w:space="0" w:color="A6A6A6" w:themeColor="background1" w:themeShade="A6"/>
            </w:tcBorders>
            <w:noWrap/>
          </w:tcPr>
          <w:p w14:paraId="0927CE3C" w14:textId="77777777" w:rsidR="001B13EC" w:rsidRPr="00181EF3" w:rsidRDefault="001B13EC" w:rsidP="001B13EC">
            <w:pPr>
              <w:pStyle w:val="TableText"/>
              <w:keepNext/>
            </w:pPr>
          </w:p>
        </w:tc>
      </w:tr>
      <w:tr w:rsidR="001B13EC" w:rsidRPr="00181EF3" w14:paraId="17E27CCA" w14:textId="77777777" w:rsidTr="001B13EC">
        <w:trPr>
          <w:cantSplit/>
        </w:trPr>
        <w:tc>
          <w:tcPr>
            <w:tcW w:w="993" w:type="dxa"/>
            <w:vMerge/>
            <w:noWrap/>
          </w:tcPr>
          <w:p w14:paraId="6F75BB86" w14:textId="77777777" w:rsidR="001B13EC" w:rsidRPr="00181EF3" w:rsidRDefault="001B13EC" w:rsidP="001B13EC">
            <w:pPr>
              <w:pStyle w:val="TableText"/>
              <w:keepNext/>
            </w:pPr>
          </w:p>
        </w:tc>
        <w:tc>
          <w:tcPr>
            <w:tcW w:w="1842" w:type="dxa"/>
            <w:tcBorders>
              <w:top w:val="single" w:sz="4" w:space="0" w:color="A6A6A6" w:themeColor="background1" w:themeShade="A6"/>
              <w:bottom w:val="single" w:sz="4" w:space="0" w:color="A6A6A6" w:themeColor="background1" w:themeShade="A6"/>
            </w:tcBorders>
            <w:noWrap/>
            <w:hideMark/>
          </w:tcPr>
          <w:p w14:paraId="12A7E40A" w14:textId="77777777" w:rsidR="001B13EC" w:rsidRPr="00181EF3" w:rsidRDefault="001B13EC" w:rsidP="001B13EC">
            <w:pPr>
              <w:pStyle w:val="TableText"/>
              <w:keepNext/>
            </w:pPr>
            <w:r w:rsidRPr="00181EF3">
              <w:t>Rectal cancer</w:t>
            </w:r>
          </w:p>
        </w:tc>
        <w:tc>
          <w:tcPr>
            <w:tcW w:w="1984" w:type="dxa"/>
            <w:tcBorders>
              <w:top w:val="single" w:sz="4" w:space="0" w:color="A6A6A6" w:themeColor="background1" w:themeShade="A6"/>
              <w:bottom w:val="single" w:sz="4" w:space="0" w:color="A6A6A6" w:themeColor="background1" w:themeShade="A6"/>
            </w:tcBorders>
            <w:hideMark/>
          </w:tcPr>
          <w:p w14:paraId="4DE41DE3" w14:textId="77777777" w:rsidR="001B13EC" w:rsidRPr="00181EF3" w:rsidRDefault="001B13EC" w:rsidP="001B13EC">
            <w:pPr>
              <w:pStyle w:val="TableText"/>
              <w:keepNext/>
            </w:pPr>
            <w:r w:rsidRPr="00181EF3">
              <w:t>154</w:t>
            </w:r>
          </w:p>
        </w:tc>
        <w:tc>
          <w:tcPr>
            <w:tcW w:w="1985" w:type="dxa"/>
            <w:tcBorders>
              <w:top w:val="single" w:sz="4" w:space="0" w:color="A6A6A6" w:themeColor="background1" w:themeShade="A6"/>
              <w:bottom w:val="single" w:sz="4" w:space="0" w:color="A6A6A6" w:themeColor="background1" w:themeShade="A6"/>
            </w:tcBorders>
            <w:hideMark/>
          </w:tcPr>
          <w:p w14:paraId="435B6787" w14:textId="77777777" w:rsidR="001B13EC" w:rsidRPr="00181EF3" w:rsidRDefault="001B13EC" w:rsidP="001B13EC">
            <w:pPr>
              <w:pStyle w:val="TableText"/>
              <w:keepNext/>
            </w:pPr>
            <w:r w:rsidRPr="00181EF3">
              <w:t>C19–C21</w:t>
            </w:r>
          </w:p>
        </w:tc>
        <w:tc>
          <w:tcPr>
            <w:tcW w:w="1276" w:type="dxa"/>
            <w:tcBorders>
              <w:top w:val="single" w:sz="4" w:space="0" w:color="A6A6A6" w:themeColor="background1" w:themeShade="A6"/>
              <w:bottom w:val="single" w:sz="4" w:space="0" w:color="A6A6A6" w:themeColor="background1" w:themeShade="A6"/>
            </w:tcBorders>
            <w:noWrap/>
          </w:tcPr>
          <w:p w14:paraId="249F8C9F" w14:textId="77777777" w:rsidR="001B13EC" w:rsidRPr="00181EF3" w:rsidRDefault="001B13EC" w:rsidP="001B13EC">
            <w:pPr>
              <w:pStyle w:val="TableText"/>
              <w:keepNext/>
            </w:pPr>
          </w:p>
        </w:tc>
      </w:tr>
      <w:tr w:rsidR="001B13EC" w:rsidRPr="00181EF3" w14:paraId="0EE53DE0" w14:textId="77777777" w:rsidTr="001B13EC">
        <w:trPr>
          <w:cantSplit/>
        </w:trPr>
        <w:tc>
          <w:tcPr>
            <w:tcW w:w="993" w:type="dxa"/>
            <w:vMerge/>
            <w:noWrap/>
          </w:tcPr>
          <w:p w14:paraId="66DA20BB" w14:textId="77777777" w:rsidR="001B13EC" w:rsidRPr="00181EF3" w:rsidRDefault="001B13EC" w:rsidP="001B13EC">
            <w:pPr>
              <w:pStyle w:val="TableText"/>
              <w:keepNext/>
            </w:pPr>
          </w:p>
        </w:tc>
        <w:tc>
          <w:tcPr>
            <w:tcW w:w="1842" w:type="dxa"/>
            <w:tcBorders>
              <w:top w:val="single" w:sz="4" w:space="0" w:color="A6A6A6" w:themeColor="background1" w:themeShade="A6"/>
              <w:bottom w:val="single" w:sz="4" w:space="0" w:color="A6A6A6" w:themeColor="background1" w:themeShade="A6"/>
            </w:tcBorders>
            <w:noWrap/>
            <w:hideMark/>
          </w:tcPr>
          <w:p w14:paraId="59268D7C" w14:textId="77777777" w:rsidR="001B13EC" w:rsidRPr="00181EF3" w:rsidRDefault="001B13EC" w:rsidP="001B13EC">
            <w:pPr>
              <w:pStyle w:val="TableText"/>
              <w:keepNext/>
            </w:pPr>
            <w:r w:rsidRPr="00181EF3">
              <w:t>Bone and cartilage cancer</w:t>
            </w:r>
          </w:p>
        </w:tc>
        <w:tc>
          <w:tcPr>
            <w:tcW w:w="1984" w:type="dxa"/>
            <w:tcBorders>
              <w:top w:val="single" w:sz="4" w:space="0" w:color="A6A6A6" w:themeColor="background1" w:themeShade="A6"/>
              <w:bottom w:val="single" w:sz="4" w:space="0" w:color="A6A6A6" w:themeColor="background1" w:themeShade="A6"/>
            </w:tcBorders>
            <w:hideMark/>
          </w:tcPr>
          <w:p w14:paraId="370EA8F0" w14:textId="77777777" w:rsidR="001B13EC" w:rsidRPr="00181EF3" w:rsidRDefault="001B13EC" w:rsidP="001B13EC">
            <w:pPr>
              <w:pStyle w:val="TableText"/>
              <w:keepNext/>
            </w:pPr>
            <w:r w:rsidRPr="00181EF3">
              <w:t>170</w:t>
            </w:r>
          </w:p>
        </w:tc>
        <w:tc>
          <w:tcPr>
            <w:tcW w:w="1985" w:type="dxa"/>
            <w:tcBorders>
              <w:top w:val="single" w:sz="4" w:space="0" w:color="A6A6A6" w:themeColor="background1" w:themeShade="A6"/>
              <w:bottom w:val="single" w:sz="4" w:space="0" w:color="A6A6A6" w:themeColor="background1" w:themeShade="A6"/>
            </w:tcBorders>
            <w:hideMark/>
          </w:tcPr>
          <w:p w14:paraId="4873BF53" w14:textId="77777777" w:rsidR="001B13EC" w:rsidRPr="00181EF3" w:rsidRDefault="001B13EC" w:rsidP="001B13EC">
            <w:pPr>
              <w:pStyle w:val="TableText"/>
              <w:keepNext/>
            </w:pPr>
            <w:r w:rsidRPr="00181EF3">
              <w:t>C40–C41</w:t>
            </w:r>
          </w:p>
        </w:tc>
        <w:tc>
          <w:tcPr>
            <w:tcW w:w="1276" w:type="dxa"/>
            <w:tcBorders>
              <w:top w:val="single" w:sz="4" w:space="0" w:color="A6A6A6" w:themeColor="background1" w:themeShade="A6"/>
              <w:bottom w:val="single" w:sz="4" w:space="0" w:color="A6A6A6" w:themeColor="background1" w:themeShade="A6"/>
            </w:tcBorders>
            <w:noWrap/>
          </w:tcPr>
          <w:p w14:paraId="1B7FBF93" w14:textId="77777777" w:rsidR="001B13EC" w:rsidRPr="00181EF3" w:rsidRDefault="001B13EC" w:rsidP="001B13EC">
            <w:pPr>
              <w:pStyle w:val="TableText"/>
              <w:keepNext/>
            </w:pPr>
          </w:p>
        </w:tc>
      </w:tr>
      <w:tr w:rsidR="001B13EC" w:rsidRPr="00181EF3" w14:paraId="65FB452B" w14:textId="77777777" w:rsidTr="001B13EC">
        <w:trPr>
          <w:cantSplit/>
        </w:trPr>
        <w:tc>
          <w:tcPr>
            <w:tcW w:w="993" w:type="dxa"/>
            <w:vMerge/>
            <w:noWrap/>
          </w:tcPr>
          <w:p w14:paraId="0B837B31" w14:textId="77777777" w:rsidR="001B13EC" w:rsidRPr="00181EF3" w:rsidRDefault="001B13EC" w:rsidP="001B13EC">
            <w:pPr>
              <w:pStyle w:val="TableText"/>
              <w:keepNext/>
            </w:pPr>
          </w:p>
        </w:tc>
        <w:tc>
          <w:tcPr>
            <w:tcW w:w="1842" w:type="dxa"/>
            <w:tcBorders>
              <w:top w:val="single" w:sz="4" w:space="0" w:color="A6A6A6" w:themeColor="background1" w:themeShade="A6"/>
              <w:bottom w:val="single" w:sz="4" w:space="0" w:color="A6A6A6" w:themeColor="background1" w:themeShade="A6"/>
            </w:tcBorders>
            <w:noWrap/>
            <w:hideMark/>
          </w:tcPr>
          <w:p w14:paraId="4E19BED9" w14:textId="77777777" w:rsidR="001B13EC" w:rsidRPr="00181EF3" w:rsidRDefault="001B13EC" w:rsidP="001B13EC">
            <w:pPr>
              <w:pStyle w:val="TableText"/>
              <w:keepNext/>
            </w:pPr>
            <w:r w:rsidRPr="00181EF3">
              <w:t>Melanoma of skin</w:t>
            </w:r>
          </w:p>
        </w:tc>
        <w:tc>
          <w:tcPr>
            <w:tcW w:w="1984" w:type="dxa"/>
            <w:tcBorders>
              <w:top w:val="single" w:sz="4" w:space="0" w:color="A6A6A6" w:themeColor="background1" w:themeShade="A6"/>
              <w:bottom w:val="single" w:sz="4" w:space="0" w:color="A6A6A6" w:themeColor="background1" w:themeShade="A6"/>
            </w:tcBorders>
            <w:hideMark/>
          </w:tcPr>
          <w:p w14:paraId="4CBB5F93" w14:textId="77777777" w:rsidR="001B13EC" w:rsidRPr="00181EF3" w:rsidRDefault="001B13EC" w:rsidP="001B13EC">
            <w:pPr>
              <w:pStyle w:val="TableText"/>
              <w:keepNext/>
            </w:pPr>
            <w:r w:rsidRPr="00181EF3">
              <w:t>172</w:t>
            </w:r>
          </w:p>
        </w:tc>
        <w:tc>
          <w:tcPr>
            <w:tcW w:w="1985" w:type="dxa"/>
            <w:tcBorders>
              <w:top w:val="single" w:sz="4" w:space="0" w:color="A6A6A6" w:themeColor="background1" w:themeShade="A6"/>
              <w:bottom w:val="single" w:sz="4" w:space="0" w:color="A6A6A6" w:themeColor="background1" w:themeShade="A6"/>
            </w:tcBorders>
            <w:hideMark/>
          </w:tcPr>
          <w:p w14:paraId="4B4E74F3" w14:textId="77777777" w:rsidR="001B13EC" w:rsidRPr="00181EF3" w:rsidRDefault="001B13EC" w:rsidP="001B13EC">
            <w:pPr>
              <w:pStyle w:val="TableText"/>
              <w:keepNext/>
            </w:pPr>
            <w:r w:rsidRPr="00181EF3">
              <w:t>C43</w:t>
            </w:r>
          </w:p>
        </w:tc>
        <w:tc>
          <w:tcPr>
            <w:tcW w:w="1276" w:type="dxa"/>
            <w:tcBorders>
              <w:top w:val="single" w:sz="4" w:space="0" w:color="A6A6A6" w:themeColor="background1" w:themeShade="A6"/>
              <w:bottom w:val="single" w:sz="4" w:space="0" w:color="A6A6A6" w:themeColor="background1" w:themeShade="A6"/>
            </w:tcBorders>
            <w:noWrap/>
          </w:tcPr>
          <w:p w14:paraId="1BE9735C" w14:textId="77777777" w:rsidR="001B13EC" w:rsidRPr="00181EF3" w:rsidRDefault="001B13EC" w:rsidP="001B13EC">
            <w:pPr>
              <w:pStyle w:val="TableText"/>
              <w:keepNext/>
            </w:pPr>
          </w:p>
        </w:tc>
      </w:tr>
      <w:tr w:rsidR="001B13EC" w:rsidRPr="00181EF3" w14:paraId="09FEECD1" w14:textId="77777777" w:rsidTr="001B13EC">
        <w:trPr>
          <w:cantSplit/>
        </w:trPr>
        <w:tc>
          <w:tcPr>
            <w:tcW w:w="993" w:type="dxa"/>
            <w:vMerge/>
            <w:noWrap/>
          </w:tcPr>
          <w:p w14:paraId="73997E06" w14:textId="77777777" w:rsidR="001B13EC" w:rsidRPr="00181EF3" w:rsidRDefault="001B13EC" w:rsidP="001B13EC">
            <w:pPr>
              <w:pStyle w:val="TableText"/>
              <w:keepNext/>
            </w:pPr>
          </w:p>
        </w:tc>
        <w:tc>
          <w:tcPr>
            <w:tcW w:w="1842" w:type="dxa"/>
            <w:tcBorders>
              <w:top w:val="single" w:sz="4" w:space="0" w:color="A6A6A6" w:themeColor="background1" w:themeShade="A6"/>
              <w:bottom w:val="single" w:sz="4" w:space="0" w:color="A6A6A6" w:themeColor="background1" w:themeShade="A6"/>
            </w:tcBorders>
            <w:noWrap/>
            <w:hideMark/>
          </w:tcPr>
          <w:p w14:paraId="6284B299" w14:textId="77777777" w:rsidR="001B13EC" w:rsidRPr="00181EF3" w:rsidRDefault="001B13EC" w:rsidP="001B13EC">
            <w:pPr>
              <w:pStyle w:val="TableText"/>
              <w:keepNext/>
            </w:pPr>
            <w:r w:rsidRPr="00181EF3">
              <w:t>Female breast cancer</w:t>
            </w:r>
          </w:p>
        </w:tc>
        <w:tc>
          <w:tcPr>
            <w:tcW w:w="1984" w:type="dxa"/>
            <w:tcBorders>
              <w:top w:val="single" w:sz="4" w:space="0" w:color="A6A6A6" w:themeColor="background1" w:themeShade="A6"/>
              <w:bottom w:val="single" w:sz="4" w:space="0" w:color="A6A6A6" w:themeColor="background1" w:themeShade="A6"/>
            </w:tcBorders>
            <w:hideMark/>
          </w:tcPr>
          <w:p w14:paraId="17C492B1" w14:textId="77777777" w:rsidR="001B13EC" w:rsidRPr="00181EF3" w:rsidRDefault="001B13EC" w:rsidP="001B13EC">
            <w:pPr>
              <w:pStyle w:val="TableText"/>
              <w:keepNext/>
            </w:pPr>
            <w:r w:rsidRPr="00181EF3">
              <w:t>174</w:t>
            </w:r>
          </w:p>
        </w:tc>
        <w:tc>
          <w:tcPr>
            <w:tcW w:w="1985" w:type="dxa"/>
            <w:tcBorders>
              <w:top w:val="single" w:sz="4" w:space="0" w:color="A6A6A6" w:themeColor="background1" w:themeShade="A6"/>
              <w:bottom w:val="single" w:sz="4" w:space="0" w:color="A6A6A6" w:themeColor="background1" w:themeShade="A6"/>
            </w:tcBorders>
            <w:hideMark/>
          </w:tcPr>
          <w:p w14:paraId="6B3C547C" w14:textId="77777777" w:rsidR="001B13EC" w:rsidRPr="00181EF3" w:rsidRDefault="001B13EC" w:rsidP="001B13EC">
            <w:pPr>
              <w:pStyle w:val="TableText"/>
              <w:keepNext/>
            </w:pPr>
            <w:r w:rsidRPr="00181EF3">
              <w:t>C50</w:t>
            </w:r>
          </w:p>
        </w:tc>
        <w:tc>
          <w:tcPr>
            <w:tcW w:w="1276" w:type="dxa"/>
            <w:tcBorders>
              <w:top w:val="single" w:sz="4" w:space="0" w:color="A6A6A6" w:themeColor="background1" w:themeShade="A6"/>
              <w:bottom w:val="single" w:sz="4" w:space="0" w:color="A6A6A6" w:themeColor="background1" w:themeShade="A6"/>
            </w:tcBorders>
            <w:noWrap/>
            <w:hideMark/>
          </w:tcPr>
          <w:p w14:paraId="0481FE21" w14:textId="77777777" w:rsidR="001B13EC" w:rsidRPr="00181EF3" w:rsidRDefault="001B13EC" w:rsidP="001B13EC">
            <w:pPr>
              <w:pStyle w:val="TableText"/>
              <w:keepNext/>
            </w:pPr>
            <w:r w:rsidRPr="00181EF3">
              <w:t>Females only</w:t>
            </w:r>
          </w:p>
        </w:tc>
      </w:tr>
      <w:tr w:rsidR="001B13EC" w:rsidRPr="00181EF3" w14:paraId="155139A6" w14:textId="77777777" w:rsidTr="001B13EC">
        <w:trPr>
          <w:cantSplit/>
        </w:trPr>
        <w:tc>
          <w:tcPr>
            <w:tcW w:w="993" w:type="dxa"/>
            <w:vMerge/>
            <w:noWrap/>
          </w:tcPr>
          <w:p w14:paraId="13CFC394" w14:textId="77777777" w:rsidR="001B13EC" w:rsidRPr="00181EF3" w:rsidRDefault="001B13EC" w:rsidP="001B13EC">
            <w:pPr>
              <w:pStyle w:val="TableText"/>
              <w:keepNext/>
            </w:pPr>
          </w:p>
        </w:tc>
        <w:tc>
          <w:tcPr>
            <w:tcW w:w="1842" w:type="dxa"/>
            <w:tcBorders>
              <w:top w:val="single" w:sz="4" w:space="0" w:color="A6A6A6" w:themeColor="background1" w:themeShade="A6"/>
              <w:bottom w:val="single" w:sz="4" w:space="0" w:color="A6A6A6" w:themeColor="background1" w:themeShade="A6"/>
            </w:tcBorders>
            <w:noWrap/>
            <w:hideMark/>
          </w:tcPr>
          <w:p w14:paraId="248EBA57" w14:textId="77777777" w:rsidR="001B13EC" w:rsidRPr="00181EF3" w:rsidRDefault="001B13EC" w:rsidP="001B13EC">
            <w:pPr>
              <w:pStyle w:val="TableText"/>
              <w:keepNext/>
            </w:pPr>
            <w:r w:rsidRPr="00181EF3">
              <w:t>Cervical cancer</w:t>
            </w:r>
          </w:p>
        </w:tc>
        <w:tc>
          <w:tcPr>
            <w:tcW w:w="1984" w:type="dxa"/>
            <w:tcBorders>
              <w:top w:val="single" w:sz="4" w:space="0" w:color="A6A6A6" w:themeColor="background1" w:themeShade="A6"/>
              <w:bottom w:val="single" w:sz="4" w:space="0" w:color="A6A6A6" w:themeColor="background1" w:themeShade="A6"/>
            </w:tcBorders>
            <w:hideMark/>
          </w:tcPr>
          <w:p w14:paraId="128F7094" w14:textId="77777777" w:rsidR="001B13EC" w:rsidRPr="00181EF3" w:rsidRDefault="001B13EC" w:rsidP="001B13EC">
            <w:pPr>
              <w:pStyle w:val="TableText"/>
              <w:keepNext/>
            </w:pPr>
            <w:r w:rsidRPr="00181EF3">
              <w:t>180</w:t>
            </w:r>
          </w:p>
        </w:tc>
        <w:tc>
          <w:tcPr>
            <w:tcW w:w="1985" w:type="dxa"/>
            <w:tcBorders>
              <w:top w:val="single" w:sz="4" w:space="0" w:color="A6A6A6" w:themeColor="background1" w:themeShade="A6"/>
              <w:bottom w:val="single" w:sz="4" w:space="0" w:color="A6A6A6" w:themeColor="background1" w:themeShade="A6"/>
            </w:tcBorders>
            <w:hideMark/>
          </w:tcPr>
          <w:p w14:paraId="23DE907E" w14:textId="77777777" w:rsidR="001B13EC" w:rsidRPr="00181EF3" w:rsidRDefault="001B13EC" w:rsidP="001B13EC">
            <w:pPr>
              <w:pStyle w:val="TableText"/>
              <w:keepNext/>
            </w:pPr>
            <w:r w:rsidRPr="00181EF3">
              <w:t>C53</w:t>
            </w:r>
          </w:p>
        </w:tc>
        <w:tc>
          <w:tcPr>
            <w:tcW w:w="1276" w:type="dxa"/>
            <w:tcBorders>
              <w:top w:val="single" w:sz="4" w:space="0" w:color="A6A6A6" w:themeColor="background1" w:themeShade="A6"/>
              <w:bottom w:val="single" w:sz="4" w:space="0" w:color="A6A6A6" w:themeColor="background1" w:themeShade="A6"/>
            </w:tcBorders>
            <w:noWrap/>
          </w:tcPr>
          <w:p w14:paraId="2C5A0A7D" w14:textId="77777777" w:rsidR="001B13EC" w:rsidRPr="00181EF3" w:rsidRDefault="001B13EC" w:rsidP="001B13EC">
            <w:pPr>
              <w:pStyle w:val="TableText"/>
              <w:keepNext/>
            </w:pPr>
          </w:p>
        </w:tc>
      </w:tr>
      <w:tr w:rsidR="001B13EC" w:rsidRPr="00181EF3" w14:paraId="547D7270" w14:textId="77777777" w:rsidTr="001B13EC">
        <w:trPr>
          <w:cantSplit/>
        </w:trPr>
        <w:tc>
          <w:tcPr>
            <w:tcW w:w="993" w:type="dxa"/>
            <w:vMerge/>
            <w:noWrap/>
          </w:tcPr>
          <w:p w14:paraId="681D5FC8" w14:textId="77777777" w:rsidR="001B13EC" w:rsidRPr="00181EF3" w:rsidRDefault="001B13EC" w:rsidP="001B13EC">
            <w:pPr>
              <w:pStyle w:val="TableText"/>
              <w:keepNext/>
            </w:pPr>
          </w:p>
        </w:tc>
        <w:tc>
          <w:tcPr>
            <w:tcW w:w="1842" w:type="dxa"/>
            <w:tcBorders>
              <w:top w:val="single" w:sz="4" w:space="0" w:color="A6A6A6" w:themeColor="background1" w:themeShade="A6"/>
              <w:bottom w:val="single" w:sz="4" w:space="0" w:color="A6A6A6" w:themeColor="background1" w:themeShade="A6"/>
            </w:tcBorders>
            <w:noWrap/>
            <w:hideMark/>
          </w:tcPr>
          <w:p w14:paraId="49F06AA0" w14:textId="77777777" w:rsidR="001B13EC" w:rsidRPr="00181EF3" w:rsidRDefault="001B13EC" w:rsidP="001B13EC">
            <w:pPr>
              <w:pStyle w:val="TableText"/>
              <w:keepNext/>
            </w:pPr>
            <w:r w:rsidRPr="00181EF3">
              <w:t>Prostate cancer</w:t>
            </w:r>
          </w:p>
        </w:tc>
        <w:tc>
          <w:tcPr>
            <w:tcW w:w="1984" w:type="dxa"/>
            <w:tcBorders>
              <w:top w:val="single" w:sz="4" w:space="0" w:color="A6A6A6" w:themeColor="background1" w:themeShade="A6"/>
              <w:bottom w:val="single" w:sz="4" w:space="0" w:color="A6A6A6" w:themeColor="background1" w:themeShade="A6"/>
            </w:tcBorders>
            <w:hideMark/>
          </w:tcPr>
          <w:p w14:paraId="27375657" w14:textId="77777777" w:rsidR="001B13EC" w:rsidRPr="00181EF3" w:rsidRDefault="001B13EC" w:rsidP="001B13EC">
            <w:pPr>
              <w:pStyle w:val="TableText"/>
              <w:keepNext/>
            </w:pPr>
            <w:r w:rsidRPr="00181EF3">
              <w:t>185</w:t>
            </w:r>
          </w:p>
        </w:tc>
        <w:tc>
          <w:tcPr>
            <w:tcW w:w="1985" w:type="dxa"/>
            <w:tcBorders>
              <w:top w:val="single" w:sz="4" w:space="0" w:color="A6A6A6" w:themeColor="background1" w:themeShade="A6"/>
              <w:bottom w:val="single" w:sz="4" w:space="0" w:color="A6A6A6" w:themeColor="background1" w:themeShade="A6"/>
            </w:tcBorders>
            <w:hideMark/>
          </w:tcPr>
          <w:p w14:paraId="10F815C2" w14:textId="77777777" w:rsidR="001B13EC" w:rsidRPr="00181EF3" w:rsidRDefault="001B13EC" w:rsidP="001B13EC">
            <w:pPr>
              <w:pStyle w:val="TableText"/>
              <w:keepNext/>
            </w:pPr>
            <w:r w:rsidRPr="00181EF3">
              <w:t>C61</w:t>
            </w:r>
          </w:p>
        </w:tc>
        <w:tc>
          <w:tcPr>
            <w:tcW w:w="1276" w:type="dxa"/>
            <w:tcBorders>
              <w:top w:val="single" w:sz="4" w:space="0" w:color="A6A6A6" w:themeColor="background1" w:themeShade="A6"/>
              <w:bottom w:val="single" w:sz="4" w:space="0" w:color="A6A6A6" w:themeColor="background1" w:themeShade="A6"/>
            </w:tcBorders>
            <w:noWrap/>
          </w:tcPr>
          <w:p w14:paraId="18677843" w14:textId="77777777" w:rsidR="001B13EC" w:rsidRPr="00181EF3" w:rsidRDefault="001B13EC" w:rsidP="001B13EC">
            <w:pPr>
              <w:pStyle w:val="TableText"/>
              <w:keepNext/>
            </w:pPr>
          </w:p>
        </w:tc>
      </w:tr>
      <w:tr w:rsidR="001B13EC" w:rsidRPr="00181EF3" w14:paraId="0FA244DD" w14:textId="77777777" w:rsidTr="001B13EC">
        <w:trPr>
          <w:cantSplit/>
        </w:trPr>
        <w:tc>
          <w:tcPr>
            <w:tcW w:w="993" w:type="dxa"/>
            <w:vMerge/>
            <w:noWrap/>
          </w:tcPr>
          <w:p w14:paraId="6B9C1331" w14:textId="77777777" w:rsidR="001B13EC" w:rsidRPr="00181EF3" w:rsidRDefault="001B13EC" w:rsidP="001B13EC">
            <w:pPr>
              <w:pStyle w:val="TableText"/>
              <w:keepNext/>
            </w:pPr>
          </w:p>
        </w:tc>
        <w:tc>
          <w:tcPr>
            <w:tcW w:w="1842" w:type="dxa"/>
            <w:tcBorders>
              <w:top w:val="single" w:sz="4" w:space="0" w:color="A6A6A6" w:themeColor="background1" w:themeShade="A6"/>
              <w:bottom w:val="single" w:sz="4" w:space="0" w:color="A6A6A6" w:themeColor="background1" w:themeShade="A6"/>
            </w:tcBorders>
            <w:noWrap/>
            <w:hideMark/>
          </w:tcPr>
          <w:p w14:paraId="5D993D34" w14:textId="77777777" w:rsidR="001B13EC" w:rsidRPr="00181EF3" w:rsidRDefault="001B13EC" w:rsidP="001B13EC">
            <w:pPr>
              <w:pStyle w:val="TableText"/>
              <w:keepNext/>
            </w:pPr>
            <w:r w:rsidRPr="00181EF3">
              <w:t>Testis cancer</w:t>
            </w:r>
          </w:p>
        </w:tc>
        <w:tc>
          <w:tcPr>
            <w:tcW w:w="1984" w:type="dxa"/>
            <w:tcBorders>
              <w:top w:val="single" w:sz="4" w:space="0" w:color="A6A6A6" w:themeColor="background1" w:themeShade="A6"/>
              <w:bottom w:val="single" w:sz="4" w:space="0" w:color="A6A6A6" w:themeColor="background1" w:themeShade="A6"/>
            </w:tcBorders>
            <w:hideMark/>
          </w:tcPr>
          <w:p w14:paraId="5ACDDE36" w14:textId="77777777" w:rsidR="001B13EC" w:rsidRPr="00181EF3" w:rsidRDefault="001B13EC" w:rsidP="001B13EC">
            <w:pPr>
              <w:pStyle w:val="TableText"/>
              <w:keepNext/>
            </w:pPr>
            <w:r w:rsidRPr="00181EF3">
              <w:t>186</w:t>
            </w:r>
          </w:p>
        </w:tc>
        <w:tc>
          <w:tcPr>
            <w:tcW w:w="1985" w:type="dxa"/>
            <w:tcBorders>
              <w:top w:val="single" w:sz="4" w:space="0" w:color="A6A6A6" w:themeColor="background1" w:themeShade="A6"/>
              <w:bottom w:val="single" w:sz="4" w:space="0" w:color="A6A6A6" w:themeColor="background1" w:themeShade="A6"/>
            </w:tcBorders>
            <w:hideMark/>
          </w:tcPr>
          <w:p w14:paraId="26D2B428" w14:textId="77777777" w:rsidR="001B13EC" w:rsidRPr="00181EF3" w:rsidRDefault="001B13EC" w:rsidP="001B13EC">
            <w:pPr>
              <w:pStyle w:val="TableText"/>
              <w:keepNext/>
            </w:pPr>
            <w:r w:rsidRPr="00181EF3">
              <w:t>C62</w:t>
            </w:r>
          </w:p>
        </w:tc>
        <w:tc>
          <w:tcPr>
            <w:tcW w:w="1276" w:type="dxa"/>
            <w:tcBorders>
              <w:top w:val="single" w:sz="4" w:space="0" w:color="A6A6A6" w:themeColor="background1" w:themeShade="A6"/>
              <w:bottom w:val="single" w:sz="4" w:space="0" w:color="A6A6A6" w:themeColor="background1" w:themeShade="A6"/>
            </w:tcBorders>
            <w:noWrap/>
          </w:tcPr>
          <w:p w14:paraId="7C5623A4" w14:textId="77777777" w:rsidR="001B13EC" w:rsidRPr="00181EF3" w:rsidRDefault="001B13EC" w:rsidP="001B13EC">
            <w:pPr>
              <w:pStyle w:val="TableText"/>
              <w:keepNext/>
            </w:pPr>
          </w:p>
        </w:tc>
      </w:tr>
      <w:tr w:rsidR="001B13EC" w:rsidRPr="00181EF3" w14:paraId="4DEF8993" w14:textId="77777777" w:rsidTr="001B13EC">
        <w:trPr>
          <w:cantSplit/>
        </w:trPr>
        <w:tc>
          <w:tcPr>
            <w:tcW w:w="993" w:type="dxa"/>
            <w:vMerge/>
            <w:noWrap/>
          </w:tcPr>
          <w:p w14:paraId="5F38968B" w14:textId="77777777" w:rsidR="001B13EC" w:rsidRPr="00181EF3" w:rsidRDefault="001B13EC" w:rsidP="001B13EC">
            <w:pPr>
              <w:pStyle w:val="TableText"/>
              <w:keepNext/>
            </w:pPr>
          </w:p>
        </w:tc>
        <w:tc>
          <w:tcPr>
            <w:tcW w:w="1842" w:type="dxa"/>
            <w:tcBorders>
              <w:top w:val="single" w:sz="4" w:space="0" w:color="A6A6A6" w:themeColor="background1" w:themeShade="A6"/>
              <w:bottom w:val="single" w:sz="4" w:space="0" w:color="A6A6A6" w:themeColor="background1" w:themeShade="A6"/>
            </w:tcBorders>
            <w:noWrap/>
            <w:hideMark/>
          </w:tcPr>
          <w:p w14:paraId="18F43E8C" w14:textId="77777777" w:rsidR="001B13EC" w:rsidRPr="00181EF3" w:rsidRDefault="001B13EC" w:rsidP="001B13EC">
            <w:pPr>
              <w:pStyle w:val="TableText"/>
              <w:keepNext/>
            </w:pPr>
            <w:r w:rsidRPr="00181EF3">
              <w:t>Thyroid cancer</w:t>
            </w:r>
          </w:p>
        </w:tc>
        <w:tc>
          <w:tcPr>
            <w:tcW w:w="1984" w:type="dxa"/>
            <w:tcBorders>
              <w:top w:val="single" w:sz="4" w:space="0" w:color="A6A6A6" w:themeColor="background1" w:themeShade="A6"/>
              <w:bottom w:val="single" w:sz="4" w:space="0" w:color="A6A6A6" w:themeColor="background1" w:themeShade="A6"/>
            </w:tcBorders>
            <w:hideMark/>
          </w:tcPr>
          <w:p w14:paraId="6D10317C" w14:textId="77777777" w:rsidR="001B13EC" w:rsidRPr="00181EF3" w:rsidRDefault="001B13EC" w:rsidP="001B13EC">
            <w:pPr>
              <w:pStyle w:val="TableText"/>
              <w:keepNext/>
            </w:pPr>
            <w:r w:rsidRPr="00181EF3">
              <w:t>193</w:t>
            </w:r>
          </w:p>
        </w:tc>
        <w:tc>
          <w:tcPr>
            <w:tcW w:w="1985" w:type="dxa"/>
            <w:tcBorders>
              <w:top w:val="single" w:sz="4" w:space="0" w:color="A6A6A6" w:themeColor="background1" w:themeShade="A6"/>
              <w:bottom w:val="single" w:sz="4" w:space="0" w:color="A6A6A6" w:themeColor="background1" w:themeShade="A6"/>
            </w:tcBorders>
            <w:hideMark/>
          </w:tcPr>
          <w:p w14:paraId="21475DD5" w14:textId="77777777" w:rsidR="001B13EC" w:rsidRPr="00181EF3" w:rsidRDefault="001B13EC" w:rsidP="001B13EC">
            <w:pPr>
              <w:pStyle w:val="TableText"/>
              <w:keepNext/>
            </w:pPr>
            <w:r w:rsidRPr="00181EF3">
              <w:t>C73</w:t>
            </w:r>
          </w:p>
        </w:tc>
        <w:tc>
          <w:tcPr>
            <w:tcW w:w="1276" w:type="dxa"/>
            <w:tcBorders>
              <w:top w:val="single" w:sz="4" w:space="0" w:color="A6A6A6" w:themeColor="background1" w:themeShade="A6"/>
              <w:bottom w:val="single" w:sz="4" w:space="0" w:color="A6A6A6" w:themeColor="background1" w:themeShade="A6"/>
            </w:tcBorders>
            <w:noWrap/>
          </w:tcPr>
          <w:p w14:paraId="49E76A8D" w14:textId="77777777" w:rsidR="001B13EC" w:rsidRPr="00181EF3" w:rsidRDefault="001B13EC" w:rsidP="001B13EC">
            <w:pPr>
              <w:pStyle w:val="TableText"/>
              <w:keepNext/>
            </w:pPr>
          </w:p>
        </w:tc>
      </w:tr>
      <w:tr w:rsidR="001B13EC" w:rsidRPr="00181EF3" w14:paraId="61B25858" w14:textId="77777777" w:rsidTr="001B13EC">
        <w:trPr>
          <w:cantSplit/>
        </w:trPr>
        <w:tc>
          <w:tcPr>
            <w:tcW w:w="993" w:type="dxa"/>
            <w:vMerge/>
            <w:noWrap/>
          </w:tcPr>
          <w:p w14:paraId="797DAAE2" w14:textId="77777777" w:rsidR="001B13EC" w:rsidRPr="00181EF3" w:rsidRDefault="001B13EC" w:rsidP="001B13EC">
            <w:pPr>
              <w:pStyle w:val="TableText"/>
            </w:pPr>
          </w:p>
        </w:tc>
        <w:tc>
          <w:tcPr>
            <w:tcW w:w="1842" w:type="dxa"/>
            <w:tcBorders>
              <w:top w:val="single" w:sz="4" w:space="0" w:color="A6A6A6" w:themeColor="background1" w:themeShade="A6"/>
              <w:bottom w:val="single" w:sz="4" w:space="0" w:color="A6A6A6" w:themeColor="background1" w:themeShade="A6"/>
            </w:tcBorders>
            <w:noWrap/>
            <w:hideMark/>
          </w:tcPr>
          <w:p w14:paraId="6511A22D" w14:textId="77777777" w:rsidR="001B13EC" w:rsidRPr="00181EF3" w:rsidRDefault="001B13EC" w:rsidP="001B13EC">
            <w:pPr>
              <w:pStyle w:val="TableText"/>
            </w:pPr>
            <w:r w:rsidRPr="00181EF3">
              <w:t>Hodgkin lymphoma</w:t>
            </w:r>
          </w:p>
        </w:tc>
        <w:tc>
          <w:tcPr>
            <w:tcW w:w="1984" w:type="dxa"/>
            <w:tcBorders>
              <w:top w:val="single" w:sz="4" w:space="0" w:color="A6A6A6" w:themeColor="background1" w:themeShade="A6"/>
              <w:bottom w:val="single" w:sz="4" w:space="0" w:color="A6A6A6" w:themeColor="background1" w:themeShade="A6"/>
            </w:tcBorders>
            <w:hideMark/>
          </w:tcPr>
          <w:p w14:paraId="70877EC6" w14:textId="77777777" w:rsidR="001B13EC" w:rsidRPr="00181EF3" w:rsidRDefault="001B13EC" w:rsidP="001B13EC">
            <w:pPr>
              <w:pStyle w:val="TableText"/>
            </w:pPr>
            <w:r w:rsidRPr="00181EF3">
              <w:t>201</w:t>
            </w:r>
          </w:p>
        </w:tc>
        <w:tc>
          <w:tcPr>
            <w:tcW w:w="1985" w:type="dxa"/>
            <w:tcBorders>
              <w:top w:val="single" w:sz="4" w:space="0" w:color="A6A6A6" w:themeColor="background1" w:themeShade="A6"/>
              <w:bottom w:val="single" w:sz="4" w:space="0" w:color="A6A6A6" w:themeColor="background1" w:themeShade="A6"/>
            </w:tcBorders>
            <w:hideMark/>
          </w:tcPr>
          <w:p w14:paraId="19175763" w14:textId="77777777" w:rsidR="001B13EC" w:rsidRPr="00181EF3" w:rsidRDefault="001B13EC" w:rsidP="001B13EC">
            <w:pPr>
              <w:pStyle w:val="TableText"/>
            </w:pPr>
            <w:r w:rsidRPr="00181EF3">
              <w:t>C81</w:t>
            </w:r>
          </w:p>
        </w:tc>
        <w:tc>
          <w:tcPr>
            <w:tcW w:w="1276" w:type="dxa"/>
            <w:tcBorders>
              <w:top w:val="single" w:sz="4" w:space="0" w:color="A6A6A6" w:themeColor="background1" w:themeShade="A6"/>
              <w:bottom w:val="single" w:sz="4" w:space="0" w:color="A6A6A6" w:themeColor="background1" w:themeShade="A6"/>
            </w:tcBorders>
            <w:noWrap/>
          </w:tcPr>
          <w:p w14:paraId="2F802258" w14:textId="77777777" w:rsidR="001B13EC" w:rsidRPr="00181EF3" w:rsidRDefault="001B13EC" w:rsidP="001B13EC">
            <w:pPr>
              <w:pStyle w:val="TableText"/>
            </w:pPr>
          </w:p>
        </w:tc>
      </w:tr>
      <w:tr w:rsidR="001B13EC" w:rsidRPr="00181EF3" w14:paraId="667B1FE7" w14:textId="77777777" w:rsidTr="001B13EC">
        <w:trPr>
          <w:cantSplit/>
        </w:trPr>
        <w:tc>
          <w:tcPr>
            <w:tcW w:w="993" w:type="dxa"/>
            <w:vMerge/>
            <w:tcBorders>
              <w:bottom w:val="single" w:sz="4" w:space="0" w:color="7F7F7F" w:themeColor="text1" w:themeTint="80"/>
            </w:tcBorders>
            <w:noWrap/>
          </w:tcPr>
          <w:p w14:paraId="11F401A9" w14:textId="77777777" w:rsidR="001B13EC" w:rsidRPr="00181EF3" w:rsidRDefault="001B13EC" w:rsidP="001B13EC">
            <w:pPr>
              <w:pStyle w:val="TableText"/>
            </w:pPr>
          </w:p>
        </w:tc>
        <w:tc>
          <w:tcPr>
            <w:tcW w:w="1842" w:type="dxa"/>
            <w:tcBorders>
              <w:top w:val="single" w:sz="4" w:space="0" w:color="A6A6A6" w:themeColor="background1" w:themeShade="A6"/>
              <w:bottom w:val="single" w:sz="4" w:space="0" w:color="7F7F7F" w:themeColor="text1" w:themeTint="80"/>
            </w:tcBorders>
            <w:noWrap/>
            <w:hideMark/>
          </w:tcPr>
          <w:p w14:paraId="58F07421" w14:textId="77777777" w:rsidR="001B13EC" w:rsidRPr="00181EF3" w:rsidRDefault="001B13EC" w:rsidP="001B13EC">
            <w:pPr>
              <w:pStyle w:val="TableText"/>
            </w:pPr>
            <w:r w:rsidRPr="00181EF3">
              <w:t>Acute lymphoblastic leukaemia</w:t>
            </w:r>
          </w:p>
        </w:tc>
        <w:tc>
          <w:tcPr>
            <w:tcW w:w="1984" w:type="dxa"/>
            <w:tcBorders>
              <w:top w:val="single" w:sz="4" w:space="0" w:color="A6A6A6" w:themeColor="background1" w:themeShade="A6"/>
              <w:bottom w:val="single" w:sz="4" w:space="0" w:color="7F7F7F" w:themeColor="text1" w:themeTint="80"/>
            </w:tcBorders>
            <w:hideMark/>
          </w:tcPr>
          <w:p w14:paraId="1BA3F79F" w14:textId="77777777" w:rsidR="001B13EC" w:rsidRPr="00181EF3" w:rsidRDefault="001B13EC" w:rsidP="001B13EC">
            <w:pPr>
              <w:pStyle w:val="TableText"/>
            </w:pPr>
            <w:r w:rsidRPr="00181EF3">
              <w:t>204.0</w:t>
            </w:r>
          </w:p>
        </w:tc>
        <w:tc>
          <w:tcPr>
            <w:tcW w:w="1985" w:type="dxa"/>
            <w:tcBorders>
              <w:top w:val="single" w:sz="4" w:space="0" w:color="A6A6A6" w:themeColor="background1" w:themeShade="A6"/>
              <w:bottom w:val="single" w:sz="4" w:space="0" w:color="7F7F7F" w:themeColor="text1" w:themeTint="80"/>
            </w:tcBorders>
            <w:hideMark/>
          </w:tcPr>
          <w:p w14:paraId="7C5F5C3C" w14:textId="77777777" w:rsidR="001B13EC" w:rsidRPr="00181EF3" w:rsidRDefault="001B13EC" w:rsidP="001B13EC">
            <w:pPr>
              <w:pStyle w:val="TableText"/>
            </w:pPr>
            <w:r w:rsidRPr="00181EF3">
              <w:t>C91.0</w:t>
            </w:r>
          </w:p>
        </w:tc>
        <w:tc>
          <w:tcPr>
            <w:tcW w:w="1276" w:type="dxa"/>
            <w:tcBorders>
              <w:top w:val="single" w:sz="4" w:space="0" w:color="A6A6A6" w:themeColor="background1" w:themeShade="A6"/>
              <w:bottom w:val="single" w:sz="4" w:space="0" w:color="7F7F7F" w:themeColor="text1" w:themeTint="80"/>
            </w:tcBorders>
            <w:noWrap/>
            <w:hideMark/>
          </w:tcPr>
          <w:p w14:paraId="716262F4" w14:textId="77777777" w:rsidR="001B13EC" w:rsidRPr="00181EF3" w:rsidRDefault="001B13EC" w:rsidP="001B13EC">
            <w:pPr>
              <w:pStyle w:val="TableText"/>
            </w:pPr>
            <w:r w:rsidRPr="00181EF3">
              <w:t>Ages 0–44 only</w:t>
            </w:r>
          </w:p>
        </w:tc>
      </w:tr>
      <w:tr w:rsidR="001B13EC" w:rsidRPr="00181EF3" w14:paraId="397263B2" w14:textId="77777777" w:rsidTr="001B13EC">
        <w:trPr>
          <w:cantSplit/>
        </w:trPr>
        <w:tc>
          <w:tcPr>
            <w:tcW w:w="993" w:type="dxa"/>
            <w:vMerge w:val="restart"/>
            <w:tcBorders>
              <w:top w:val="single" w:sz="4" w:space="0" w:color="7F7F7F" w:themeColor="text1" w:themeTint="80"/>
            </w:tcBorders>
            <w:noWrap/>
            <w:hideMark/>
          </w:tcPr>
          <w:p w14:paraId="1C83C519" w14:textId="77777777" w:rsidR="001B13EC" w:rsidRPr="00181EF3" w:rsidRDefault="001B13EC" w:rsidP="001B13EC">
            <w:pPr>
              <w:pStyle w:val="TableText"/>
              <w:ind w:right="113"/>
            </w:pPr>
            <w:r w:rsidRPr="00181EF3">
              <w:t>Maternal and infant</w:t>
            </w:r>
          </w:p>
        </w:tc>
        <w:tc>
          <w:tcPr>
            <w:tcW w:w="1842" w:type="dxa"/>
            <w:tcBorders>
              <w:top w:val="single" w:sz="4" w:space="0" w:color="7F7F7F" w:themeColor="text1" w:themeTint="80"/>
              <w:bottom w:val="single" w:sz="4" w:space="0" w:color="A6A6A6" w:themeColor="background1" w:themeShade="A6"/>
            </w:tcBorders>
            <w:noWrap/>
            <w:hideMark/>
          </w:tcPr>
          <w:p w14:paraId="062D244E" w14:textId="77777777" w:rsidR="001B13EC" w:rsidRPr="00181EF3" w:rsidRDefault="001B13EC" w:rsidP="001B13EC">
            <w:pPr>
              <w:pStyle w:val="TableText"/>
            </w:pPr>
            <w:r w:rsidRPr="00181EF3">
              <w:t>Complications of pregnancy</w:t>
            </w:r>
          </w:p>
        </w:tc>
        <w:tc>
          <w:tcPr>
            <w:tcW w:w="1984" w:type="dxa"/>
            <w:tcBorders>
              <w:top w:val="single" w:sz="4" w:space="0" w:color="7F7F7F" w:themeColor="text1" w:themeTint="80"/>
              <w:bottom w:val="single" w:sz="4" w:space="0" w:color="A6A6A6" w:themeColor="background1" w:themeShade="A6"/>
            </w:tcBorders>
            <w:hideMark/>
          </w:tcPr>
          <w:p w14:paraId="0CD67E1C" w14:textId="77777777" w:rsidR="001B13EC" w:rsidRPr="00181EF3" w:rsidRDefault="001B13EC" w:rsidP="001B13EC">
            <w:pPr>
              <w:pStyle w:val="TableText"/>
            </w:pPr>
            <w:r w:rsidRPr="00181EF3">
              <w:t>630–676</w:t>
            </w:r>
          </w:p>
        </w:tc>
        <w:tc>
          <w:tcPr>
            <w:tcW w:w="1985" w:type="dxa"/>
            <w:tcBorders>
              <w:top w:val="single" w:sz="4" w:space="0" w:color="7F7F7F" w:themeColor="text1" w:themeTint="80"/>
              <w:bottom w:val="single" w:sz="4" w:space="0" w:color="A6A6A6" w:themeColor="background1" w:themeShade="A6"/>
            </w:tcBorders>
            <w:hideMark/>
          </w:tcPr>
          <w:p w14:paraId="1BB0AD60" w14:textId="77777777" w:rsidR="001B13EC" w:rsidRPr="00181EF3" w:rsidRDefault="001B13EC" w:rsidP="001B13EC">
            <w:pPr>
              <w:pStyle w:val="TableText"/>
            </w:pPr>
            <w:r w:rsidRPr="00181EF3">
              <w:t>O00–O96, O98–O99</w:t>
            </w:r>
          </w:p>
        </w:tc>
        <w:tc>
          <w:tcPr>
            <w:tcW w:w="1276" w:type="dxa"/>
            <w:tcBorders>
              <w:top w:val="single" w:sz="4" w:space="0" w:color="7F7F7F" w:themeColor="text1" w:themeTint="80"/>
              <w:bottom w:val="single" w:sz="4" w:space="0" w:color="A6A6A6" w:themeColor="background1" w:themeShade="A6"/>
            </w:tcBorders>
            <w:noWrap/>
          </w:tcPr>
          <w:p w14:paraId="63F7EE00" w14:textId="77777777" w:rsidR="001B13EC" w:rsidRPr="00181EF3" w:rsidRDefault="001B13EC" w:rsidP="001B13EC">
            <w:pPr>
              <w:pStyle w:val="TableText"/>
            </w:pPr>
          </w:p>
        </w:tc>
      </w:tr>
      <w:tr w:rsidR="001B13EC" w:rsidRPr="00181EF3" w14:paraId="66A20DA7" w14:textId="77777777" w:rsidTr="001B13EC">
        <w:trPr>
          <w:cantSplit/>
        </w:trPr>
        <w:tc>
          <w:tcPr>
            <w:tcW w:w="993" w:type="dxa"/>
            <w:vMerge/>
            <w:noWrap/>
          </w:tcPr>
          <w:p w14:paraId="74677A81" w14:textId="77777777" w:rsidR="001B13EC" w:rsidRPr="00181EF3" w:rsidRDefault="001B13EC" w:rsidP="001B13EC">
            <w:pPr>
              <w:pStyle w:val="TableText"/>
            </w:pPr>
          </w:p>
        </w:tc>
        <w:tc>
          <w:tcPr>
            <w:tcW w:w="1842" w:type="dxa"/>
            <w:tcBorders>
              <w:top w:val="single" w:sz="4" w:space="0" w:color="A6A6A6" w:themeColor="background1" w:themeShade="A6"/>
              <w:bottom w:val="single" w:sz="4" w:space="0" w:color="A6A6A6" w:themeColor="background1" w:themeShade="A6"/>
            </w:tcBorders>
            <w:noWrap/>
            <w:hideMark/>
          </w:tcPr>
          <w:p w14:paraId="40D394B5" w14:textId="77777777" w:rsidR="001B13EC" w:rsidRPr="00181EF3" w:rsidRDefault="001B13EC" w:rsidP="001B13EC">
            <w:pPr>
              <w:pStyle w:val="TableText"/>
            </w:pPr>
            <w:r w:rsidRPr="00181EF3">
              <w:t>Complications of perinatal period</w:t>
            </w:r>
          </w:p>
        </w:tc>
        <w:tc>
          <w:tcPr>
            <w:tcW w:w="1984" w:type="dxa"/>
            <w:tcBorders>
              <w:top w:val="single" w:sz="4" w:space="0" w:color="A6A6A6" w:themeColor="background1" w:themeShade="A6"/>
              <w:bottom w:val="single" w:sz="4" w:space="0" w:color="A6A6A6" w:themeColor="background1" w:themeShade="A6"/>
            </w:tcBorders>
            <w:hideMark/>
          </w:tcPr>
          <w:p w14:paraId="0FFCC8B0" w14:textId="77777777" w:rsidR="001B13EC" w:rsidRPr="00181EF3" w:rsidRDefault="001B13EC" w:rsidP="001B13EC">
            <w:pPr>
              <w:pStyle w:val="TableText"/>
            </w:pPr>
            <w:r w:rsidRPr="00181EF3">
              <w:t>761–762, 763.0–763.4, 763.6–763.9, 764–767, 768.2–768.9, 769–778, 779.0–779.4</w:t>
            </w:r>
          </w:p>
        </w:tc>
        <w:tc>
          <w:tcPr>
            <w:tcW w:w="1985" w:type="dxa"/>
            <w:tcBorders>
              <w:top w:val="single" w:sz="4" w:space="0" w:color="A6A6A6" w:themeColor="background1" w:themeShade="A6"/>
              <w:bottom w:val="single" w:sz="4" w:space="0" w:color="A6A6A6" w:themeColor="background1" w:themeShade="A6"/>
            </w:tcBorders>
            <w:hideMark/>
          </w:tcPr>
          <w:p w14:paraId="6FABAEBF" w14:textId="77777777" w:rsidR="001B13EC" w:rsidRPr="00181EF3" w:rsidRDefault="001B13EC" w:rsidP="001B13EC">
            <w:pPr>
              <w:pStyle w:val="TableText"/>
            </w:pPr>
            <w:r w:rsidRPr="00181EF3">
              <w:t>P01–P03, P05–P94</w:t>
            </w:r>
          </w:p>
        </w:tc>
        <w:tc>
          <w:tcPr>
            <w:tcW w:w="1276" w:type="dxa"/>
            <w:tcBorders>
              <w:top w:val="single" w:sz="4" w:space="0" w:color="A6A6A6" w:themeColor="background1" w:themeShade="A6"/>
              <w:bottom w:val="single" w:sz="4" w:space="0" w:color="A6A6A6" w:themeColor="background1" w:themeShade="A6"/>
            </w:tcBorders>
            <w:noWrap/>
          </w:tcPr>
          <w:p w14:paraId="285BD90A" w14:textId="77777777" w:rsidR="001B13EC" w:rsidRPr="00181EF3" w:rsidRDefault="001B13EC" w:rsidP="001B13EC">
            <w:pPr>
              <w:pStyle w:val="TableText"/>
            </w:pPr>
          </w:p>
        </w:tc>
      </w:tr>
      <w:tr w:rsidR="001B13EC" w:rsidRPr="00181EF3" w14:paraId="76146E9C" w14:textId="77777777" w:rsidTr="001B13EC">
        <w:trPr>
          <w:cantSplit/>
        </w:trPr>
        <w:tc>
          <w:tcPr>
            <w:tcW w:w="993" w:type="dxa"/>
            <w:vMerge/>
            <w:tcBorders>
              <w:bottom w:val="single" w:sz="4" w:space="0" w:color="7F7F7F" w:themeColor="text1" w:themeTint="80"/>
            </w:tcBorders>
            <w:noWrap/>
          </w:tcPr>
          <w:p w14:paraId="71F2A245" w14:textId="77777777" w:rsidR="001B13EC" w:rsidRPr="00181EF3" w:rsidRDefault="001B13EC" w:rsidP="001B13EC">
            <w:pPr>
              <w:pStyle w:val="TableText"/>
            </w:pPr>
          </w:p>
        </w:tc>
        <w:tc>
          <w:tcPr>
            <w:tcW w:w="1842" w:type="dxa"/>
            <w:tcBorders>
              <w:top w:val="single" w:sz="4" w:space="0" w:color="A6A6A6" w:themeColor="background1" w:themeShade="A6"/>
              <w:bottom w:val="single" w:sz="4" w:space="0" w:color="7F7F7F" w:themeColor="text1" w:themeTint="80"/>
            </w:tcBorders>
            <w:noWrap/>
            <w:hideMark/>
          </w:tcPr>
          <w:p w14:paraId="044832C5" w14:textId="77777777" w:rsidR="001B13EC" w:rsidRPr="00181EF3" w:rsidRDefault="001B13EC" w:rsidP="001B13EC">
            <w:pPr>
              <w:pStyle w:val="TableText"/>
            </w:pPr>
            <w:r w:rsidRPr="00181EF3">
              <w:t>Cardiac septal defect</w:t>
            </w:r>
          </w:p>
        </w:tc>
        <w:tc>
          <w:tcPr>
            <w:tcW w:w="1984" w:type="dxa"/>
            <w:tcBorders>
              <w:top w:val="single" w:sz="4" w:space="0" w:color="A6A6A6" w:themeColor="background1" w:themeShade="A6"/>
              <w:bottom w:val="single" w:sz="4" w:space="0" w:color="7F7F7F" w:themeColor="text1" w:themeTint="80"/>
            </w:tcBorders>
            <w:hideMark/>
          </w:tcPr>
          <w:p w14:paraId="60D0733A" w14:textId="77777777" w:rsidR="001B13EC" w:rsidRPr="00181EF3" w:rsidRDefault="001B13EC" w:rsidP="001B13EC">
            <w:pPr>
              <w:pStyle w:val="TableText"/>
            </w:pPr>
            <w:r w:rsidRPr="00181EF3">
              <w:t>745.2, 745.4–745.6, 745.8–745.9</w:t>
            </w:r>
          </w:p>
        </w:tc>
        <w:tc>
          <w:tcPr>
            <w:tcW w:w="1985" w:type="dxa"/>
            <w:tcBorders>
              <w:top w:val="single" w:sz="4" w:space="0" w:color="A6A6A6" w:themeColor="background1" w:themeShade="A6"/>
              <w:bottom w:val="single" w:sz="4" w:space="0" w:color="7F7F7F" w:themeColor="text1" w:themeTint="80"/>
            </w:tcBorders>
            <w:hideMark/>
          </w:tcPr>
          <w:p w14:paraId="37E152BC" w14:textId="77777777" w:rsidR="001B13EC" w:rsidRPr="00181EF3" w:rsidRDefault="001B13EC" w:rsidP="001B13EC">
            <w:pPr>
              <w:pStyle w:val="TableText"/>
            </w:pPr>
            <w:r w:rsidRPr="00181EF3">
              <w:t>Q21</w:t>
            </w:r>
          </w:p>
        </w:tc>
        <w:tc>
          <w:tcPr>
            <w:tcW w:w="1276" w:type="dxa"/>
            <w:tcBorders>
              <w:top w:val="single" w:sz="4" w:space="0" w:color="A6A6A6" w:themeColor="background1" w:themeShade="A6"/>
              <w:bottom w:val="single" w:sz="4" w:space="0" w:color="7F7F7F" w:themeColor="text1" w:themeTint="80"/>
            </w:tcBorders>
            <w:noWrap/>
            <w:hideMark/>
          </w:tcPr>
          <w:p w14:paraId="5A2FC7E4" w14:textId="77777777" w:rsidR="001B13EC" w:rsidRPr="00181EF3" w:rsidRDefault="001B13EC" w:rsidP="001B13EC">
            <w:pPr>
              <w:pStyle w:val="TableText"/>
            </w:pPr>
            <w:r w:rsidRPr="00181EF3">
              <w:t>Includes some bulbous cord anomalies in ICD-9</w:t>
            </w:r>
          </w:p>
        </w:tc>
      </w:tr>
      <w:tr w:rsidR="001B13EC" w:rsidRPr="00181EF3" w14:paraId="737BAE1B" w14:textId="77777777" w:rsidTr="001B13EC">
        <w:trPr>
          <w:cantSplit/>
        </w:trPr>
        <w:tc>
          <w:tcPr>
            <w:tcW w:w="993" w:type="dxa"/>
            <w:vMerge w:val="restart"/>
            <w:tcBorders>
              <w:top w:val="single" w:sz="4" w:space="0" w:color="7F7F7F" w:themeColor="text1" w:themeTint="80"/>
            </w:tcBorders>
            <w:noWrap/>
            <w:hideMark/>
          </w:tcPr>
          <w:p w14:paraId="08E44F63" w14:textId="77777777" w:rsidR="001B13EC" w:rsidRPr="00181EF3" w:rsidRDefault="001B13EC" w:rsidP="000667F5">
            <w:pPr>
              <w:pStyle w:val="TableText"/>
              <w:keepNext/>
            </w:pPr>
            <w:r w:rsidRPr="00181EF3">
              <w:lastRenderedPageBreak/>
              <w:t>Chronic disorders</w:t>
            </w:r>
          </w:p>
        </w:tc>
        <w:tc>
          <w:tcPr>
            <w:tcW w:w="1842" w:type="dxa"/>
            <w:tcBorders>
              <w:top w:val="single" w:sz="4" w:space="0" w:color="7F7F7F" w:themeColor="text1" w:themeTint="80"/>
              <w:bottom w:val="single" w:sz="4" w:space="0" w:color="A6A6A6" w:themeColor="background1" w:themeShade="A6"/>
            </w:tcBorders>
            <w:noWrap/>
            <w:hideMark/>
          </w:tcPr>
          <w:p w14:paraId="39C62E0E" w14:textId="77777777" w:rsidR="001B13EC" w:rsidRPr="00181EF3" w:rsidRDefault="001B13EC" w:rsidP="000667F5">
            <w:pPr>
              <w:pStyle w:val="TableText"/>
              <w:keepNext/>
            </w:pPr>
            <w:r w:rsidRPr="00181EF3">
              <w:t>Diabetes</w:t>
            </w:r>
          </w:p>
        </w:tc>
        <w:tc>
          <w:tcPr>
            <w:tcW w:w="1984" w:type="dxa"/>
            <w:tcBorders>
              <w:top w:val="single" w:sz="4" w:space="0" w:color="7F7F7F" w:themeColor="text1" w:themeTint="80"/>
              <w:bottom w:val="single" w:sz="4" w:space="0" w:color="A6A6A6" w:themeColor="background1" w:themeShade="A6"/>
            </w:tcBorders>
            <w:hideMark/>
          </w:tcPr>
          <w:p w14:paraId="02E1A58F" w14:textId="77777777" w:rsidR="001B13EC" w:rsidRPr="00181EF3" w:rsidRDefault="001B13EC" w:rsidP="000667F5">
            <w:pPr>
              <w:pStyle w:val="TableText"/>
              <w:keepNext/>
            </w:pPr>
            <w:r w:rsidRPr="00181EF3">
              <w:t>250</w:t>
            </w:r>
          </w:p>
        </w:tc>
        <w:tc>
          <w:tcPr>
            <w:tcW w:w="1985" w:type="dxa"/>
            <w:tcBorders>
              <w:top w:val="single" w:sz="4" w:space="0" w:color="7F7F7F" w:themeColor="text1" w:themeTint="80"/>
              <w:bottom w:val="single" w:sz="4" w:space="0" w:color="A6A6A6" w:themeColor="background1" w:themeShade="A6"/>
            </w:tcBorders>
            <w:hideMark/>
          </w:tcPr>
          <w:p w14:paraId="25990397" w14:textId="77777777" w:rsidR="001B13EC" w:rsidRPr="00181EF3" w:rsidRDefault="001B13EC" w:rsidP="000667F5">
            <w:pPr>
              <w:pStyle w:val="TableText"/>
              <w:keepNext/>
            </w:pPr>
            <w:r w:rsidRPr="00181EF3">
              <w:t>E10–E14</w:t>
            </w:r>
          </w:p>
        </w:tc>
        <w:tc>
          <w:tcPr>
            <w:tcW w:w="1276" w:type="dxa"/>
            <w:tcBorders>
              <w:top w:val="single" w:sz="4" w:space="0" w:color="7F7F7F" w:themeColor="text1" w:themeTint="80"/>
              <w:bottom w:val="single" w:sz="4" w:space="0" w:color="A6A6A6" w:themeColor="background1" w:themeShade="A6"/>
            </w:tcBorders>
            <w:noWrap/>
          </w:tcPr>
          <w:p w14:paraId="7A2B8AE0" w14:textId="77777777" w:rsidR="001B13EC" w:rsidRPr="00181EF3" w:rsidRDefault="001B13EC" w:rsidP="000667F5">
            <w:pPr>
              <w:pStyle w:val="TableText"/>
              <w:keepNext/>
            </w:pPr>
          </w:p>
        </w:tc>
      </w:tr>
      <w:tr w:rsidR="001B13EC" w:rsidRPr="00181EF3" w14:paraId="3282B3CF" w14:textId="77777777" w:rsidTr="001B13EC">
        <w:trPr>
          <w:cantSplit/>
        </w:trPr>
        <w:tc>
          <w:tcPr>
            <w:tcW w:w="993" w:type="dxa"/>
            <w:vMerge/>
            <w:noWrap/>
          </w:tcPr>
          <w:p w14:paraId="6AD33007" w14:textId="77777777" w:rsidR="001B13EC" w:rsidRPr="00181EF3" w:rsidRDefault="001B13EC" w:rsidP="000667F5">
            <w:pPr>
              <w:pStyle w:val="TableText"/>
              <w:keepNext/>
            </w:pPr>
          </w:p>
        </w:tc>
        <w:tc>
          <w:tcPr>
            <w:tcW w:w="1842" w:type="dxa"/>
            <w:tcBorders>
              <w:top w:val="single" w:sz="4" w:space="0" w:color="A6A6A6" w:themeColor="background1" w:themeShade="A6"/>
              <w:bottom w:val="single" w:sz="4" w:space="0" w:color="A6A6A6" w:themeColor="background1" w:themeShade="A6"/>
            </w:tcBorders>
            <w:noWrap/>
            <w:hideMark/>
          </w:tcPr>
          <w:p w14:paraId="42E65DE0" w14:textId="77777777" w:rsidR="001B13EC" w:rsidRPr="00181EF3" w:rsidRDefault="001B13EC" w:rsidP="000667F5">
            <w:pPr>
              <w:pStyle w:val="TableText"/>
              <w:keepNext/>
            </w:pPr>
            <w:r w:rsidRPr="00181EF3">
              <w:t>Valvular heart disease</w:t>
            </w:r>
          </w:p>
        </w:tc>
        <w:tc>
          <w:tcPr>
            <w:tcW w:w="1984" w:type="dxa"/>
            <w:tcBorders>
              <w:top w:val="single" w:sz="4" w:space="0" w:color="A6A6A6" w:themeColor="background1" w:themeShade="A6"/>
              <w:bottom w:val="single" w:sz="4" w:space="0" w:color="A6A6A6" w:themeColor="background1" w:themeShade="A6"/>
            </w:tcBorders>
            <w:hideMark/>
          </w:tcPr>
          <w:p w14:paraId="1AAC326B" w14:textId="77777777" w:rsidR="001B13EC" w:rsidRPr="00181EF3" w:rsidRDefault="001B13EC" w:rsidP="000667F5">
            <w:pPr>
              <w:pStyle w:val="TableText"/>
              <w:keepNext/>
            </w:pPr>
            <w:r w:rsidRPr="00181EF3">
              <w:t>391, 394–398, 421.0, 424</w:t>
            </w:r>
          </w:p>
        </w:tc>
        <w:tc>
          <w:tcPr>
            <w:tcW w:w="1985" w:type="dxa"/>
            <w:tcBorders>
              <w:top w:val="single" w:sz="4" w:space="0" w:color="A6A6A6" w:themeColor="background1" w:themeShade="A6"/>
              <w:bottom w:val="single" w:sz="4" w:space="0" w:color="A6A6A6" w:themeColor="background1" w:themeShade="A6"/>
            </w:tcBorders>
            <w:hideMark/>
          </w:tcPr>
          <w:p w14:paraId="5B16F6C1" w14:textId="77777777" w:rsidR="001B13EC" w:rsidRPr="00181EF3" w:rsidRDefault="001B13EC" w:rsidP="000667F5">
            <w:pPr>
              <w:pStyle w:val="TableText"/>
              <w:keepNext/>
            </w:pPr>
            <w:r w:rsidRPr="00181EF3">
              <w:t>I01, I05–I09, I33–I37</w:t>
            </w:r>
          </w:p>
        </w:tc>
        <w:tc>
          <w:tcPr>
            <w:tcW w:w="1276" w:type="dxa"/>
            <w:tcBorders>
              <w:top w:val="single" w:sz="4" w:space="0" w:color="A6A6A6" w:themeColor="background1" w:themeShade="A6"/>
              <w:bottom w:val="single" w:sz="4" w:space="0" w:color="A6A6A6" w:themeColor="background1" w:themeShade="A6"/>
            </w:tcBorders>
            <w:noWrap/>
          </w:tcPr>
          <w:p w14:paraId="1B0539AF" w14:textId="77777777" w:rsidR="001B13EC" w:rsidRPr="00181EF3" w:rsidRDefault="001B13EC" w:rsidP="000667F5">
            <w:pPr>
              <w:pStyle w:val="TableText"/>
              <w:keepNext/>
            </w:pPr>
          </w:p>
        </w:tc>
      </w:tr>
      <w:tr w:rsidR="001B13EC" w:rsidRPr="00181EF3" w14:paraId="3D36501F" w14:textId="77777777" w:rsidTr="001B13EC">
        <w:trPr>
          <w:cantSplit/>
        </w:trPr>
        <w:tc>
          <w:tcPr>
            <w:tcW w:w="993" w:type="dxa"/>
            <w:vMerge/>
            <w:noWrap/>
          </w:tcPr>
          <w:p w14:paraId="5B38DFBE" w14:textId="77777777" w:rsidR="001B13EC" w:rsidRPr="00181EF3" w:rsidRDefault="001B13EC" w:rsidP="000667F5">
            <w:pPr>
              <w:pStyle w:val="TableText"/>
              <w:keepNext/>
            </w:pPr>
          </w:p>
        </w:tc>
        <w:tc>
          <w:tcPr>
            <w:tcW w:w="1842" w:type="dxa"/>
            <w:tcBorders>
              <w:top w:val="single" w:sz="4" w:space="0" w:color="A6A6A6" w:themeColor="background1" w:themeShade="A6"/>
              <w:bottom w:val="single" w:sz="4" w:space="0" w:color="A6A6A6" w:themeColor="background1" w:themeShade="A6"/>
            </w:tcBorders>
            <w:noWrap/>
            <w:hideMark/>
          </w:tcPr>
          <w:p w14:paraId="2FEC6A2B" w14:textId="77777777" w:rsidR="001B13EC" w:rsidRPr="00181EF3" w:rsidRDefault="001B13EC" w:rsidP="000667F5">
            <w:pPr>
              <w:pStyle w:val="TableText"/>
              <w:keepNext/>
            </w:pPr>
            <w:r w:rsidRPr="00181EF3">
              <w:t>Hypertensive diseases</w:t>
            </w:r>
          </w:p>
        </w:tc>
        <w:tc>
          <w:tcPr>
            <w:tcW w:w="1984" w:type="dxa"/>
            <w:tcBorders>
              <w:top w:val="single" w:sz="4" w:space="0" w:color="A6A6A6" w:themeColor="background1" w:themeShade="A6"/>
              <w:bottom w:val="single" w:sz="4" w:space="0" w:color="A6A6A6" w:themeColor="background1" w:themeShade="A6"/>
            </w:tcBorders>
            <w:hideMark/>
          </w:tcPr>
          <w:p w14:paraId="1BB1CDEA" w14:textId="77777777" w:rsidR="001B13EC" w:rsidRPr="00181EF3" w:rsidRDefault="001B13EC" w:rsidP="000667F5">
            <w:pPr>
              <w:pStyle w:val="TableText"/>
              <w:keepNext/>
            </w:pPr>
            <w:r w:rsidRPr="00181EF3">
              <w:t>401–404</w:t>
            </w:r>
          </w:p>
        </w:tc>
        <w:tc>
          <w:tcPr>
            <w:tcW w:w="1985" w:type="dxa"/>
            <w:tcBorders>
              <w:top w:val="single" w:sz="4" w:space="0" w:color="A6A6A6" w:themeColor="background1" w:themeShade="A6"/>
              <w:bottom w:val="single" w:sz="4" w:space="0" w:color="A6A6A6" w:themeColor="background1" w:themeShade="A6"/>
            </w:tcBorders>
            <w:hideMark/>
          </w:tcPr>
          <w:p w14:paraId="0F3538C4" w14:textId="77777777" w:rsidR="001B13EC" w:rsidRPr="00181EF3" w:rsidRDefault="001B13EC" w:rsidP="000667F5">
            <w:pPr>
              <w:pStyle w:val="TableText"/>
              <w:keepNext/>
            </w:pPr>
            <w:r w:rsidRPr="00181EF3">
              <w:t>I10–I13</w:t>
            </w:r>
          </w:p>
        </w:tc>
        <w:tc>
          <w:tcPr>
            <w:tcW w:w="1276" w:type="dxa"/>
            <w:tcBorders>
              <w:top w:val="single" w:sz="4" w:space="0" w:color="A6A6A6" w:themeColor="background1" w:themeShade="A6"/>
              <w:bottom w:val="single" w:sz="4" w:space="0" w:color="A6A6A6" w:themeColor="background1" w:themeShade="A6"/>
            </w:tcBorders>
            <w:noWrap/>
          </w:tcPr>
          <w:p w14:paraId="07CF77DF" w14:textId="77777777" w:rsidR="001B13EC" w:rsidRPr="00181EF3" w:rsidRDefault="001B13EC" w:rsidP="000667F5">
            <w:pPr>
              <w:pStyle w:val="TableText"/>
              <w:keepNext/>
            </w:pPr>
          </w:p>
        </w:tc>
      </w:tr>
      <w:tr w:rsidR="001B13EC" w:rsidRPr="00181EF3" w14:paraId="4FAC41E3" w14:textId="77777777" w:rsidTr="001B13EC">
        <w:trPr>
          <w:cantSplit/>
        </w:trPr>
        <w:tc>
          <w:tcPr>
            <w:tcW w:w="993" w:type="dxa"/>
            <w:vMerge/>
            <w:noWrap/>
          </w:tcPr>
          <w:p w14:paraId="67AC923F" w14:textId="77777777" w:rsidR="001B13EC" w:rsidRPr="00181EF3" w:rsidRDefault="001B13EC" w:rsidP="000667F5">
            <w:pPr>
              <w:pStyle w:val="TableText"/>
              <w:keepNext/>
            </w:pPr>
          </w:p>
        </w:tc>
        <w:tc>
          <w:tcPr>
            <w:tcW w:w="1842" w:type="dxa"/>
            <w:tcBorders>
              <w:top w:val="single" w:sz="4" w:space="0" w:color="A6A6A6" w:themeColor="background1" w:themeShade="A6"/>
              <w:bottom w:val="single" w:sz="4" w:space="0" w:color="A6A6A6" w:themeColor="background1" w:themeShade="A6"/>
            </w:tcBorders>
            <w:noWrap/>
            <w:hideMark/>
          </w:tcPr>
          <w:p w14:paraId="627364AF" w14:textId="77777777" w:rsidR="001B13EC" w:rsidRPr="00181EF3" w:rsidRDefault="001B13EC" w:rsidP="000667F5">
            <w:pPr>
              <w:pStyle w:val="TableText"/>
              <w:keepNext/>
            </w:pPr>
            <w:r w:rsidRPr="00181EF3">
              <w:t>Coronary disease</w:t>
            </w:r>
          </w:p>
        </w:tc>
        <w:tc>
          <w:tcPr>
            <w:tcW w:w="1984" w:type="dxa"/>
            <w:tcBorders>
              <w:top w:val="single" w:sz="4" w:space="0" w:color="A6A6A6" w:themeColor="background1" w:themeShade="A6"/>
              <w:bottom w:val="single" w:sz="4" w:space="0" w:color="A6A6A6" w:themeColor="background1" w:themeShade="A6"/>
            </w:tcBorders>
            <w:hideMark/>
          </w:tcPr>
          <w:p w14:paraId="7FEA79B1" w14:textId="77777777" w:rsidR="001B13EC" w:rsidRPr="00181EF3" w:rsidRDefault="001B13EC" w:rsidP="000667F5">
            <w:pPr>
              <w:pStyle w:val="TableText"/>
              <w:keepNext/>
            </w:pPr>
            <w:r w:rsidRPr="00181EF3">
              <w:t>410–414</w:t>
            </w:r>
          </w:p>
        </w:tc>
        <w:tc>
          <w:tcPr>
            <w:tcW w:w="1985" w:type="dxa"/>
            <w:tcBorders>
              <w:top w:val="single" w:sz="4" w:space="0" w:color="A6A6A6" w:themeColor="background1" w:themeShade="A6"/>
              <w:bottom w:val="single" w:sz="4" w:space="0" w:color="A6A6A6" w:themeColor="background1" w:themeShade="A6"/>
            </w:tcBorders>
            <w:hideMark/>
          </w:tcPr>
          <w:p w14:paraId="614B7F9F" w14:textId="77777777" w:rsidR="001B13EC" w:rsidRPr="00181EF3" w:rsidRDefault="001B13EC" w:rsidP="000667F5">
            <w:pPr>
              <w:pStyle w:val="TableText"/>
              <w:keepNext/>
            </w:pPr>
            <w:r w:rsidRPr="00181EF3">
              <w:t>I20–I25</w:t>
            </w:r>
          </w:p>
        </w:tc>
        <w:tc>
          <w:tcPr>
            <w:tcW w:w="1276" w:type="dxa"/>
            <w:tcBorders>
              <w:top w:val="single" w:sz="4" w:space="0" w:color="A6A6A6" w:themeColor="background1" w:themeShade="A6"/>
              <w:bottom w:val="single" w:sz="4" w:space="0" w:color="A6A6A6" w:themeColor="background1" w:themeShade="A6"/>
            </w:tcBorders>
            <w:noWrap/>
          </w:tcPr>
          <w:p w14:paraId="286BEE93" w14:textId="77777777" w:rsidR="001B13EC" w:rsidRPr="00181EF3" w:rsidRDefault="001B13EC" w:rsidP="000667F5">
            <w:pPr>
              <w:pStyle w:val="TableText"/>
              <w:keepNext/>
            </w:pPr>
          </w:p>
        </w:tc>
      </w:tr>
      <w:tr w:rsidR="001B13EC" w:rsidRPr="00181EF3" w14:paraId="2FA6015B" w14:textId="77777777" w:rsidTr="001B13EC">
        <w:trPr>
          <w:cantSplit/>
        </w:trPr>
        <w:tc>
          <w:tcPr>
            <w:tcW w:w="993" w:type="dxa"/>
            <w:vMerge/>
            <w:noWrap/>
          </w:tcPr>
          <w:p w14:paraId="1E687C0E" w14:textId="77777777" w:rsidR="001B13EC" w:rsidRPr="00181EF3" w:rsidRDefault="001B13EC" w:rsidP="000667F5">
            <w:pPr>
              <w:pStyle w:val="TableText"/>
              <w:keepNext/>
            </w:pPr>
          </w:p>
        </w:tc>
        <w:tc>
          <w:tcPr>
            <w:tcW w:w="1842" w:type="dxa"/>
            <w:tcBorders>
              <w:top w:val="single" w:sz="4" w:space="0" w:color="A6A6A6" w:themeColor="background1" w:themeShade="A6"/>
              <w:bottom w:val="single" w:sz="4" w:space="0" w:color="A6A6A6" w:themeColor="background1" w:themeShade="A6"/>
            </w:tcBorders>
            <w:noWrap/>
            <w:hideMark/>
          </w:tcPr>
          <w:p w14:paraId="296BEFB7" w14:textId="77777777" w:rsidR="001B13EC" w:rsidRPr="00181EF3" w:rsidRDefault="001B13EC" w:rsidP="000667F5">
            <w:pPr>
              <w:pStyle w:val="TableText"/>
              <w:keepNext/>
            </w:pPr>
            <w:r w:rsidRPr="00181EF3">
              <w:t>Pulmonary embolism</w:t>
            </w:r>
          </w:p>
        </w:tc>
        <w:tc>
          <w:tcPr>
            <w:tcW w:w="1984" w:type="dxa"/>
            <w:tcBorders>
              <w:top w:val="single" w:sz="4" w:space="0" w:color="A6A6A6" w:themeColor="background1" w:themeShade="A6"/>
              <w:bottom w:val="single" w:sz="4" w:space="0" w:color="A6A6A6" w:themeColor="background1" w:themeShade="A6"/>
            </w:tcBorders>
            <w:hideMark/>
          </w:tcPr>
          <w:p w14:paraId="2CD81606" w14:textId="77777777" w:rsidR="001B13EC" w:rsidRPr="00181EF3" w:rsidRDefault="001B13EC" w:rsidP="000667F5">
            <w:pPr>
              <w:pStyle w:val="TableText"/>
              <w:keepNext/>
            </w:pPr>
            <w:r w:rsidRPr="00181EF3">
              <w:t>415</w:t>
            </w:r>
          </w:p>
        </w:tc>
        <w:tc>
          <w:tcPr>
            <w:tcW w:w="1985" w:type="dxa"/>
            <w:tcBorders>
              <w:top w:val="single" w:sz="4" w:space="0" w:color="A6A6A6" w:themeColor="background1" w:themeShade="A6"/>
              <w:bottom w:val="single" w:sz="4" w:space="0" w:color="A6A6A6" w:themeColor="background1" w:themeShade="A6"/>
            </w:tcBorders>
            <w:hideMark/>
          </w:tcPr>
          <w:p w14:paraId="78D1B626" w14:textId="77777777" w:rsidR="001B13EC" w:rsidRPr="00181EF3" w:rsidRDefault="001B13EC" w:rsidP="000667F5">
            <w:pPr>
              <w:pStyle w:val="TableText"/>
              <w:keepNext/>
            </w:pPr>
            <w:r w:rsidRPr="00181EF3">
              <w:t>I26</w:t>
            </w:r>
          </w:p>
        </w:tc>
        <w:tc>
          <w:tcPr>
            <w:tcW w:w="1276" w:type="dxa"/>
            <w:tcBorders>
              <w:top w:val="single" w:sz="4" w:space="0" w:color="A6A6A6" w:themeColor="background1" w:themeShade="A6"/>
              <w:bottom w:val="single" w:sz="4" w:space="0" w:color="A6A6A6" w:themeColor="background1" w:themeShade="A6"/>
            </w:tcBorders>
            <w:noWrap/>
          </w:tcPr>
          <w:p w14:paraId="2045C512" w14:textId="77777777" w:rsidR="001B13EC" w:rsidRPr="00181EF3" w:rsidRDefault="001B13EC" w:rsidP="000667F5">
            <w:pPr>
              <w:pStyle w:val="TableText"/>
              <w:keepNext/>
            </w:pPr>
          </w:p>
        </w:tc>
      </w:tr>
      <w:tr w:rsidR="001B13EC" w:rsidRPr="00181EF3" w14:paraId="0A01DCD3" w14:textId="77777777" w:rsidTr="001B13EC">
        <w:trPr>
          <w:cantSplit/>
        </w:trPr>
        <w:tc>
          <w:tcPr>
            <w:tcW w:w="993" w:type="dxa"/>
            <w:vMerge/>
            <w:noWrap/>
          </w:tcPr>
          <w:p w14:paraId="0E8ED448" w14:textId="77777777" w:rsidR="001B13EC" w:rsidRPr="00181EF3" w:rsidRDefault="001B13EC" w:rsidP="000667F5">
            <w:pPr>
              <w:pStyle w:val="TableText"/>
              <w:keepNext/>
            </w:pPr>
          </w:p>
        </w:tc>
        <w:tc>
          <w:tcPr>
            <w:tcW w:w="1842" w:type="dxa"/>
            <w:tcBorders>
              <w:top w:val="single" w:sz="4" w:space="0" w:color="A6A6A6" w:themeColor="background1" w:themeShade="A6"/>
              <w:bottom w:val="single" w:sz="4" w:space="0" w:color="A6A6A6" w:themeColor="background1" w:themeShade="A6"/>
            </w:tcBorders>
            <w:noWrap/>
            <w:hideMark/>
          </w:tcPr>
          <w:p w14:paraId="187287EE" w14:textId="77777777" w:rsidR="001B13EC" w:rsidRPr="00181EF3" w:rsidRDefault="001B13EC" w:rsidP="000667F5">
            <w:pPr>
              <w:pStyle w:val="TableText"/>
              <w:keepNext/>
            </w:pPr>
            <w:r w:rsidRPr="00181EF3">
              <w:t>Heart failure</w:t>
            </w:r>
          </w:p>
        </w:tc>
        <w:tc>
          <w:tcPr>
            <w:tcW w:w="1984" w:type="dxa"/>
            <w:tcBorders>
              <w:top w:val="single" w:sz="4" w:space="0" w:color="A6A6A6" w:themeColor="background1" w:themeShade="A6"/>
              <w:bottom w:val="single" w:sz="4" w:space="0" w:color="A6A6A6" w:themeColor="background1" w:themeShade="A6"/>
            </w:tcBorders>
            <w:hideMark/>
          </w:tcPr>
          <w:p w14:paraId="7CD56AA8" w14:textId="77777777" w:rsidR="001B13EC" w:rsidRPr="00181EF3" w:rsidRDefault="001B13EC" w:rsidP="000667F5">
            <w:pPr>
              <w:pStyle w:val="TableText"/>
              <w:keepNext/>
            </w:pPr>
            <w:r w:rsidRPr="00181EF3">
              <w:t>428</w:t>
            </w:r>
          </w:p>
        </w:tc>
        <w:tc>
          <w:tcPr>
            <w:tcW w:w="1985" w:type="dxa"/>
            <w:tcBorders>
              <w:top w:val="single" w:sz="4" w:space="0" w:color="A6A6A6" w:themeColor="background1" w:themeShade="A6"/>
              <w:bottom w:val="single" w:sz="4" w:space="0" w:color="A6A6A6" w:themeColor="background1" w:themeShade="A6"/>
            </w:tcBorders>
            <w:hideMark/>
          </w:tcPr>
          <w:p w14:paraId="2269ADE3" w14:textId="77777777" w:rsidR="001B13EC" w:rsidRPr="00181EF3" w:rsidRDefault="001B13EC" w:rsidP="000667F5">
            <w:pPr>
              <w:pStyle w:val="TableText"/>
              <w:keepNext/>
            </w:pPr>
            <w:r w:rsidRPr="00181EF3">
              <w:t>I50</w:t>
            </w:r>
          </w:p>
        </w:tc>
        <w:tc>
          <w:tcPr>
            <w:tcW w:w="1276" w:type="dxa"/>
            <w:tcBorders>
              <w:top w:val="single" w:sz="4" w:space="0" w:color="A6A6A6" w:themeColor="background1" w:themeShade="A6"/>
              <w:bottom w:val="single" w:sz="4" w:space="0" w:color="A6A6A6" w:themeColor="background1" w:themeShade="A6"/>
            </w:tcBorders>
            <w:noWrap/>
          </w:tcPr>
          <w:p w14:paraId="4B40A4DF" w14:textId="77777777" w:rsidR="001B13EC" w:rsidRPr="00181EF3" w:rsidRDefault="001B13EC" w:rsidP="000667F5">
            <w:pPr>
              <w:pStyle w:val="TableText"/>
              <w:keepNext/>
            </w:pPr>
          </w:p>
        </w:tc>
      </w:tr>
      <w:tr w:rsidR="001B13EC" w:rsidRPr="00181EF3" w14:paraId="7106879C" w14:textId="77777777" w:rsidTr="001B13EC">
        <w:trPr>
          <w:cantSplit/>
        </w:trPr>
        <w:tc>
          <w:tcPr>
            <w:tcW w:w="993" w:type="dxa"/>
            <w:vMerge/>
            <w:noWrap/>
          </w:tcPr>
          <w:p w14:paraId="04814E04" w14:textId="77777777" w:rsidR="001B13EC" w:rsidRPr="00181EF3" w:rsidRDefault="001B13EC" w:rsidP="001B13EC">
            <w:pPr>
              <w:pStyle w:val="TableText"/>
            </w:pPr>
          </w:p>
        </w:tc>
        <w:tc>
          <w:tcPr>
            <w:tcW w:w="1842" w:type="dxa"/>
            <w:tcBorders>
              <w:top w:val="single" w:sz="4" w:space="0" w:color="A6A6A6" w:themeColor="background1" w:themeShade="A6"/>
              <w:bottom w:val="single" w:sz="4" w:space="0" w:color="A6A6A6" w:themeColor="background1" w:themeShade="A6"/>
            </w:tcBorders>
            <w:noWrap/>
            <w:hideMark/>
          </w:tcPr>
          <w:p w14:paraId="6F9AAE3E" w14:textId="77777777" w:rsidR="001B13EC" w:rsidRPr="00181EF3" w:rsidRDefault="001B13EC" w:rsidP="001B13EC">
            <w:pPr>
              <w:pStyle w:val="TableText"/>
            </w:pPr>
            <w:r w:rsidRPr="00181EF3">
              <w:t>Cerebrovascular diseases</w:t>
            </w:r>
          </w:p>
        </w:tc>
        <w:tc>
          <w:tcPr>
            <w:tcW w:w="1984" w:type="dxa"/>
            <w:tcBorders>
              <w:top w:val="single" w:sz="4" w:space="0" w:color="A6A6A6" w:themeColor="background1" w:themeShade="A6"/>
              <w:bottom w:val="single" w:sz="4" w:space="0" w:color="A6A6A6" w:themeColor="background1" w:themeShade="A6"/>
            </w:tcBorders>
            <w:hideMark/>
          </w:tcPr>
          <w:p w14:paraId="1C1B629B" w14:textId="77777777" w:rsidR="001B13EC" w:rsidRPr="00181EF3" w:rsidRDefault="001B13EC" w:rsidP="001B13EC">
            <w:pPr>
              <w:pStyle w:val="TableText"/>
            </w:pPr>
            <w:r w:rsidRPr="00181EF3">
              <w:t>430–438</w:t>
            </w:r>
          </w:p>
        </w:tc>
        <w:tc>
          <w:tcPr>
            <w:tcW w:w="1985" w:type="dxa"/>
            <w:tcBorders>
              <w:top w:val="single" w:sz="4" w:space="0" w:color="A6A6A6" w:themeColor="background1" w:themeShade="A6"/>
              <w:bottom w:val="single" w:sz="4" w:space="0" w:color="A6A6A6" w:themeColor="background1" w:themeShade="A6"/>
            </w:tcBorders>
            <w:hideMark/>
          </w:tcPr>
          <w:p w14:paraId="61A2A54E" w14:textId="77777777" w:rsidR="001B13EC" w:rsidRPr="00181EF3" w:rsidRDefault="001B13EC" w:rsidP="001B13EC">
            <w:pPr>
              <w:pStyle w:val="TableText"/>
            </w:pPr>
            <w:r w:rsidRPr="00181EF3">
              <w:t>I60–I69</w:t>
            </w:r>
          </w:p>
        </w:tc>
        <w:tc>
          <w:tcPr>
            <w:tcW w:w="1276" w:type="dxa"/>
            <w:tcBorders>
              <w:top w:val="single" w:sz="4" w:space="0" w:color="A6A6A6" w:themeColor="background1" w:themeShade="A6"/>
              <w:bottom w:val="single" w:sz="4" w:space="0" w:color="A6A6A6" w:themeColor="background1" w:themeShade="A6"/>
            </w:tcBorders>
            <w:noWrap/>
          </w:tcPr>
          <w:p w14:paraId="37AC88BD" w14:textId="77777777" w:rsidR="001B13EC" w:rsidRPr="00181EF3" w:rsidRDefault="001B13EC" w:rsidP="001B13EC">
            <w:pPr>
              <w:pStyle w:val="TableText"/>
            </w:pPr>
          </w:p>
        </w:tc>
      </w:tr>
      <w:tr w:rsidR="001B13EC" w:rsidRPr="00181EF3" w14:paraId="0FF01CEC" w14:textId="77777777" w:rsidTr="001B13EC">
        <w:trPr>
          <w:cantSplit/>
        </w:trPr>
        <w:tc>
          <w:tcPr>
            <w:tcW w:w="993" w:type="dxa"/>
            <w:vMerge/>
            <w:noWrap/>
          </w:tcPr>
          <w:p w14:paraId="228D5A6B" w14:textId="77777777" w:rsidR="001B13EC" w:rsidRPr="00181EF3" w:rsidRDefault="001B13EC" w:rsidP="001B13EC">
            <w:pPr>
              <w:pStyle w:val="TableText"/>
            </w:pPr>
          </w:p>
        </w:tc>
        <w:tc>
          <w:tcPr>
            <w:tcW w:w="1842" w:type="dxa"/>
            <w:tcBorders>
              <w:top w:val="single" w:sz="4" w:space="0" w:color="A6A6A6" w:themeColor="background1" w:themeShade="A6"/>
              <w:bottom w:val="single" w:sz="4" w:space="0" w:color="A6A6A6" w:themeColor="background1" w:themeShade="A6"/>
            </w:tcBorders>
            <w:noWrap/>
            <w:hideMark/>
          </w:tcPr>
          <w:p w14:paraId="23D28055" w14:textId="77777777" w:rsidR="001B13EC" w:rsidRPr="00181EF3" w:rsidRDefault="001B13EC" w:rsidP="001B13EC">
            <w:pPr>
              <w:pStyle w:val="TableText"/>
            </w:pPr>
            <w:r w:rsidRPr="00181EF3">
              <w:t>COPD</w:t>
            </w:r>
          </w:p>
        </w:tc>
        <w:tc>
          <w:tcPr>
            <w:tcW w:w="1984" w:type="dxa"/>
            <w:tcBorders>
              <w:top w:val="single" w:sz="4" w:space="0" w:color="A6A6A6" w:themeColor="background1" w:themeShade="A6"/>
              <w:bottom w:val="single" w:sz="4" w:space="0" w:color="A6A6A6" w:themeColor="background1" w:themeShade="A6"/>
            </w:tcBorders>
            <w:hideMark/>
          </w:tcPr>
          <w:p w14:paraId="5D91FEF7" w14:textId="77777777" w:rsidR="001B13EC" w:rsidRPr="00181EF3" w:rsidRDefault="001B13EC" w:rsidP="001B13EC">
            <w:pPr>
              <w:pStyle w:val="TableText"/>
            </w:pPr>
            <w:r w:rsidRPr="00181EF3">
              <w:t>490–492, 496</w:t>
            </w:r>
          </w:p>
        </w:tc>
        <w:tc>
          <w:tcPr>
            <w:tcW w:w="1985" w:type="dxa"/>
            <w:tcBorders>
              <w:top w:val="single" w:sz="4" w:space="0" w:color="A6A6A6" w:themeColor="background1" w:themeShade="A6"/>
              <w:bottom w:val="single" w:sz="4" w:space="0" w:color="A6A6A6" w:themeColor="background1" w:themeShade="A6"/>
            </w:tcBorders>
            <w:hideMark/>
          </w:tcPr>
          <w:p w14:paraId="44EF2B83" w14:textId="77777777" w:rsidR="001B13EC" w:rsidRPr="00181EF3" w:rsidRDefault="001B13EC" w:rsidP="001B13EC">
            <w:pPr>
              <w:pStyle w:val="TableText"/>
            </w:pPr>
            <w:r w:rsidRPr="00181EF3">
              <w:t>J40–J44</w:t>
            </w:r>
          </w:p>
        </w:tc>
        <w:tc>
          <w:tcPr>
            <w:tcW w:w="1276" w:type="dxa"/>
            <w:tcBorders>
              <w:top w:val="single" w:sz="4" w:space="0" w:color="A6A6A6" w:themeColor="background1" w:themeShade="A6"/>
              <w:bottom w:val="single" w:sz="4" w:space="0" w:color="A6A6A6" w:themeColor="background1" w:themeShade="A6"/>
            </w:tcBorders>
            <w:noWrap/>
            <w:hideMark/>
          </w:tcPr>
          <w:p w14:paraId="26651C01" w14:textId="77777777" w:rsidR="001B13EC" w:rsidRPr="00181EF3" w:rsidRDefault="001B13EC" w:rsidP="001B13EC">
            <w:pPr>
              <w:pStyle w:val="TableText"/>
            </w:pPr>
            <w:r w:rsidRPr="00181EF3">
              <w:t>Some 9–10 differences in coding rules</w:t>
            </w:r>
          </w:p>
        </w:tc>
      </w:tr>
      <w:tr w:rsidR="001B13EC" w:rsidRPr="00181EF3" w14:paraId="30AC79F7" w14:textId="77777777" w:rsidTr="001B13EC">
        <w:trPr>
          <w:cantSplit/>
        </w:trPr>
        <w:tc>
          <w:tcPr>
            <w:tcW w:w="993" w:type="dxa"/>
            <w:vMerge/>
            <w:noWrap/>
          </w:tcPr>
          <w:p w14:paraId="099232F3" w14:textId="77777777" w:rsidR="001B13EC" w:rsidRPr="00181EF3" w:rsidRDefault="001B13EC" w:rsidP="001B13EC">
            <w:pPr>
              <w:pStyle w:val="TableText"/>
            </w:pPr>
          </w:p>
        </w:tc>
        <w:tc>
          <w:tcPr>
            <w:tcW w:w="1842" w:type="dxa"/>
            <w:tcBorders>
              <w:top w:val="single" w:sz="4" w:space="0" w:color="A6A6A6" w:themeColor="background1" w:themeShade="A6"/>
              <w:bottom w:val="single" w:sz="4" w:space="0" w:color="A6A6A6" w:themeColor="background1" w:themeShade="A6"/>
            </w:tcBorders>
            <w:noWrap/>
            <w:hideMark/>
          </w:tcPr>
          <w:p w14:paraId="48B94402" w14:textId="77777777" w:rsidR="001B13EC" w:rsidRPr="00181EF3" w:rsidRDefault="001B13EC" w:rsidP="001B13EC">
            <w:pPr>
              <w:pStyle w:val="TableText"/>
            </w:pPr>
            <w:r w:rsidRPr="00181EF3">
              <w:t>Asthma</w:t>
            </w:r>
          </w:p>
        </w:tc>
        <w:tc>
          <w:tcPr>
            <w:tcW w:w="1984" w:type="dxa"/>
            <w:tcBorders>
              <w:top w:val="single" w:sz="4" w:space="0" w:color="A6A6A6" w:themeColor="background1" w:themeShade="A6"/>
              <w:bottom w:val="single" w:sz="4" w:space="0" w:color="A6A6A6" w:themeColor="background1" w:themeShade="A6"/>
            </w:tcBorders>
            <w:hideMark/>
          </w:tcPr>
          <w:p w14:paraId="0672CF41" w14:textId="77777777" w:rsidR="001B13EC" w:rsidRPr="00181EF3" w:rsidRDefault="001B13EC" w:rsidP="001B13EC">
            <w:pPr>
              <w:pStyle w:val="TableText"/>
            </w:pPr>
            <w:r w:rsidRPr="00181EF3">
              <w:t>493</w:t>
            </w:r>
          </w:p>
        </w:tc>
        <w:tc>
          <w:tcPr>
            <w:tcW w:w="1985" w:type="dxa"/>
            <w:tcBorders>
              <w:top w:val="single" w:sz="4" w:space="0" w:color="A6A6A6" w:themeColor="background1" w:themeShade="A6"/>
              <w:bottom w:val="single" w:sz="4" w:space="0" w:color="A6A6A6" w:themeColor="background1" w:themeShade="A6"/>
            </w:tcBorders>
            <w:hideMark/>
          </w:tcPr>
          <w:p w14:paraId="7D85B1DF" w14:textId="77777777" w:rsidR="001B13EC" w:rsidRPr="00181EF3" w:rsidRDefault="001B13EC" w:rsidP="001B13EC">
            <w:pPr>
              <w:pStyle w:val="TableText"/>
            </w:pPr>
            <w:r w:rsidRPr="00181EF3">
              <w:t>J45–J46</w:t>
            </w:r>
          </w:p>
        </w:tc>
        <w:tc>
          <w:tcPr>
            <w:tcW w:w="1276" w:type="dxa"/>
            <w:tcBorders>
              <w:top w:val="single" w:sz="4" w:space="0" w:color="A6A6A6" w:themeColor="background1" w:themeShade="A6"/>
              <w:bottom w:val="single" w:sz="4" w:space="0" w:color="A6A6A6" w:themeColor="background1" w:themeShade="A6"/>
            </w:tcBorders>
            <w:noWrap/>
            <w:hideMark/>
          </w:tcPr>
          <w:p w14:paraId="0D05C03C" w14:textId="77777777" w:rsidR="001B13EC" w:rsidRPr="00181EF3" w:rsidRDefault="001B13EC" w:rsidP="001B13EC">
            <w:pPr>
              <w:pStyle w:val="TableText"/>
            </w:pPr>
            <w:r w:rsidRPr="00181EF3">
              <w:t>Some 9–10 differences in coding rules</w:t>
            </w:r>
          </w:p>
        </w:tc>
      </w:tr>
      <w:tr w:rsidR="001B13EC" w:rsidRPr="00181EF3" w14:paraId="6F7809FF" w14:textId="77777777" w:rsidTr="001B13EC">
        <w:trPr>
          <w:cantSplit/>
        </w:trPr>
        <w:tc>
          <w:tcPr>
            <w:tcW w:w="993" w:type="dxa"/>
            <w:vMerge/>
            <w:noWrap/>
          </w:tcPr>
          <w:p w14:paraId="63CFCD19" w14:textId="77777777" w:rsidR="001B13EC" w:rsidRPr="00181EF3" w:rsidRDefault="001B13EC" w:rsidP="001B13EC">
            <w:pPr>
              <w:pStyle w:val="TableText"/>
            </w:pPr>
          </w:p>
        </w:tc>
        <w:tc>
          <w:tcPr>
            <w:tcW w:w="1842" w:type="dxa"/>
            <w:tcBorders>
              <w:top w:val="single" w:sz="4" w:space="0" w:color="A6A6A6" w:themeColor="background1" w:themeShade="A6"/>
              <w:bottom w:val="single" w:sz="4" w:space="0" w:color="A6A6A6" w:themeColor="background1" w:themeShade="A6"/>
            </w:tcBorders>
            <w:noWrap/>
            <w:hideMark/>
          </w:tcPr>
          <w:p w14:paraId="35FC2627" w14:textId="77777777" w:rsidR="001B13EC" w:rsidRPr="00181EF3" w:rsidRDefault="001B13EC" w:rsidP="001B13EC">
            <w:pPr>
              <w:pStyle w:val="TableText"/>
            </w:pPr>
            <w:r w:rsidRPr="00181EF3">
              <w:t>Peptic ulcer disease</w:t>
            </w:r>
          </w:p>
        </w:tc>
        <w:tc>
          <w:tcPr>
            <w:tcW w:w="1984" w:type="dxa"/>
            <w:tcBorders>
              <w:top w:val="single" w:sz="4" w:space="0" w:color="A6A6A6" w:themeColor="background1" w:themeShade="A6"/>
              <w:bottom w:val="single" w:sz="4" w:space="0" w:color="A6A6A6" w:themeColor="background1" w:themeShade="A6"/>
            </w:tcBorders>
            <w:hideMark/>
          </w:tcPr>
          <w:p w14:paraId="2550797D" w14:textId="77777777" w:rsidR="001B13EC" w:rsidRPr="00181EF3" w:rsidRDefault="001B13EC" w:rsidP="001B13EC">
            <w:pPr>
              <w:pStyle w:val="TableText"/>
            </w:pPr>
            <w:r w:rsidRPr="00181EF3">
              <w:t>531–533</w:t>
            </w:r>
          </w:p>
        </w:tc>
        <w:tc>
          <w:tcPr>
            <w:tcW w:w="1985" w:type="dxa"/>
            <w:tcBorders>
              <w:top w:val="single" w:sz="4" w:space="0" w:color="A6A6A6" w:themeColor="background1" w:themeShade="A6"/>
              <w:bottom w:val="single" w:sz="4" w:space="0" w:color="A6A6A6" w:themeColor="background1" w:themeShade="A6"/>
            </w:tcBorders>
            <w:hideMark/>
          </w:tcPr>
          <w:p w14:paraId="1B5189A7" w14:textId="77777777" w:rsidR="001B13EC" w:rsidRPr="00181EF3" w:rsidRDefault="001B13EC" w:rsidP="001B13EC">
            <w:pPr>
              <w:pStyle w:val="TableText"/>
            </w:pPr>
            <w:r w:rsidRPr="00181EF3">
              <w:t>K25–K27</w:t>
            </w:r>
          </w:p>
        </w:tc>
        <w:tc>
          <w:tcPr>
            <w:tcW w:w="1276" w:type="dxa"/>
            <w:tcBorders>
              <w:top w:val="single" w:sz="4" w:space="0" w:color="A6A6A6" w:themeColor="background1" w:themeShade="A6"/>
              <w:bottom w:val="single" w:sz="4" w:space="0" w:color="A6A6A6" w:themeColor="background1" w:themeShade="A6"/>
            </w:tcBorders>
            <w:noWrap/>
          </w:tcPr>
          <w:p w14:paraId="221A8BF5" w14:textId="77777777" w:rsidR="001B13EC" w:rsidRPr="00181EF3" w:rsidRDefault="001B13EC" w:rsidP="001B13EC">
            <w:pPr>
              <w:pStyle w:val="TableText"/>
            </w:pPr>
          </w:p>
        </w:tc>
      </w:tr>
      <w:tr w:rsidR="001B13EC" w:rsidRPr="00181EF3" w14:paraId="67E72241" w14:textId="77777777" w:rsidTr="001B13EC">
        <w:trPr>
          <w:cantSplit/>
        </w:trPr>
        <w:tc>
          <w:tcPr>
            <w:tcW w:w="993" w:type="dxa"/>
            <w:vMerge/>
            <w:noWrap/>
          </w:tcPr>
          <w:p w14:paraId="6B246D3A" w14:textId="77777777" w:rsidR="001B13EC" w:rsidRPr="00181EF3" w:rsidRDefault="001B13EC" w:rsidP="001B13EC">
            <w:pPr>
              <w:pStyle w:val="TableText"/>
            </w:pPr>
          </w:p>
        </w:tc>
        <w:tc>
          <w:tcPr>
            <w:tcW w:w="1842" w:type="dxa"/>
            <w:tcBorders>
              <w:top w:val="single" w:sz="4" w:space="0" w:color="A6A6A6" w:themeColor="background1" w:themeShade="A6"/>
              <w:bottom w:val="single" w:sz="4" w:space="0" w:color="A6A6A6" w:themeColor="background1" w:themeShade="A6"/>
            </w:tcBorders>
            <w:noWrap/>
            <w:hideMark/>
          </w:tcPr>
          <w:p w14:paraId="6F7F31FE" w14:textId="77777777" w:rsidR="001B13EC" w:rsidRPr="00181EF3" w:rsidRDefault="001B13EC" w:rsidP="001B13EC">
            <w:pPr>
              <w:pStyle w:val="TableText"/>
            </w:pPr>
            <w:r w:rsidRPr="00181EF3">
              <w:t>Cholelithiasis</w:t>
            </w:r>
          </w:p>
        </w:tc>
        <w:tc>
          <w:tcPr>
            <w:tcW w:w="1984" w:type="dxa"/>
            <w:tcBorders>
              <w:top w:val="single" w:sz="4" w:space="0" w:color="A6A6A6" w:themeColor="background1" w:themeShade="A6"/>
              <w:bottom w:val="single" w:sz="4" w:space="0" w:color="A6A6A6" w:themeColor="background1" w:themeShade="A6"/>
            </w:tcBorders>
            <w:hideMark/>
          </w:tcPr>
          <w:p w14:paraId="7DADDB13" w14:textId="77777777" w:rsidR="001B13EC" w:rsidRPr="00181EF3" w:rsidRDefault="001B13EC" w:rsidP="001B13EC">
            <w:pPr>
              <w:pStyle w:val="TableText"/>
            </w:pPr>
            <w:r w:rsidRPr="00181EF3">
              <w:t>574</w:t>
            </w:r>
          </w:p>
        </w:tc>
        <w:tc>
          <w:tcPr>
            <w:tcW w:w="1985" w:type="dxa"/>
            <w:tcBorders>
              <w:top w:val="single" w:sz="4" w:space="0" w:color="A6A6A6" w:themeColor="background1" w:themeShade="A6"/>
              <w:bottom w:val="single" w:sz="4" w:space="0" w:color="A6A6A6" w:themeColor="background1" w:themeShade="A6"/>
            </w:tcBorders>
            <w:hideMark/>
          </w:tcPr>
          <w:p w14:paraId="11BA6735" w14:textId="77777777" w:rsidR="001B13EC" w:rsidRPr="00181EF3" w:rsidRDefault="001B13EC" w:rsidP="001B13EC">
            <w:pPr>
              <w:pStyle w:val="TableText"/>
            </w:pPr>
            <w:r w:rsidRPr="00181EF3">
              <w:t>K80</w:t>
            </w:r>
          </w:p>
        </w:tc>
        <w:tc>
          <w:tcPr>
            <w:tcW w:w="1276" w:type="dxa"/>
            <w:tcBorders>
              <w:top w:val="single" w:sz="4" w:space="0" w:color="A6A6A6" w:themeColor="background1" w:themeShade="A6"/>
              <w:bottom w:val="single" w:sz="4" w:space="0" w:color="A6A6A6" w:themeColor="background1" w:themeShade="A6"/>
            </w:tcBorders>
            <w:noWrap/>
          </w:tcPr>
          <w:p w14:paraId="3716271C" w14:textId="77777777" w:rsidR="001B13EC" w:rsidRPr="00181EF3" w:rsidRDefault="001B13EC" w:rsidP="001B13EC">
            <w:pPr>
              <w:pStyle w:val="TableText"/>
            </w:pPr>
          </w:p>
        </w:tc>
      </w:tr>
      <w:tr w:rsidR="001B13EC" w:rsidRPr="00181EF3" w14:paraId="7934ECD3" w14:textId="77777777" w:rsidTr="001B13EC">
        <w:trPr>
          <w:cantSplit/>
        </w:trPr>
        <w:tc>
          <w:tcPr>
            <w:tcW w:w="993" w:type="dxa"/>
            <w:vMerge/>
            <w:tcBorders>
              <w:bottom w:val="single" w:sz="4" w:space="0" w:color="7F7F7F" w:themeColor="text1" w:themeTint="80"/>
            </w:tcBorders>
            <w:noWrap/>
          </w:tcPr>
          <w:p w14:paraId="291A0396" w14:textId="77777777" w:rsidR="001B13EC" w:rsidRPr="00181EF3" w:rsidRDefault="001B13EC" w:rsidP="001B13EC">
            <w:pPr>
              <w:pStyle w:val="TableText"/>
            </w:pPr>
          </w:p>
        </w:tc>
        <w:tc>
          <w:tcPr>
            <w:tcW w:w="1842" w:type="dxa"/>
            <w:tcBorders>
              <w:top w:val="single" w:sz="4" w:space="0" w:color="A6A6A6" w:themeColor="background1" w:themeShade="A6"/>
              <w:bottom w:val="single" w:sz="4" w:space="0" w:color="7F7F7F" w:themeColor="text1" w:themeTint="80"/>
            </w:tcBorders>
            <w:noWrap/>
            <w:hideMark/>
          </w:tcPr>
          <w:p w14:paraId="66086183" w14:textId="77777777" w:rsidR="001B13EC" w:rsidRPr="00181EF3" w:rsidRDefault="001B13EC" w:rsidP="001B13EC">
            <w:pPr>
              <w:pStyle w:val="TableText"/>
            </w:pPr>
            <w:r w:rsidRPr="00181EF3">
              <w:t>Renal failure</w:t>
            </w:r>
          </w:p>
        </w:tc>
        <w:tc>
          <w:tcPr>
            <w:tcW w:w="1984" w:type="dxa"/>
            <w:tcBorders>
              <w:top w:val="single" w:sz="4" w:space="0" w:color="A6A6A6" w:themeColor="background1" w:themeShade="A6"/>
              <w:bottom w:val="single" w:sz="4" w:space="0" w:color="7F7F7F" w:themeColor="text1" w:themeTint="80"/>
            </w:tcBorders>
            <w:hideMark/>
          </w:tcPr>
          <w:p w14:paraId="6A91DE7D" w14:textId="77777777" w:rsidR="001B13EC" w:rsidRPr="00181EF3" w:rsidRDefault="001B13EC" w:rsidP="001B13EC">
            <w:pPr>
              <w:pStyle w:val="TableText"/>
            </w:pPr>
            <w:r w:rsidRPr="00181EF3">
              <w:t>584–586</w:t>
            </w:r>
          </w:p>
        </w:tc>
        <w:tc>
          <w:tcPr>
            <w:tcW w:w="1985" w:type="dxa"/>
            <w:tcBorders>
              <w:top w:val="single" w:sz="4" w:space="0" w:color="A6A6A6" w:themeColor="background1" w:themeShade="A6"/>
              <w:bottom w:val="single" w:sz="4" w:space="0" w:color="7F7F7F" w:themeColor="text1" w:themeTint="80"/>
            </w:tcBorders>
            <w:hideMark/>
          </w:tcPr>
          <w:p w14:paraId="791163EF" w14:textId="77777777" w:rsidR="001B13EC" w:rsidRPr="00181EF3" w:rsidRDefault="001B13EC" w:rsidP="001B13EC">
            <w:pPr>
              <w:pStyle w:val="TableText"/>
            </w:pPr>
            <w:r w:rsidRPr="00181EF3">
              <w:t>N17–N19</w:t>
            </w:r>
          </w:p>
        </w:tc>
        <w:tc>
          <w:tcPr>
            <w:tcW w:w="1276" w:type="dxa"/>
            <w:tcBorders>
              <w:top w:val="single" w:sz="4" w:space="0" w:color="A6A6A6" w:themeColor="background1" w:themeShade="A6"/>
              <w:bottom w:val="single" w:sz="4" w:space="0" w:color="7F7F7F" w:themeColor="text1" w:themeTint="80"/>
            </w:tcBorders>
            <w:noWrap/>
          </w:tcPr>
          <w:p w14:paraId="2B33B1B3" w14:textId="77777777" w:rsidR="001B13EC" w:rsidRPr="00181EF3" w:rsidRDefault="001B13EC" w:rsidP="001B13EC">
            <w:pPr>
              <w:pStyle w:val="TableText"/>
            </w:pPr>
          </w:p>
        </w:tc>
      </w:tr>
      <w:tr w:rsidR="001B13EC" w:rsidRPr="00181EF3" w14:paraId="0ED1EE25" w14:textId="77777777" w:rsidTr="001B13EC">
        <w:trPr>
          <w:cantSplit/>
        </w:trPr>
        <w:tc>
          <w:tcPr>
            <w:tcW w:w="993" w:type="dxa"/>
            <w:vMerge w:val="restart"/>
            <w:tcBorders>
              <w:top w:val="single" w:sz="4" w:space="0" w:color="7F7F7F" w:themeColor="text1" w:themeTint="80"/>
              <w:bottom w:val="single" w:sz="4" w:space="0" w:color="A6A6A6" w:themeColor="background1" w:themeShade="A6"/>
            </w:tcBorders>
            <w:noWrap/>
            <w:hideMark/>
          </w:tcPr>
          <w:p w14:paraId="7E6E61D2" w14:textId="77777777" w:rsidR="001B13EC" w:rsidRPr="00181EF3" w:rsidRDefault="001B13EC" w:rsidP="001B13EC">
            <w:pPr>
              <w:pStyle w:val="TableText"/>
            </w:pPr>
            <w:r w:rsidRPr="00181EF3">
              <w:t>Injuries</w:t>
            </w:r>
          </w:p>
        </w:tc>
        <w:tc>
          <w:tcPr>
            <w:tcW w:w="1842" w:type="dxa"/>
            <w:tcBorders>
              <w:top w:val="single" w:sz="4" w:space="0" w:color="7F7F7F" w:themeColor="text1" w:themeTint="80"/>
              <w:bottom w:val="single" w:sz="4" w:space="0" w:color="A6A6A6" w:themeColor="background1" w:themeShade="A6"/>
            </w:tcBorders>
            <w:noWrap/>
            <w:hideMark/>
          </w:tcPr>
          <w:p w14:paraId="6BABA933" w14:textId="77777777" w:rsidR="001B13EC" w:rsidRPr="00181EF3" w:rsidRDefault="001B13EC" w:rsidP="001B13EC">
            <w:pPr>
              <w:pStyle w:val="TableText"/>
            </w:pPr>
            <w:r w:rsidRPr="00181EF3">
              <w:t>Land transport accidents excluding trains</w:t>
            </w:r>
          </w:p>
        </w:tc>
        <w:tc>
          <w:tcPr>
            <w:tcW w:w="1984" w:type="dxa"/>
            <w:tcBorders>
              <w:top w:val="single" w:sz="4" w:space="0" w:color="7F7F7F" w:themeColor="text1" w:themeTint="80"/>
              <w:bottom w:val="single" w:sz="4" w:space="0" w:color="A6A6A6" w:themeColor="background1" w:themeShade="A6"/>
            </w:tcBorders>
            <w:hideMark/>
          </w:tcPr>
          <w:p w14:paraId="338709BB" w14:textId="77777777" w:rsidR="001B13EC" w:rsidRPr="00181EF3" w:rsidRDefault="001B13EC" w:rsidP="001B13EC">
            <w:pPr>
              <w:pStyle w:val="TableText"/>
            </w:pPr>
            <w:r w:rsidRPr="00181EF3">
              <w:t>E811–E829, E846–E848</w:t>
            </w:r>
          </w:p>
        </w:tc>
        <w:tc>
          <w:tcPr>
            <w:tcW w:w="1985" w:type="dxa"/>
            <w:tcBorders>
              <w:top w:val="single" w:sz="4" w:space="0" w:color="7F7F7F" w:themeColor="text1" w:themeTint="80"/>
              <w:bottom w:val="single" w:sz="4" w:space="0" w:color="A6A6A6" w:themeColor="background1" w:themeShade="A6"/>
            </w:tcBorders>
            <w:hideMark/>
          </w:tcPr>
          <w:p w14:paraId="5E8D1CAE" w14:textId="77777777" w:rsidR="001B13EC" w:rsidRPr="00181EF3" w:rsidRDefault="001B13EC" w:rsidP="001B13EC">
            <w:pPr>
              <w:pStyle w:val="TableText"/>
            </w:pPr>
            <w:r w:rsidRPr="00181EF3">
              <w:t>V01–V04, V06–V14, V16–V24, V26–V34, V36–V44, V46–V54, V56–V64, V66–V74, V76–V79, V80.0–V80.5, V80.7–V80.9, V82–V86, V87.0–V87.5,</w:t>
            </w:r>
            <w:r w:rsidRPr="00181EF3">
              <w:br/>
              <w:t>V87.7–V87.9,</w:t>
            </w:r>
            <w:r w:rsidRPr="00181EF3">
              <w:br/>
              <w:t>V88.0–V88.5,</w:t>
            </w:r>
            <w:r w:rsidRPr="00181EF3">
              <w:br/>
              <w:t>V88.7–V88.9, V89,</w:t>
            </w:r>
            <w:r w:rsidRPr="00181EF3">
              <w:br/>
              <w:t>V98–V99</w:t>
            </w:r>
          </w:p>
        </w:tc>
        <w:tc>
          <w:tcPr>
            <w:tcW w:w="1276" w:type="dxa"/>
            <w:tcBorders>
              <w:top w:val="single" w:sz="4" w:space="0" w:color="7F7F7F" w:themeColor="text1" w:themeTint="80"/>
              <w:bottom w:val="single" w:sz="4" w:space="0" w:color="A6A6A6" w:themeColor="background1" w:themeShade="A6"/>
            </w:tcBorders>
            <w:noWrap/>
            <w:hideMark/>
          </w:tcPr>
          <w:p w14:paraId="66921F91" w14:textId="77777777" w:rsidR="001B13EC" w:rsidRPr="00181EF3" w:rsidRDefault="001B13EC" w:rsidP="001B13EC">
            <w:pPr>
              <w:pStyle w:val="TableText"/>
            </w:pPr>
            <w:r w:rsidRPr="00181EF3">
              <w:t>Include V00 if using ICD</w:t>
            </w:r>
            <w:r w:rsidRPr="00181EF3">
              <w:noBreakHyphen/>
              <w:t>10</w:t>
            </w:r>
            <w:r w:rsidRPr="00181EF3">
              <w:noBreakHyphen/>
              <w:t>AM-VI</w:t>
            </w:r>
          </w:p>
        </w:tc>
      </w:tr>
      <w:tr w:rsidR="001B13EC" w:rsidRPr="00181EF3" w14:paraId="777B02C7" w14:textId="77777777" w:rsidTr="001B13EC">
        <w:trPr>
          <w:cantSplit/>
        </w:trPr>
        <w:tc>
          <w:tcPr>
            <w:tcW w:w="993" w:type="dxa"/>
            <w:vMerge/>
            <w:tcBorders>
              <w:bottom w:val="single" w:sz="4" w:space="0" w:color="A6A6A6" w:themeColor="background1" w:themeShade="A6"/>
            </w:tcBorders>
            <w:noWrap/>
          </w:tcPr>
          <w:p w14:paraId="26A9CD92" w14:textId="77777777" w:rsidR="001B13EC" w:rsidRPr="00181EF3" w:rsidRDefault="001B13EC" w:rsidP="001B13EC">
            <w:pPr>
              <w:pStyle w:val="TableText"/>
            </w:pPr>
          </w:p>
        </w:tc>
        <w:tc>
          <w:tcPr>
            <w:tcW w:w="1842" w:type="dxa"/>
            <w:tcBorders>
              <w:top w:val="single" w:sz="4" w:space="0" w:color="A6A6A6" w:themeColor="background1" w:themeShade="A6"/>
              <w:bottom w:val="single" w:sz="4" w:space="0" w:color="A6A6A6" w:themeColor="background1" w:themeShade="A6"/>
            </w:tcBorders>
            <w:noWrap/>
            <w:hideMark/>
          </w:tcPr>
          <w:p w14:paraId="5B40227E" w14:textId="77777777" w:rsidR="001B13EC" w:rsidRPr="00181EF3" w:rsidRDefault="001B13EC" w:rsidP="001B13EC">
            <w:pPr>
              <w:pStyle w:val="TableText"/>
            </w:pPr>
            <w:r w:rsidRPr="00181EF3">
              <w:t>Accidental falls on same level</w:t>
            </w:r>
          </w:p>
        </w:tc>
        <w:tc>
          <w:tcPr>
            <w:tcW w:w="1984" w:type="dxa"/>
            <w:tcBorders>
              <w:top w:val="single" w:sz="4" w:space="0" w:color="A6A6A6" w:themeColor="background1" w:themeShade="A6"/>
              <w:bottom w:val="single" w:sz="4" w:space="0" w:color="A6A6A6" w:themeColor="background1" w:themeShade="A6"/>
            </w:tcBorders>
            <w:hideMark/>
          </w:tcPr>
          <w:p w14:paraId="46782E6A" w14:textId="77777777" w:rsidR="001B13EC" w:rsidRPr="00181EF3" w:rsidRDefault="001B13EC" w:rsidP="001B13EC">
            <w:pPr>
              <w:pStyle w:val="TableText"/>
            </w:pPr>
            <w:r w:rsidRPr="00181EF3">
              <w:t>E884.2, E884.4, E884.6, E884.7, E885–E886</w:t>
            </w:r>
          </w:p>
        </w:tc>
        <w:tc>
          <w:tcPr>
            <w:tcW w:w="1985" w:type="dxa"/>
            <w:tcBorders>
              <w:top w:val="single" w:sz="4" w:space="0" w:color="A6A6A6" w:themeColor="background1" w:themeShade="A6"/>
              <w:bottom w:val="single" w:sz="4" w:space="0" w:color="A6A6A6" w:themeColor="background1" w:themeShade="A6"/>
            </w:tcBorders>
            <w:hideMark/>
          </w:tcPr>
          <w:p w14:paraId="0B996EE7" w14:textId="77777777" w:rsidR="001B13EC" w:rsidRPr="00181EF3" w:rsidRDefault="001B13EC" w:rsidP="001B13EC">
            <w:pPr>
              <w:pStyle w:val="TableText"/>
            </w:pPr>
            <w:r w:rsidRPr="00181EF3">
              <w:t>W00–W08, W18</w:t>
            </w:r>
          </w:p>
        </w:tc>
        <w:tc>
          <w:tcPr>
            <w:tcW w:w="1276" w:type="dxa"/>
            <w:tcBorders>
              <w:top w:val="single" w:sz="4" w:space="0" w:color="A6A6A6" w:themeColor="background1" w:themeShade="A6"/>
              <w:bottom w:val="single" w:sz="4" w:space="0" w:color="A6A6A6" w:themeColor="background1" w:themeShade="A6"/>
            </w:tcBorders>
            <w:noWrap/>
          </w:tcPr>
          <w:p w14:paraId="184057F5" w14:textId="77777777" w:rsidR="001B13EC" w:rsidRPr="00181EF3" w:rsidRDefault="001B13EC" w:rsidP="001B13EC">
            <w:pPr>
              <w:pStyle w:val="TableText"/>
            </w:pPr>
          </w:p>
        </w:tc>
      </w:tr>
      <w:tr w:rsidR="001B13EC" w:rsidRPr="00181EF3" w14:paraId="4314FE37" w14:textId="77777777" w:rsidTr="001B13EC">
        <w:trPr>
          <w:cantSplit/>
        </w:trPr>
        <w:tc>
          <w:tcPr>
            <w:tcW w:w="993" w:type="dxa"/>
            <w:vMerge/>
            <w:tcBorders>
              <w:bottom w:val="single" w:sz="4" w:space="0" w:color="A6A6A6" w:themeColor="background1" w:themeShade="A6"/>
            </w:tcBorders>
            <w:noWrap/>
          </w:tcPr>
          <w:p w14:paraId="45269603" w14:textId="77777777" w:rsidR="001B13EC" w:rsidRPr="00181EF3" w:rsidRDefault="001B13EC" w:rsidP="001B13EC">
            <w:pPr>
              <w:pStyle w:val="TableText"/>
            </w:pPr>
          </w:p>
        </w:tc>
        <w:tc>
          <w:tcPr>
            <w:tcW w:w="1842" w:type="dxa"/>
            <w:tcBorders>
              <w:top w:val="single" w:sz="4" w:space="0" w:color="A6A6A6" w:themeColor="background1" w:themeShade="A6"/>
              <w:bottom w:val="single" w:sz="4" w:space="0" w:color="A6A6A6" w:themeColor="background1" w:themeShade="A6"/>
            </w:tcBorders>
            <w:noWrap/>
            <w:hideMark/>
          </w:tcPr>
          <w:p w14:paraId="7455C588" w14:textId="77777777" w:rsidR="001B13EC" w:rsidRPr="00181EF3" w:rsidRDefault="001B13EC" w:rsidP="001B13EC">
            <w:pPr>
              <w:pStyle w:val="TableText"/>
            </w:pPr>
            <w:r w:rsidRPr="00181EF3">
              <w:t>Fire</w:t>
            </w:r>
          </w:p>
        </w:tc>
        <w:tc>
          <w:tcPr>
            <w:tcW w:w="1984" w:type="dxa"/>
            <w:tcBorders>
              <w:top w:val="single" w:sz="4" w:space="0" w:color="A6A6A6" w:themeColor="background1" w:themeShade="A6"/>
              <w:bottom w:val="single" w:sz="4" w:space="0" w:color="A6A6A6" w:themeColor="background1" w:themeShade="A6"/>
            </w:tcBorders>
            <w:hideMark/>
          </w:tcPr>
          <w:p w14:paraId="1987E772" w14:textId="77777777" w:rsidR="001B13EC" w:rsidRPr="00181EF3" w:rsidRDefault="001B13EC" w:rsidP="001B13EC">
            <w:pPr>
              <w:pStyle w:val="TableText"/>
            </w:pPr>
            <w:r w:rsidRPr="00181EF3">
              <w:t>E890–E899</w:t>
            </w:r>
          </w:p>
        </w:tc>
        <w:tc>
          <w:tcPr>
            <w:tcW w:w="1985" w:type="dxa"/>
            <w:tcBorders>
              <w:top w:val="single" w:sz="4" w:space="0" w:color="A6A6A6" w:themeColor="background1" w:themeShade="A6"/>
              <w:bottom w:val="single" w:sz="4" w:space="0" w:color="A6A6A6" w:themeColor="background1" w:themeShade="A6"/>
            </w:tcBorders>
            <w:hideMark/>
          </w:tcPr>
          <w:p w14:paraId="0DC6CFC4" w14:textId="77777777" w:rsidR="001B13EC" w:rsidRPr="00181EF3" w:rsidRDefault="001B13EC" w:rsidP="001B13EC">
            <w:pPr>
              <w:pStyle w:val="TableText"/>
            </w:pPr>
            <w:r w:rsidRPr="00181EF3">
              <w:t>X00–X09</w:t>
            </w:r>
          </w:p>
        </w:tc>
        <w:tc>
          <w:tcPr>
            <w:tcW w:w="1276" w:type="dxa"/>
            <w:tcBorders>
              <w:top w:val="single" w:sz="4" w:space="0" w:color="A6A6A6" w:themeColor="background1" w:themeShade="A6"/>
              <w:bottom w:val="single" w:sz="4" w:space="0" w:color="A6A6A6" w:themeColor="background1" w:themeShade="A6"/>
            </w:tcBorders>
            <w:noWrap/>
          </w:tcPr>
          <w:p w14:paraId="1F1D5365" w14:textId="77777777" w:rsidR="001B13EC" w:rsidRPr="00181EF3" w:rsidRDefault="001B13EC" w:rsidP="001B13EC">
            <w:pPr>
              <w:pStyle w:val="TableText"/>
            </w:pPr>
          </w:p>
        </w:tc>
      </w:tr>
      <w:tr w:rsidR="001B13EC" w:rsidRPr="00181EF3" w14:paraId="4D0C339B" w14:textId="77777777" w:rsidTr="001B13EC">
        <w:trPr>
          <w:cantSplit/>
        </w:trPr>
        <w:tc>
          <w:tcPr>
            <w:tcW w:w="993" w:type="dxa"/>
            <w:vMerge/>
            <w:tcBorders>
              <w:bottom w:val="single" w:sz="4" w:space="0" w:color="A6A6A6" w:themeColor="background1" w:themeShade="A6"/>
            </w:tcBorders>
            <w:noWrap/>
          </w:tcPr>
          <w:p w14:paraId="17696A7C" w14:textId="77777777" w:rsidR="001B13EC" w:rsidRPr="00181EF3" w:rsidRDefault="001B13EC" w:rsidP="001B13EC">
            <w:pPr>
              <w:pStyle w:val="TableText"/>
            </w:pPr>
          </w:p>
        </w:tc>
        <w:tc>
          <w:tcPr>
            <w:tcW w:w="1842" w:type="dxa"/>
            <w:tcBorders>
              <w:top w:val="single" w:sz="4" w:space="0" w:color="A6A6A6" w:themeColor="background1" w:themeShade="A6"/>
              <w:bottom w:val="single" w:sz="4" w:space="0" w:color="A6A6A6" w:themeColor="background1" w:themeShade="A6"/>
            </w:tcBorders>
            <w:noWrap/>
            <w:hideMark/>
          </w:tcPr>
          <w:p w14:paraId="4226DD1B" w14:textId="77777777" w:rsidR="001B13EC" w:rsidRPr="00181EF3" w:rsidRDefault="001B13EC" w:rsidP="001B13EC">
            <w:pPr>
              <w:pStyle w:val="TableText"/>
            </w:pPr>
            <w:r w:rsidRPr="00181EF3">
              <w:t>Suicide</w:t>
            </w:r>
          </w:p>
        </w:tc>
        <w:tc>
          <w:tcPr>
            <w:tcW w:w="1984" w:type="dxa"/>
            <w:tcBorders>
              <w:top w:val="single" w:sz="4" w:space="0" w:color="A6A6A6" w:themeColor="background1" w:themeShade="A6"/>
              <w:bottom w:val="single" w:sz="4" w:space="0" w:color="A6A6A6" w:themeColor="background1" w:themeShade="A6"/>
            </w:tcBorders>
            <w:hideMark/>
          </w:tcPr>
          <w:p w14:paraId="67FD2847" w14:textId="77777777" w:rsidR="001B13EC" w:rsidRPr="00181EF3" w:rsidRDefault="001B13EC" w:rsidP="001B13EC">
            <w:pPr>
              <w:pStyle w:val="TableText"/>
            </w:pPr>
            <w:r w:rsidRPr="00181EF3">
              <w:t>E950–E958</w:t>
            </w:r>
          </w:p>
        </w:tc>
        <w:tc>
          <w:tcPr>
            <w:tcW w:w="1985" w:type="dxa"/>
            <w:tcBorders>
              <w:top w:val="single" w:sz="4" w:space="0" w:color="A6A6A6" w:themeColor="background1" w:themeShade="A6"/>
              <w:bottom w:val="single" w:sz="4" w:space="0" w:color="A6A6A6" w:themeColor="background1" w:themeShade="A6"/>
            </w:tcBorders>
            <w:hideMark/>
          </w:tcPr>
          <w:p w14:paraId="75FF12F7" w14:textId="77777777" w:rsidR="001B13EC" w:rsidRPr="00181EF3" w:rsidRDefault="001B13EC" w:rsidP="001B13EC">
            <w:pPr>
              <w:pStyle w:val="TableText"/>
            </w:pPr>
            <w:r w:rsidRPr="00181EF3">
              <w:t>X60–X84</w:t>
            </w:r>
          </w:p>
        </w:tc>
        <w:tc>
          <w:tcPr>
            <w:tcW w:w="1276" w:type="dxa"/>
            <w:tcBorders>
              <w:top w:val="single" w:sz="4" w:space="0" w:color="A6A6A6" w:themeColor="background1" w:themeShade="A6"/>
              <w:bottom w:val="single" w:sz="4" w:space="0" w:color="A6A6A6" w:themeColor="background1" w:themeShade="A6"/>
            </w:tcBorders>
            <w:noWrap/>
          </w:tcPr>
          <w:p w14:paraId="55879281" w14:textId="77777777" w:rsidR="001B13EC" w:rsidRPr="00181EF3" w:rsidRDefault="001B13EC" w:rsidP="001B13EC">
            <w:pPr>
              <w:pStyle w:val="TableText"/>
            </w:pPr>
          </w:p>
        </w:tc>
      </w:tr>
      <w:tr w:rsidR="001B13EC" w:rsidRPr="00181EF3" w14:paraId="5417C778" w14:textId="77777777" w:rsidTr="001B13EC">
        <w:trPr>
          <w:cantSplit/>
        </w:trPr>
        <w:tc>
          <w:tcPr>
            <w:tcW w:w="993" w:type="dxa"/>
            <w:vMerge/>
            <w:tcBorders>
              <w:bottom w:val="single" w:sz="4" w:space="0" w:color="A6A6A6" w:themeColor="background1" w:themeShade="A6"/>
            </w:tcBorders>
            <w:noWrap/>
          </w:tcPr>
          <w:p w14:paraId="6824ABDB" w14:textId="77777777" w:rsidR="001B13EC" w:rsidRPr="00181EF3" w:rsidRDefault="001B13EC" w:rsidP="001B13EC">
            <w:pPr>
              <w:pStyle w:val="TableText"/>
            </w:pPr>
          </w:p>
        </w:tc>
        <w:tc>
          <w:tcPr>
            <w:tcW w:w="1842" w:type="dxa"/>
            <w:tcBorders>
              <w:top w:val="single" w:sz="4" w:space="0" w:color="A6A6A6" w:themeColor="background1" w:themeShade="A6"/>
              <w:bottom w:val="single" w:sz="4" w:space="0" w:color="A6A6A6" w:themeColor="background1" w:themeShade="A6"/>
            </w:tcBorders>
            <w:noWrap/>
            <w:hideMark/>
          </w:tcPr>
          <w:p w14:paraId="61E1D5A3" w14:textId="77777777" w:rsidR="001B13EC" w:rsidRPr="00181EF3" w:rsidRDefault="001B13EC" w:rsidP="001B13EC">
            <w:pPr>
              <w:pStyle w:val="TableText"/>
            </w:pPr>
            <w:r w:rsidRPr="00181EF3">
              <w:t>Treatment injury</w:t>
            </w:r>
          </w:p>
        </w:tc>
        <w:tc>
          <w:tcPr>
            <w:tcW w:w="1984" w:type="dxa"/>
            <w:tcBorders>
              <w:top w:val="single" w:sz="4" w:space="0" w:color="A6A6A6" w:themeColor="background1" w:themeShade="A6"/>
              <w:bottom w:val="single" w:sz="4" w:space="0" w:color="A6A6A6" w:themeColor="background1" w:themeShade="A6"/>
            </w:tcBorders>
            <w:hideMark/>
          </w:tcPr>
          <w:p w14:paraId="2FCDA954" w14:textId="77777777" w:rsidR="001B13EC" w:rsidRPr="00181EF3" w:rsidRDefault="001B13EC" w:rsidP="001B13EC">
            <w:pPr>
              <w:pStyle w:val="TableText"/>
            </w:pPr>
            <w:r w:rsidRPr="00181EF3">
              <w:t>E870–E876</w:t>
            </w:r>
          </w:p>
        </w:tc>
        <w:tc>
          <w:tcPr>
            <w:tcW w:w="1985" w:type="dxa"/>
            <w:tcBorders>
              <w:top w:val="single" w:sz="4" w:space="0" w:color="A6A6A6" w:themeColor="background1" w:themeShade="A6"/>
              <w:bottom w:val="single" w:sz="4" w:space="0" w:color="A6A6A6" w:themeColor="background1" w:themeShade="A6"/>
            </w:tcBorders>
            <w:hideMark/>
          </w:tcPr>
          <w:p w14:paraId="7FE5D08E" w14:textId="77777777" w:rsidR="001B13EC" w:rsidRPr="00181EF3" w:rsidRDefault="001B13EC" w:rsidP="001B13EC">
            <w:pPr>
              <w:pStyle w:val="TableText"/>
            </w:pPr>
            <w:r w:rsidRPr="00181EF3">
              <w:t>Y60–Y82</w:t>
            </w:r>
          </w:p>
        </w:tc>
        <w:tc>
          <w:tcPr>
            <w:tcW w:w="1276" w:type="dxa"/>
            <w:tcBorders>
              <w:top w:val="single" w:sz="4" w:space="0" w:color="A6A6A6" w:themeColor="background1" w:themeShade="A6"/>
              <w:bottom w:val="single" w:sz="4" w:space="0" w:color="A6A6A6" w:themeColor="background1" w:themeShade="A6"/>
            </w:tcBorders>
            <w:noWrap/>
          </w:tcPr>
          <w:p w14:paraId="2E7EDE02" w14:textId="77777777" w:rsidR="001B13EC" w:rsidRPr="00181EF3" w:rsidRDefault="001B13EC" w:rsidP="001B13EC">
            <w:pPr>
              <w:pStyle w:val="TableText"/>
            </w:pPr>
          </w:p>
        </w:tc>
      </w:tr>
    </w:tbl>
    <w:p w14:paraId="2F4C3125" w14:textId="77777777" w:rsidR="001B13EC" w:rsidRPr="00181EF3" w:rsidRDefault="001B13EC" w:rsidP="001B13EC"/>
    <w:p w14:paraId="19061729" w14:textId="2CC81157" w:rsidR="001B13EC" w:rsidRPr="00181EF3" w:rsidRDefault="001B13EC" w:rsidP="001B13EC">
      <w:pPr>
        <w:pStyle w:val="Table"/>
      </w:pPr>
      <w:bookmarkStart w:id="573" w:name="_Toc18594795"/>
      <w:r w:rsidRPr="00181EF3">
        <w:lastRenderedPageBreak/>
        <w:t>Table A</w:t>
      </w:r>
      <w:r w:rsidR="00E24433">
        <w:t>2</w:t>
      </w:r>
      <w:r w:rsidRPr="00181EF3">
        <w:t>.2: Amenable mortality codes – 2016 revised version, to be used with data from 2010</w:t>
      </w:r>
      <w:bookmarkEnd w:id="573"/>
    </w:p>
    <w:tbl>
      <w:tblPr>
        <w:tblW w:w="8080" w:type="dxa"/>
        <w:tblInd w:w="57" w:type="dxa"/>
        <w:tblLayout w:type="fixed"/>
        <w:tblCellMar>
          <w:left w:w="57" w:type="dxa"/>
          <w:right w:w="57" w:type="dxa"/>
        </w:tblCellMar>
        <w:tblLook w:val="04A0" w:firstRow="1" w:lastRow="0" w:firstColumn="1" w:lastColumn="0" w:noHBand="0" w:noVBand="1"/>
      </w:tblPr>
      <w:tblGrid>
        <w:gridCol w:w="993"/>
        <w:gridCol w:w="1842"/>
        <w:gridCol w:w="1985"/>
        <w:gridCol w:w="1984"/>
        <w:gridCol w:w="1276"/>
      </w:tblGrid>
      <w:tr w:rsidR="001B13EC" w:rsidRPr="00181EF3" w14:paraId="1A58B95E" w14:textId="77777777" w:rsidTr="001B13EC">
        <w:trPr>
          <w:cantSplit/>
          <w:tblHeader/>
        </w:trPr>
        <w:tc>
          <w:tcPr>
            <w:tcW w:w="993" w:type="dxa"/>
            <w:shd w:val="clear" w:color="auto" w:fill="D9D9D9" w:themeFill="background1" w:themeFillShade="D9"/>
            <w:noWrap/>
            <w:hideMark/>
          </w:tcPr>
          <w:p w14:paraId="19B334A6" w14:textId="77777777" w:rsidR="001B13EC" w:rsidRPr="00181EF3" w:rsidRDefault="001B13EC" w:rsidP="001B13EC">
            <w:pPr>
              <w:pStyle w:val="TableText"/>
              <w:keepNext/>
              <w:rPr>
                <w:b/>
              </w:rPr>
            </w:pPr>
            <w:r w:rsidRPr="00181EF3">
              <w:rPr>
                <w:b/>
              </w:rPr>
              <w:t>Group</w:t>
            </w:r>
          </w:p>
        </w:tc>
        <w:tc>
          <w:tcPr>
            <w:tcW w:w="1842" w:type="dxa"/>
            <w:shd w:val="clear" w:color="auto" w:fill="D9D9D9" w:themeFill="background1" w:themeFillShade="D9"/>
            <w:noWrap/>
            <w:hideMark/>
          </w:tcPr>
          <w:p w14:paraId="0AF772FD" w14:textId="77777777" w:rsidR="001B13EC" w:rsidRPr="00181EF3" w:rsidRDefault="001B13EC" w:rsidP="001B13EC">
            <w:pPr>
              <w:pStyle w:val="TableText"/>
              <w:keepNext/>
              <w:rPr>
                <w:b/>
              </w:rPr>
            </w:pPr>
            <w:r w:rsidRPr="00181EF3">
              <w:rPr>
                <w:b/>
              </w:rPr>
              <w:t>Condition</w:t>
            </w:r>
          </w:p>
        </w:tc>
        <w:tc>
          <w:tcPr>
            <w:tcW w:w="1985" w:type="dxa"/>
            <w:shd w:val="clear" w:color="auto" w:fill="D9D9D9" w:themeFill="background1" w:themeFillShade="D9"/>
            <w:noWrap/>
            <w:hideMark/>
          </w:tcPr>
          <w:p w14:paraId="52030D9B" w14:textId="77777777" w:rsidR="001B13EC" w:rsidRPr="00181EF3" w:rsidRDefault="001B13EC" w:rsidP="001B13EC">
            <w:pPr>
              <w:pStyle w:val="TableText"/>
              <w:keepNext/>
              <w:rPr>
                <w:b/>
              </w:rPr>
            </w:pPr>
            <w:r w:rsidRPr="00181EF3">
              <w:rPr>
                <w:b/>
              </w:rPr>
              <w:t>ICD-9-CMA-II</w:t>
            </w:r>
          </w:p>
        </w:tc>
        <w:tc>
          <w:tcPr>
            <w:tcW w:w="1984" w:type="dxa"/>
            <w:shd w:val="clear" w:color="auto" w:fill="D9D9D9" w:themeFill="background1" w:themeFillShade="D9"/>
            <w:noWrap/>
            <w:hideMark/>
          </w:tcPr>
          <w:p w14:paraId="5A2DC7E7" w14:textId="77777777" w:rsidR="001B13EC" w:rsidRPr="00181EF3" w:rsidRDefault="001B13EC" w:rsidP="001B13EC">
            <w:pPr>
              <w:pStyle w:val="TableText"/>
              <w:keepNext/>
              <w:rPr>
                <w:b/>
              </w:rPr>
            </w:pPr>
            <w:r w:rsidRPr="00181EF3">
              <w:rPr>
                <w:b/>
              </w:rPr>
              <w:t>ICD-10-AM-II</w:t>
            </w:r>
          </w:p>
        </w:tc>
        <w:tc>
          <w:tcPr>
            <w:tcW w:w="1276" w:type="dxa"/>
            <w:shd w:val="clear" w:color="auto" w:fill="D9D9D9" w:themeFill="background1" w:themeFillShade="D9"/>
            <w:noWrap/>
            <w:hideMark/>
          </w:tcPr>
          <w:p w14:paraId="295AC588" w14:textId="77777777" w:rsidR="001B13EC" w:rsidRPr="00181EF3" w:rsidRDefault="001B13EC" w:rsidP="001B13EC">
            <w:pPr>
              <w:pStyle w:val="TableText"/>
              <w:keepNext/>
              <w:rPr>
                <w:b/>
              </w:rPr>
            </w:pPr>
            <w:r w:rsidRPr="00181EF3">
              <w:rPr>
                <w:b/>
              </w:rPr>
              <w:t>Notes</w:t>
            </w:r>
          </w:p>
        </w:tc>
      </w:tr>
      <w:tr w:rsidR="001B13EC" w:rsidRPr="00181EF3" w14:paraId="0CC0037A" w14:textId="77777777" w:rsidTr="001B13EC">
        <w:trPr>
          <w:cantSplit/>
        </w:trPr>
        <w:tc>
          <w:tcPr>
            <w:tcW w:w="993" w:type="dxa"/>
            <w:vMerge w:val="restart"/>
            <w:hideMark/>
          </w:tcPr>
          <w:p w14:paraId="58CBFF26" w14:textId="77777777" w:rsidR="001B13EC" w:rsidRPr="00181EF3" w:rsidRDefault="001B13EC" w:rsidP="000667F5">
            <w:pPr>
              <w:pStyle w:val="TableText"/>
              <w:keepNext/>
            </w:pPr>
            <w:r w:rsidRPr="00181EF3">
              <w:t>Infections</w:t>
            </w:r>
          </w:p>
        </w:tc>
        <w:tc>
          <w:tcPr>
            <w:tcW w:w="1842" w:type="dxa"/>
            <w:tcBorders>
              <w:bottom w:val="single" w:sz="4" w:space="0" w:color="A6A6A6" w:themeColor="background1" w:themeShade="A6"/>
            </w:tcBorders>
            <w:noWrap/>
            <w:hideMark/>
          </w:tcPr>
          <w:p w14:paraId="250830E5" w14:textId="77777777" w:rsidR="001B13EC" w:rsidRPr="00181EF3" w:rsidRDefault="001B13EC" w:rsidP="000667F5">
            <w:pPr>
              <w:pStyle w:val="TableText"/>
              <w:keepNext/>
            </w:pPr>
            <w:r w:rsidRPr="00181EF3">
              <w:t>Pulmonary tuberculosis</w:t>
            </w:r>
          </w:p>
        </w:tc>
        <w:tc>
          <w:tcPr>
            <w:tcW w:w="1985" w:type="dxa"/>
            <w:tcBorders>
              <w:bottom w:val="single" w:sz="4" w:space="0" w:color="A6A6A6" w:themeColor="background1" w:themeShade="A6"/>
            </w:tcBorders>
            <w:hideMark/>
          </w:tcPr>
          <w:p w14:paraId="46487DBC" w14:textId="77777777" w:rsidR="001B13EC" w:rsidRPr="00181EF3" w:rsidRDefault="001B13EC" w:rsidP="000667F5">
            <w:pPr>
              <w:pStyle w:val="TableText"/>
              <w:keepNext/>
            </w:pPr>
            <w:r w:rsidRPr="00181EF3">
              <w:t>011</w:t>
            </w:r>
          </w:p>
        </w:tc>
        <w:tc>
          <w:tcPr>
            <w:tcW w:w="1984" w:type="dxa"/>
            <w:tcBorders>
              <w:bottom w:val="single" w:sz="4" w:space="0" w:color="A6A6A6" w:themeColor="background1" w:themeShade="A6"/>
            </w:tcBorders>
            <w:hideMark/>
          </w:tcPr>
          <w:p w14:paraId="660C6624" w14:textId="77777777" w:rsidR="001B13EC" w:rsidRPr="00181EF3" w:rsidRDefault="001B13EC" w:rsidP="000667F5">
            <w:pPr>
              <w:pStyle w:val="TableText"/>
              <w:keepNext/>
            </w:pPr>
            <w:r w:rsidRPr="00181EF3">
              <w:t>A15–A16</w:t>
            </w:r>
          </w:p>
        </w:tc>
        <w:tc>
          <w:tcPr>
            <w:tcW w:w="1276" w:type="dxa"/>
            <w:tcBorders>
              <w:bottom w:val="single" w:sz="4" w:space="0" w:color="A6A6A6" w:themeColor="background1" w:themeShade="A6"/>
            </w:tcBorders>
            <w:noWrap/>
          </w:tcPr>
          <w:p w14:paraId="04B772E9" w14:textId="77777777" w:rsidR="001B13EC" w:rsidRPr="00181EF3" w:rsidRDefault="001B13EC" w:rsidP="000667F5">
            <w:pPr>
              <w:pStyle w:val="TableText"/>
              <w:keepNext/>
            </w:pPr>
          </w:p>
        </w:tc>
      </w:tr>
      <w:tr w:rsidR="001B13EC" w:rsidRPr="00181EF3" w14:paraId="0E445992" w14:textId="77777777" w:rsidTr="001B13EC">
        <w:trPr>
          <w:cantSplit/>
        </w:trPr>
        <w:tc>
          <w:tcPr>
            <w:tcW w:w="993" w:type="dxa"/>
            <w:vMerge/>
            <w:hideMark/>
          </w:tcPr>
          <w:p w14:paraId="3D5226F4" w14:textId="77777777" w:rsidR="001B13EC" w:rsidRPr="00181EF3" w:rsidRDefault="001B13EC" w:rsidP="000667F5">
            <w:pPr>
              <w:pStyle w:val="TableText"/>
              <w:keepNext/>
            </w:pPr>
          </w:p>
        </w:tc>
        <w:tc>
          <w:tcPr>
            <w:tcW w:w="1842" w:type="dxa"/>
            <w:tcBorders>
              <w:top w:val="single" w:sz="4" w:space="0" w:color="A6A6A6" w:themeColor="background1" w:themeShade="A6"/>
              <w:bottom w:val="single" w:sz="4" w:space="0" w:color="A6A6A6" w:themeColor="background1" w:themeShade="A6"/>
            </w:tcBorders>
            <w:noWrap/>
            <w:hideMark/>
          </w:tcPr>
          <w:p w14:paraId="13AD2AFF" w14:textId="77777777" w:rsidR="001B13EC" w:rsidRPr="00181EF3" w:rsidRDefault="001B13EC" w:rsidP="000667F5">
            <w:pPr>
              <w:pStyle w:val="TableText"/>
              <w:keepNext/>
            </w:pPr>
            <w:r w:rsidRPr="00181EF3">
              <w:t>Meningococcal disease</w:t>
            </w:r>
          </w:p>
        </w:tc>
        <w:tc>
          <w:tcPr>
            <w:tcW w:w="1985" w:type="dxa"/>
            <w:tcBorders>
              <w:top w:val="single" w:sz="4" w:space="0" w:color="A6A6A6" w:themeColor="background1" w:themeShade="A6"/>
              <w:bottom w:val="single" w:sz="4" w:space="0" w:color="A6A6A6" w:themeColor="background1" w:themeShade="A6"/>
            </w:tcBorders>
            <w:hideMark/>
          </w:tcPr>
          <w:p w14:paraId="75572FA2" w14:textId="77777777" w:rsidR="001B13EC" w:rsidRPr="00181EF3" w:rsidRDefault="001B13EC" w:rsidP="000667F5">
            <w:pPr>
              <w:pStyle w:val="TableText"/>
              <w:keepNext/>
            </w:pPr>
            <w:r w:rsidRPr="00181EF3">
              <w:t>036</w:t>
            </w:r>
          </w:p>
        </w:tc>
        <w:tc>
          <w:tcPr>
            <w:tcW w:w="1984" w:type="dxa"/>
            <w:tcBorders>
              <w:top w:val="single" w:sz="4" w:space="0" w:color="A6A6A6" w:themeColor="background1" w:themeShade="A6"/>
              <w:bottom w:val="single" w:sz="4" w:space="0" w:color="A6A6A6" w:themeColor="background1" w:themeShade="A6"/>
            </w:tcBorders>
            <w:hideMark/>
          </w:tcPr>
          <w:p w14:paraId="2CCB4021" w14:textId="77777777" w:rsidR="001B13EC" w:rsidRPr="00181EF3" w:rsidRDefault="001B13EC" w:rsidP="000667F5">
            <w:pPr>
              <w:pStyle w:val="TableText"/>
              <w:keepNext/>
            </w:pPr>
            <w:r w:rsidRPr="00181EF3">
              <w:t>A39</w:t>
            </w:r>
          </w:p>
        </w:tc>
        <w:tc>
          <w:tcPr>
            <w:tcW w:w="1276" w:type="dxa"/>
            <w:tcBorders>
              <w:top w:val="single" w:sz="4" w:space="0" w:color="A6A6A6" w:themeColor="background1" w:themeShade="A6"/>
              <w:bottom w:val="single" w:sz="4" w:space="0" w:color="A6A6A6" w:themeColor="background1" w:themeShade="A6"/>
            </w:tcBorders>
            <w:noWrap/>
          </w:tcPr>
          <w:p w14:paraId="0C680995" w14:textId="77777777" w:rsidR="001B13EC" w:rsidRPr="00181EF3" w:rsidRDefault="001B13EC" w:rsidP="000667F5">
            <w:pPr>
              <w:pStyle w:val="TableText"/>
              <w:keepNext/>
            </w:pPr>
          </w:p>
        </w:tc>
      </w:tr>
      <w:tr w:rsidR="001B13EC" w:rsidRPr="00181EF3" w14:paraId="12E1EE83" w14:textId="77777777" w:rsidTr="001B13EC">
        <w:trPr>
          <w:cantSplit/>
        </w:trPr>
        <w:tc>
          <w:tcPr>
            <w:tcW w:w="993" w:type="dxa"/>
            <w:vMerge/>
            <w:hideMark/>
          </w:tcPr>
          <w:p w14:paraId="6F2CF19B" w14:textId="77777777" w:rsidR="001B13EC" w:rsidRPr="00181EF3" w:rsidRDefault="001B13EC" w:rsidP="000667F5">
            <w:pPr>
              <w:pStyle w:val="TableText"/>
              <w:keepNext/>
            </w:pPr>
          </w:p>
        </w:tc>
        <w:tc>
          <w:tcPr>
            <w:tcW w:w="1842" w:type="dxa"/>
            <w:tcBorders>
              <w:top w:val="single" w:sz="4" w:space="0" w:color="A6A6A6" w:themeColor="background1" w:themeShade="A6"/>
              <w:bottom w:val="single" w:sz="4" w:space="0" w:color="A6A6A6" w:themeColor="background1" w:themeShade="A6"/>
            </w:tcBorders>
            <w:noWrap/>
            <w:hideMark/>
          </w:tcPr>
          <w:p w14:paraId="2A3DB0A9" w14:textId="77777777" w:rsidR="001B13EC" w:rsidRPr="00181EF3" w:rsidRDefault="001B13EC" w:rsidP="000667F5">
            <w:pPr>
              <w:pStyle w:val="TableText"/>
              <w:keepNext/>
            </w:pPr>
            <w:r w:rsidRPr="00181EF3">
              <w:t>Pneumococcal disease</w:t>
            </w:r>
          </w:p>
        </w:tc>
        <w:tc>
          <w:tcPr>
            <w:tcW w:w="1985" w:type="dxa"/>
            <w:tcBorders>
              <w:top w:val="single" w:sz="4" w:space="0" w:color="A6A6A6" w:themeColor="background1" w:themeShade="A6"/>
              <w:bottom w:val="single" w:sz="4" w:space="0" w:color="A6A6A6" w:themeColor="background1" w:themeShade="A6"/>
            </w:tcBorders>
            <w:hideMark/>
          </w:tcPr>
          <w:p w14:paraId="1BAF05DC" w14:textId="77777777" w:rsidR="001B13EC" w:rsidRPr="00181EF3" w:rsidRDefault="001B13EC" w:rsidP="000667F5">
            <w:pPr>
              <w:pStyle w:val="TableText"/>
              <w:keepNext/>
            </w:pPr>
            <w:r w:rsidRPr="00181EF3">
              <w:t>038.2, 320.1, 481</w:t>
            </w:r>
          </w:p>
        </w:tc>
        <w:tc>
          <w:tcPr>
            <w:tcW w:w="1984" w:type="dxa"/>
            <w:tcBorders>
              <w:top w:val="single" w:sz="4" w:space="0" w:color="A6A6A6" w:themeColor="background1" w:themeShade="A6"/>
              <w:bottom w:val="single" w:sz="4" w:space="0" w:color="A6A6A6" w:themeColor="background1" w:themeShade="A6"/>
            </w:tcBorders>
            <w:hideMark/>
          </w:tcPr>
          <w:p w14:paraId="248080D2" w14:textId="77777777" w:rsidR="001B13EC" w:rsidRPr="00181EF3" w:rsidRDefault="001B13EC" w:rsidP="000667F5">
            <w:pPr>
              <w:pStyle w:val="TableText"/>
              <w:keepNext/>
            </w:pPr>
            <w:r w:rsidRPr="00181EF3">
              <w:t>A40.3, G00.1, J13</w:t>
            </w:r>
          </w:p>
        </w:tc>
        <w:tc>
          <w:tcPr>
            <w:tcW w:w="1276" w:type="dxa"/>
            <w:tcBorders>
              <w:top w:val="single" w:sz="4" w:space="0" w:color="A6A6A6" w:themeColor="background1" w:themeShade="A6"/>
              <w:bottom w:val="single" w:sz="4" w:space="0" w:color="A6A6A6" w:themeColor="background1" w:themeShade="A6"/>
            </w:tcBorders>
            <w:noWrap/>
          </w:tcPr>
          <w:p w14:paraId="70DABF18" w14:textId="77777777" w:rsidR="001B13EC" w:rsidRPr="00181EF3" w:rsidRDefault="001B13EC" w:rsidP="000667F5">
            <w:pPr>
              <w:pStyle w:val="TableText"/>
              <w:keepNext/>
            </w:pPr>
          </w:p>
        </w:tc>
      </w:tr>
      <w:tr w:rsidR="001B13EC" w:rsidRPr="00181EF3" w14:paraId="475023B3" w14:textId="77777777" w:rsidTr="001B13EC">
        <w:trPr>
          <w:cantSplit/>
        </w:trPr>
        <w:tc>
          <w:tcPr>
            <w:tcW w:w="993" w:type="dxa"/>
            <w:vMerge/>
            <w:hideMark/>
          </w:tcPr>
          <w:p w14:paraId="0087D58F" w14:textId="77777777" w:rsidR="001B13EC" w:rsidRPr="00181EF3" w:rsidRDefault="001B13EC" w:rsidP="000667F5">
            <w:pPr>
              <w:pStyle w:val="TableText"/>
              <w:keepNext/>
            </w:pPr>
          </w:p>
        </w:tc>
        <w:tc>
          <w:tcPr>
            <w:tcW w:w="1842" w:type="dxa"/>
            <w:tcBorders>
              <w:top w:val="single" w:sz="4" w:space="0" w:color="A6A6A6" w:themeColor="background1" w:themeShade="A6"/>
              <w:bottom w:val="single" w:sz="4" w:space="0" w:color="A6A6A6" w:themeColor="background1" w:themeShade="A6"/>
            </w:tcBorders>
            <w:noWrap/>
            <w:hideMark/>
          </w:tcPr>
          <w:p w14:paraId="76188ABD" w14:textId="77777777" w:rsidR="001B13EC" w:rsidRPr="00181EF3" w:rsidRDefault="001B13EC" w:rsidP="000667F5">
            <w:pPr>
              <w:pStyle w:val="TableText"/>
              <w:keepNext/>
            </w:pPr>
            <w:r w:rsidRPr="00181EF3">
              <w:t>Hepatitis C virus</w:t>
            </w:r>
          </w:p>
        </w:tc>
        <w:tc>
          <w:tcPr>
            <w:tcW w:w="1985" w:type="dxa"/>
            <w:tcBorders>
              <w:top w:val="single" w:sz="4" w:space="0" w:color="A6A6A6" w:themeColor="background1" w:themeShade="A6"/>
              <w:bottom w:val="single" w:sz="4" w:space="0" w:color="A6A6A6" w:themeColor="background1" w:themeShade="A6"/>
            </w:tcBorders>
            <w:hideMark/>
          </w:tcPr>
          <w:p w14:paraId="268F72EB" w14:textId="77777777" w:rsidR="001B13EC" w:rsidRPr="00181EF3" w:rsidRDefault="001B13EC" w:rsidP="000667F5">
            <w:pPr>
              <w:pStyle w:val="TableText"/>
              <w:keepNext/>
            </w:pPr>
            <w:r w:rsidRPr="00181EF3">
              <w:t>070.41, 070.44, 070.51, 070.54</w:t>
            </w:r>
          </w:p>
        </w:tc>
        <w:tc>
          <w:tcPr>
            <w:tcW w:w="1984" w:type="dxa"/>
            <w:tcBorders>
              <w:top w:val="single" w:sz="4" w:space="0" w:color="A6A6A6" w:themeColor="background1" w:themeShade="A6"/>
              <w:bottom w:val="single" w:sz="4" w:space="0" w:color="A6A6A6" w:themeColor="background1" w:themeShade="A6"/>
            </w:tcBorders>
            <w:hideMark/>
          </w:tcPr>
          <w:p w14:paraId="683862EE" w14:textId="77777777" w:rsidR="001B13EC" w:rsidRPr="00181EF3" w:rsidRDefault="001B13EC" w:rsidP="000667F5">
            <w:pPr>
              <w:pStyle w:val="TableText"/>
              <w:keepNext/>
            </w:pPr>
            <w:r w:rsidRPr="00181EF3">
              <w:t>B17.1, B18.2</w:t>
            </w:r>
          </w:p>
        </w:tc>
        <w:tc>
          <w:tcPr>
            <w:tcW w:w="1276" w:type="dxa"/>
            <w:tcBorders>
              <w:top w:val="single" w:sz="4" w:space="0" w:color="A6A6A6" w:themeColor="background1" w:themeShade="A6"/>
              <w:bottom w:val="single" w:sz="4" w:space="0" w:color="A6A6A6" w:themeColor="background1" w:themeShade="A6"/>
            </w:tcBorders>
            <w:noWrap/>
            <w:hideMark/>
          </w:tcPr>
          <w:p w14:paraId="56384231" w14:textId="77777777" w:rsidR="001B13EC" w:rsidRPr="00181EF3" w:rsidRDefault="001B13EC" w:rsidP="000667F5">
            <w:pPr>
              <w:pStyle w:val="TableText"/>
              <w:keepNext/>
            </w:pPr>
            <w:r w:rsidRPr="00181EF3">
              <w:t>New in this version</w:t>
            </w:r>
          </w:p>
        </w:tc>
      </w:tr>
      <w:tr w:rsidR="001B13EC" w:rsidRPr="00181EF3" w14:paraId="2BB8FAE5" w14:textId="77777777" w:rsidTr="001B13EC">
        <w:trPr>
          <w:cantSplit/>
        </w:trPr>
        <w:tc>
          <w:tcPr>
            <w:tcW w:w="993" w:type="dxa"/>
            <w:vMerge/>
            <w:tcBorders>
              <w:bottom w:val="single" w:sz="4" w:space="0" w:color="7F7F7F" w:themeColor="text1" w:themeTint="80"/>
            </w:tcBorders>
            <w:hideMark/>
          </w:tcPr>
          <w:p w14:paraId="687651F5" w14:textId="77777777" w:rsidR="001B13EC" w:rsidRPr="00181EF3" w:rsidRDefault="001B13EC" w:rsidP="000667F5">
            <w:pPr>
              <w:pStyle w:val="TableText"/>
              <w:keepNext/>
            </w:pPr>
          </w:p>
        </w:tc>
        <w:tc>
          <w:tcPr>
            <w:tcW w:w="1842" w:type="dxa"/>
            <w:tcBorders>
              <w:top w:val="single" w:sz="4" w:space="0" w:color="A6A6A6" w:themeColor="background1" w:themeShade="A6"/>
              <w:bottom w:val="single" w:sz="4" w:space="0" w:color="7F7F7F" w:themeColor="text1" w:themeTint="80"/>
            </w:tcBorders>
            <w:noWrap/>
            <w:hideMark/>
          </w:tcPr>
          <w:p w14:paraId="1E330C3B" w14:textId="77777777" w:rsidR="001B13EC" w:rsidRPr="00181EF3" w:rsidRDefault="001B13EC" w:rsidP="000667F5">
            <w:pPr>
              <w:pStyle w:val="TableText"/>
              <w:keepNext/>
            </w:pPr>
            <w:r w:rsidRPr="00181EF3">
              <w:t>HIV/AIDS</w:t>
            </w:r>
          </w:p>
        </w:tc>
        <w:tc>
          <w:tcPr>
            <w:tcW w:w="1985" w:type="dxa"/>
            <w:tcBorders>
              <w:top w:val="single" w:sz="4" w:space="0" w:color="A6A6A6" w:themeColor="background1" w:themeShade="A6"/>
              <w:bottom w:val="single" w:sz="4" w:space="0" w:color="7F7F7F" w:themeColor="text1" w:themeTint="80"/>
            </w:tcBorders>
            <w:hideMark/>
          </w:tcPr>
          <w:p w14:paraId="27690050" w14:textId="77777777" w:rsidR="001B13EC" w:rsidRPr="00181EF3" w:rsidRDefault="001B13EC" w:rsidP="000667F5">
            <w:pPr>
              <w:pStyle w:val="TableText"/>
              <w:keepNext/>
            </w:pPr>
            <w:r w:rsidRPr="00181EF3">
              <w:t>042</w:t>
            </w:r>
          </w:p>
        </w:tc>
        <w:tc>
          <w:tcPr>
            <w:tcW w:w="1984" w:type="dxa"/>
            <w:tcBorders>
              <w:top w:val="single" w:sz="4" w:space="0" w:color="A6A6A6" w:themeColor="background1" w:themeShade="A6"/>
              <w:bottom w:val="single" w:sz="4" w:space="0" w:color="7F7F7F" w:themeColor="text1" w:themeTint="80"/>
            </w:tcBorders>
            <w:hideMark/>
          </w:tcPr>
          <w:p w14:paraId="023DBE7B" w14:textId="77777777" w:rsidR="001B13EC" w:rsidRPr="00181EF3" w:rsidRDefault="001B13EC" w:rsidP="000667F5">
            <w:pPr>
              <w:pStyle w:val="TableText"/>
              <w:keepNext/>
            </w:pPr>
            <w:r w:rsidRPr="00181EF3">
              <w:t>B20–B24</w:t>
            </w:r>
          </w:p>
        </w:tc>
        <w:tc>
          <w:tcPr>
            <w:tcW w:w="1276" w:type="dxa"/>
            <w:tcBorders>
              <w:top w:val="single" w:sz="4" w:space="0" w:color="A6A6A6" w:themeColor="background1" w:themeShade="A6"/>
              <w:bottom w:val="single" w:sz="4" w:space="0" w:color="7F7F7F" w:themeColor="text1" w:themeTint="80"/>
            </w:tcBorders>
            <w:noWrap/>
          </w:tcPr>
          <w:p w14:paraId="15C117C1" w14:textId="77777777" w:rsidR="001B13EC" w:rsidRPr="00181EF3" w:rsidRDefault="001B13EC" w:rsidP="000667F5">
            <w:pPr>
              <w:pStyle w:val="TableText"/>
              <w:keepNext/>
            </w:pPr>
          </w:p>
        </w:tc>
      </w:tr>
      <w:tr w:rsidR="001B13EC" w:rsidRPr="00181EF3" w14:paraId="7FE66DE2" w14:textId="77777777" w:rsidTr="001B13EC">
        <w:trPr>
          <w:cantSplit/>
        </w:trPr>
        <w:tc>
          <w:tcPr>
            <w:tcW w:w="993" w:type="dxa"/>
            <w:vMerge w:val="restart"/>
            <w:tcBorders>
              <w:top w:val="single" w:sz="4" w:space="0" w:color="7F7F7F" w:themeColor="text1" w:themeTint="80"/>
            </w:tcBorders>
            <w:hideMark/>
          </w:tcPr>
          <w:p w14:paraId="727DDB03" w14:textId="77777777" w:rsidR="001B13EC" w:rsidRPr="00181EF3" w:rsidRDefault="001B13EC" w:rsidP="001B13EC">
            <w:pPr>
              <w:pStyle w:val="TableText"/>
            </w:pPr>
            <w:r w:rsidRPr="00181EF3">
              <w:t>Cancers</w:t>
            </w:r>
          </w:p>
        </w:tc>
        <w:tc>
          <w:tcPr>
            <w:tcW w:w="1842" w:type="dxa"/>
            <w:tcBorders>
              <w:top w:val="single" w:sz="4" w:space="0" w:color="7F7F7F" w:themeColor="text1" w:themeTint="80"/>
              <w:bottom w:val="single" w:sz="4" w:space="0" w:color="A6A6A6" w:themeColor="background1" w:themeShade="A6"/>
            </w:tcBorders>
            <w:noWrap/>
            <w:hideMark/>
          </w:tcPr>
          <w:p w14:paraId="6147E84A" w14:textId="77777777" w:rsidR="001B13EC" w:rsidRPr="00181EF3" w:rsidRDefault="001B13EC" w:rsidP="001B13EC">
            <w:pPr>
              <w:pStyle w:val="TableText"/>
            </w:pPr>
            <w:r w:rsidRPr="00181EF3">
              <w:t>Stomach cancer</w:t>
            </w:r>
          </w:p>
        </w:tc>
        <w:tc>
          <w:tcPr>
            <w:tcW w:w="1985" w:type="dxa"/>
            <w:tcBorders>
              <w:top w:val="single" w:sz="4" w:space="0" w:color="7F7F7F" w:themeColor="text1" w:themeTint="80"/>
              <w:bottom w:val="single" w:sz="4" w:space="0" w:color="A6A6A6" w:themeColor="background1" w:themeShade="A6"/>
            </w:tcBorders>
            <w:hideMark/>
          </w:tcPr>
          <w:p w14:paraId="1EA755CC" w14:textId="77777777" w:rsidR="001B13EC" w:rsidRPr="00181EF3" w:rsidRDefault="001B13EC" w:rsidP="001B13EC">
            <w:pPr>
              <w:pStyle w:val="TableText"/>
            </w:pPr>
            <w:r w:rsidRPr="00181EF3">
              <w:t>151</w:t>
            </w:r>
          </w:p>
        </w:tc>
        <w:tc>
          <w:tcPr>
            <w:tcW w:w="1984" w:type="dxa"/>
            <w:tcBorders>
              <w:top w:val="single" w:sz="4" w:space="0" w:color="7F7F7F" w:themeColor="text1" w:themeTint="80"/>
              <w:bottom w:val="single" w:sz="4" w:space="0" w:color="A6A6A6" w:themeColor="background1" w:themeShade="A6"/>
            </w:tcBorders>
            <w:hideMark/>
          </w:tcPr>
          <w:p w14:paraId="149330B4" w14:textId="77777777" w:rsidR="001B13EC" w:rsidRPr="00181EF3" w:rsidRDefault="001B13EC" w:rsidP="001B13EC">
            <w:pPr>
              <w:pStyle w:val="TableText"/>
            </w:pPr>
            <w:r w:rsidRPr="00181EF3">
              <w:t>C16</w:t>
            </w:r>
          </w:p>
        </w:tc>
        <w:tc>
          <w:tcPr>
            <w:tcW w:w="1276" w:type="dxa"/>
            <w:tcBorders>
              <w:top w:val="single" w:sz="4" w:space="0" w:color="7F7F7F" w:themeColor="text1" w:themeTint="80"/>
              <w:bottom w:val="single" w:sz="4" w:space="0" w:color="A6A6A6" w:themeColor="background1" w:themeShade="A6"/>
            </w:tcBorders>
            <w:noWrap/>
          </w:tcPr>
          <w:p w14:paraId="6DC028B4" w14:textId="77777777" w:rsidR="001B13EC" w:rsidRPr="00181EF3" w:rsidRDefault="001B13EC" w:rsidP="001B13EC">
            <w:pPr>
              <w:pStyle w:val="TableText"/>
            </w:pPr>
          </w:p>
        </w:tc>
      </w:tr>
      <w:tr w:rsidR="001B13EC" w:rsidRPr="00181EF3" w14:paraId="7AEB7EB4" w14:textId="77777777" w:rsidTr="001B13EC">
        <w:trPr>
          <w:cantSplit/>
        </w:trPr>
        <w:tc>
          <w:tcPr>
            <w:tcW w:w="993" w:type="dxa"/>
            <w:vMerge/>
            <w:hideMark/>
          </w:tcPr>
          <w:p w14:paraId="461277E7" w14:textId="77777777" w:rsidR="001B13EC" w:rsidRPr="00181EF3" w:rsidRDefault="001B13EC" w:rsidP="001B13EC">
            <w:pPr>
              <w:pStyle w:val="TableText"/>
            </w:pPr>
          </w:p>
        </w:tc>
        <w:tc>
          <w:tcPr>
            <w:tcW w:w="1842" w:type="dxa"/>
            <w:tcBorders>
              <w:top w:val="single" w:sz="4" w:space="0" w:color="A6A6A6" w:themeColor="background1" w:themeShade="A6"/>
              <w:bottom w:val="single" w:sz="4" w:space="0" w:color="A6A6A6" w:themeColor="background1" w:themeShade="A6"/>
            </w:tcBorders>
            <w:noWrap/>
            <w:hideMark/>
          </w:tcPr>
          <w:p w14:paraId="4D8EBC0C" w14:textId="77777777" w:rsidR="001B13EC" w:rsidRPr="00181EF3" w:rsidRDefault="001B13EC" w:rsidP="001B13EC">
            <w:pPr>
              <w:pStyle w:val="TableText"/>
            </w:pPr>
            <w:r w:rsidRPr="00181EF3">
              <w:t>Rectal cancer</w:t>
            </w:r>
          </w:p>
        </w:tc>
        <w:tc>
          <w:tcPr>
            <w:tcW w:w="1985" w:type="dxa"/>
            <w:tcBorders>
              <w:top w:val="single" w:sz="4" w:space="0" w:color="A6A6A6" w:themeColor="background1" w:themeShade="A6"/>
              <w:bottom w:val="single" w:sz="4" w:space="0" w:color="A6A6A6" w:themeColor="background1" w:themeShade="A6"/>
            </w:tcBorders>
            <w:hideMark/>
          </w:tcPr>
          <w:p w14:paraId="77D0FE1C" w14:textId="77777777" w:rsidR="001B13EC" w:rsidRPr="00181EF3" w:rsidRDefault="001B13EC" w:rsidP="001B13EC">
            <w:pPr>
              <w:pStyle w:val="TableText"/>
            </w:pPr>
            <w:r w:rsidRPr="00181EF3">
              <w:t>154</w:t>
            </w:r>
          </w:p>
        </w:tc>
        <w:tc>
          <w:tcPr>
            <w:tcW w:w="1984" w:type="dxa"/>
            <w:tcBorders>
              <w:top w:val="single" w:sz="4" w:space="0" w:color="A6A6A6" w:themeColor="background1" w:themeShade="A6"/>
              <w:bottom w:val="single" w:sz="4" w:space="0" w:color="A6A6A6" w:themeColor="background1" w:themeShade="A6"/>
            </w:tcBorders>
            <w:hideMark/>
          </w:tcPr>
          <w:p w14:paraId="27B16BA3" w14:textId="77777777" w:rsidR="001B13EC" w:rsidRPr="00181EF3" w:rsidRDefault="001B13EC" w:rsidP="001B13EC">
            <w:pPr>
              <w:pStyle w:val="TableText"/>
            </w:pPr>
            <w:r w:rsidRPr="00181EF3">
              <w:t>C19–C21</w:t>
            </w:r>
          </w:p>
        </w:tc>
        <w:tc>
          <w:tcPr>
            <w:tcW w:w="1276" w:type="dxa"/>
            <w:tcBorders>
              <w:top w:val="single" w:sz="4" w:space="0" w:color="A6A6A6" w:themeColor="background1" w:themeShade="A6"/>
              <w:bottom w:val="single" w:sz="4" w:space="0" w:color="A6A6A6" w:themeColor="background1" w:themeShade="A6"/>
            </w:tcBorders>
            <w:noWrap/>
          </w:tcPr>
          <w:p w14:paraId="5C7B229B" w14:textId="77777777" w:rsidR="001B13EC" w:rsidRPr="00181EF3" w:rsidRDefault="001B13EC" w:rsidP="001B13EC">
            <w:pPr>
              <w:pStyle w:val="TableText"/>
            </w:pPr>
          </w:p>
        </w:tc>
      </w:tr>
      <w:tr w:rsidR="001B13EC" w:rsidRPr="00181EF3" w14:paraId="3F986376" w14:textId="77777777" w:rsidTr="001B13EC">
        <w:trPr>
          <w:cantSplit/>
        </w:trPr>
        <w:tc>
          <w:tcPr>
            <w:tcW w:w="993" w:type="dxa"/>
            <w:vMerge/>
            <w:hideMark/>
          </w:tcPr>
          <w:p w14:paraId="3768BCE5" w14:textId="77777777" w:rsidR="001B13EC" w:rsidRPr="00181EF3" w:rsidRDefault="001B13EC" w:rsidP="001B13EC">
            <w:pPr>
              <w:pStyle w:val="TableText"/>
            </w:pPr>
          </w:p>
        </w:tc>
        <w:tc>
          <w:tcPr>
            <w:tcW w:w="1842" w:type="dxa"/>
            <w:tcBorders>
              <w:top w:val="single" w:sz="4" w:space="0" w:color="A6A6A6" w:themeColor="background1" w:themeShade="A6"/>
              <w:bottom w:val="single" w:sz="4" w:space="0" w:color="A6A6A6" w:themeColor="background1" w:themeShade="A6"/>
            </w:tcBorders>
            <w:noWrap/>
            <w:hideMark/>
          </w:tcPr>
          <w:p w14:paraId="4823809F" w14:textId="77777777" w:rsidR="001B13EC" w:rsidRPr="00181EF3" w:rsidRDefault="001B13EC" w:rsidP="001B13EC">
            <w:pPr>
              <w:pStyle w:val="TableText"/>
            </w:pPr>
            <w:r w:rsidRPr="00181EF3">
              <w:t>Bone and cartilage cancer</w:t>
            </w:r>
          </w:p>
        </w:tc>
        <w:tc>
          <w:tcPr>
            <w:tcW w:w="1985" w:type="dxa"/>
            <w:tcBorders>
              <w:top w:val="single" w:sz="4" w:space="0" w:color="A6A6A6" w:themeColor="background1" w:themeShade="A6"/>
              <w:bottom w:val="single" w:sz="4" w:space="0" w:color="A6A6A6" w:themeColor="background1" w:themeShade="A6"/>
            </w:tcBorders>
            <w:hideMark/>
          </w:tcPr>
          <w:p w14:paraId="150A2F07" w14:textId="77777777" w:rsidR="001B13EC" w:rsidRPr="00181EF3" w:rsidRDefault="001B13EC" w:rsidP="001B13EC">
            <w:pPr>
              <w:pStyle w:val="TableText"/>
            </w:pPr>
            <w:r w:rsidRPr="00181EF3">
              <w:t>170</w:t>
            </w:r>
          </w:p>
        </w:tc>
        <w:tc>
          <w:tcPr>
            <w:tcW w:w="1984" w:type="dxa"/>
            <w:tcBorders>
              <w:top w:val="single" w:sz="4" w:space="0" w:color="A6A6A6" w:themeColor="background1" w:themeShade="A6"/>
              <w:bottom w:val="single" w:sz="4" w:space="0" w:color="A6A6A6" w:themeColor="background1" w:themeShade="A6"/>
            </w:tcBorders>
            <w:hideMark/>
          </w:tcPr>
          <w:p w14:paraId="42BADC29" w14:textId="77777777" w:rsidR="001B13EC" w:rsidRPr="00181EF3" w:rsidRDefault="001B13EC" w:rsidP="001B13EC">
            <w:pPr>
              <w:pStyle w:val="TableText"/>
            </w:pPr>
            <w:r w:rsidRPr="00181EF3">
              <w:t>C40–C41</w:t>
            </w:r>
          </w:p>
        </w:tc>
        <w:tc>
          <w:tcPr>
            <w:tcW w:w="1276" w:type="dxa"/>
            <w:tcBorders>
              <w:top w:val="single" w:sz="4" w:space="0" w:color="A6A6A6" w:themeColor="background1" w:themeShade="A6"/>
              <w:bottom w:val="single" w:sz="4" w:space="0" w:color="A6A6A6" w:themeColor="background1" w:themeShade="A6"/>
            </w:tcBorders>
            <w:noWrap/>
          </w:tcPr>
          <w:p w14:paraId="159CE8B7" w14:textId="77777777" w:rsidR="001B13EC" w:rsidRPr="00181EF3" w:rsidRDefault="001B13EC" w:rsidP="001B13EC">
            <w:pPr>
              <w:pStyle w:val="TableText"/>
            </w:pPr>
          </w:p>
        </w:tc>
      </w:tr>
      <w:tr w:rsidR="001B13EC" w:rsidRPr="00181EF3" w14:paraId="1B9835E8" w14:textId="77777777" w:rsidTr="001B13EC">
        <w:trPr>
          <w:cantSplit/>
        </w:trPr>
        <w:tc>
          <w:tcPr>
            <w:tcW w:w="993" w:type="dxa"/>
            <w:vMerge/>
            <w:hideMark/>
          </w:tcPr>
          <w:p w14:paraId="542C7B6F" w14:textId="77777777" w:rsidR="001B13EC" w:rsidRPr="00181EF3" w:rsidRDefault="001B13EC" w:rsidP="001B13EC">
            <w:pPr>
              <w:pStyle w:val="TableText"/>
            </w:pPr>
          </w:p>
        </w:tc>
        <w:tc>
          <w:tcPr>
            <w:tcW w:w="1842" w:type="dxa"/>
            <w:tcBorders>
              <w:top w:val="single" w:sz="4" w:space="0" w:color="A6A6A6" w:themeColor="background1" w:themeShade="A6"/>
              <w:bottom w:val="single" w:sz="4" w:space="0" w:color="A6A6A6" w:themeColor="background1" w:themeShade="A6"/>
            </w:tcBorders>
            <w:noWrap/>
            <w:hideMark/>
          </w:tcPr>
          <w:p w14:paraId="49883BCC" w14:textId="77777777" w:rsidR="001B13EC" w:rsidRPr="00181EF3" w:rsidRDefault="001B13EC" w:rsidP="001B13EC">
            <w:pPr>
              <w:pStyle w:val="TableText"/>
            </w:pPr>
            <w:r w:rsidRPr="00181EF3">
              <w:t>Melanoma of skin</w:t>
            </w:r>
          </w:p>
        </w:tc>
        <w:tc>
          <w:tcPr>
            <w:tcW w:w="1985" w:type="dxa"/>
            <w:tcBorders>
              <w:top w:val="single" w:sz="4" w:space="0" w:color="A6A6A6" w:themeColor="background1" w:themeShade="A6"/>
              <w:bottom w:val="single" w:sz="4" w:space="0" w:color="A6A6A6" w:themeColor="background1" w:themeShade="A6"/>
            </w:tcBorders>
            <w:hideMark/>
          </w:tcPr>
          <w:p w14:paraId="0A6ADF39" w14:textId="77777777" w:rsidR="001B13EC" w:rsidRPr="00181EF3" w:rsidRDefault="001B13EC" w:rsidP="001B13EC">
            <w:pPr>
              <w:pStyle w:val="TableText"/>
            </w:pPr>
            <w:r w:rsidRPr="00181EF3">
              <w:t>172</w:t>
            </w:r>
          </w:p>
        </w:tc>
        <w:tc>
          <w:tcPr>
            <w:tcW w:w="1984" w:type="dxa"/>
            <w:tcBorders>
              <w:top w:val="single" w:sz="4" w:space="0" w:color="A6A6A6" w:themeColor="background1" w:themeShade="A6"/>
              <w:bottom w:val="single" w:sz="4" w:space="0" w:color="A6A6A6" w:themeColor="background1" w:themeShade="A6"/>
            </w:tcBorders>
            <w:hideMark/>
          </w:tcPr>
          <w:p w14:paraId="41024694" w14:textId="77777777" w:rsidR="001B13EC" w:rsidRPr="00181EF3" w:rsidRDefault="001B13EC" w:rsidP="001B13EC">
            <w:pPr>
              <w:pStyle w:val="TableText"/>
            </w:pPr>
            <w:r w:rsidRPr="00181EF3">
              <w:t>C43</w:t>
            </w:r>
          </w:p>
        </w:tc>
        <w:tc>
          <w:tcPr>
            <w:tcW w:w="1276" w:type="dxa"/>
            <w:tcBorders>
              <w:top w:val="single" w:sz="4" w:space="0" w:color="A6A6A6" w:themeColor="background1" w:themeShade="A6"/>
              <w:bottom w:val="single" w:sz="4" w:space="0" w:color="A6A6A6" w:themeColor="background1" w:themeShade="A6"/>
            </w:tcBorders>
            <w:noWrap/>
          </w:tcPr>
          <w:p w14:paraId="0F5A7070" w14:textId="77777777" w:rsidR="001B13EC" w:rsidRPr="00181EF3" w:rsidRDefault="001B13EC" w:rsidP="001B13EC">
            <w:pPr>
              <w:pStyle w:val="TableText"/>
            </w:pPr>
          </w:p>
        </w:tc>
      </w:tr>
      <w:tr w:rsidR="001B13EC" w:rsidRPr="00181EF3" w14:paraId="6BED0C6D" w14:textId="77777777" w:rsidTr="001B13EC">
        <w:trPr>
          <w:cantSplit/>
        </w:trPr>
        <w:tc>
          <w:tcPr>
            <w:tcW w:w="993" w:type="dxa"/>
            <w:vMerge/>
            <w:hideMark/>
          </w:tcPr>
          <w:p w14:paraId="3958C81E" w14:textId="77777777" w:rsidR="001B13EC" w:rsidRPr="00181EF3" w:rsidRDefault="001B13EC" w:rsidP="001B13EC">
            <w:pPr>
              <w:pStyle w:val="TableText"/>
            </w:pPr>
          </w:p>
        </w:tc>
        <w:tc>
          <w:tcPr>
            <w:tcW w:w="1842" w:type="dxa"/>
            <w:tcBorders>
              <w:top w:val="single" w:sz="4" w:space="0" w:color="A6A6A6" w:themeColor="background1" w:themeShade="A6"/>
              <w:bottom w:val="single" w:sz="4" w:space="0" w:color="A6A6A6" w:themeColor="background1" w:themeShade="A6"/>
            </w:tcBorders>
            <w:noWrap/>
            <w:hideMark/>
          </w:tcPr>
          <w:p w14:paraId="1E0201A4" w14:textId="77777777" w:rsidR="001B13EC" w:rsidRPr="00181EF3" w:rsidRDefault="001B13EC" w:rsidP="001B13EC">
            <w:pPr>
              <w:pStyle w:val="TableText"/>
            </w:pPr>
            <w:r w:rsidRPr="00181EF3">
              <w:t>Female breast cancer</w:t>
            </w:r>
          </w:p>
        </w:tc>
        <w:tc>
          <w:tcPr>
            <w:tcW w:w="1985" w:type="dxa"/>
            <w:tcBorders>
              <w:top w:val="single" w:sz="4" w:space="0" w:color="A6A6A6" w:themeColor="background1" w:themeShade="A6"/>
              <w:bottom w:val="single" w:sz="4" w:space="0" w:color="A6A6A6" w:themeColor="background1" w:themeShade="A6"/>
            </w:tcBorders>
            <w:hideMark/>
          </w:tcPr>
          <w:p w14:paraId="4E05A2C8" w14:textId="77777777" w:rsidR="001B13EC" w:rsidRPr="00181EF3" w:rsidRDefault="001B13EC" w:rsidP="001B13EC">
            <w:pPr>
              <w:pStyle w:val="TableText"/>
            </w:pPr>
            <w:r w:rsidRPr="00181EF3">
              <w:t>174</w:t>
            </w:r>
          </w:p>
        </w:tc>
        <w:tc>
          <w:tcPr>
            <w:tcW w:w="1984" w:type="dxa"/>
            <w:tcBorders>
              <w:top w:val="single" w:sz="4" w:space="0" w:color="A6A6A6" w:themeColor="background1" w:themeShade="A6"/>
              <w:bottom w:val="single" w:sz="4" w:space="0" w:color="A6A6A6" w:themeColor="background1" w:themeShade="A6"/>
            </w:tcBorders>
            <w:hideMark/>
          </w:tcPr>
          <w:p w14:paraId="4942A0F5" w14:textId="77777777" w:rsidR="001B13EC" w:rsidRPr="00181EF3" w:rsidRDefault="001B13EC" w:rsidP="001B13EC">
            <w:pPr>
              <w:pStyle w:val="TableText"/>
            </w:pPr>
            <w:r w:rsidRPr="00181EF3">
              <w:t>C50</w:t>
            </w:r>
          </w:p>
        </w:tc>
        <w:tc>
          <w:tcPr>
            <w:tcW w:w="1276" w:type="dxa"/>
            <w:tcBorders>
              <w:top w:val="single" w:sz="4" w:space="0" w:color="A6A6A6" w:themeColor="background1" w:themeShade="A6"/>
              <w:bottom w:val="single" w:sz="4" w:space="0" w:color="A6A6A6" w:themeColor="background1" w:themeShade="A6"/>
            </w:tcBorders>
            <w:noWrap/>
            <w:hideMark/>
          </w:tcPr>
          <w:p w14:paraId="1C25A9BA" w14:textId="77777777" w:rsidR="001B13EC" w:rsidRPr="00181EF3" w:rsidRDefault="001B13EC" w:rsidP="001B13EC">
            <w:pPr>
              <w:pStyle w:val="TableText"/>
            </w:pPr>
            <w:r w:rsidRPr="00181EF3">
              <w:t>Females only</w:t>
            </w:r>
          </w:p>
        </w:tc>
      </w:tr>
      <w:tr w:rsidR="001B13EC" w:rsidRPr="00181EF3" w14:paraId="2033C9D5" w14:textId="77777777" w:rsidTr="001B13EC">
        <w:trPr>
          <w:cantSplit/>
        </w:trPr>
        <w:tc>
          <w:tcPr>
            <w:tcW w:w="993" w:type="dxa"/>
            <w:vMerge/>
            <w:hideMark/>
          </w:tcPr>
          <w:p w14:paraId="000292DC" w14:textId="77777777" w:rsidR="001B13EC" w:rsidRPr="00181EF3" w:rsidRDefault="001B13EC" w:rsidP="001B13EC">
            <w:pPr>
              <w:pStyle w:val="TableText"/>
            </w:pPr>
          </w:p>
        </w:tc>
        <w:tc>
          <w:tcPr>
            <w:tcW w:w="1842" w:type="dxa"/>
            <w:tcBorders>
              <w:top w:val="single" w:sz="4" w:space="0" w:color="A6A6A6" w:themeColor="background1" w:themeShade="A6"/>
              <w:bottom w:val="single" w:sz="4" w:space="0" w:color="A6A6A6" w:themeColor="background1" w:themeShade="A6"/>
            </w:tcBorders>
            <w:noWrap/>
            <w:hideMark/>
          </w:tcPr>
          <w:p w14:paraId="7DC8ACB4" w14:textId="77777777" w:rsidR="001B13EC" w:rsidRPr="00181EF3" w:rsidRDefault="001B13EC" w:rsidP="001B13EC">
            <w:pPr>
              <w:pStyle w:val="TableText"/>
            </w:pPr>
            <w:r w:rsidRPr="00181EF3">
              <w:t>Cervical cancer</w:t>
            </w:r>
          </w:p>
        </w:tc>
        <w:tc>
          <w:tcPr>
            <w:tcW w:w="1985" w:type="dxa"/>
            <w:tcBorders>
              <w:top w:val="single" w:sz="4" w:space="0" w:color="A6A6A6" w:themeColor="background1" w:themeShade="A6"/>
              <w:bottom w:val="single" w:sz="4" w:space="0" w:color="A6A6A6" w:themeColor="background1" w:themeShade="A6"/>
            </w:tcBorders>
            <w:hideMark/>
          </w:tcPr>
          <w:p w14:paraId="16966ABC" w14:textId="77777777" w:rsidR="001B13EC" w:rsidRPr="00181EF3" w:rsidRDefault="001B13EC" w:rsidP="001B13EC">
            <w:pPr>
              <w:pStyle w:val="TableText"/>
            </w:pPr>
            <w:r w:rsidRPr="00181EF3">
              <w:t>180</w:t>
            </w:r>
          </w:p>
        </w:tc>
        <w:tc>
          <w:tcPr>
            <w:tcW w:w="1984" w:type="dxa"/>
            <w:tcBorders>
              <w:top w:val="single" w:sz="4" w:space="0" w:color="A6A6A6" w:themeColor="background1" w:themeShade="A6"/>
              <w:bottom w:val="single" w:sz="4" w:space="0" w:color="A6A6A6" w:themeColor="background1" w:themeShade="A6"/>
            </w:tcBorders>
            <w:hideMark/>
          </w:tcPr>
          <w:p w14:paraId="23895A95" w14:textId="77777777" w:rsidR="001B13EC" w:rsidRPr="00181EF3" w:rsidRDefault="001B13EC" w:rsidP="001B13EC">
            <w:pPr>
              <w:pStyle w:val="TableText"/>
            </w:pPr>
            <w:r w:rsidRPr="00181EF3">
              <w:t>C53</w:t>
            </w:r>
          </w:p>
        </w:tc>
        <w:tc>
          <w:tcPr>
            <w:tcW w:w="1276" w:type="dxa"/>
            <w:tcBorders>
              <w:top w:val="single" w:sz="4" w:space="0" w:color="A6A6A6" w:themeColor="background1" w:themeShade="A6"/>
              <w:bottom w:val="single" w:sz="4" w:space="0" w:color="A6A6A6" w:themeColor="background1" w:themeShade="A6"/>
            </w:tcBorders>
            <w:noWrap/>
            <w:hideMark/>
          </w:tcPr>
          <w:p w14:paraId="6764C704" w14:textId="77777777" w:rsidR="001B13EC" w:rsidRPr="00181EF3" w:rsidRDefault="001B13EC" w:rsidP="001B13EC">
            <w:pPr>
              <w:pStyle w:val="TableText"/>
            </w:pPr>
          </w:p>
        </w:tc>
      </w:tr>
      <w:tr w:rsidR="001B13EC" w:rsidRPr="00181EF3" w14:paraId="0A3C7590" w14:textId="77777777" w:rsidTr="001B13EC">
        <w:trPr>
          <w:cantSplit/>
        </w:trPr>
        <w:tc>
          <w:tcPr>
            <w:tcW w:w="993" w:type="dxa"/>
            <w:vMerge/>
            <w:hideMark/>
          </w:tcPr>
          <w:p w14:paraId="7DD2C100" w14:textId="77777777" w:rsidR="001B13EC" w:rsidRPr="00181EF3" w:rsidRDefault="001B13EC" w:rsidP="001B13EC">
            <w:pPr>
              <w:pStyle w:val="TableText"/>
            </w:pPr>
          </w:p>
        </w:tc>
        <w:tc>
          <w:tcPr>
            <w:tcW w:w="1842" w:type="dxa"/>
            <w:tcBorders>
              <w:top w:val="single" w:sz="4" w:space="0" w:color="A6A6A6" w:themeColor="background1" w:themeShade="A6"/>
              <w:bottom w:val="single" w:sz="4" w:space="0" w:color="A6A6A6" w:themeColor="background1" w:themeShade="A6"/>
            </w:tcBorders>
            <w:noWrap/>
            <w:hideMark/>
          </w:tcPr>
          <w:p w14:paraId="194307ED" w14:textId="77777777" w:rsidR="001B13EC" w:rsidRPr="00181EF3" w:rsidRDefault="001B13EC" w:rsidP="001B13EC">
            <w:pPr>
              <w:pStyle w:val="TableText"/>
            </w:pPr>
            <w:r w:rsidRPr="00181EF3">
              <w:t>Uterine cancer</w:t>
            </w:r>
          </w:p>
        </w:tc>
        <w:tc>
          <w:tcPr>
            <w:tcW w:w="1985" w:type="dxa"/>
            <w:tcBorders>
              <w:top w:val="single" w:sz="4" w:space="0" w:color="A6A6A6" w:themeColor="background1" w:themeShade="A6"/>
              <w:bottom w:val="single" w:sz="4" w:space="0" w:color="A6A6A6" w:themeColor="background1" w:themeShade="A6"/>
            </w:tcBorders>
            <w:hideMark/>
          </w:tcPr>
          <w:p w14:paraId="3B93CA5E" w14:textId="77777777" w:rsidR="001B13EC" w:rsidRPr="00181EF3" w:rsidRDefault="001B13EC" w:rsidP="001B13EC">
            <w:pPr>
              <w:pStyle w:val="TableText"/>
            </w:pPr>
            <w:r w:rsidRPr="00181EF3">
              <w:t>179, 182</w:t>
            </w:r>
          </w:p>
        </w:tc>
        <w:tc>
          <w:tcPr>
            <w:tcW w:w="1984" w:type="dxa"/>
            <w:tcBorders>
              <w:top w:val="single" w:sz="4" w:space="0" w:color="A6A6A6" w:themeColor="background1" w:themeShade="A6"/>
              <w:bottom w:val="single" w:sz="4" w:space="0" w:color="A6A6A6" w:themeColor="background1" w:themeShade="A6"/>
            </w:tcBorders>
            <w:hideMark/>
          </w:tcPr>
          <w:p w14:paraId="2FC745A0" w14:textId="77777777" w:rsidR="001B13EC" w:rsidRPr="00181EF3" w:rsidRDefault="001B13EC" w:rsidP="001B13EC">
            <w:pPr>
              <w:pStyle w:val="TableText"/>
            </w:pPr>
            <w:r w:rsidRPr="00181EF3">
              <w:t>C54–C55</w:t>
            </w:r>
          </w:p>
        </w:tc>
        <w:tc>
          <w:tcPr>
            <w:tcW w:w="1276" w:type="dxa"/>
            <w:tcBorders>
              <w:top w:val="single" w:sz="4" w:space="0" w:color="A6A6A6" w:themeColor="background1" w:themeShade="A6"/>
              <w:bottom w:val="single" w:sz="4" w:space="0" w:color="A6A6A6" w:themeColor="background1" w:themeShade="A6"/>
            </w:tcBorders>
            <w:noWrap/>
            <w:hideMark/>
          </w:tcPr>
          <w:p w14:paraId="0AC6DDED" w14:textId="77777777" w:rsidR="001B13EC" w:rsidRPr="00181EF3" w:rsidRDefault="001B13EC" w:rsidP="001B13EC">
            <w:pPr>
              <w:pStyle w:val="TableText"/>
            </w:pPr>
            <w:r w:rsidRPr="00181EF3">
              <w:t>New in this version</w:t>
            </w:r>
          </w:p>
        </w:tc>
      </w:tr>
      <w:tr w:rsidR="001B13EC" w:rsidRPr="00181EF3" w14:paraId="17A7AFE6" w14:textId="77777777" w:rsidTr="001B13EC">
        <w:trPr>
          <w:cantSplit/>
        </w:trPr>
        <w:tc>
          <w:tcPr>
            <w:tcW w:w="993" w:type="dxa"/>
            <w:vMerge/>
            <w:hideMark/>
          </w:tcPr>
          <w:p w14:paraId="4C76CC16" w14:textId="77777777" w:rsidR="001B13EC" w:rsidRPr="00181EF3" w:rsidRDefault="001B13EC" w:rsidP="001B13EC">
            <w:pPr>
              <w:pStyle w:val="TableText"/>
            </w:pPr>
          </w:p>
        </w:tc>
        <w:tc>
          <w:tcPr>
            <w:tcW w:w="1842" w:type="dxa"/>
            <w:tcBorders>
              <w:top w:val="single" w:sz="4" w:space="0" w:color="A6A6A6" w:themeColor="background1" w:themeShade="A6"/>
              <w:bottom w:val="single" w:sz="4" w:space="0" w:color="A6A6A6" w:themeColor="background1" w:themeShade="A6"/>
            </w:tcBorders>
            <w:noWrap/>
            <w:hideMark/>
          </w:tcPr>
          <w:p w14:paraId="0480395E" w14:textId="77777777" w:rsidR="001B13EC" w:rsidRPr="00181EF3" w:rsidRDefault="001B13EC" w:rsidP="001B13EC">
            <w:pPr>
              <w:pStyle w:val="TableText"/>
            </w:pPr>
            <w:r w:rsidRPr="00181EF3">
              <w:t>Prostate cancer</w:t>
            </w:r>
          </w:p>
        </w:tc>
        <w:tc>
          <w:tcPr>
            <w:tcW w:w="1985" w:type="dxa"/>
            <w:tcBorders>
              <w:top w:val="single" w:sz="4" w:space="0" w:color="A6A6A6" w:themeColor="background1" w:themeShade="A6"/>
              <w:bottom w:val="single" w:sz="4" w:space="0" w:color="A6A6A6" w:themeColor="background1" w:themeShade="A6"/>
            </w:tcBorders>
            <w:hideMark/>
          </w:tcPr>
          <w:p w14:paraId="462588AA" w14:textId="77777777" w:rsidR="001B13EC" w:rsidRPr="00181EF3" w:rsidRDefault="001B13EC" w:rsidP="001B13EC">
            <w:pPr>
              <w:pStyle w:val="TableText"/>
            </w:pPr>
            <w:r w:rsidRPr="00181EF3">
              <w:t>185</w:t>
            </w:r>
          </w:p>
        </w:tc>
        <w:tc>
          <w:tcPr>
            <w:tcW w:w="1984" w:type="dxa"/>
            <w:tcBorders>
              <w:top w:val="single" w:sz="4" w:space="0" w:color="A6A6A6" w:themeColor="background1" w:themeShade="A6"/>
              <w:bottom w:val="single" w:sz="4" w:space="0" w:color="A6A6A6" w:themeColor="background1" w:themeShade="A6"/>
            </w:tcBorders>
            <w:hideMark/>
          </w:tcPr>
          <w:p w14:paraId="28F8C078" w14:textId="77777777" w:rsidR="001B13EC" w:rsidRPr="00181EF3" w:rsidRDefault="001B13EC" w:rsidP="001B13EC">
            <w:pPr>
              <w:pStyle w:val="TableText"/>
            </w:pPr>
            <w:r w:rsidRPr="00181EF3">
              <w:t>C61</w:t>
            </w:r>
          </w:p>
        </w:tc>
        <w:tc>
          <w:tcPr>
            <w:tcW w:w="1276" w:type="dxa"/>
            <w:tcBorders>
              <w:top w:val="single" w:sz="4" w:space="0" w:color="A6A6A6" w:themeColor="background1" w:themeShade="A6"/>
              <w:bottom w:val="single" w:sz="4" w:space="0" w:color="A6A6A6" w:themeColor="background1" w:themeShade="A6"/>
            </w:tcBorders>
            <w:noWrap/>
          </w:tcPr>
          <w:p w14:paraId="69FC85D8" w14:textId="77777777" w:rsidR="001B13EC" w:rsidRPr="00181EF3" w:rsidRDefault="001B13EC" w:rsidP="001B13EC">
            <w:pPr>
              <w:pStyle w:val="TableText"/>
            </w:pPr>
          </w:p>
        </w:tc>
      </w:tr>
      <w:tr w:rsidR="001B13EC" w:rsidRPr="00181EF3" w14:paraId="6DCF9A65" w14:textId="77777777" w:rsidTr="001B13EC">
        <w:trPr>
          <w:cantSplit/>
        </w:trPr>
        <w:tc>
          <w:tcPr>
            <w:tcW w:w="993" w:type="dxa"/>
            <w:vMerge/>
            <w:hideMark/>
          </w:tcPr>
          <w:p w14:paraId="1713CAC5" w14:textId="77777777" w:rsidR="001B13EC" w:rsidRPr="00181EF3" w:rsidRDefault="001B13EC" w:rsidP="001B13EC">
            <w:pPr>
              <w:pStyle w:val="TableText"/>
            </w:pPr>
          </w:p>
        </w:tc>
        <w:tc>
          <w:tcPr>
            <w:tcW w:w="1842" w:type="dxa"/>
            <w:tcBorders>
              <w:top w:val="single" w:sz="4" w:space="0" w:color="A6A6A6" w:themeColor="background1" w:themeShade="A6"/>
              <w:bottom w:val="single" w:sz="4" w:space="0" w:color="A6A6A6" w:themeColor="background1" w:themeShade="A6"/>
            </w:tcBorders>
            <w:noWrap/>
            <w:hideMark/>
          </w:tcPr>
          <w:p w14:paraId="6D56B497" w14:textId="77777777" w:rsidR="001B13EC" w:rsidRPr="00181EF3" w:rsidRDefault="001B13EC" w:rsidP="001B13EC">
            <w:pPr>
              <w:pStyle w:val="TableText"/>
            </w:pPr>
            <w:r w:rsidRPr="00181EF3">
              <w:t>Testis cancer</w:t>
            </w:r>
          </w:p>
        </w:tc>
        <w:tc>
          <w:tcPr>
            <w:tcW w:w="1985" w:type="dxa"/>
            <w:tcBorders>
              <w:top w:val="single" w:sz="4" w:space="0" w:color="A6A6A6" w:themeColor="background1" w:themeShade="A6"/>
              <w:bottom w:val="single" w:sz="4" w:space="0" w:color="A6A6A6" w:themeColor="background1" w:themeShade="A6"/>
            </w:tcBorders>
            <w:hideMark/>
          </w:tcPr>
          <w:p w14:paraId="325AFA92" w14:textId="77777777" w:rsidR="001B13EC" w:rsidRPr="00181EF3" w:rsidRDefault="001B13EC" w:rsidP="001B13EC">
            <w:pPr>
              <w:pStyle w:val="TableText"/>
            </w:pPr>
            <w:r w:rsidRPr="00181EF3">
              <w:t>186</w:t>
            </w:r>
          </w:p>
        </w:tc>
        <w:tc>
          <w:tcPr>
            <w:tcW w:w="1984" w:type="dxa"/>
            <w:tcBorders>
              <w:top w:val="single" w:sz="4" w:space="0" w:color="A6A6A6" w:themeColor="background1" w:themeShade="A6"/>
              <w:bottom w:val="single" w:sz="4" w:space="0" w:color="A6A6A6" w:themeColor="background1" w:themeShade="A6"/>
            </w:tcBorders>
            <w:hideMark/>
          </w:tcPr>
          <w:p w14:paraId="674B744D" w14:textId="77777777" w:rsidR="001B13EC" w:rsidRPr="00181EF3" w:rsidRDefault="001B13EC" w:rsidP="001B13EC">
            <w:pPr>
              <w:pStyle w:val="TableText"/>
            </w:pPr>
            <w:r w:rsidRPr="00181EF3">
              <w:t>C62</w:t>
            </w:r>
          </w:p>
        </w:tc>
        <w:tc>
          <w:tcPr>
            <w:tcW w:w="1276" w:type="dxa"/>
            <w:tcBorders>
              <w:top w:val="single" w:sz="4" w:space="0" w:color="A6A6A6" w:themeColor="background1" w:themeShade="A6"/>
              <w:bottom w:val="single" w:sz="4" w:space="0" w:color="A6A6A6" w:themeColor="background1" w:themeShade="A6"/>
            </w:tcBorders>
            <w:noWrap/>
          </w:tcPr>
          <w:p w14:paraId="54B98FD4" w14:textId="77777777" w:rsidR="001B13EC" w:rsidRPr="00181EF3" w:rsidRDefault="001B13EC" w:rsidP="001B13EC">
            <w:pPr>
              <w:pStyle w:val="TableText"/>
            </w:pPr>
          </w:p>
        </w:tc>
      </w:tr>
      <w:tr w:rsidR="001B13EC" w:rsidRPr="00181EF3" w14:paraId="2758046E" w14:textId="77777777" w:rsidTr="001B13EC">
        <w:trPr>
          <w:cantSplit/>
        </w:trPr>
        <w:tc>
          <w:tcPr>
            <w:tcW w:w="993" w:type="dxa"/>
            <w:vMerge/>
            <w:hideMark/>
          </w:tcPr>
          <w:p w14:paraId="5063017D" w14:textId="77777777" w:rsidR="001B13EC" w:rsidRPr="00181EF3" w:rsidRDefault="001B13EC" w:rsidP="001B13EC">
            <w:pPr>
              <w:pStyle w:val="TableText"/>
            </w:pPr>
          </w:p>
        </w:tc>
        <w:tc>
          <w:tcPr>
            <w:tcW w:w="1842" w:type="dxa"/>
            <w:tcBorders>
              <w:top w:val="single" w:sz="4" w:space="0" w:color="A6A6A6" w:themeColor="background1" w:themeShade="A6"/>
              <w:bottom w:val="single" w:sz="4" w:space="0" w:color="A6A6A6" w:themeColor="background1" w:themeShade="A6"/>
            </w:tcBorders>
            <w:noWrap/>
            <w:hideMark/>
          </w:tcPr>
          <w:p w14:paraId="013CE85D" w14:textId="77777777" w:rsidR="001B13EC" w:rsidRPr="00181EF3" w:rsidRDefault="001B13EC" w:rsidP="001B13EC">
            <w:pPr>
              <w:pStyle w:val="TableText"/>
            </w:pPr>
            <w:r w:rsidRPr="00181EF3">
              <w:t>Thyroid cancer</w:t>
            </w:r>
          </w:p>
        </w:tc>
        <w:tc>
          <w:tcPr>
            <w:tcW w:w="1985" w:type="dxa"/>
            <w:tcBorders>
              <w:top w:val="single" w:sz="4" w:space="0" w:color="A6A6A6" w:themeColor="background1" w:themeShade="A6"/>
              <w:bottom w:val="single" w:sz="4" w:space="0" w:color="A6A6A6" w:themeColor="background1" w:themeShade="A6"/>
            </w:tcBorders>
            <w:hideMark/>
          </w:tcPr>
          <w:p w14:paraId="18AAE3FF" w14:textId="77777777" w:rsidR="001B13EC" w:rsidRPr="00181EF3" w:rsidRDefault="001B13EC" w:rsidP="001B13EC">
            <w:pPr>
              <w:pStyle w:val="TableText"/>
            </w:pPr>
            <w:r w:rsidRPr="00181EF3">
              <w:t>193</w:t>
            </w:r>
          </w:p>
        </w:tc>
        <w:tc>
          <w:tcPr>
            <w:tcW w:w="1984" w:type="dxa"/>
            <w:tcBorders>
              <w:top w:val="single" w:sz="4" w:space="0" w:color="A6A6A6" w:themeColor="background1" w:themeShade="A6"/>
              <w:bottom w:val="single" w:sz="4" w:space="0" w:color="A6A6A6" w:themeColor="background1" w:themeShade="A6"/>
            </w:tcBorders>
            <w:hideMark/>
          </w:tcPr>
          <w:p w14:paraId="6EF9678E" w14:textId="77777777" w:rsidR="001B13EC" w:rsidRPr="00181EF3" w:rsidRDefault="001B13EC" w:rsidP="001B13EC">
            <w:pPr>
              <w:pStyle w:val="TableText"/>
            </w:pPr>
            <w:r w:rsidRPr="00181EF3">
              <w:t>C73</w:t>
            </w:r>
          </w:p>
        </w:tc>
        <w:tc>
          <w:tcPr>
            <w:tcW w:w="1276" w:type="dxa"/>
            <w:tcBorders>
              <w:top w:val="single" w:sz="4" w:space="0" w:color="A6A6A6" w:themeColor="background1" w:themeShade="A6"/>
              <w:bottom w:val="single" w:sz="4" w:space="0" w:color="A6A6A6" w:themeColor="background1" w:themeShade="A6"/>
            </w:tcBorders>
            <w:noWrap/>
          </w:tcPr>
          <w:p w14:paraId="7106A795" w14:textId="77777777" w:rsidR="001B13EC" w:rsidRPr="00181EF3" w:rsidRDefault="001B13EC" w:rsidP="001B13EC">
            <w:pPr>
              <w:pStyle w:val="TableText"/>
            </w:pPr>
          </w:p>
        </w:tc>
      </w:tr>
      <w:tr w:rsidR="001B13EC" w:rsidRPr="00181EF3" w14:paraId="668AF56F" w14:textId="77777777" w:rsidTr="001B13EC">
        <w:trPr>
          <w:cantSplit/>
        </w:trPr>
        <w:tc>
          <w:tcPr>
            <w:tcW w:w="993" w:type="dxa"/>
            <w:vMerge/>
            <w:hideMark/>
          </w:tcPr>
          <w:p w14:paraId="76AEA8D4" w14:textId="77777777" w:rsidR="001B13EC" w:rsidRPr="00181EF3" w:rsidRDefault="001B13EC" w:rsidP="001B13EC">
            <w:pPr>
              <w:pStyle w:val="TableText"/>
            </w:pPr>
          </w:p>
        </w:tc>
        <w:tc>
          <w:tcPr>
            <w:tcW w:w="1842" w:type="dxa"/>
            <w:tcBorders>
              <w:top w:val="single" w:sz="4" w:space="0" w:color="A6A6A6" w:themeColor="background1" w:themeShade="A6"/>
              <w:bottom w:val="single" w:sz="4" w:space="0" w:color="A6A6A6" w:themeColor="background1" w:themeShade="A6"/>
            </w:tcBorders>
            <w:noWrap/>
            <w:hideMark/>
          </w:tcPr>
          <w:p w14:paraId="258FC80D" w14:textId="77777777" w:rsidR="001B13EC" w:rsidRPr="00181EF3" w:rsidRDefault="001B13EC" w:rsidP="001B13EC">
            <w:pPr>
              <w:pStyle w:val="TableText"/>
            </w:pPr>
            <w:r w:rsidRPr="00181EF3">
              <w:t>Hodgkin lymphoma</w:t>
            </w:r>
          </w:p>
        </w:tc>
        <w:tc>
          <w:tcPr>
            <w:tcW w:w="1985" w:type="dxa"/>
            <w:tcBorders>
              <w:top w:val="single" w:sz="4" w:space="0" w:color="A6A6A6" w:themeColor="background1" w:themeShade="A6"/>
              <w:bottom w:val="single" w:sz="4" w:space="0" w:color="A6A6A6" w:themeColor="background1" w:themeShade="A6"/>
            </w:tcBorders>
            <w:hideMark/>
          </w:tcPr>
          <w:p w14:paraId="17FA5817" w14:textId="77777777" w:rsidR="001B13EC" w:rsidRPr="00181EF3" w:rsidRDefault="001B13EC" w:rsidP="001B13EC">
            <w:pPr>
              <w:pStyle w:val="TableText"/>
            </w:pPr>
            <w:r w:rsidRPr="00181EF3">
              <w:t>201</w:t>
            </w:r>
          </w:p>
        </w:tc>
        <w:tc>
          <w:tcPr>
            <w:tcW w:w="1984" w:type="dxa"/>
            <w:tcBorders>
              <w:top w:val="single" w:sz="4" w:space="0" w:color="A6A6A6" w:themeColor="background1" w:themeShade="A6"/>
              <w:bottom w:val="single" w:sz="4" w:space="0" w:color="A6A6A6" w:themeColor="background1" w:themeShade="A6"/>
            </w:tcBorders>
            <w:hideMark/>
          </w:tcPr>
          <w:p w14:paraId="7A123B20" w14:textId="77777777" w:rsidR="001B13EC" w:rsidRPr="00181EF3" w:rsidRDefault="001B13EC" w:rsidP="001B13EC">
            <w:pPr>
              <w:pStyle w:val="TableText"/>
            </w:pPr>
            <w:r w:rsidRPr="00181EF3">
              <w:t>C81</w:t>
            </w:r>
          </w:p>
        </w:tc>
        <w:tc>
          <w:tcPr>
            <w:tcW w:w="1276" w:type="dxa"/>
            <w:tcBorders>
              <w:top w:val="single" w:sz="4" w:space="0" w:color="A6A6A6" w:themeColor="background1" w:themeShade="A6"/>
              <w:bottom w:val="single" w:sz="4" w:space="0" w:color="A6A6A6" w:themeColor="background1" w:themeShade="A6"/>
            </w:tcBorders>
            <w:noWrap/>
          </w:tcPr>
          <w:p w14:paraId="2873337C" w14:textId="77777777" w:rsidR="001B13EC" w:rsidRPr="00181EF3" w:rsidRDefault="001B13EC" w:rsidP="001B13EC">
            <w:pPr>
              <w:pStyle w:val="TableText"/>
            </w:pPr>
          </w:p>
        </w:tc>
      </w:tr>
      <w:tr w:rsidR="001B13EC" w:rsidRPr="00181EF3" w14:paraId="5AEC4AB0" w14:textId="77777777" w:rsidTr="001B13EC">
        <w:trPr>
          <w:cantSplit/>
        </w:trPr>
        <w:tc>
          <w:tcPr>
            <w:tcW w:w="993" w:type="dxa"/>
            <w:vMerge/>
            <w:tcBorders>
              <w:bottom w:val="single" w:sz="4" w:space="0" w:color="7F7F7F" w:themeColor="text1" w:themeTint="80"/>
            </w:tcBorders>
            <w:hideMark/>
          </w:tcPr>
          <w:p w14:paraId="7BF697E9" w14:textId="77777777" w:rsidR="001B13EC" w:rsidRPr="00181EF3" w:rsidRDefault="001B13EC" w:rsidP="001B13EC">
            <w:pPr>
              <w:pStyle w:val="TableText"/>
            </w:pPr>
          </w:p>
        </w:tc>
        <w:tc>
          <w:tcPr>
            <w:tcW w:w="1842" w:type="dxa"/>
            <w:tcBorders>
              <w:top w:val="single" w:sz="4" w:space="0" w:color="A6A6A6" w:themeColor="background1" w:themeShade="A6"/>
              <w:bottom w:val="single" w:sz="4" w:space="0" w:color="7F7F7F" w:themeColor="text1" w:themeTint="80"/>
            </w:tcBorders>
            <w:noWrap/>
            <w:hideMark/>
          </w:tcPr>
          <w:p w14:paraId="3E2EB7C3" w14:textId="77777777" w:rsidR="001B13EC" w:rsidRPr="00181EF3" w:rsidRDefault="001B13EC" w:rsidP="001B13EC">
            <w:pPr>
              <w:pStyle w:val="TableText"/>
            </w:pPr>
            <w:r w:rsidRPr="00181EF3">
              <w:t>Acute lymphoblastic leukaemia</w:t>
            </w:r>
          </w:p>
        </w:tc>
        <w:tc>
          <w:tcPr>
            <w:tcW w:w="1985" w:type="dxa"/>
            <w:tcBorders>
              <w:top w:val="single" w:sz="4" w:space="0" w:color="A6A6A6" w:themeColor="background1" w:themeShade="A6"/>
              <w:bottom w:val="single" w:sz="4" w:space="0" w:color="7F7F7F" w:themeColor="text1" w:themeTint="80"/>
            </w:tcBorders>
            <w:hideMark/>
          </w:tcPr>
          <w:p w14:paraId="214C7FE5" w14:textId="77777777" w:rsidR="001B13EC" w:rsidRPr="00181EF3" w:rsidRDefault="001B13EC" w:rsidP="001B13EC">
            <w:pPr>
              <w:pStyle w:val="TableText"/>
            </w:pPr>
            <w:r w:rsidRPr="00181EF3">
              <w:t>204.0</w:t>
            </w:r>
          </w:p>
        </w:tc>
        <w:tc>
          <w:tcPr>
            <w:tcW w:w="1984" w:type="dxa"/>
            <w:tcBorders>
              <w:top w:val="single" w:sz="4" w:space="0" w:color="A6A6A6" w:themeColor="background1" w:themeShade="A6"/>
              <w:bottom w:val="single" w:sz="4" w:space="0" w:color="7F7F7F" w:themeColor="text1" w:themeTint="80"/>
            </w:tcBorders>
            <w:hideMark/>
          </w:tcPr>
          <w:p w14:paraId="0ED335AF" w14:textId="77777777" w:rsidR="001B13EC" w:rsidRPr="00181EF3" w:rsidRDefault="001B13EC" w:rsidP="001B13EC">
            <w:pPr>
              <w:pStyle w:val="TableText"/>
            </w:pPr>
            <w:r w:rsidRPr="00181EF3">
              <w:t>C91.0</w:t>
            </w:r>
          </w:p>
        </w:tc>
        <w:tc>
          <w:tcPr>
            <w:tcW w:w="1276" w:type="dxa"/>
            <w:tcBorders>
              <w:top w:val="single" w:sz="4" w:space="0" w:color="A6A6A6" w:themeColor="background1" w:themeShade="A6"/>
              <w:bottom w:val="single" w:sz="4" w:space="0" w:color="7F7F7F" w:themeColor="text1" w:themeTint="80"/>
            </w:tcBorders>
            <w:noWrap/>
            <w:hideMark/>
          </w:tcPr>
          <w:p w14:paraId="57BF249C" w14:textId="77777777" w:rsidR="001B13EC" w:rsidRPr="00181EF3" w:rsidRDefault="001B13EC" w:rsidP="001B13EC">
            <w:pPr>
              <w:pStyle w:val="TableText"/>
            </w:pPr>
            <w:r w:rsidRPr="00181EF3">
              <w:t>Ages 0–44 only</w:t>
            </w:r>
          </w:p>
        </w:tc>
      </w:tr>
      <w:tr w:rsidR="001B13EC" w:rsidRPr="00181EF3" w14:paraId="359DDB3D" w14:textId="77777777" w:rsidTr="001B13EC">
        <w:trPr>
          <w:cantSplit/>
        </w:trPr>
        <w:tc>
          <w:tcPr>
            <w:tcW w:w="993" w:type="dxa"/>
            <w:vMerge w:val="restart"/>
            <w:tcBorders>
              <w:top w:val="single" w:sz="4" w:space="0" w:color="7F7F7F" w:themeColor="text1" w:themeTint="80"/>
            </w:tcBorders>
            <w:hideMark/>
          </w:tcPr>
          <w:p w14:paraId="35FA2FDC" w14:textId="77777777" w:rsidR="001B13EC" w:rsidRPr="00181EF3" w:rsidRDefault="001B13EC" w:rsidP="001B13EC">
            <w:pPr>
              <w:pStyle w:val="TableText"/>
            </w:pPr>
            <w:r w:rsidRPr="00181EF3">
              <w:t>Maternal and infant disorders</w:t>
            </w:r>
          </w:p>
        </w:tc>
        <w:tc>
          <w:tcPr>
            <w:tcW w:w="1842" w:type="dxa"/>
            <w:tcBorders>
              <w:top w:val="single" w:sz="4" w:space="0" w:color="7F7F7F" w:themeColor="text1" w:themeTint="80"/>
              <w:bottom w:val="single" w:sz="4" w:space="0" w:color="A6A6A6" w:themeColor="background1" w:themeShade="A6"/>
            </w:tcBorders>
            <w:noWrap/>
            <w:hideMark/>
          </w:tcPr>
          <w:p w14:paraId="5A0AD04E" w14:textId="77777777" w:rsidR="001B13EC" w:rsidRPr="00181EF3" w:rsidRDefault="001B13EC" w:rsidP="001B13EC">
            <w:pPr>
              <w:pStyle w:val="TableText"/>
            </w:pPr>
            <w:r w:rsidRPr="00181EF3">
              <w:t>Complications of pregnancy</w:t>
            </w:r>
          </w:p>
        </w:tc>
        <w:tc>
          <w:tcPr>
            <w:tcW w:w="1985" w:type="dxa"/>
            <w:tcBorders>
              <w:top w:val="single" w:sz="4" w:space="0" w:color="7F7F7F" w:themeColor="text1" w:themeTint="80"/>
              <w:bottom w:val="single" w:sz="4" w:space="0" w:color="A6A6A6" w:themeColor="background1" w:themeShade="A6"/>
            </w:tcBorders>
            <w:hideMark/>
          </w:tcPr>
          <w:p w14:paraId="6BE621D1" w14:textId="77777777" w:rsidR="001B13EC" w:rsidRPr="00181EF3" w:rsidRDefault="001B13EC" w:rsidP="001B13EC">
            <w:pPr>
              <w:pStyle w:val="TableText"/>
            </w:pPr>
            <w:r w:rsidRPr="00181EF3">
              <w:t>630–676</w:t>
            </w:r>
          </w:p>
        </w:tc>
        <w:tc>
          <w:tcPr>
            <w:tcW w:w="1984" w:type="dxa"/>
            <w:tcBorders>
              <w:top w:val="single" w:sz="4" w:space="0" w:color="7F7F7F" w:themeColor="text1" w:themeTint="80"/>
              <w:bottom w:val="single" w:sz="4" w:space="0" w:color="A6A6A6" w:themeColor="background1" w:themeShade="A6"/>
            </w:tcBorders>
            <w:hideMark/>
          </w:tcPr>
          <w:p w14:paraId="76AC34D3" w14:textId="77777777" w:rsidR="001B13EC" w:rsidRPr="00181EF3" w:rsidRDefault="001B13EC" w:rsidP="001B13EC">
            <w:pPr>
              <w:pStyle w:val="TableText"/>
            </w:pPr>
            <w:r w:rsidRPr="00181EF3">
              <w:t>O00–O96, O98–O99</w:t>
            </w:r>
          </w:p>
        </w:tc>
        <w:tc>
          <w:tcPr>
            <w:tcW w:w="1276" w:type="dxa"/>
            <w:tcBorders>
              <w:top w:val="single" w:sz="4" w:space="0" w:color="7F7F7F" w:themeColor="text1" w:themeTint="80"/>
              <w:bottom w:val="single" w:sz="4" w:space="0" w:color="A6A6A6" w:themeColor="background1" w:themeShade="A6"/>
            </w:tcBorders>
            <w:noWrap/>
            <w:hideMark/>
          </w:tcPr>
          <w:p w14:paraId="4773840E" w14:textId="77777777" w:rsidR="001B13EC" w:rsidRPr="00181EF3" w:rsidRDefault="001B13EC" w:rsidP="001B13EC">
            <w:pPr>
              <w:pStyle w:val="TableText"/>
            </w:pPr>
          </w:p>
        </w:tc>
      </w:tr>
      <w:tr w:rsidR="001B13EC" w:rsidRPr="00181EF3" w14:paraId="085B0D73" w14:textId="77777777" w:rsidTr="001B13EC">
        <w:trPr>
          <w:cantSplit/>
        </w:trPr>
        <w:tc>
          <w:tcPr>
            <w:tcW w:w="993" w:type="dxa"/>
            <w:vMerge/>
            <w:hideMark/>
          </w:tcPr>
          <w:p w14:paraId="03F077F3" w14:textId="77777777" w:rsidR="001B13EC" w:rsidRPr="00181EF3" w:rsidRDefault="001B13EC" w:rsidP="001B13EC">
            <w:pPr>
              <w:pStyle w:val="TableText"/>
            </w:pPr>
          </w:p>
        </w:tc>
        <w:tc>
          <w:tcPr>
            <w:tcW w:w="1842" w:type="dxa"/>
            <w:tcBorders>
              <w:top w:val="single" w:sz="4" w:space="0" w:color="A6A6A6" w:themeColor="background1" w:themeShade="A6"/>
              <w:bottom w:val="single" w:sz="4" w:space="0" w:color="A6A6A6" w:themeColor="background1" w:themeShade="A6"/>
            </w:tcBorders>
            <w:noWrap/>
            <w:hideMark/>
          </w:tcPr>
          <w:p w14:paraId="3B364F03" w14:textId="77777777" w:rsidR="001B13EC" w:rsidRPr="00181EF3" w:rsidRDefault="001B13EC" w:rsidP="001B13EC">
            <w:pPr>
              <w:pStyle w:val="TableText"/>
            </w:pPr>
            <w:r w:rsidRPr="00181EF3">
              <w:t>Complications of perinatal period</w:t>
            </w:r>
          </w:p>
        </w:tc>
        <w:tc>
          <w:tcPr>
            <w:tcW w:w="1985" w:type="dxa"/>
            <w:tcBorders>
              <w:top w:val="single" w:sz="4" w:space="0" w:color="A6A6A6" w:themeColor="background1" w:themeShade="A6"/>
              <w:bottom w:val="single" w:sz="4" w:space="0" w:color="A6A6A6" w:themeColor="background1" w:themeShade="A6"/>
            </w:tcBorders>
            <w:hideMark/>
          </w:tcPr>
          <w:p w14:paraId="2D820699" w14:textId="77777777" w:rsidR="001B13EC" w:rsidRPr="00181EF3" w:rsidRDefault="001B13EC" w:rsidP="001B13EC">
            <w:pPr>
              <w:pStyle w:val="TableText"/>
            </w:pPr>
            <w:r w:rsidRPr="00181EF3">
              <w:t>761–762, 763.0–763.4, 763.6–763.9, 764–767, 768.2–768.9, 769–778, 779.0–779.4</w:t>
            </w:r>
          </w:p>
        </w:tc>
        <w:tc>
          <w:tcPr>
            <w:tcW w:w="1984" w:type="dxa"/>
            <w:tcBorders>
              <w:top w:val="single" w:sz="4" w:space="0" w:color="A6A6A6" w:themeColor="background1" w:themeShade="A6"/>
              <w:bottom w:val="single" w:sz="4" w:space="0" w:color="A6A6A6" w:themeColor="background1" w:themeShade="A6"/>
            </w:tcBorders>
            <w:hideMark/>
          </w:tcPr>
          <w:p w14:paraId="7043F39F" w14:textId="77777777" w:rsidR="001B13EC" w:rsidRPr="00181EF3" w:rsidRDefault="001B13EC" w:rsidP="001B13EC">
            <w:pPr>
              <w:pStyle w:val="TableText"/>
            </w:pPr>
            <w:r w:rsidRPr="00181EF3">
              <w:t>P01–P03, P05–P94</w:t>
            </w:r>
          </w:p>
        </w:tc>
        <w:tc>
          <w:tcPr>
            <w:tcW w:w="1276" w:type="dxa"/>
            <w:tcBorders>
              <w:top w:val="single" w:sz="4" w:space="0" w:color="A6A6A6" w:themeColor="background1" w:themeShade="A6"/>
              <w:bottom w:val="single" w:sz="4" w:space="0" w:color="A6A6A6" w:themeColor="background1" w:themeShade="A6"/>
            </w:tcBorders>
            <w:noWrap/>
            <w:hideMark/>
          </w:tcPr>
          <w:p w14:paraId="79E60502" w14:textId="77777777" w:rsidR="001B13EC" w:rsidRPr="00181EF3" w:rsidRDefault="001B13EC" w:rsidP="001B13EC">
            <w:pPr>
              <w:pStyle w:val="TableText"/>
            </w:pPr>
          </w:p>
        </w:tc>
      </w:tr>
      <w:tr w:rsidR="001B13EC" w:rsidRPr="00181EF3" w14:paraId="3C41757D" w14:textId="77777777" w:rsidTr="001B13EC">
        <w:trPr>
          <w:cantSplit/>
        </w:trPr>
        <w:tc>
          <w:tcPr>
            <w:tcW w:w="993" w:type="dxa"/>
            <w:vMerge/>
            <w:tcBorders>
              <w:bottom w:val="single" w:sz="4" w:space="0" w:color="7F7F7F" w:themeColor="text1" w:themeTint="80"/>
            </w:tcBorders>
            <w:hideMark/>
          </w:tcPr>
          <w:p w14:paraId="281FA1A9" w14:textId="77777777" w:rsidR="001B13EC" w:rsidRPr="00181EF3" w:rsidRDefault="001B13EC" w:rsidP="001B13EC">
            <w:pPr>
              <w:pStyle w:val="TableText"/>
            </w:pPr>
          </w:p>
        </w:tc>
        <w:tc>
          <w:tcPr>
            <w:tcW w:w="1842" w:type="dxa"/>
            <w:tcBorders>
              <w:top w:val="single" w:sz="4" w:space="0" w:color="A6A6A6" w:themeColor="background1" w:themeShade="A6"/>
              <w:bottom w:val="single" w:sz="4" w:space="0" w:color="7F7F7F" w:themeColor="text1" w:themeTint="80"/>
            </w:tcBorders>
            <w:noWrap/>
            <w:hideMark/>
          </w:tcPr>
          <w:p w14:paraId="6089A2AA" w14:textId="77777777" w:rsidR="001B13EC" w:rsidRPr="00181EF3" w:rsidRDefault="001B13EC" w:rsidP="001B13EC">
            <w:pPr>
              <w:pStyle w:val="TableText"/>
            </w:pPr>
            <w:r w:rsidRPr="00181EF3">
              <w:t>Cardiac septal defect</w:t>
            </w:r>
          </w:p>
        </w:tc>
        <w:tc>
          <w:tcPr>
            <w:tcW w:w="1985" w:type="dxa"/>
            <w:tcBorders>
              <w:top w:val="single" w:sz="4" w:space="0" w:color="A6A6A6" w:themeColor="background1" w:themeShade="A6"/>
              <w:bottom w:val="single" w:sz="4" w:space="0" w:color="7F7F7F" w:themeColor="text1" w:themeTint="80"/>
            </w:tcBorders>
            <w:hideMark/>
          </w:tcPr>
          <w:p w14:paraId="1B323E88" w14:textId="77777777" w:rsidR="001B13EC" w:rsidRPr="00181EF3" w:rsidRDefault="001B13EC" w:rsidP="001B13EC">
            <w:pPr>
              <w:pStyle w:val="TableText"/>
            </w:pPr>
            <w:r w:rsidRPr="00181EF3">
              <w:t>745.2, 745.4–745.6, 745.8–745.9</w:t>
            </w:r>
          </w:p>
        </w:tc>
        <w:tc>
          <w:tcPr>
            <w:tcW w:w="1984" w:type="dxa"/>
            <w:tcBorders>
              <w:top w:val="single" w:sz="4" w:space="0" w:color="A6A6A6" w:themeColor="background1" w:themeShade="A6"/>
              <w:bottom w:val="single" w:sz="4" w:space="0" w:color="7F7F7F" w:themeColor="text1" w:themeTint="80"/>
            </w:tcBorders>
            <w:hideMark/>
          </w:tcPr>
          <w:p w14:paraId="7195BB06" w14:textId="77777777" w:rsidR="001B13EC" w:rsidRPr="00181EF3" w:rsidRDefault="001B13EC" w:rsidP="001B13EC">
            <w:pPr>
              <w:pStyle w:val="TableText"/>
            </w:pPr>
            <w:r w:rsidRPr="00181EF3">
              <w:t>Q21</w:t>
            </w:r>
          </w:p>
        </w:tc>
        <w:tc>
          <w:tcPr>
            <w:tcW w:w="1276" w:type="dxa"/>
            <w:tcBorders>
              <w:top w:val="single" w:sz="4" w:space="0" w:color="A6A6A6" w:themeColor="background1" w:themeShade="A6"/>
              <w:bottom w:val="single" w:sz="4" w:space="0" w:color="7F7F7F" w:themeColor="text1" w:themeTint="80"/>
            </w:tcBorders>
            <w:noWrap/>
            <w:hideMark/>
          </w:tcPr>
          <w:p w14:paraId="1834CA4C" w14:textId="77777777" w:rsidR="001B13EC" w:rsidRPr="00181EF3" w:rsidRDefault="001B13EC" w:rsidP="001B13EC">
            <w:pPr>
              <w:pStyle w:val="TableText"/>
            </w:pPr>
            <w:r w:rsidRPr="00181EF3">
              <w:t>Includes some bulbous cord anomalies in ICD-9</w:t>
            </w:r>
          </w:p>
        </w:tc>
      </w:tr>
      <w:tr w:rsidR="001B13EC" w:rsidRPr="00181EF3" w14:paraId="1D23B3FC" w14:textId="77777777" w:rsidTr="001B13EC">
        <w:trPr>
          <w:cantSplit/>
        </w:trPr>
        <w:tc>
          <w:tcPr>
            <w:tcW w:w="993" w:type="dxa"/>
            <w:vMerge w:val="restart"/>
            <w:tcBorders>
              <w:top w:val="single" w:sz="4" w:space="0" w:color="7F7F7F" w:themeColor="text1" w:themeTint="80"/>
            </w:tcBorders>
            <w:hideMark/>
          </w:tcPr>
          <w:p w14:paraId="364518DF" w14:textId="77777777" w:rsidR="001B13EC" w:rsidRPr="00181EF3" w:rsidRDefault="001B13EC" w:rsidP="001B13EC">
            <w:pPr>
              <w:pStyle w:val="TableText"/>
              <w:keepNext/>
            </w:pPr>
            <w:r w:rsidRPr="00181EF3">
              <w:lastRenderedPageBreak/>
              <w:t>Cardio-vascular disorders and diabetes</w:t>
            </w:r>
          </w:p>
        </w:tc>
        <w:tc>
          <w:tcPr>
            <w:tcW w:w="1842" w:type="dxa"/>
            <w:tcBorders>
              <w:top w:val="single" w:sz="4" w:space="0" w:color="7F7F7F" w:themeColor="text1" w:themeTint="80"/>
              <w:bottom w:val="single" w:sz="4" w:space="0" w:color="A6A6A6" w:themeColor="background1" w:themeShade="A6"/>
            </w:tcBorders>
            <w:noWrap/>
            <w:hideMark/>
          </w:tcPr>
          <w:p w14:paraId="13D80266" w14:textId="77777777" w:rsidR="001B13EC" w:rsidRPr="00181EF3" w:rsidRDefault="001B13EC" w:rsidP="001B13EC">
            <w:pPr>
              <w:pStyle w:val="TableText"/>
              <w:keepNext/>
            </w:pPr>
            <w:r w:rsidRPr="00181EF3">
              <w:t>Diabetes</w:t>
            </w:r>
          </w:p>
        </w:tc>
        <w:tc>
          <w:tcPr>
            <w:tcW w:w="1985" w:type="dxa"/>
            <w:tcBorders>
              <w:top w:val="single" w:sz="4" w:space="0" w:color="7F7F7F" w:themeColor="text1" w:themeTint="80"/>
              <w:bottom w:val="single" w:sz="4" w:space="0" w:color="A6A6A6" w:themeColor="background1" w:themeShade="A6"/>
            </w:tcBorders>
            <w:hideMark/>
          </w:tcPr>
          <w:p w14:paraId="60E0BF4C" w14:textId="77777777" w:rsidR="001B13EC" w:rsidRPr="00181EF3" w:rsidRDefault="001B13EC" w:rsidP="001B13EC">
            <w:pPr>
              <w:pStyle w:val="TableText"/>
              <w:keepNext/>
            </w:pPr>
            <w:r w:rsidRPr="00181EF3">
              <w:t>250</w:t>
            </w:r>
          </w:p>
        </w:tc>
        <w:tc>
          <w:tcPr>
            <w:tcW w:w="1984" w:type="dxa"/>
            <w:tcBorders>
              <w:top w:val="single" w:sz="4" w:space="0" w:color="7F7F7F" w:themeColor="text1" w:themeTint="80"/>
              <w:bottom w:val="single" w:sz="4" w:space="0" w:color="A6A6A6" w:themeColor="background1" w:themeShade="A6"/>
            </w:tcBorders>
            <w:hideMark/>
          </w:tcPr>
          <w:p w14:paraId="2917A1F3" w14:textId="77777777" w:rsidR="001B13EC" w:rsidRPr="00181EF3" w:rsidRDefault="001B13EC" w:rsidP="001B13EC">
            <w:pPr>
              <w:pStyle w:val="TableText"/>
              <w:keepNext/>
            </w:pPr>
            <w:r w:rsidRPr="00181EF3">
              <w:t>E10–E14</w:t>
            </w:r>
          </w:p>
        </w:tc>
        <w:tc>
          <w:tcPr>
            <w:tcW w:w="1276" w:type="dxa"/>
            <w:tcBorders>
              <w:top w:val="single" w:sz="4" w:space="0" w:color="7F7F7F" w:themeColor="text1" w:themeTint="80"/>
              <w:bottom w:val="single" w:sz="4" w:space="0" w:color="A6A6A6" w:themeColor="background1" w:themeShade="A6"/>
            </w:tcBorders>
            <w:noWrap/>
          </w:tcPr>
          <w:p w14:paraId="0AACAADE" w14:textId="77777777" w:rsidR="001B13EC" w:rsidRPr="00181EF3" w:rsidRDefault="001B13EC" w:rsidP="001B13EC">
            <w:pPr>
              <w:pStyle w:val="TableText"/>
              <w:keepNext/>
            </w:pPr>
          </w:p>
        </w:tc>
      </w:tr>
      <w:tr w:rsidR="001B13EC" w:rsidRPr="00181EF3" w14:paraId="54D0F8FB" w14:textId="77777777" w:rsidTr="001B13EC">
        <w:trPr>
          <w:cantSplit/>
        </w:trPr>
        <w:tc>
          <w:tcPr>
            <w:tcW w:w="993" w:type="dxa"/>
            <w:vMerge/>
            <w:hideMark/>
          </w:tcPr>
          <w:p w14:paraId="7DBC79E6" w14:textId="77777777" w:rsidR="001B13EC" w:rsidRPr="00181EF3" w:rsidRDefault="001B13EC" w:rsidP="001B13EC">
            <w:pPr>
              <w:pStyle w:val="TableText"/>
              <w:keepNext/>
            </w:pPr>
          </w:p>
        </w:tc>
        <w:tc>
          <w:tcPr>
            <w:tcW w:w="1842" w:type="dxa"/>
            <w:tcBorders>
              <w:top w:val="single" w:sz="4" w:space="0" w:color="A6A6A6" w:themeColor="background1" w:themeShade="A6"/>
              <w:bottom w:val="single" w:sz="4" w:space="0" w:color="A6A6A6" w:themeColor="background1" w:themeShade="A6"/>
            </w:tcBorders>
            <w:noWrap/>
            <w:hideMark/>
          </w:tcPr>
          <w:p w14:paraId="429D64F7" w14:textId="77777777" w:rsidR="001B13EC" w:rsidRPr="00181EF3" w:rsidRDefault="001B13EC" w:rsidP="001B13EC">
            <w:pPr>
              <w:pStyle w:val="TableText"/>
              <w:keepNext/>
            </w:pPr>
            <w:r w:rsidRPr="00181EF3">
              <w:t>Valvular heart disease</w:t>
            </w:r>
          </w:p>
        </w:tc>
        <w:tc>
          <w:tcPr>
            <w:tcW w:w="1985" w:type="dxa"/>
            <w:tcBorders>
              <w:top w:val="single" w:sz="4" w:space="0" w:color="A6A6A6" w:themeColor="background1" w:themeShade="A6"/>
              <w:bottom w:val="single" w:sz="4" w:space="0" w:color="A6A6A6" w:themeColor="background1" w:themeShade="A6"/>
            </w:tcBorders>
            <w:hideMark/>
          </w:tcPr>
          <w:p w14:paraId="2B372DAD" w14:textId="77777777" w:rsidR="001B13EC" w:rsidRPr="00181EF3" w:rsidRDefault="001B13EC" w:rsidP="001B13EC">
            <w:pPr>
              <w:pStyle w:val="TableText"/>
              <w:keepNext/>
            </w:pPr>
            <w:r w:rsidRPr="00181EF3">
              <w:t>391, 394–398, 421.0, 424</w:t>
            </w:r>
          </w:p>
        </w:tc>
        <w:tc>
          <w:tcPr>
            <w:tcW w:w="1984" w:type="dxa"/>
            <w:tcBorders>
              <w:top w:val="single" w:sz="4" w:space="0" w:color="A6A6A6" w:themeColor="background1" w:themeShade="A6"/>
              <w:bottom w:val="single" w:sz="4" w:space="0" w:color="A6A6A6" w:themeColor="background1" w:themeShade="A6"/>
            </w:tcBorders>
            <w:hideMark/>
          </w:tcPr>
          <w:p w14:paraId="7EE0066F" w14:textId="77777777" w:rsidR="001B13EC" w:rsidRPr="00181EF3" w:rsidRDefault="001B13EC" w:rsidP="001B13EC">
            <w:pPr>
              <w:pStyle w:val="TableText"/>
              <w:keepNext/>
            </w:pPr>
            <w:r w:rsidRPr="00181EF3">
              <w:t>I01, I05–I09, I33–I37</w:t>
            </w:r>
          </w:p>
        </w:tc>
        <w:tc>
          <w:tcPr>
            <w:tcW w:w="1276" w:type="dxa"/>
            <w:tcBorders>
              <w:top w:val="single" w:sz="4" w:space="0" w:color="A6A6A6" w:themeColor="background1" w:themeShade="A6"/>
              <w:bottom w:val="single" w:sz="4" w:space="0" w:color="A6A6A6" w:themeColor="background1" w:themeShade="A6"/>
            </w:tcBorders>
            <w:noWrap/>
          </w:tcPr>
          <w:p w14:paraId="7363C030" w14:textId="77777777" w:rsidR="001B13EC" w:rsidRPr="00181EF3" w:rsidRDefault="001B13EC" w:rsidP="001B13EC">
            <w:pPr>
              <w:pStyle w:val="TableText"/>
              <w:keepNext/>
            </w:pPr>
          </w:p>
        </w:tc>
      </w:tr>
      <w:tr w:rsidR="001B13EC" w:rsidRPr="00181EF3" w14:paraId="591BB34E" w14:textId="77777777" w:rsidTr="001B13EC">
        <w:trPr>
          <w:cantSplit/>
        </w:trPr>
        <w:tc>
          <w:tcPr>
            <w:tcW w:w="993" w:type="dxa"/>
            <w:vMerge/>
            <w:hideMark/>
          </w:tcPr>
          <w:p w14:paraId="6FECA5A6" w14:textId="77777777" w:rsidR="001B13EC" w:rsidRPr="00181EF3" w:rsidRDefault="001B13EC" w:rsidP="001B13EC">
            <w:pPr>
              <w:pStyle w:val="TableText"/>
              <w:keepNext/>
            </w:pPr>
          </w:p>
        </w:tc>
        <w:tc>
          <w:tcPr>
            <w:tcW w:w="1842" w:type="dxa"/>
            <w:tcBorders>
              <w:top w:val="single" w:sz="4" w:space="0" w:color="A6A6A6" w:themeColor="background1" w:themeShade="A6"/>
              <w:bottom w:val="single" w:sz="4" w:space="0" w:color="A6A6A6" w:themeColor="background1" w:themeShade="A6"/>
            </w:tcBorders>
            <w:noWrap/>
            <w:hideMark/>
          </w:tcPr>
          <w:p w14:paraId="649BC3CB" w14:textId="77777777" w:rsidR="001B13EC" w:rsidRPr="00181EF3" w:rsidRDefault="001B13EC" w:rsidP="001B13EC">
            <w:pPr>
              <w:pStyle w:val="TableText"/>
              <w:keepNext/>
            </w:pPr>
            <w:r w:rsidRPr="00181EF3">
              <w:t>Hypertensive diseases</w:t>
            </w:r>
          </w:p>
        </w:tc>
        <w:tc>
          <w:tcPr>
            <w:tcW w:w="1985" w:type="dxa"/>
            <w:tcBorders>
              <w:top w:val="single" w:sz="4" w:space="0" w:color="A6A6A6" w:themeColor="background1" w:themeShade="A6"/>
              <w:bottom w:val="single" w:sz="4" w:space="0" w:color="A6A6A6" w:themeColor="background1" w:themeShade="A6"/>
            </w:tcBorders>
            <w:hideMark/>
          </w:tcPr>
          <w:p w14:paraId="46B33191" w14:textId="77777777" w:rsidR="001B13EC" w:rsidRPr="00181EF3" w:rsidRDefault="001B13EC" w:rsidP="001B13EC">
            <w:pPr>
              <w:pStyle w:val="TableText"/>
              <w:keepNext/>
            </w:pPr>
            <w:r w:rsidRPr="00181EF3">
              <w:t>401–404</w:t>
            </w:r>
          </w:p>
        </w:tc>
        <w:tc>
          <w:tcPr>
            <w:tcW w:w="1984" w:type="dxa"/>
            <w:tcBorders>
              <w:top w:val="single" w:sz="4" w:space="0" w:color="A6A6A6" w:themeColor="background1" w:themeShade="A6"/>
              <w:bottom w:val="single" w:sz="4" w:space="0" w:color="A6A6A6" w:themeColor="background1" w:themeShade="A6"/>
            </w:tcBorders>
            <w:hideMark/>
          </w:tcPr>
          <w:p w14:paraId="638153F3" w14:textId="77777777" w:rsidR="001B13EC" w:rsidRPr="00181EF3" w:rsidRDefault="001B13EC" w:rsidP="001B13EC">
            <w:pPr>
              <w:pStyle w:val="TableText"/>
              <w:keepNext/>
            </w:pPr>
            <w:r w:rsidRPr="00181EF3">
              <w:t>I10–I13</w:t>
            </w:r>
          </w:p>
        </w:tc>
        <w:tc>
          <w:tcPr>
            <w:tcW w:w="1276" w:type="dxa"/>
            <w:tcBorders>
              <w:top w:val="single" w:sz="4" w:space="0" w:color="A6A6A6" w:themeColor="background1" w:themeShade="A6"/>
              <w:bottom w:val="single" w:sz="4" w:space="0" w:color="A6A6A6" w:themeColor="background1" w:themeShade="A6"/>
            </w:tcBorders>
            <w:noWrap/>
          </w:tcPr>
          <w:p w14:paraId="737E8E08" w14:textId="77777777" w:rsidR="001B13EC" w:rsidRPr="00181EF3" w:rsidRDefault="001B13EC" w:rsidP="001B13EC">
            <w:pPr>
              <w:pStyle w:val="TableText"/>
              <w:keepNext/>
            </w:pPr>
          </w:p>
        </w:tc>
      </w:tr>
      <w:tr w:rsidR="001B13EC" w:rsidRPr="00181EF3" w14:paraId="55E5FF08" w14:textId="77777777" w:rsidTr="001B13EC">
        <w:trPr>
          <w:cantSplit/>
        </w:trPr>
        <w:tc>
          <w:tcPr>
            <w:tcW w:w="993" w:type="dxa"/>
            <w:vMerge/>
            <w:hideMark/>
          </w:tcPr>
          <w:p w14:paraId="16BA8E7B" w14:textId="77777777" w:rsidR="001B13EC" w:rsidRPr="00181EF3" w:rsidRDefault="001B13EC" w:rsidP="001B13EC">
            <w:pPr>
              <w:pStyle w:val="TableText"/>
              <w:keepNext/>
            </w:pPr>
          </w:p>
        </w:tc>
        <w:tc>
          <w:tcPr>
            <w:tcW w:w="1842" w:type="dxa"/>
            <w:tcBorders>
              <w:top w:val="single" w:sz="4" w:space="0" w:color="A6A6A6" w:themeColor="background1" w:themeShade="A6"/>
              <w:bottom w:val="single" w:sz="4" w:space="0" w:color="A6A6A6" w:themeColor="background1" w:themeShade="A6"/>
            </w:tcBorders>
            <w:noWrap/>
            <w:hideMark/>
          </w:tcPr>
          <w:p w14:paraId="0DF8C1AE" w14:textId="77777777" w:rsidR="001B13EC" w:rsidRPr="00181EF3" w:rsidRDefault="001B13EC" w:rsidP="001B13EC">
            <w:pPr>
              <w:pStyle w:val="TableText"/>
              <w:keepNext/>
            </w:pPr>
            <w:r w:rsidRPr="00181EF3">
              <w:t>Coronary disease</w:t>
            </w:r>
          </w:p>
        </w:tc>
        <w:tc>
          <w:tcPr>
            <w:tcW w:w="1985" w:type="dxa"/>
            <w:tcBorders>
              <w:top w:val="single" w:sz="4" w:space="0" w:color="A6A6A6" w:themeColor="background1" w:themeShade="A6"/>
              <w:bottom w:val="single" w:sz="4" w:space="0" w:color="A6A6A6" w:themeColor="background1" w:themeShade="A6"/>
            </w:tcBorders>
            <w:hideMark/>
          </w:tcPr>
          <w:p w14:paraId="1B2ADE25" w14:textId="77777777" w:rsidR="001B13EC" w:rsidRPr="00181EF3" w:rsidRDefault="001B13EC" w:rsidP="001B13EC">
            <w:pPr>
              <w:pStyle w:val="TableText"/>
              <w:keepNext/>
            </w:pPr>
            <w:r w:rsidRPr="00181EF3">
              <w:t>410–414</w:t>
            </w:r>
          </w:p>
        </w:tc>
        <w:tc>
          <w:tcPr>
            <w:tcW w:w="1984" w:type="dxa"/>
            <w:tcBorders>
              <w:top w:val="single" w:sz="4" w:space="0" w:color="A6A6A6" w:themeColor="background1" w:themeShade="A6"/>
              <w:bottom w:val="single" w:sz="4" w:space="0" w:color="A6A6A6" w:themeColor="background1" w:themeShade="A6"/>
            </w:tcBorders>
            <w:hideMark/>
          </w:tcPr>
          <w:p w14:paraId="5698F22E" w14:textId="77777777" w:rsidR="001B13EC" w:rsidRPr="00181EF3" w:rsidRDefault="001B13EC" w:rsidP="001B13EC">
            <w:pPr>
              <w:pStyle w:val="TableText"/>
              <w:keepNext/>
            </w:pPr>
            <w:r w:rsidRPr="00181EF3">
              <w:t>I20–I25</w:t>
            </w:r>
          </w:p>
        </w:tc>
        <w:tc>
          <w:tcPr>
            <w:tcW w:w="1276" w:type="dxa"/>
            <w:tcBorders>
              <w:top w:val="single" w:sz="4" w:space="0" w:color="A6A6A6" w:themeColor="background1" w:themeShade="A6"/>
              <w:bottom w:val="single" w:sz="4" w:space="0" w:color="A6A6A6" w:themeColor="background1" w:themeShade="A6"/>
            </w:tcBorders>
            <w:noWrap/>
          </w:tcPr>
          <w:p w14:paraId="448FA627" w14:textId="77777777" w:rsidR="001B13EC" w:rsidRPr="00181EF3" w:rsidRDefault="001B13EC" w:rsidP="001B13EC">
            <w:pPr>
              <w:pStyle w:val="TableText"/>
              <w:keepNext/>
            </w:pPr>
          </w:p>
        </w:tc>
      </w:tr>
      <w:tr w:rsidR="001B13EC" w:rsidRPr="00181EF3" w14:paraId="4846E66F" w14:textId="77777777" w:rsidTr="001B13EC">
        <w:trPr>
          <w:cantSplit/>
        </w:trPr>
        <w:tc>
          <w:tcPr>
            <w:tcW w:w="993" w:type="dxa"/>
            <w:vMerge/>
            <w:hideMark/>
          </w:tcPr>
          <w:p w14:paraId="7375C014" w14:textId="77777777" w:rsidR="001B13EC" w:rsidRPr="00181EF3" w:rsidRDefault="001B13EC" w:rsidP="001B13EC">
            <w:pPr>
              <w:pStyle w:val="TableText"/>
              <w:keepNext/>
            </w:pPr>
          </w:p>
        </w:tc>
        <w:tc>
          <w:tcPr>
            <w:tcW w:w="1842" w:type="dxa"/>
            <w:tcBorders>
              <w:top w:val="single" w:sz="4" w:space="0" w:color="A6A6A6" w:themeColor="background1" w:themeShade="A6"/>
              <w:bottom w:val="single" w:sz="4" w:space="0" w:color="A6A6A6" w:themeColor="background1" w:themeShade="A6"/>
            </w:tcBorders>
            <w:noWrap/>
            <w:hideMark/>
          </w:tcPr>
          <w:p w14:paraId="0756A7DF" w14:textId="77777777" w:rsidR="001B13EC" w:rsidRPr="00181EF3" w:rsidRDefault="001B13EC" w:rsidP="001B13EC">
            <w:pPr>
              <w:pStyle w:val="TableText"/>
              <w:keepNext/>
            </w:pPr>
            <w:r w:rsidRPr="00181EF3">
              <w:t>Pulmonary embolism</w:t>
            </w:r>
          </w:p>
        </w:tc>
        <w:tc>
          <w:tcPr>
            <w:tcW w:w="1985" w:type="dxa"/>
            <w:tcBorders>
              <w:top w:val="single" w:sz="4" w:space="0" w:color="A6A6A6" w:themeColor="background1" w:themeShade="A6"/>
              <w:bottom w:val="single" w:sz="4" w:space="0" w:color="A6A6A6" w:themeColor="background1" w:themeShade="A6"/>
            </w:tcBorders>
            <w:hideMark/>
          </w:tcPr>
          <w:p w14:paraId="2272B901" w14:textId="77777777" w:rsidR="001B13EC" w:rsidRPr="00181EF3" w:rsidRDefault="001B13EC" w:rsidP="001B13EC">
            <w:pPr>
              <w:pStyle w:val="TableText"/>
              <w:keepNext/>
            </w:pPr>
            <w:r w:rsidRPr="00181EF3">
              <w:t>415</w:t>
            </w:r>
          </w:p>
        </w:tc>
        <w:tc>
          <w:tcPr>
            <w:tcW w:w="1984" w:type="dxa"/>
            <w:tcBorders>
              <w:top w:val="single" w:sz="4" w:space="0" w:color="A6A6A6" w:themeColor="background1" w:themeShade="A6"/>
              <w:bottom w:val="single" w:sz="4" w:space="0" w:color="A6A6A6" w:themeColor="background1" w:themeShade="A6"/>
            </w:tcBorders>
            <w:hideMark/>
          </w:tcPr>
          <w:p w14:paraId="26302E89" w14:textId="77777777" w:rsidR="001B13EC" w:rsidRPr="00181EF3" w:rsidRDefault="001B13EC" w:rsidP="001B13EC">
            <w:pPr>
              <w:pStyle w:val="TableText"/>
              <w:keepNext/>
            </w:pPr>
            <w:r w:rsidRPr="00181EF3">
              <w:t>I26</w:t>
            </w:r>
          </w:p>
        </w:tc>
        <w:tc>
          <w:tcPr>
            <w:tcW w:w="1276" w:type="dxa"/>
            <w:tcBorders>
              <w:top w:val="single" w:sz="4" w:space="0" w:color="A6A6A6" w:themeColor="background1" w:themeShade="A6"/>
              <w:bottom w:val="single" w:sz="4" w:space="0" w:color="A6A6A6" w:themeColor="background1" w:themeShade="A6"/>
            </w:tcBorders>
            <w:noWrap/>
          </w:tcPr>
          <w:p w14:paraId="21760913" w14:textId="77777777" w:rsidR="001B13EC" w:rsidRPr="00181EF3" w:rsidRDefault="001B13EC" w:rsidP="001B13EC">
            <w:pPr>
              <w:pStyle w:val="TableText"/>
              <w:keepNext/>
            </w:pPr>
          </w:p>
        </w:tc>
      </w:tr>
      <w:tr w:rsidR="001B13EC" w:rsidRPr="00181EF3" w14:paraId="7208361E" w14:textId="77777777" w:rsidTr="001B13EC">
        <w:trPr>
          <w:cantSplit/>
        </w:trPr>
        <w:tc>
          <w:tcPr>
            <w:tcW w:w="993" w:type="dxa"/>
            <w:vMerge/>
            <w:hideMark/>
          </w:tcPr>
          <w:p w14:paraId="63030391" w14:textId="77777777" w:rsidR="001B13EC" w:rsidRPr="00181EF3" w:rsidRDefault="001B13EC" w:rsidP="001B13EC">
            <w:pPr>
              <w:pStyle w:val="TableText"/>
            </w:pPr>
          </w:p>
        </w:tc>
        <w:tc>
          <w:tcPr>
            <w:tcW w:w="1842" w:type="dxa"/>
            <w:tcBorders>
              <w:top w:val="single" w:sz="4" w:space="0" w:color="A6A6A6" w:themeColor="background1" w:themeShade="A6"/>
              <w:bottom w:val="single" w:sz="4" w:space="0" w:color="A6A6A6" w:themeColor="background1" w:themeShade="A6"/>
            </w:tcBorders>
            <w:noWrap/>
            <w:hideMark/>
          </w:tcPr>
          <w:p w14:paraId="05ACCA50" w14:textId="77777777" w:rsidR="001B13EC" w:rsidRPr="00181EF3" w:rsidRDefault="001B13EC" w:rsidP="001B13EC">
            <w:pPr>
              <w:pStyle w:val="TableText"/>
            </w:pPr>
            <w:r w:rsidRPr="00181EF3">
              <w:t>Atrial fibrillation and flutter</w:t>
            </w:r>
          </w:p>
        </w:tc>
        <w:tc>
          <w:tcPr>
            <w:tcW w:w="1985" w:type="dxa"/>
            <w:tcBorders>
              <w:top w:val="single" w:sz="4" w:space="0" w:color="A6A6A6" w:themeColor="background1" w:themeShade="A6"/>
              <w:bottom w:val="single" w:sz="4" w:space="0" w:color="A6A6A6" w:themeColor="background1" w:themeShade="A6"/>
            </w:tcBorders>
            <w:hideMark/>
          </w:tcPr>
          <w:p w14:paraId="50DA2379" w14:textId="77777777" w:rsidR="001B13EC" w:rsidRPr="00181EF3" w:rsidRDefault="001B13EC" w:rsidP="001B13EC">
            <w:pPr>
              <w:pStyle w:val="TableText"/>
            </w:pPr>
            <w:r w:rsidRPr="00181EF3">
              <w:t>427.3</w:t>
            </w:r>
          </w:p>
        </w:tc>
        <w:tc>
          <w:tcPr>
            <w:tcW w:w="1984" w:type="dxa"/>
            <w:tcBorders>
              <w:top w:val="single" w:sz="4" w:space="0" w:color="A6A6A6" w:themeColor="background1" w:themeShade="A6"/>
              <w:bottom w:val="single" w:sz="4" w:space="0" w:color="A6A6A6" w:themeColor="background1" w:themeShade="A6"/>
            </w:tcBorders>
            <w:hideMark/>
          </w:tcPr>
          <w:p w14:paraId="5B8FAC93" w14:textId="77777777" w:rsidR="001B13EC" w:rsidRPr="00181EF3" w:rsidRDefault="001B13EC" w:rsidP="001B13EC">
            <w:pPr>
              <w:pStyle w:val="TableText"/>
            </w:pPr>
            <w:r w:rsidRPr="00181EF3">
              <w:t>I48</w:t>
            </w:r>
          </w:p>
        </w:tc>
        <w:tc>
          <w:tcPr>
            <w:tcW w:w="1276" w:type="dxa"/>
            <w:tcBorders>
              <w:top w:val="single" w:sz="4" w:space="0" w:color="A6A6A6" w:themeColor="background1" w:themeShade="A6"/>
              <w:bottom w:val="single" w:sz="4" w:space="0" w:color="A6A6A6" w:themeColor="background1" w:themeShade="A6"/>
            </w:tcBorders>
            <w:noWrap/>
            <w:hideMark/>
          </w:tcPr>
          <w:p w14:paraId="31DC7884" w14:textId="77777777" w:rsidR="001B13EC" w:rsidRPr="00181EF3" w:rsidRDefault="001B13EC" w:rsidP="001B13EC">
            <w:pPr>
              <w:pStyle w:val="TableText"/>
            </w:pPr>
            <w:r w:rsidRPr="00181EF3">
              <w:t>New in this version</w:t>
            </w:r>
          </w:p>
        </w:tc>
      </w:tr>
      <w:tr w:rsidR="001B13EC" w:rsidRPr="00181EF3" w14:paraId="3FB4C3E0" w14:textId="77777777" w:rsidTr="001B13EC">
        <w:trPr>
          <w:cantSplit/>
        </w:trPr>
        <w:tc>
          <w:tcPr>
            <w:tcW w:w="993" w:type="dxa"/>
            <w:vMerge/>
            <w:hideMark/>
          </w:tcPr>
          <w:p w14:paraId="401118C1" w14:textId="77777777" w:rsidR="001B13EC" w:rsidRPr="00181EF3" w:rsidRDefault="001B13EC" w:rsidP="001B13EC">
            <w:pPr>
              <w:pStyle w:val="TableText"/>
            </w:pPr>
          </w:p>
        </w:tc>
        <w:tc>
          <w:tcPr>
            <w:tcW w:w="1842" w:type="dxa"/>
            <w:tcBorders>
              <w:top w:val="single" w:sz="4" w:space="0" w:color="A6A6A6" w:themeColor="background1" w:themeShade="A6"/>
              <w:bottom w:val="single" w:sz="4" w:space="0" w:color="A6A6A6" w:themeColor="background1" w:themeShade="A6"/>
            </w:tcBorders>
            <w:noWrap/>
            <w:hideMark/>
          </w:tcPr>
          <w:p w14:paraId="6AEF87B1" w14:textId="77777777" w:rsidR="001B13EC" w:rsidRPr="00181EF3" w:rsidRDefault="001B13EC" w:rsidP="001B13EC">
            <w:pPr>
              <w:pStyle w:val="TableText"/>
            </w:pPr>
            <w:r w:rsidRPr="00181EF3">
              <w:t>Heart failure</w:t>
            </w:r>
          </w:p>
        </w:tc>
        <w:tc>
          <w:tcPr>
            <w:tcW w:w="1985" w:type="dxa"/>
            <w:tcBorders>
              <w:top w:val="single" w:sz="4" w:space="0" w:color="A6A6A6" w:themeColor="background1" w:themeShade="A6"/>
              <w:bottom w:val="single" w:sz="4" w:space="0" w:color="A6A6A6" w:themeColor="background1" w:themeShade="A6"/>
            </w:tcBorders>
            <w:hideMark/>
          </w:tcPr>
          <w:p w14:paraId="02357A81" w14:textId="77777777" w:rsidR="001B13EC" w:rsidRPr="00181EF3" w:rsidRDefault="001B13EC" w:rsidP="001B13EC">
            <w:pPr>
              <w:pStyle w:val="TableText"/>
            </w:pPr>
            <w:r w:rsidRPr="00181EF3">
              <w:t>428</w:t>
            </w:r>
          </w:p>
        </w:tc>
        <w:tc>
          <w:tcPr>
            <w:tcW w:w="1984" w:type="dxa"/>
            <w:tcBorders>
              <w:top w:val="single" w:sz="4" w:space="0" w:color="A6A6A6" w:themeColor="background1" w:themeShade="A6"/>
              <w:bottom w:val="single" w:sz="4" w:space="0" w:color="A6A6A6" w:themeColor="background1" w:themeShade="A6"/>
            </w:tcBorders>
            <w:hideMark/>
          </w:tcPr>
          <w:p w14:paraId="58A95B3D" w14:textId="77777777" w:rsidR="001B13EC" w:rsidRPr="00181EF3" w:rsidRDefault="001B13EC" w:rsidP="001B13EC">
            <w:pPr>
              <w:pStyle w:val="TableText"/>
            </w:pPr>
            <w:r w:rsidRPr="00181EF3">
              <w:t>I50</w:t>
            </w:r>
          </w:p>
        </w:tc>
        <w:tc>
          <w:tcPr>
            <w:tcW w:w="1276" w:type="dxa"/>
            <w:tcBorders>
              <w:top w:val="single" w:sz="4" w:space="0" w:color="A6A6A6" w:themeColor="background1" w:themeShade="A6"/>
              <w:bottom w:val="single" w:sz="4" w:space="0" w:color="A6A6A6" w:themeColor="background1" w:themeShade="A6"/>
            </w:tcBorders>
            <w:noWrap/>
          </w:tcPr>
          <w:p w14:paraId="741E0BBA" w14:textId="77777777" w:rsidR="001B13EC" w:rsidRPr="00181EF3" w:rsidRDefault="001B13EC" w:rsidP="001B13EC">
            <w:pPr>
              <w:pStyle w:val="TableText"/>
            </w:pPr>
          </w:p>
        </w:tc>
      </w:tr>
      <w:tr w:rsidR="001B13EC" w:rsidRPr="00181EF3" w14:paraId="44423222" w14:textId="77777777" w:rsidTr="001B13EC">
        <w:trPr>
          <w:cantSplit/>
        </w:trPr>
        <w:tc>
          <w:tcPr>
            <w:tcW w:w="993" w:type="dxa"/>
            <w:vMerge/>
            <w:tcBorders>
              <w:bottom w:val="single" w:sz="4" w:space="0" w:color="7F7F7F" w:themeColor="text1" w:themeTint="80"/>
            </w:tcBorders>
            <w:hideMark/>
          </w:tcPr>
          <w:p w14:paraId="14CB3208" w14:textId="77777777" w:rsidR="001B13EC" w:rsidRPr="00181EF3" w:rsidRDefault="001B13EC" w:rsidP="001B13EC">
            <w:pPr>
              <w:pStyle w:val="TableText"/>
            </w:pPr>
          </w:p>
        </w:tc>
        <w:tc>
          <w:tcPr>
            <w:tcW w:w="1842" w:type="dxa"/>
            <w:tcBorders>
              <w:top w:val="single" w:sz="4" w:space="0" w:color="A6A6A6" w:themeColor="background1" w:themeShade="A6"/>
              <w:bottom w:val="single" w:sz="4" w:space="0" w:color="7F7F7F" w:themeColor="text1" w:themeTint="80"/>
            </w:tcBorders>
            <w:noWrap/>
            <w:hideMark/>
          </w:tcPr>
          <w:p w14:paraId="524B2596" w14:textId="77777777" w:rsidR="001B13EC" w:rsidRPr="00181EF3" w:rsidRDefault="001B13EC" w:rsidP="001B13EC">
            <w:pPr>
              <w:pStyle w:val="TableText"/>
            </w:pPr>
            <w:r w:rsidRPr="00181EF3">
              <w:t>Cerebrovascular diseases</w:t>
            </w:r>
          </w:p>
        </w:tc>
        <w:tc>
          <w:tcPr>
            <w:tcW w:w="1985" w:type="dxa"/>
            <w:tcBorders>
              <w:top w:val="single" w:sz="4" w:space="0" w:color="A6A6A6" w:themeColor="background1" w:themeShade="A6"/>
              <w:bottom w:val="single" w:sz="4" w:space="0" w:color="7F7F7F" w:themeColor="text1" w:themeTint="80"/>
            </w:tcBorders>
            <w:hideMark/>
          </w:tcPr>
          <w:p w14:paraId="27EDCCAD" w14:textId="77777777" w:rsidR="001B13EC" w:rsidRPr="00181EF3" w:rsidRDefault="001B13EC" w:rsidP="001B13EC">
            <w:pPr>
              <w:pStyle w:val="TableText"/>
            </w:pPr>
            <w:r w:rsidRPr="00181EF3">
              <w:t>430–438</w:t>
            </w:r>
          </w:p>
        </w:tc>
        <w:tc>
          <w:tcPr>
            <w:tcW w:w="1984" w:type="dxa"/>
            <w:tcBorders>
              <w:top w:val="single" w:sz="4" w:space="0" w:color="A6A6A6" w:themeColor="background1" w:themeShade="A6"/>
              <w:bottom w:val="single" w:sz="4" w:space="0" w:color="7F7F7F" w:themeColor="text1" w:themeTint="80"/>
            </w:tcBorders>
            <w:hideMark/>
          </w:tcPr>
          <w:p w14:paraId="68D1D2E0" w14:textId="77777777" w:rsidR="001B13EC" w:rsidRPr="00181EF3" w:rsidRDefault="001B13EC" w:rsidP="001B13EC">
            <w:pPr>
              <w:pStyle w:val="TableText"/>
            </w:pPr>
            <w:r w:rsidRPr="00181EF3">
              <w:t>I60–I69</w:t>
            </w:r>
          </w:p>
        </w:tc>
        <w:tc>
          <w:tcPr>
            <w:tcW w:w="1276" w:type="dxa"/>
            <w:tcBorders>
              <w:top w:val="single" w:sz="4" w:space="0" w:color="A6A6A6" w:themeColor="background1" w:themeShade="A6"/>
              <w:bottom w:val="single" w:sz="4" w:space="0" w:color="7F7F7F" w:themeColor="text1" w:themeTint="80"/>
            </w:tcBorders>
            <w:noWrap/>
          </w:tcPr>
          <w:p w14:paraId="5493C6E5" w14:textId="77777777" w:rsidR="001B13EC" w:rsidRPr="00181EF3" w:rsidRDefault="001B13EC" w:rsidP="001B13EC">
            <w:pPr>
              <w:pStyle w:val="TableText"/>
            </w:pPr>
          </w:p>
        </w:tc>
      </w:tr>
      <w:tr w:rsidR="001B13EC" w:rsidRPr="00181EF3" w14:paraId="7BED6DC4" w14:textId="77777777" w:rsidTr="001B13EC">
        <w:trPr>
          <w:cantSplit/>
        </w:trPr>
        <w:tc>
          <w:tcPr>
            <w:tcW w:w="993" w:type="dxa"/>
            <w:vMerge w:val="restart"/>
            <w:tcBorders>
              <w:top w:val="single" w:sz="4" w:space="0" w:color="7F7F7F" w:themeColor="text1" w:themeTint="80"/>
            </w:tcBorders>
            <w:hideMark/>
          </w:tcPr>
          <w:p w14:paraId="3A8A0E41" w14:textId="77777777" w:rsidR="001B13EC" w:rsidRPr="00181EF3" w:rsidRDefault="001B13EC" w:rsidP="001B13EC">
            <w:pPr>
              <w:pStyle w:val="TableText"/>
            </w:pPr>
            <w:r w:rsidRPr="00181EF3">
              <w:t>Other chronic disorders</w:t>
            </w:r>
          </w:p>
        </w:tc>
        <w:tc>
          <w:tcPr>
            <w:tcW w:w="1842" w:type="dxa"/>
            <w:tcBorders>
              <w:top w:val="single" w:sz="4" w:space="0" w:color="7F7F7F" w:themeColor="text1" w:themeTint="80"/>
              <w:bottom w:val="single" w:sz="4" w:space="0" w:color="A6A6A6" w:themeColor="background1" w:themeShade="A6"/>
            </w:tcBorders>
            <w:noWrap/>
            <w:hideMark/>
          </w:tcPr>
          <w:p w14:paraId="5D51AD87" w14:textId="77777777" w:rsidR="001B13EC" w:rsidRPr="00181EF3" w:rsidRDefault="001B13EC" w:rsidP="001B13EC">
            <w:pPr>
              <w:pStyle w:val="TableText"/>
            </w:pPr>
            <w:r w:rsidRPr="00181EF3">
              <w:t>COPD</w:t>
            </w:r>
          </w:p>
        </w:tc>
        <w:tc>
          <w:tcPr>
            <w:tcW w:w="1985" w:type="dxa"/>
            <w:tcBorders>
              <w:top w:val="single" w:sz="4" w:space="0" w:color="7F7F7F" w:themeColor="text1" w:themeTint="80"/>
              <w:bottom w:val="single" w:sz="4" w:space="0" w:color="A6A6A6" w:themeColor="background1" w:themeShade="A6"/>
            </w:tcBorders>
            <w:hideMark/>
          </w:tcPr>
          <w:p w14:paraId="217AECAF" w14:textId="77777777" w:rsidR="001B13EC" w:rsidRPr="00181EF3" w:rsidRDefault="001B13EC" w:rsidP="001B13EC">
            <w:pPr>
              <w:pStyle w:val="TableText"/>
            </w:pPr>
            <w:r w:rsidRPr="00181EF3">
              <w:t>490–492, 496</w:t>
            </w:r>
          </w:p>
        </w:tc>
        <w:tc>
          <w:tcPr>
            <w:tcW w:w="1984" w:type="dxa"/>
            <w:tcBorders>
              <w:top w:val="single" w:sz="4" w:space="0" w:color="7F7F7F" w:themeColor="text1" w:themeTint="80"/>
              <w:bottom w:val="single" w:sz="4" w:space="0" w:color="A6A6A6" w:themeColor="background1" w:themeShade="A6"/>
            </w:tcBorders>
            <w:hideMark/>
          </w:tcPr>
          <w:p w14:paraId="03D6CAD9" w14:textId="77777777" w:rsidR="001B13EC" w:rsidRPr="00181EF3" w:rsidRDefault="001B13EC" w:rsidP="001B13EC">
            <w:pPr>
              <w:pStyle w:val="TableText"/>
            </w:pPr>
            <w:r w:rsidRPr="00181EF3">
              <w:t>J40–J44</w:t>
            </w:r>
          </w:p>
        </w:tc>
        <w:tc>
          <w:tcPr>
            <w:tcW w:w="1276" w:type="dxa"/>
            <w:tcBorders>
              <w:top w:val="single" w:sz="4" w:space="0" w:color="7F7F7F" w:themeColor="text1" w:themeTint="80"/>
              <w:bottom w:val="single" w:sz="4" w:space="0" w:color="A6A6A6" w:themeColor="background1" w:themeShade="A6"/>
            </w:tcBorders>
            <w:noWrap/>
            <w:hideMark/>
          </w:tcPr>
          <w:p w14:paraId="62308F11" w14:textId="77777777" w:rsidR="001B13EC" w:rsidRPr="00181EF3" w:rsidRDefault="001B13EC" w:rsidP="001B13EC">
            <w:pPr>
              <w:pStyle w:val="TableText"/>
            </w:pPr>
            <w:r w:rsidRPr="00181EF3">
              <w:t>Some 9–10 differences in coding rules</w:t>
            </w:r>
          </w:p>
        </w:tc>
      </w:tr>
      <w:tr w:rsidR="001B13EC" w:rsidRPr="00181EF3" w14:paraId="417CBBCA" w14:textId="77777777" w:rsidTr="001B13EC">
        <w:trPr>
          <w:cantSplit/>
        </w:trPr>
        <w:tc>
          <w:tcPr>
            <w:tcW w:w="993" w:type="dxa"/>
            <w:vMerge/>
            <w:hideMark/>
          </w:tcPr>
          <w:p w14:paraId="5E98FC4D" w14:textId="77777777" w:rsidR="001B13EC" w:rsidRPr="00181EF3" w:rsidRDefault="001B13EC" w:rsidP="001B13EC">
            <w:pPr>
              <w:pStyle w:val="TableText"/>
            </w:pPr>
          </w:p>
        </w:tc>
        <w:tc>
          <w:tcPr>
            <w:tcW w:w="1842" w:type="dxa"/>
            <w:tcBorders>
              <w:top w:val="single" w:sz="4" w:space="0" w:color="A6A6A6" w:themeColor="background1" w:themeShade="A6"/>
              <w:bottom w:val="single" w:sz="4" w:space="0" w:color="A6A6A6" w:themeColor="background1" w:themeShade="A6"/>
            </w:tcBorders>
            <w:noWrap/>
            <w:hideMark/>
          </w:tcPr>
          <w:p w14:paraId="2E13F8CE" w14:textId="77777777" w:rsidR="001B13EC" w:rsidRPr="00181EF3" w:rsidRDefault="001B13EC" w:rsidP="001B13EC">
            <w:pPr>
              <w:pStyle w:val="TableText"/>
            </w:pPr>
            <w:r w:rsidRPr="00181EF3">
              <w:t>Asthma</w:t>
            </w:r>
          </w:p>
        </w:tc>
        <w:tc>
          <w:tcPr>
            <w:tcW w:w="1985" w:type="dxa"/>
            <w:tcBorders>
              <w:top w:val="single" w:sz="4" w:space="0" w:color="A6A6A6" w:themeColor="background1" w:themeShade="A6"/>
              <w:bottom w:val="single" w:sz="4" w:space="0" w:color="A6A6A6" w:themeColor="background1" w:themeShade="A6"/>
            </w:tcBorders>
            <w:hideMark/>
          </w:tcPr>
          <w:p w14:paraId="4F3CC0B7" w14:textId="77777777" w:rsidR="001B13EC" w:rsidRPr="00181EF3" w:rsidRDefault="001B13EC" w:rsidP="001B13EC">
            <w:pPr>
              <w:pStyle w:val="TableText"/>
            </w:pPr>
            <w:r w:rsidRPr="00181EF3">
              <w:t>493</w:t>
            </w:r>
          </w:p>
        </w:tc>
        <w:tc>
          <w:tcPr>
            <w:tcW w:w="1984" w:type="dxa"/>
            <w:tcBorders>
              <w:top w:val="single" w:sz="4" w:space="0" w:color="A6A6A6" w:themeColor="background1" w:themeShade="A6"/>
              <w:bottom w:val="single" w:sz="4" w:space="0" w:color="A6A6A6" w:themeColor="background1" w:themeShade="A6"/>
            </w:tcBorders>
            <w:hideMark/>
          </w:tcPr>
          <w:p w14:paraId="68BA0A10" w14:textId="77777777" w:rsidR="001B13EC" w:rsidRPr="00181EF3" w:rsidRDefault="001B13EC" w:rsidP="001B13EC">
            <w:pPr>
              <w:pStyle w:val="TableText"/>
            </w:pPr>
            <w:r w:rsidRPr="00181EF3">
              <w:t>J45–J46</w:t>
            </w:r>
          </w:p>
        </w:tc>
        <w:tc>
          <w:tcPr>
            <w:tcW w:w="1276" w:type="dxa"/>
            <w:tcBorders>
              <w:top w:val="single" w:sz="4" w:space="0" w:color="A6A6A6" w:themeColor="background1" w:themeShade="A6"/>
              <w:bottom w:val="single" w:sz="4" w:space="0" w:color="A6A6A6" w:themeColor="background1" w:themeShade="A6"/>
            </w:tcBorders>
            <w:noWrap/>
            <w:hideMark/>
          </w:tcPr>
          <w:p w14:paraId="442102FF" w14:textId="77777777" w:rsidR="001B13EC" w:rsidRPr="00181EF3" w:rsidRDefault="001B13EC" w:rsidP="001B13EC">
            <w:pPr>
              <w:pStyle w:val="TableText"/>
            </w:pPr>
            <w:r w:rsidRPr="00181EF3">
              <w:t>Some 9–10 differences in coding rules</w:t>
            </w:r>
          </w:p>
        </w:tc>
      </w:tr>
      <w:tr w:rsidR="001B13EC" w:rsidRPr="00181EF3" w14:paraId="2304CFE3" w14:textId="77777777" w:rsidTr="001B13EC">
        <w:trPr>
          <w:cantSplit/>
        </w:trPr>
        <w:tc>
          <w:tcPr>
            <w:tcW w:w="993" w:type="dxa"/>
            <w:vMerge/>
            <w:hideMark/>
          </w:tcPr>
          <w:p w14:paraId="693D1556" w14:textId="77777777" w:rsidR="001B13EC" w:rsidRPr="00181EF3" w:rsidRDefault="001B13EC" w:rsidP="001B13EC">
            <w:pPr>
              <w:pStyle w:val="TableText"/>
            </w:pPr>
          </w:p>
        </w:tc>
        <w:tc>
          <w:tcPr>
            <w:tcW w:w="1842" w:type="dxa"/>
            <w:tcBorders>
              <w:top w:val="single" w:sz="4" w:space="0" w:color="A6A6A6" w:themeColor="background1" w:themeShade="A6"/>
              <w:bottom w:val="single" w:sz="4" w:space="0" w:color="A6A6A6" w:themeColor="background1" w:themeShade="A6"/>
            </w:tcBorders>
            <w:noWrap/>
            <w:hideMark/>
          </w:tcPr>
          <w:p w14:paraId="67688617" w14:textId="77777777" w:rsidR="001B13EC" w:rsidRPr="00181EF3" w:rsidRDefault="001B13EC" w:rsidP="001B13EC">
            <w:pPr>
              <w:pStyle w:val="TableText"/>
            </w:pPr>
            <w:r w:rsidRPr="00181EF3">
              <w:t>Peptic ulcer disease</w:t>
            </w:r>
          </w:p>
        </w:tc>
        <w:tc>
          <w:tcPr>
            <w:tcW w:w="1985" w:type="dxa"/>
            <w:tcBorders>
              <w:top w:val="single" w:sz="4" w:space="0" w:color="A6A6A6" w:themeColor="background1" w:themeShade="A6"/>
              <w:bottom w:val="single" w:sz="4" w:space="0" w:color="A6A6A6" w:themeColor="background1" w:themeShade="A6"/>
            </w:tcBorders>
            <w:hideMark/>
          </w:tcPr>
          <w:p w14:paraId="2FED183E" w14:textId="77777777" w:rsidR="001B13EC" w:rsidRPr="00181EF3" w:rsidRDefault="001B13EC" w:rsidP="001B13EC">
            <w:pPr>
              <w:pStyle w:val="TableText"/>
            </w:pPr>
            <w:r w:rsidRPr="00181EF3">
              <w:t>531–533</w:t>
            </w:r>
          </w:p>
        </w:tc>
        <w:tc>
          <w:tcPr>
            <w:tcW w:w="1984" w:type="dxa"/>
            <w:tcBorders>
              <w:top w:val="single" w:sz="4" w:space="0" w:color="A6A6A6" w:themeColor="background1" w:themeShade="A6"/>
              <w:bottom w:val="single" w:sz="4" w:space="0" w:color="A6A6A6" w:themeColor="background1" w:themeShade="A6"/>
            </w:tcBorders>
            <w:hideMark/>
          </w:tcPr>
          <w:p w14:paraId="35C7CDFA" w14:textId="77777777" w:rsidR="001B13EC" w:rsidRPr="00181EF3" w:rsidRDefault="001B13EC" w:rsidP="001B13EC">
            <w:pPr>
              <w:pStyle w:val="TableText"/>
            </w:pPr>
            <w:r w:rsidRPr="00181EF3">
              <w:t>K25–K27</w:t>
            </w:r>
          </w:p>
        </w:tc>
        <w:tc>
          <w:tcPr>
            <w:tcW w:w="1276" w:type="dxa"/>
            <w:tcBorders>
              <w:top w:val="single" w:sz="4" w:space="0" w:color="A6A6A6" w:themeColor="background1" w:themeShade="A6"/>
              <w:bottom w:val="single" w:sz="4" w:space="0" w:color="A6A6A6" w:themeColor="background1" w:themeShade="A6"/>
            </w:tcBorders>
            <w:noWrap/>
          </w:tcPr>
          <w:p w14:paraId="4D35C649" w14:textId="77777777" w:rsidR="001B13EC" w:rsidRPr="00181EF3" w:rsidRDefault="001B13EC" w:rsidP="001B13EC">
            <w:pPr>
              <w:pStyle w:val="TableText"/>
            </w:pPr>
          </w:p>
        </w:tc>
      </w:tr>
      <w:tr w:rsidR="001B13EC" w:rsidRPr="00181EF3" w14:paraId="58E04D82" w14:textId="77777777" w:rsidTr="001B13EC">
        <w:trPr>
          <w:cantSplit/>
        </w:trPr>
        <w:tc>
          <w:tcPr>
            <w:tcW w:w="993" w:type="dxa"/>
            <w:vMerge/>
            <w:hideMark/>
          </w:tcPr>
          <w:p w14:paraId="0AA80A7D" w14:textId="77777777" w:rsidR="001B13EC" w:rsidRPr="00181EF3" w:rsidRDefault="001B13EC" w:rsidP="001B13EC">
            <w:pPr>
              <w:pStyle w:val="TableText"/>
            </w:pPr>
          </w:p>
        </w:tc>
        <w:tc>
          <w:tcPr>
            <w:tcW w:w="1842" w:type="dxa"/>
            <w:tcBorders>
              <w:top w:val="single" w:sz="4" w:space="0" w:color="A6A6A6" w:themeColor="background1" w:themeShade="A6"/>
              <w:bottom w:val="single" w:sz="4" w:space="0" w:color="A6A6A6" w:themeColor="background1" w:themeShade="A6"/>
            </w:tcBorders>
            <w:noWrap/>
            <w:hideMark/>
          </w:tcPr>
          <w:p w14:paraId="6BA71AC6" w14:textId="77777777" w:rsidR="001B13EC" w:rsidRPr="00181EF3" w:rsidRDefault="001B13EC" w:rsidP="001B13EC">
            <w:pPr>
              <w:pStyle w:val="TableText"/>
            </w:pPr>
            <w:r w:rsidRPr="00181EF3">
              <w:t>Cholelithiasis</w:t>
            </w:r>
          </w:p>
        </w:tc>
        <w:tc>
          <w:tcPr>
            <w:tcW w:w="1985" w:type="dxa"/>
            <w:tcBorders>
              <w:top w:val="single" w:sz="4" w:space="0" w:color="A6A6A6" w:themeColor="background1" w:themeShade="A6"/>
              <w:bottom w:val="single" w:sz="4" w:space="0" w:color="A6A6A6" w:themeColor="background1" w:themeShade="A6"/>
            </w:tcBorders>
            <w:hideMark/>
          </w:tcPr>
          <w:p w14:paraId="04BB1512" w14:textId="77777777" w:rsidR="001B13EC" w:rsidRPr="00181EF3" w:rsidRDefault="001B13EC" w:rsidP="001B13EC">
            <w:pPr>
              <w:pStyle w:val="TableText"/>
            </w:pPr>
            <w:r w:rsidRPr="00181EF3">
              <w:t>574</w:t>
            </w:r>
          </w:p>
        </w:tc>
        <w:tc>
          <w:tcPr>
            <w:tcW w:w="1984" w:type="dxa"/>
            <w:tcBorders>
              <w:top w:val="single" w:sz="4" w:space="0" w:color="A6A6A6" w:themeColor="background1" w:themeShade="A6"/>
              <w:bottom w:val="single" w:sz="4" w:space="0" w:color="A6A6A6" w:themeColor="background1" w:themeShade="A6"/>
            </w:tcBorders>
            <w:hideMark/>
          </w:tcPr>
          <w:p w14:paraId="1823FFD3" w14:textId="77777777" w:rsidR="001B13EC" w:rsidRPr="00181EF3" w:rsidRDefault="001B13EC" w:rsidP="001B13EC">
            <w:pPr>
              <w:pStyle w:val="TableText"/>
            </w:pPr>
            <w:r w:rsidRPr="00181EF3">
              <w:t>K80</w:t>
            </w:r>
          </w:p>
        </w:tc>
        <w:tc>
          <w:tcPr>
            <w:tcW w:w="1276" w:type="dxa"/>
            <w:tcBorders>
              <w:top w:val="single" w:sz="4" w:space="0" w:color="A6A6A6" w:themeColor="background1" w:themeShade="A6"/>
              <w:bottom w:val="single" w:sz="4" w:space="0" w:color="A6A6A6" w:themeColor="background1" w:themeShade="A6"/>
            </w:tcBorders>
            <w:noWrap/>
          </w:tcPr>
          <w:p w14:paraId="381A028B" w14:textId="77777777" w:rsidR="001B13EC" w:rsidRPr="00181EF3" w:rsidRDefault="001B13EC" w:rsidP="001B13EC">
            <w:pPr>
              <w:pStyle w:val="TableText"/>
            </w:pPr>
          </w:p>
        </w:tc>
      </w:tr>
      <w:tr w:rsidR="001B13EC" w:rsidRPr="00181EF3" w14:paraId="4C2C6159" w14:textId="77777777" w:rsidTr="001B13EC">
        <w:trPr>
          <w:cantSplit/>
        </w:trPr>
        <w:tc>
          <w:tcPr>
            <w:tcW w:w="993" w:type="dxa"/>
            <w:vMerge/>
            <w:tcBorders>
              <w:bottom w:val="single" w:sz="4" w:space="0" w:color="A6A6A6" w:themeColor="background1" w:themeShade="A6"/>
            </w:tcBorders>
            <w:hideMark/>
          </w:tcPr>
          <w:p w14:paraId="300A6B37" w14:textId="77777777" w:rsidR="001B13EC" w:rsidRPr="00181EF3" w:rsidRDefault="001B13EC" w:rsidP="001B13EC">
            <w:pPr>
              <w:pStyle w:val="TableText"/>
            </w:pPr>
          </w:p>
        </w:tc>
        <w:tc>
          <w:tcPr>
            <w:tcW w:w="1842" w:type="dxa"/>
            <w:tcBorders>
              <w:top w:val="single" w:sz="4" w:space="0" w:color="A6A6A6" w:themeColor="background1" w:themeShade="A6"/>
              <w:bottom w:val="single" w:sz="4" w:space="0" w:color="7F7F7F" w:themeColor="text1" w:themeTint="80"/>
            </w:tcBorders>
            <w:noWrap/>
            <w:hideMark/>
          </w:tcPr>
          <w:p w14:paraId="1ABFE18B" w14:textId="77777777" w:rsidR="001B13EC" w:rsidRPr="00181EF3" w:rsidRDefault="001B13EC" w:rsidP="001B13EC">
            <w:pPr>
              <w:pStyle w:val="TableText"/>
            </w:pPr>
            <w:r w:rsidRPr="00181EF3">
              <w:t>Renal failure</w:t>
            </w:r>
          </w:p>
        </w:tc>
        <w:tc>
          <w:tcPr>
            <w:tcW w:w="1985" w:type="dxa"/>
            <w:tcBorders>
              <w:top w:val="single" w:sz="4" w:space="0" w:color="A6A6A6" w:themeColor="background1" w:themeShade="A6"/>
              <w:bottom w:val="single" w:sz="4" w:space="0" w:color="7F7F7F" w:themeColor="text1" w:themeTint="80"/>
            </w:tcBorders>
            <w:hideMark/>
          </w:tcPr>
          <w:p w14:paraId="4E3C4CB0" w14:textId="77777777" w:rsidR="001B13EC" w:rsidRPr="00181EF3" w:rsidRDefault="001B13EC" w:rsidP="001B13EC">
            <w:pPr>
              <w:pStyle w:val="TableText"/>
            </w:pPr>
            <w:r w:rsidRPr="00181EF3">
              <w:t>584–586</w:t>
            </w:r>
          </w:p>
        </w:tc>
        <w:tc>
          <w:tcPr>
            <w:tcW w:w="1984" w:type="dxa"/>
            <w:tcBorders>
              <w:top w:val="single" w:sz="4" w:space="0" w:color="A6A6A6" w:themeColor="background1" w:themeShade="A6"/>
              <w:bottom w:val="single" w:sz="4" w:space="0" w:color="7F7F7F" w:themeColor="text1" w:themeTint="80"/>
            </w:tcBorders>
            <w:hideMark/>
          </w:tcPr>
          <w:p w14:paraId="7A56E8CE" w14:textId="77777777" w:rsidR="001B13EC" w:rsidRPr="00181EF3" w:rsidRDefault="001B13EC" w:rsidP="001B13EC">
            <w:pPr>
              <w:pStyle w:val="TableText"/>
            </w:pPr>
            <w:r w:rsidRPr="00181EF3">
              <w:t>N17–N19</w:t>
            </w:r>
          </w:p>
        </w:tc>
        <w:tc>
          <w:tcPr>
            <w:tcW w:w="1276" w:type="dxa"/>
            <w:tcBorders>
              <w:top w:val="single" w:sz="4" w:space="0" w:color="A6A6A6" w:themeColor="background1" w:themeShade="A6"/>
              <w:bottom w:val="single" w:sz="4" w:space="0" w:color="7F7F7F" w:themeColor="text1" w:themeTint="80"/>
            </w:tcBorders>
            <w:noWrap/>
          </w:tcPr>
          <w:p w14:paraId="732E241D" w14:textId="77777777" w:rsidR="001B13EC" w:rsidRPr="00181EF3" w:rsidRDefault="001B13EC" w:rsidP="001B13EC">
            <w:pPr>
              <w:pStyle w:val="TableText"/>
            </w:pPr>
          </w:p>
        </w:tc>
      </w:tr>
      <w:tr w:rsidR="001B13EC" w:rsidRPr="00181EF3" w14:paraId="02C86236" w14:textId="77777777" w:rsidTr="001B13EC">
        <w:trPr>
          <w:cantSplit/>
        </w:trPr>
        <w:tc>
          <w:tcPr>
            <w:tcW w:w="993" w:type="dxa"/>
            <w:vMerge w:val="restart"/>
            <w:tcBorders>
              <w:top w:val="single" w:sz="4" w:space="0" w:color="A6A6A6" w:themeColor="background1" w:themeShade="A6"/>
              <w:bottom w:val="single" w:sz="4" w:space="0" w:color="A6A6A6" w:themeColor="background1" w:themeShade="A6"/>
            </w:tcBorders>
            <w:hideMark/>
          </w:tcPr>
          <w:p w14:paraId="5D9F7410" w14:textId="77777777" w:rsidR="001B13EC" w:rsidRPr="00181EF3" w:rsidRDefault="001B13EC" w:rsidP="001B13EC">
            <w:pPr>
              <w:pStyle w:val="TableText"/>
            </w:pPr>
            <w:r w:rsidRPr="00181EF3">
              <w:t>Injuries</w:t>
            </w:r>
          </w:p>
        </w:tc>
        <w:tc>
          <w:tcPr>
            <w:tcW w:w="1842" w:type="dxa"/>
            <w:tcBorders>
              <w:top w:val="single" w:sz="4" w:space="0" w:color="7F7F7F" w:themeColor="text1" w:themeTint="80"/>
              <w:bottom w:val="single" w:sz="4" w:space="0" w:color="A6A6A6" w:themeColor="background1" w:themeShade="A6"/>
            </w:tcBorders>
            <w:noWrap/>
            <w:hideMark/>
          </w:tcPr>
          <w:p w14:paraId="493476C2" w14:textId="77777777" w:rsidR="001B13EC" w:rsidRPr="00181EF3" w:rsidRDefault="001B13EC" w:rsidP="001B13EC">
            <w:pPr>
              <w:pStyle w:val="TableText"/>
            </w:pPr>
            <w:r w:rsidRPr="00181EF3">
              <w:t>Land transport accidents excluding trains</w:t>
            </w:r>
          </w:p>
        </w:tc>
        <w:tc>
          <w:tcPr>
            <w:tcW w:w="1985" w:type="dxa"/>
            <w:tcBorders>
              <w:top w:val="single" w:sz="4" w:space="0" w:color="7F7F7F" w:themeColor="text1" w:themeTint="80"/>
              <w:bottom w:val="single" w:sz="4" w:space="0" w:color="A6A6A6" w:themeColor="background1" w:themeShade="A6"/>
            </w:tcBorders>
            <w:hideMark/>
          </w:tcPr>
          <w:p w14:paraId="7CBCCE5C" w14:textId="77777777" w:rsidR="001B13EC" w:rsidRPr="00181EF3" w:rsidRDefault="001B13EC" w:rsidP="001B13EC">
            <w:pPr>
              <w:pStyle w:val="TableText"/>
            </w:pPr>
            <w:r w:rsidRPr="00181EF3">
              <w:t>E811–E829,</w:t>
            </w:r>
            <w:r w:rsidRPr="00181EF3">
              <w:br/>
              <w:t>E846–E848</w:t>
            </w:r>
          </w:p>
        </w:tc>
        <w:tc>
          <w:tcPr>
            <w:tcW w:w="1984" w:type="dxa"/>
            <w:tcBorders>
              <w:top w:val="single" w:sz="4" w:space="0" w:color="7F7F7F" w:themeColor="text1" w:themeTint="80"/>
              <w:bottom w:val="single" w:sz="4" w:space="0" w:color="A6A6A6" w:themeColor="background1" w:themeShade="A6"/>
            </w:tcBorders>
            <w:hideMark/>
          </w:tcPr>
          <w:p w14:paraId="7245901C" w14:textId="77777777" w:rsidR="001B13EC" w:rsidRPr="00181EF3" w:rsidRDefault="001B13EC" w:rsidP="001B13EC">
            <w:pPr>
              <w:pStyle w:val="TableText"/>
            </w:pPr>
            <w:r w:rsidRPr="00181EF3">
              <w:t>V01–V04, V06–V14, V16–V24, V26–V34, V36–V44, V46–V54, V56–V64, V66–V74, V76–V79, V80.0–V80.5, V80.7–V80.9, V82–V86, V87.0–V87.5,</w:t>
            </w:r>
            <w:r w:rsidRPr="00181EF3">
              <w:br/>
              <w:t>V87.7–V87.9,</w:t>
            </w:r>
            <w:r w:rsidRPr="00181EF3">
              <w:br/>
              <w:t>V88.0–V88.5,</w:t>
            </w:r>
            <w:r w:rsidRPr="00181EF3">
              <w:br/>
              <w:t>V88.7–V88.9, V89,</w:t>
            </w:r>
            <w:r w:rsidRPr="00181EF3">
              <w:br/>
              <w:t>V98–V99</w:t>
            </w:r>
          </w:p>
        </w:tc>
        <w:tc>
          <w:tcPr>
            <w:tcW w:w="1276" w:type="dxa"/>
            <w:tcBorders>
              <w:top w:val="single" w:sz="4" w:space="0" w:color="7F7F7F" w:themeColor="text1" w:themeTint="80"/>
              <w:bottom w:val="single" w:sz="4" w:space="0" w:color="A6A6A6" w:themeColor="background1" w:themeShade="A6"/>
            </w:tcBorders>
            <w:noWrap/>
            <w:hideMark/>
          </w:tcPr>
          <w:p w14:paraId="71B68991" w14:textId="77777777" w:rsidR="001B13EC" w:rsidRPr="00181EF3" w:rsidRDefault="001B13EC" w:rsidP="001B13EC">
            <w:pPr>
              <w:pStyle w:val="TableText"/>
            </w:pPr>
            <w:r w:rsidRPr="00181EF3">
              <w:t>Include V00 if using ICD</w:t>
            </w:r>
            <w:r w:rsidRPr="00181EF3">
              <w:noBreakHyphen/>
              <w:t>10</w:t>
            </w:r>
            <w:r w:rsidRPr="00181EF3">
              <w:noBreakHyphen/>
              <w:t>AM-VI</w:t>
            </w:r>
          </w:p>
        </w:tc>
      </w:tr>
      <w:tr w:rsidR="001B13EC" w:rsidRPr="00181EF3" w14:paraId="6E048935" w14:textId="77777777" w:rsidTr="001B13EC">
        <w:trPr>
          <w:cantSplit/>
        </w:trPr>
        <w:tc>
          <w:tcPr>
            <w:tcW w:w="993" w:type="dxa"/>
            <w:vMerge/>
            <w:tcBorders>
              <w:top w:val="single" w:sz="4" w:space="0" w:color="A6A6A6" w:themeColor="background1" w:themeShade="A6"/>
              <w:bottom w:val="single" w:sz="4" w:space="0" w:color="A6A6A6" w:themeColor="background1" w:themeShade="A6"/>
            </w:tcBorders>
            <w:hideMark/>
          </w:tcPr>
          <w:p w14:paraId="5C6C5FB2" w14:textId="77777777" w:rsidR="001B13EC" w:rsidRPr="00181EF3" w:rsidRDefault="001B13EC" w:rsidP="001B13EC">
            <w:pPr>
              <w:pStyle w:val="TableText"/>
            </w:pPr>
          </w:p>
        </w:tc>
        <w:tc>
          <w:tcPr>
            <w:tcW w:w="1842" w:type="dxa"/>
            <w:tcBorders>
              <w:top w:val="single" w:sz="4" w:space="0" w:color="A6A6A6" w:themeColor="background1" w:themeShade="A6"/>
              <w:bottom w:val="single" w:sz="4" w:space="0" w:color="A6A6A6" w:themeColor="background1" w:themeShade="A6"/>
            </w:tcBorders>
            <w:noWrap/>
            <w:hideMark/>
          </w:tcPr>
          <w:p w14:paraId="44A024B4" w14:textId="77777777" w:rsidR="001B13EC" w:rsidRPr="00181EF3" w:rsidRDefault="001B13EC" w:rsidP="001B13EC">
            <w:pPr>
              <w:pStyle w:val="TableText"/>
            </w:pPr>
            <w:r w:rsidRPr="00181EF3">
              <w:t>Accidental falls on same level</w:t>
            </w:r>
          </w:p>
        </w:tc>
        <w:tc>
          <w:tcPr>
            <w:tcW w:w="1985" w:type="dxa"/>
            <w:tcBorders>
              <w:top w:val="single" w:sz="4" w:space="0" w:color="A6A6A6" w:themeColor="background1" w:themeShade="A6"/>
              <w:bottom w:val="single" w:sz="4" w:space="0" w:color="A6A6A6" w:themeColor="background1" w:themeShade="A6"/>
            </w:tcBorders>
            <w:hideMark/>
          </w:tcPr>
          <w:p w14:paraId="4EACF398" w14:textId="77777777" w:rsidR="001B13EC" w:rsidRPr="00181EF3" w:rsidRDefault="001B13EC" w:rsidP="001B13EC">
            <w:pPr>
              <w:pStyle w:val="TableText"/>
            </w:pPr>
            <w:r w:rsidRPr="00181EF3">
              <w:t>E884.2, E884.4, E884.6, E884.7, E885–E886</w:t>
            </w:r>
          </w:p>
        </w:tc>
        <w:tc>
          <w:tcPr>
            <w:tcW w:w="1984" w:type="dxa"/>
            <w:tcBorders>
              <w:top w:val="single" w:sz="4" w:space="0" w:color="A6A6A6" w:themeColor="background1" w:themeShade="A6"/>
              <w:bottom w:val="single" w:sz="4" w:space="0" w:color="A6A6A6" w:themeColor="background1" w:themeShade="A6"/>
            </w:tcBorders>
            <w:hideMark/>
          </w:tcPr>
          <w:p w14:paraId="5C09DEC4" w14:textId="77777777" w:rsidR="001B13EC" w:rsidRPr="00181EF3" w:rsidRDefault="001B13EC" w:rsidP="001B13EC">
            <w:pPr>
              <w:pStyle w:val="TableText"/>
            </w:pPr>
            <w:r w:rsidRPr="00181EF3">
              <w:t>W00–W08, W18</w:t>
            </w:r>
          </w:p>
        </w:tc>
        <w:tc>
          <w:tcPr>
            <w:tcW w:w="1276" w:type="dxa"/>
            <w:tcBorders>
              <w:top w:val="single" w:sz="4" w:space="0" w:color="A6A6A6" w:themeColor="background1" w:themeShade="A6"/>
              <w:bottom w:val="single" w:sz="4" w:space="0" w:color="A6A6A6" w:themeColor="background1" w:themeShade="A6"/>
            </w:tcBorders>
            <w:noWrap/>
          </w:tcPr>
          <w:p w14:paraId="01B3E929" w14:textId="77777777" w:rsidR="001B13EC" w:rsidRPr="00181EF3" w:rsidRDefault="001B13EC" w:rsidP="001B13EC">
            <w:pPr>
              <w:pStyle w:val="TableText"/>
            </w:pPr>
          </w:p>
        </w:tc>
      </w:tr>
      <w:tr w:rsidR="001B13EC" w:rsidRPr="00181EF3" w14:paraId="335A005C" w14:textId="77777777" w:rsidTr="001B13EC">
        <w:trPr>
          <w:cantSplit/>
        </w:trPr>
        <w:tc>
          <w:tcPr>
            <w:tcW w:w="993" w:type="dxa"/>
            <w:vMerge/>
            <w:tcBorders>
              <w:top w:val="single" w:sz="4" w:space="0" w:color="A6A6A6" w:themeColor="background1" w:themeShade="A6"/>
              <w:bottom w:val="single" w:sz="4" w:space="0" w:color="A6A6A6" w:themeColor="background1" w:themeShade="A6"/>
            </w:tcBorders>
            <w:hideMark/>
          </w:tcPr>
          <w:p w14:paraId="3F10A2C1" w14:textId="77777777" w:rsidR="001B13EC" w:rsidRPr="00181EF3" w:rsidRDefault="001B13EC" w:rsidP="001B13EC">
            <w:pPr>
              <w:pStyle w:val="TableText"/>
            </w:pPr>
          </w:p>
        </w:tc>
        <w:tc>
          <w:tcPr>
            <w:tcW w:w="1842" w:type="dxa"/>
            <w:tcBorders>
              <w:top w:val="single" w:sz="4" w:space="0" w:color="A6A6A6" w:themeColor="background1" w:themeShade="A6"/>
              <w:bottom w:val="single" w:sz="4" w:space="0" w:color="A6A6A6" w:themeColor="background1" w:themeShade="A6"/>
            </w:tcBorders>
            <w:noWrap/>
            <w:hideMark/>
          </w:tcPr>
          <w:p w14:paraId="7C409143" w14:textId="77777777" w:rsidR="001B13EC" w:rsidRPr="00181EF3" w:rsidRDefault="001B13EC" w:rsidP="001B13EC">
            <w:pPr>
              <w:pStyle w:val="TableText"/>
            </w:pPr>
            <w:r w:rsidRPr="00181EF3">
              <w:t>Fire</w:t>
            </w:r>
          </w:p>
        </w:tc>
        <w:tc>
          <w:tcPr>
            <w:tcW w:w="1985" w:type="dxa"/>
            <w:tcBorders>
              <w:top w:val="single" w:sz="4" w:space="0" w:color="A6A6A6" w:themeColor="background1" w:themeShade="A6"/>
              <w:bottom w:val="single" w:sz="4" w:space="0" w:color="A6A6A6" w:themeColor="background1" w:themeShade="A6"/>
            </w:tcBorders>
            <w:hideMark/>
          </w:tcPr>
          <w:p w14:paraId="5411BEA9" w14:textId="77777777" w:rsidR="001B13EC" w:rsidRPr="00181EF3" w:rsidRDefault="001B13EC" w:rsidP="001B13EC">
            <w:pPr>
              <w:pStyle w:val="TableText"/>
            </w:pPr>
            <w:r w:rsidRPr="00181EF3">
              <w:t>E890–E899</w:t>
            </w:r>
          </w:p>
        </w:tc>
        <w:tc>
          <w:tcPr>
            <w:tcW w:w="1984" w:type="dxa"/>
            <w:tcBorders>
              <w:top w:val="single" w:sz="4" w:space="0" w:color="A6A6A6" w:themeColor="background1" w:themeShade="A6"/>
              <w:bottom w:val="single" w:sz="4" w:space="0" w:color="A6A6A6" w:themeColor="background1" w:themeShade="A6"/>
            </w:tcBorders>
            <w:hideMark/>
          </w:tcPr>
          <w:p w14:paraId="47CC3508" w14:textId="77777777" w:rsidR="001B13EC" w:rsidRPr="00181EF3" w:rsidRDefault="001B13EC" w:rsidP="001B13EC">
            <w:pPr>
              <w:pStyle w:val="TableText"/>
            </w:pPr>
            <w:r w:rsidRPr="00181EF3">
              <w:t>X00–X09</w:t>
            </w:r>
          </w:p>
        </w:tc>
        <w:tc>
          <w:tcPr>
            <w:tcW w:w="1276" w:type="dxa"/>
            <w:tcBorders>
              <w:top w:val="single" w:sz="4" w:space="0" w:color="A6A6A6" w:themeColor="background1" w:themeShade="A6"/>
              <w:bottom w:val="single" w:sz="4" w:space="0" w:color="A6A6A6" w:themeColor="background1" w:themeShade="A6"/>
            </w:tcBorders>
            <w:noWrap/>
          </w:tcPr>
          <w:p w14:paraId="001B535E" w14:textId="77777777" w:rsidR="001B13EC" w:rsidRPr="00181EF3" w:rsidRDefault="001B13EC" w:rsidP="001B13EC">
            <w:pPr>
              <w:pStyle w:val="TableText"/>
            </w:pPr>
          </w:p>
        </w:tc>
      </w:tr>
      <w:tr w:rsidR="001B13EC" w:rsidRPr="00181EF3" w14:paraId="35E4AF28" w14:textId="77777777" w:rsidTr="001B13EC">
        <w:trPr>
          <w:cantSplit/>
        </w:trPr>
        <w:tc>
          <w:tcPr>
            <w:tcW w:w="993" w:type="dxa"/>
            <w:vMerge/>
            <w:tcBorders>
              <w:top w:val="single" w:sz="4" w:space="0" w:color="A6A6A6" w:themeColor="background1" w:themeShade="A6"/>
              <w:bottom w:val="single" w:sz="4" w:space="0" w:color="A6A6A6" w:themeColor="background1" w:themeShade="A6"/>
            </w:tcBorders>
            <w:hideMark/>
          </w:tcPr>
          <w:p w14:paraId="1ECCA0A4" w14:textId="77777777" w:rsidR="001B13EC" w:rsidRPr="00181EF3" w:rsidRDefault="001B13EC" w:rsidP="001B13EC">
            <w:pPr>
              <w:pStyle w:val="TableText"/>
            </w:pPr>
          </w:p>
        </w:tc>
        <w:tc>
          <w:tcPr>
            <w:tcW w:w="1842" w:type="dxa"/>
            <w:tcBorders>
              <w:top w:val="single" w:sz="4" w:space="0" w:color="A6A6A6" w:themeColor="background1" w:themeShade="A6"/>
              <w:bottom w:val="single" w:sz="4" w:space="0" w:color="A6A6A6" w:themeColor="background1" w:themeShade="A6"/>
            </w:tcBorders>
            <w:noWrap/>
            <w:hideMark/>
          </w:tcPr>
          <w:p w14:paraId="2B3B85ED" w14:textId="77777777" w:rsidR="001B13EC" w:rsidRPr="00181EF3" w:rsidRDefault="001B13EC" w:rsidP="001B13EC">
            <w:pPr>
              <w:pStyle w:val="TableText"/>
            </w:pPr>
            <w:r w:rsidRPr="00181EF3">
              <w:t>Suicide</w:t>
            </w:r>
          </w:p>
        </w:tc>
        <w:tc>
          <w:tcPr>
            <w:tcW w:w="1985" w:type="dxa"/>
            <w:tcBorders>
              <w:top w:val="single" w:sz="4" w:space="0" w:color="A6A6A6" w:themeColor="background1" w:themeShade="A6"/>
              <w:bottom w:val="single" w:sz="4" w:space="0" w:color="A6A6A6" w:themeColor="background1" w:themeShade="A6"/>
            </w:tcBorders>
            <w:hideMark/>
          </w:tcPr>
          <w:p w14:paraId="258DA07A" w14:textId="77777777" w:rsidR="001B13EC" w:rsidRPr="00181EF3" w:rsidRDefault="001B13EC" w:rsidP="001B13EC">
            <w:pPr>
              <w:pStyle w:val="TableText"/>
            </w:pPr>
            <w:r w:rsidRPr="00181EF3">
              <w:t>E950–E958</w:t>
            </w:r>
          </w:p>
        </w:tc>
        <w:tc>
          <w:tcPr>
            <w:tcW w:w="1984" w:type="dxa"/>
            <w:tcBorders>
              <w:top w:val="single" w:sz="4" w:space="0" w:color="A6A6A6" w:themeColor="background1" w:themeShade="A6"/>
              <w:bottom w:val="single" w:sz="4" w:space="0" w:color="A6A6A6" w:themeColor="background1" w:themeShade="A6"/>
            </w:tcBorders>
            <w:hideMark/>
          </w:tcPr>
          <w:p w14:paraId="455237D2" w14:textId="77777777" w:rsidR="001B13EC" w:rsidRPr="00181EF3" w:rsidRDefault="001B13EC" w:rsidP="001B13EC">
            <w:pPr>
              <w:pStyle w:val="TableText"/>
            </w:pPr>
            <w:r w:rsidRPr="00181EF3">
              <w:t>X60–X84</w:t>
            </w:r>
          </w:p>
        </w:tc>
        <w:tc>
          <w:tcPr>
            <w:tcW w:w="1276" w:type="dxa"/>
            <w:tcBorders>
              <w:top w:val="single" w:sz="4" w:space="0" w:color="A6A6A6" w:themeColor="background1" w:themeShade="A6"/>
              <w:bottom w:val="single" w:sz="4" w:space="0" w:color="A6A6A6" w:themeColor="background1" w:themeShade="A6"/>
            </w:tcBorders>
            <w:noWrap/>
          </w:tcPr>
          <w:p w14:paraId="7E344269" w14:textId="77777777" w:rsidR="001B13EC" w:rsidRPr="00181EF3" w:rsidRDefault="001B13EC" w:rsidP="001B13EC">
            <w:pPr>
              <w:pStyle w:val="TableText"/>
            </w:pPr>
          </w:p>
        </w:tc>
      </w:tr>
    </w:tbl>
    <w:p w14:paraId="2120527F" w14:textId="77777777" w:rsidR="001B13EC" w:rsidRPr="00181EF3" w:rsidRDefault="001B13EC" w:rsidP="001B13EC"/>
    <w:p w14:paraId="7009981E" w14:textId="77777777" w:rsidR="001B13EC" w:rsidRPr="00181EF3" w:rsidRDefault="001B13EC" w:rsidP="001B13EC">
      <w:pPr>
        <w:pStyle w:val="Table"/>
      </w:pPr>
      <w:bookmarkStart w:id="574" w:name="_Toc258933388"/>
      <w:bookmarkStart w:id="575" w:name="_Toc258933951"/>
      <w:bookmarkStart w:id="576" w:name="_Toc282783012"/>
      <w:bookmarkStart w:id="577" w:name="_Toc426451533"/>
      <w:bookmarkStart w:id="578" w:name="_Toc427306821"/>
      <w:bookmarkStart w:id="579" w:name="_Toc18594796"/>
      <w:r w:rsidRPr="00181EF3">
        <w:lastRenderedPageBreak/>
        <w:t>Table A</w:t>
      </w:r>
      <w:r w:rsidR="00E24433">
        <w:t>2</w:t>
      </w:r>
      <w:r w:rsidRPr="00181EF3">
        <w:t>.3: Ambulatory-sensitive hospitalisation (ASH) codes</w:t>
      </w:r>
      <w:bookmarkEnd w:id="574"/>
      <w:bookmarkEnd w:id="575"/>
      <w:bookmarkEnd w:id="576"/>
      <w:bookmarkEnd w:id="577"/>
      <w:bookmarkEnd w:id="578"/>
      <w:bookmarkEnd w:id="579"/>
    </w:p>
    <w:tbl>
      <w:tblPr>
        <w:tblW w:w="4940" w:type="pct"/>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678"/>
        <w:gridCol w:w="982"/>
        <w:gridCol w:w="2792"/>
        <w:gridCol w:w="1041"/>
        <w:gridCol w:w="1489"/>
      </w:tblGrid>
      <w:tr w:rsidR="001B13EC" w:rsidRPr="00181EF3" w14:paraId="2787E240" w14:textId="77777777" w:rsidTr="001B13EC">
        <w:trPr>
          <w:cantSplit/>
          <w:tblHeader/>
        </w:trPr>
        <w:tc>
          <w:tcPr>
            <w:tcW w:w="1051" w:type="pct"/>
            <w:tcBorders>
              <w:top w:val="nil"/>
              <w:bottom w:val="nil"/>
            </w:tcBorders>
            <w:shd w:val="clear" w:color="auto" w:fill="D9D9D9" w:themeFill="background1" w:themeFillShade="D9"/>
            <w:noWrap/>
            <w:hideMark/>
          </w:tcPr>
          <w:p w14:paraId="3B1DA9C4" w14:textId="77777777" w:rsidR="001B13EC" w:rsidRPr="00181EF3" w:rsidRDefault="001B13EC" w:rsidP="001B13EC">
            <w:pPr>
              <w:pStyle w:val="TableText"/>
              <w:keepNext/>
              <w:rPr>
                <w:b/>
                <w:lang w:eastAsia="en-NZ"/>
              </w:rPr>
            </w:pPr>
            <w:r w:rsidRPr="00181EF3">
              <w:rPr>
                <w:b/>
                <w:lang w:eastAsia="en-NZ"/>
              </w:rPr>
              <w:t>ASH condition</w:t>
            </w:r>
          </w:p>
        </w:tc>
        <w:tc>
          <w:tcPr>
            <w:tcW w:w="615" w:type="pct"/>
            <w:tcBorders>
              <w:top w:val="nil"/>
              <w:bottom w:val="nil"/>
            </w:tcBorders>
            <w:shd w:val="clear" w:color="auto" w:fill="D9D9D9" w:themeFill="background1" w:themeFillShade="D9"/>
            <w:noWrap/>
            <w:hideMark/>
          </w:tcPr>
          <w:p w14:paraId="7C068935" w14:textId="77777777" w:rsidR="001B13EC" w:rsidRPr="00181EF3" w:rsidRDefault="001B13EC" w:rsidP="001B13EC">
            <w:pPr>
              <w:pStyle w:val="TableText"/>
              <w:keepNext/>
              <w:jc w:val="center"/>
              <w:rPr>
                <w:b/>
                <w:lang w:eastAsia="en-NZ"/>
              </w:rPr>
            </w:pPr>
            <w:r w:rsidRPr="00181EF3">
              <w:rPr>
                <w:b/>
                <w:lang w:eastAsia="en-NZ"/>
              </w:rPr>
              <w:t>Diagnosis code</w:t>
            </w:r>
          </w:p>
        </w:tc>
        <w:tc>
          <w:tcPr>
            <w:tcW w:w="1749" w:type="pct"/>
            <w:tcBorders>
              <w:top w:val="nil"/>
              <w:bottom w:val="nil"/>
            </w:tcBorders>
            <w:shd w:val="clear" w:color="auto" w:fill="D9D9D9" w:themeFill="background1" w:themeFillShade="D9"/>
            <w:noWrap/>
            <w:hideMark/>
          </w:tcPr>
          <w:p w14:paraId="21CAC19F" w14:textId="77777777" w:rsidR="001B13EC" w:rsidRPr="00181EF3" w:rsidRDefault="001B13EC" w:rsidP="001B13EC">
            <w:pPr>
              <w:pStyle w:val="TableText"/>
              <w:keepNext/>
              <w:rPr>
                <w:b/>
                <w:lang w:eastAsia="en-NZ"/>
              </w:rPr>
            </w:pPr>
            <w:r w:rsidRPr="00181EF3">
              <w:rPr>
                <w:b/>
                <w:lang w:eastAsia="en-NZ"/>
              </w:rPr>
              <w:t>Diagnosis description</w:t>
            </w:r>
          </w:p>
        </w:tc>
        <w:tc>
          <w:tcPr>
            <w:tcW w:w="652" w:type="pct"/>
            <w:tcBorders>
              <w:top w:val="nil"/>
              <w:bottom w:val="nil"/>
            </w:tcBorders>
            <w:shd w:val="clear" w:color="auto" w:fill="D9D9D9" w:themeFill="background1" w:themeFillShade="D9"/>
            <w:noWrap/>
            <w:hideMark/>
          </w:tcPr>
          <w:p w14:paraId="7A72C4E7" w14:textId="77777777" w:rsidR="001B13EC" w:rsidRPr="00181EF3" w:rsidRDefault="001B13EC" w:rsidP="001B13EC">
            <w:pPr>
              <w:pStyle w:val="TableText"/>
              <w:keepNext/>
              <w:jc w:val="center"/>
              <w:rPr>
                <w:b/>
                <w:lang w:eastAsia="en-NZ"/>
              </w:rPr>
            </w:pPr>
            <w:r w:rsidRPr="00181EF3">
              <w:rPr>
                <w:b/>
                <w:lang w:eastAsia="en-NZ"/>
              </w:rPr>
              <w:t>Applicable ages</w:t>
            </w:r>
          </w:p>
        </w:tc>
        <w:tc>
          <w:tcPr>
            <w:tcW w:w="933" w:type="pct"/>
            <w:tcBorders>
              <w:top w:val="nil"/>
              <w:bottom w:val="nil"/>
            </w:tcBorders>
            <w:shd w:val="clear" w:color="auto" w:fill="D9D9D9" w:themeFill="background1" w:themeFillShade="D9"/>
            <w:noWrap/>
            <w:hideMark/>
          </w:tcPr>
          <w:p w14:paraId="1FF8D173" w14:textId="77777777" w:rsidR="001B13EC" w:rsidRPr="00181EF3" w:rsidRDefault="001B13EC" w:rsidP="001B13EC">
            <w:pPr>
              <w:pStyle w:val="TableText"/>
              <w:keepNext/>
              <w:jc w:val="center"/>
              <w:rPr>
                <w:b/>
                <w:lang w:eastAsia="en-NZ"/>
              </w:rPr>
            </w:pPr>
            <w:r w:rsidRPr="00181EF3">
              <w:rPr>
                <w:b/>
                <w:lang w:eastAsia="en-NZ"/>
              </w:rPr>
              <w:t>Includes elective events</w:t>
            </w:r>
          </w:p>
        </w:tc>
      </w:tr>
      <w:tr w:rsidR="001B13EC" w:rsidRPr="00181EF3" w14:paraId="1B4D66F4" w14:textId="77777777" w:rsidTr="001B13EC">
        <w:trPr>
          <w:cantSplit/>
        </w:trPr>
        <w:tc>
          <w:tcPr>
            <w:tcW w:w="1051" w:type="pct"/>
            <w:tcBorders>
              <w:top w:val="nil"/>
              <w:bottom w:val="nil"/>
            </w:tcBorders>
            <w:shd w:val="clear" w:color="auto" w:fill="F2F2F2" w:themeFill="background1" w:themeFillShade="F2"/>
            <w:noWrap/>
          </w:tcPr>
          <w:p w14:paraId="22FF70F1" w14:textId="77777777" w:rsidR="001B13EC" w:rsidRPr="00181EF3" w:rsidRDefault="001B13EC" w:rsidP="001B13EC">
            <w:pPr>
              <w:pStyle w:val="TableText"/>
              <w:keepNext/>
              <w:rPr>
                <w:b/>
                <w:lang w:eastAsia="en-NZ"/>
              </w:rPr>
            </w:pPr>
            <w:r w:rsidRPr="00181EF3">
              <w:rPr>
                <w:b/>
                <w:lang w:eastAsia="en-NZ"/>
              </w:rPr>
              <w:t>Cardiovascular</w:t>
            </w:r>
          </w:p>
        </w:tc>
        <w:tc>
          <w:tcPr>
            <w:tcW w:w="615" w:type="pct"/>
            <w:tcBorders>
              <w:top w:val="nil"/>
              <w:bottom w:val="nil"/>
            </w:tcBorders>
            <w:shd w:val="clear" w:color="auto" w:fill="F2F2F2" w:themeFill="background1" w:themeFillShade="F2"/>
            <w:noWrap/>
          </w:tcPr>
          <w:p w14:paraId="3C9C902A" w14:textId="77777777" w:rsidR="001B13EC" w:rsidRPr="00181EF3" w:rsidRDefault="001B13EC" w:rsidP="001B13EC">
            <w:pPr>
              <w:pStyle w:val="TableText"/>
              <w:keepNext/>
              <w:jc w:val="center"/>
              <w:rPr>
                <w:lang w:eastAsia="en-NZ"/>
              </w:rPr>
            </w:pPr>
          </w:p>
        </w:tc>
        <w:tc>
          <w:tcPr>
            <w:tcW w:w="1749" w:type="pct"/>
            <w:tcBorders>
              <w:top w:val="nil"/>
              <w:bottom w:val="nil"/>
            </w:tcBorders>
            <w:shd w:val="clear" w:color="auto" w:fill="F2F2F2" w:themeFill="background1" w:themeFillShade="F2"/>
            <w:noWrap/>
          </w:tcPr>
          <w:p w14:paraId="5D536117" w14:textId="77777777" w:rsidR="001B13EC" w:rsidRPr="00181EF3" w:rsidRDefault="001B13EC" w:rsidP="001B13EC">
            <w:pPr>
              <w:pStyle w:val="TableText"/>
              <w:keepNext/>
              <w:rPr>
                <w:lang w:eastAsia="en-NZ"/>
              </w:rPr>
            </w:pPr>
          </w:p>
        </w:tc>
        <w:tc>
          <w:tcPr>
            <w:tcW w:w="652" w:type="pct"/>
            <w:tcBorders>
              <w:top w:val="nil"/>
              <w:bottom w:val="nil"/>
            </w:tcBorders>
            <w:shd w:val="clear" w:color="auto" w:fill="F2F2F2" w:themeFill="background1" w:themeFillShade="F2"/>
            <w:noWrap/>
          </w:tcPr>
          <w:p w14:paraId="62C09448" w14:textId="77777777" w:rsidR="001B13EC" w:rsidRPr="00181EF3" w:rsidRDefault="001B13EC" w:rsidP="001B13EC">
            <w:pPr>
              <w:pStyle w:val="TableText"/>
              <w:keepNext/>
              <w:jc w:val="center"/>
              <w:rPr>
                <w:lang w:eastAsia="en-NZ"/>
              </w:rPr>
            </w:pPr>
          </w:p>
        </w:tc>
        <w:tc>
          <w:tcPr>
            <w:tcW w:w="933" w:type="pct"/>
            <w:tcBorders>
              <w:top w:val="nil"/>
              <w:bottom w:val="nil"/>
            </w:tcBorders>
            <w:shd w:val="clear" w:color="auto" w:fill="F2F2F2" w:themeFill="background1" w:themeFillShade="F2"/>
            <w:noWrap/>
          </w:tcPr>
          <w:p w14:paraId="110581B3" w14:textId="77777777" w:rsidR="001B13EC" w:rsidRPr="00181EF3" w:rsidRDefault="001B13EC" w:rsidP="001B13EC">
            <w:pPr>
              <w:pStyle w:val="TableText"/>
              <w:keepNext/>
              <w:jc w:val="center"/>
              <w:rPr>
                <w:lang w:eastAsia="en-NZ"/>
              </w:rPr>
            </w:pPr>
          </w:p>
        </w:tc>
      </w:tr>
      <w:tr w:rsidR="001B13EC" w:rsidRPr="00181EF3" w14:paraId="2F89CA9A" w14:textId="77777777" w:rsidTr="001B13EC">
        <w:trPr>
          <w:cantSplit/>
        </w:trPr>
        <w:tc>
          <w:tcPr>
            <w:tcW w:w="1051" w:type="pct"/>
            <w:vMerge w:val="restart"/>
            <w:tcBorders>
              <w:top w:val="nil"/>
            </w:tcBorders>
            <w:shd w:val="clear" w:color="auto" w:fill="auto"/>
            <w:noWrap/>
            <w:hideMark/>
          </w:tcPr>
          <w:p w14:paraId="03735797" w14:textId="77777777" w:rsidR="001B13EC" w:rsidRPr="00181EF3" w:rsidRDefault="001B13EC" w:rsidP="000667F5">
            <w:pPr>
              <w:pStyle w:val="TableText"/>
              <w:keepNext/>
              <w:rPr>
                <w:lang w:eastAsia="en-NZ"/>
              </w:rPr>
            </w:pPr>
            <w:r w:rsidRPr="00181EF3">
              <w:rPr>
                <w:lang w:eastAsia="en-NZ"/>
              </w:rPr>
              <w:t>Angina and chest pain</w:t>
            </w:r>
          </w:p>
        </w:tc>
        <w:tc>
          <w:tcPr>
            <w:tcW w:w="615" w:type="pct"/>
            <w:tcBorders>
              <w:top w:val="nil"/>
            </w:tcBorders>
            <w:shd w:val="clear" w:color="auto" w:fill="auto"/>
            <w:noWrap/>
            <w:hideMark/>
          </w:tcPr>
          <w:p w14:paraId="7AF3F120" w14:textId="77777777" w:rsidR="001B13EC" w:rsidRPr="00181EF3" w:rsidRDefault="001B13EC" w:rsidP="000667F5">
            <w:pPr>
              <w:pStyle w:val="TableText"/>
              <w:keepNext/>
              <w:jc w:val="center"/>
              <w:rPr>
                <w:lang w:eastAsia="en-NZ"/>
              </w:rPr>
            </w:pPr>
            <w:r w:rsidRPr="00181EF3">
              <w:rPr>
                <w:lang w:eastAsia="en-NZ"/>
              </w:rPr>
              <w:t>R07</w:t>
            </w:r>
            <w:r>
              <w:rPr>
                <w:lang w:eastAsia="en-NZ"/>
              </w:rPr>
              <w:t>.</w:t>
            </w:r>
            <w:r w:rsidRPr="00181EF3">
              <w:rPr>
                <w:lang w:eastAsia="en-NZ"/>
              </w:rPr>
              <w:t>2</w:t>
            </w:r>
          </w:p>
        </w:tc>
        <w:tc>
          <w:tcPr>
            <w:tcW w:w="1749" w:type="pct"/>
            <w:tcBorders>
              <w:top w:val="nil"/>
            </w:tcBorders>
            <w:shd w:val="clear" w:color="auto" w:fill="auto"/>
            <w:noWrap/>
            <w:hideMark/>
          </w:tcPr>
          <w:p w14:paraId="7B765E72" w14:textId="77777777" w:rsidR="001B13EC" w:rsidRPr="00181EF3" w:rsidRDefault="001B13EC" w:rsidP="000667F5">
            <w:pPr>
              <w:pStyle w:val="TableText"/>
              <w:keepNext/>
              <w:rPr>
                <w:lang w:eastAsia="en-NZ"/>
              </w:rPr>
            </w:pPr>
            <w:r w:rsidRPr="00181EF3">
              <w:rPr>
                <w:lang w:eastAsia="en-NZ"/>
              </w:rPr>
              <w:t>Precordial pain</w:t>
            </w:r>
          </w:p>
        </w:tc>
        <w:tc>
          <w:tcPr>
            <w:tcW w:w="652" w:type="pct"/>
            <w:tcBorders>
              <w:top w:val="nil"/>
            </w:tcBorders>
            <w:shd w:val="clear" w:color="auto" w:fill="auto"/>
            <w:noWrap/>
            <w:hideMark/>
          </w:tcPr>
          <w:p w14:paraId="07122524" w14:textId="77777777" w:rsidR="001B13EC" w:rsidRPr="00181EF3" w:rsidRDefault="001B13EC" w:rsidP="000667F5">
            <w:pPr>
              <w:pStyle w:val="TableText"/>
              <w:keepNext/>
              <w:jc w:val="center"/>
              <w:rPr>
                <w:lang w:eastAsia="en-NZ"/>
              </w:rPr>
            </w:pPr>
            <w:r w:rsidRPr="00181EF3">
              <w:rPr>
                <w:lang w:eastAsia="en-NZ"/>
              </w:rPr>
              <w:t>15+</w:t>
            </w:r>
          </w:p>
        </w:tc>
        <w:tc>
          <w:tcPr>
            <w:tcW w:w="933" w:type="pct"/>
            <w:tcBorders>
              <w:top w:val="nil"/>
            </w:tcBorders>
            <w:shd w:val="clear" w:color="auto" w:fill="auto"/>
            <w:noWrap/>
            <w:hideMark/>
          </w:tcPr>
          <w:p w14:paraId="5E2794F1" w14:textId="77777777" w:rsidR="001B13EC" w:rsidRPr="00181EF3" w:rsidRDefault="001B13EC" w:rsidP="000667F5">
            <w:pPr>
              <w:pStyle w:val="TableText"/>
              <w:keepNext/>
              <w:jc w:val="center"/>
              <w:rPr>
                <w:lang w:eastAsia="en-NZ"/>
              </w:rPr>
            </w:pPr>
            <w:r w:rsidRPr="00181EF3">
              <w:rPr>
                <w:lang w:eastAsia="en-NZ"/>
              </w:rPr>
              <w:t>No</w:t>
            </w:r>
          </w:p>
        </w:tc>
      </w:tr>
      <w:tr w:rsidR="001B13EC" w:rsidRPr="00181EF3" w14:paraId="5CEFF45D" w14:textId="77777777" w:rsidTr="001B13EC">
        <w:trPr>
          <w:cantSplit/>
        </w:trPr>
        <w:tc>
          <w:tcPr>
            <w:tcW w:w="1051" w:type="pct"/>
            <w:vMerge/>
            <w:shd w:val="clear" w:color="auto" w:fill="auto"/>
            <w:noWrap/>
          </w:tcPr>
          <w:p w14:paraId="542E42BF" w14:textId="77777777" w:rsidR="001B13EC" w:rsidRPr="00181EF3" w:rsidRDefault="001B13EC" w:rsidP="000667F5">
            <w:pPr>
              <w:pStyle w:val="TableText"/>
              <w:keepNext/>
              <w:rPr>
                <w:lang w:eastAsia="en-NZ"/>
              </w:rPr>
            </w:pPr>
          </w:p>
        </w:tc>
        <w:tc>
          <w:tcPr>
            <w:tcW w:w="615" w:type="pct"/>
            <w:shd w:val="clear" w:color="auto" w:fill="auto"/>
            <w:noWrap/>
            <w:hideMark/>
          </w:tcPr>
          <w:p w14:paraId="0DC37A33" w14:textId="77777777" w:rsidR="001B13EC" w:rsidRPr="00181EF3" w:rsidRDefault="001B13EC" w:rsidP="000667F5">
            <w:pPr>
              <w:pStyle w:val="TableText"/>
              <w:keepNext/>
              <w:jc w:val="center"/>
              <w:rPr>
                <w:lang w:eastAsia="en-NZ"/>
              </w:rPr>
            </w:pPr>
            <w:r w:rsidRPr="00181EF3">
              <w:rPr>
                <w:lang w:eastAsia="en-NZ"/>
              </w:rPr>
              <w:t>R07</w:t>
            </w:r>
            <w:r>
              <w:rPr>
                <w:lang w:eastAsia="en-NZ"/>
              </w:rPr>
              <w:t>.</w:t>
            </w:r>
            <w:r w:rsidRPr="00181EF3">
              <w:rPr>
                <w:lang w:eastAsia="en-NZ"/>
              </w:rPr>
              <w:t>3</w:t>
            </w:r>
          </w:p>
        </w:tc>
        <w:tc>
          <w:tcPr>
            <w:tcW w:w="1749" w:type="pct"/>
            <w:shd w:val="clear" w:color="auto" w:fill="auto"/>
            <w:noWrap/>
            <w:hideMark/>
          </w:tcPr>
          <w:p w14:paraId="1F339DB8" w14:textId="77777777" w:rsidR="001B13EC" w:rsidRPr="00181EF3" w:rsidRDefault="001B13EC" w:rsidP="000667F5">
            <w:pPr>
              <w:pStyle w:val="TableText"/>
              <w:keepNext/>
              <w:rPr>
                <w:lang w:eastAsia="en-NZ"/>
              </w:rPr>
            </w:pPr>
            <w:r w:rsidRPr="00181EF3">
              <w:rPr>
                <w:lang w:eastAsia="en-NZ"/>
              </w:rPr>
              <w:t>Other chest pain</w:t>
            </w:r>
          </w:p>
        </w:tc>
        <w:tc>
          <w:tcPr>
            <w:tcW w:w="652" w:type="pct"/>
            <w:shd w:val="clear" w:color="auto" w:fill="auto"/>
            <w:noWrap/>
            <w:hideMark/>
          </w:tcPr>
          <w:p w14:paraId="1A364F3F" w14:textId="77777777" w:rsidR="001B13EC" w:rsidRPr="00181EF3" w:rsidRDefault="001B13EC" w:rsidP="000667F5">
            <w:pPr>
              <w:pStyle w:val="TableText"/>
              <w:keepNext/>
              <w:jc w:val="center"/>
              <w:rPr>
                <w:lang w:eastAsia="en-NZ"/>
              </w:rPr>
            </w:pPr>
            <w:r w:rsidRPr="00181EF3">
              <w:rPr>
                <w:lang w:eastAsia="en-NZ"/>
              </w:rPr>
              <w:t>15+</w:t>
            </w:r>
          </w:p>
        </w:tc>
        <w:tc>
          <w:tcPr>
            <w:tcW w:w="933" w:type="pct"/>
            <w:shd w:val="clear" w:color="auto" w:fill="auto"/>
            <w:noWrap/>
            <w:hideMark/>
          </w:tcPr>
          <w:p w14:paraId="308AEE97" w14:textId="77777777" w:rsidR="001B13EC" w:rsidRPr="00181EF3" w:rsidRDefault="001B13EC" w:rsidP="000667F5">
            <w:pPr>
              <w:pStyle w:val="TableText"/>
              <w:keepNext/>
              <w:jc w:val="center"/>
              <w:rPr>
                <w:lang w:eastAsia="en-NZ"/>
              </w:rPr>
            </w:pPr>
            <w:r w:rsidRPr="00181EF3">
              <w:rPr>
                <w:lang w:eastAsia="en-NZ"/>
              </w:rPr>
              <w:t>No</w:t>
            </w:r>
          </w:p>
        </w:tc>
      </w:tr>
      <w:tr w:rsidR="001B13EC" w:rsidRPr="00181EF3" w14:paraId="2CE3516C" w14:textId="77777777" w:rsidTr="001B13EC">
        <w:trPr>
          <w:cantSplit/>
        </w:trPr>
        <w:tc>
          <w:tcPr>
            <w:tcW w:w="1051" w:type="pct"/>
            <w:vMerge/>
            <w:shd w:val="clear" w:color="auto" w:fill="auto"/>
            <w:noWrap/>
          </w:tcPr>
          <w:p w14:paraId="7C7E87FF" w14:textId="77777777" w:rsidR="001B13EC" w:rsidRPr="00181EF3" w:rsidRDefault="001B13EC" w:rsidP="000667F5">
            <w:pPr>
              <w:pStyle w:val="TableText"/>
              <w:keepNext/>
              <w:rPr>
                <w:lang w:eastAsia="en-NZ"/>
              </w:rPr>
            </w:pPr>
          </w:p>
        </w:tc>
        <w:tc>
          <w:tcPr>
            <w:tcW w:w="615" w:type="pct"/>
            <w:shd w:val="clear" w:color="auto" w:fill="auto"/>
            <w:noWrap/>
            <w:hideMark/>
          </w:tcPr>
          <w:p w14:paraId="1D343747" w14:textId="77777777" w:rsidR="001B13EC" w:rsidRPr="00181EF3" w:rsidRDefault="001B13EC" w:rsidP="000667F5">
            <w:pPr>
              <w:pStyle w:val="TableText"/>
              <w:keepNext/>
              <w:jc w:val="center"/>
              <w:rPr>
                <w:lang w:eastAsia="en-NZ"/>
              </w:rPr>
            </w:pPr>
            <w:r w:rsidRPr="00181EF3">
              <w:rPr>
                <w:lang w:eastAsia="en-NZ"/>
              </w:rPr>
              <w:t>R07</w:t>
            </w:r>
            <w:r>
              <w:rPr>
                <w:lang w:eastAsia="en-NZ"/>
              </w:rPr>
              <w:t>.</w:t>
            </w:r>
            <w:r w:rsidRPr="00181EF3">
              <w:rPr>
                <w:lang w:eastAsia="en-NZ"/>
              </w:rPr>
              <w:t>4</w:t>
            </w:r>
          </w:p>
        </w:tc>
        <w:tc>
          <w:tcPr>
            <w:tcW w:w="1749" w:type="pct"/>
            <w:shd w:val="clear" w:color="auto" w:fill="auto"/>
            <w:noWrap/>
            <w:hideMark/>
          </w:tcPr>
          <w:p w14:paraId="77395929" w14:textId="77777777" w:rsidR="001B13EC" w:rsidRPr="00181EF3" w:rsidRDefault="001B13EC" w:rsidP="000667F5">
            <w:pPr>
              <w:pStyle w:val="TableText"/>
              <w:keepNext/>
              <w:rPr>
                <w:lang w:eastAsia="en-NZ"/>
              </w:rPr>
            </w:pPr>
            <w:r w:rsidRPr="00181EF3">
              <w:rPr>
                <w:lang w:eastAsia="en-NZ"/>
              </w:rPr>
              <w:t>Chest pain, unspecified</w:t>
            </w:r>
          </w:p>
        </w:tc>
        <w:tc>
          <w:tcPr>
            <w:tcW w:w="652" w:type="pct"/>
            <w:shd w:val="clear" w:color="auto" w:fill="auto"/>
            <w:noWrap/>
            <w:hideMark/>
          </w:tcPr>
          <w:p w14:paraId="6E1E66D6" w14:textId="77777777" w:rsidR="001B13EC" w:rsidRPr="00181EF3" w:rsidRDefault="001B13EC" w:rsidP="000667F5">
            <w:pPr>
              <w:pStyle w:val="TableText"/>
              <w:keepNext/>
              <w:jc w:val="center"/>
              <w:rPr>
                <w:lang w:eastAsia="en-NZ"/>
              </w:rPr>
            </w:pPr>
            <w:r w:rsidRPr="00181EF3">
              <w:rPr>
                <w:lang w:eastAsia="en-NZ"/>
              </w:rPr>
              <w:t>15+</w:t>
            </w:r>
          </w:p>
        </w:tc>
        <w:tc>
          <w:tcPr>
            <w:tcW w:w="933" w:type="pct"/>
            <w:shd w:val="clear" w:color="auto" w:fill="auto"/>
            <w:noWrap/>
            <w:hideMark/>
          </w:tcPr>
          <w:p w14:paraId="1F5C2425" w14:textId="77777777" w:rsidR="001B13EC" w:rsidRPr="00181EF3" w:rsidRDefault="001B13EC" w:rsidP="000667F5">
            <w:pPr>
              <w:pStyle w:val="TableText"/>
              <w:keepNext/>
              <w:jc w:val="center"/>
              <w:rPr>
                <w:lang w:eastAsia="en-NZ"/>
              </w:rPr>
            </w:pPr>
            <w:r w:rsidRPr="00181EF3">
              <w:rPr>
                <w:lang w:eastAsia="en-NZ"/>
              </w:rPr>
              <w:t>No</w:t>
            </w:r>
          </w:p>
        </w:tc>
      </w:tr>
      <w:tr w:rsidR="001B13EC" w:rsidRPr="00181EF3" w14:paraId="7BDD0E1A" w14:textId="77777777" w:rsidTr="001B13EC">
        <w:trPr>
          <w:cantSplit/>
        </w:trPr>
        <w:tc>
          <w:tcPr>
            <w:tcW w:w="1051" w:type="pct"/>
            <w:vMerge/>
            <w:shd w:val="clear" w:color="auto" w:fill="auto"/>
            <w:noWrap/>
          </w:tcPr>
          <w:p w14:paraId="27B755A2" w14:textId="77777777" w:rsidR="001B13EC" w:rsidRPr="00181EF3" w:rsidRDefault="001B13EC" w:rsidP="000667F5">
            <w:pPr>
              <w:pStyle w:val="TableText"/>
              <w:keepNext/>
              <w:rPr>
                <w:lang w:eastAsia="en-NZ"/>
              </w:rPr>
            </w:pPr>
          </w:p>
        </w:tc>
        <w:tc>
          <w:tcPr>
            <w:tcW w:w="615" w:type="pct"/>
            <w:shd w:val="clear" w:color="auto" w:fill="auto"/>
            <w:noWrap/>
            <w:hideMark/>
          </w:tcPr>
          <w:p w14:paraId="3F5CE093" w14:textId="77777777" w:rsidR="001B13EC" w:rsidRPr="00181EF3" w:rsidRDefault="001B13EC" w:rsidP="000667F5">
            <w:pPr>
              <w:pStyle w:val="TableText"/>
              <w:keepNext/>
              <w:jc w:val="center"/>
              <w:rPr>
                <w:lang w:eastAsia="en-NZ"/>
              </w:rPr>
            </w:pPr>
            <w:r w:rsidRPr="00181EF3">
              <w:rPr>
                <w:lang w:eastAsia="en-NZ"/>
              </w:rPr>
              <w:t>I20</w:t>
            </w:r>
          </w:p>
        </w:tc>
        <w:tc>
          <w:tcPr>
            <w:tcW w:w="1749" w:type="pct"/>
            <w:shd w:val="clear" w:color="auto" w:fill="auto"/>
            <w:noWrap/>
            <w:hideMark/>
          </w:tcPr>
          <w:p w14:paraId="69202E22" w14:textId="77777777" w:rsidR="001B13EC" w:rsidRPr="00181EF3" w:rsidRDefault="001B13EC" w:rsidP="000667F5">
            <w:pPr>
              <w:pStyle w:val="TableText"/>
              <w:keepNext/>
              <w:rPr>
                <w:lang w:eastAsia="en-NZ"/>
              </w:rPr>
            </w:pPr>
            <w:r w:rsidRPr="00181EF3">
              <w:rPr>
                <w:lang w:eastAsia="en-NZ"/>
              </w:rPr>
              <w:t>Angina pectoris</w:t>
            </w:r>
          </w:p>
        </w:tc>
        <w:tc>
          <w:tcPr>
            <w:tcW w:w="652" w:type="pct"/>
            <w:shd w:val="clear" w:color="auto" w:fill="auto"/>
            <w:noWrap/>
            <w:hideMark/>
          </w:tcPr>
          <w:p w14:paraId="1296BA2D" w14:textId="77777777" w:rsidR="001B13EC" w:rsidRPr="00181EF3" w:rsidRDefault="001B13EC" w:rsidP="000667F5">
            <w:pPr>
              <w:pStyle w:val="TableText"/>
              <w:keepNext/>
              <w:jc w:val="center"/>
              <w:rPr>
                <w:lang w:eastAsia="en-NZ"/>
              </w:rPr>
            </w:pPr>
            <w:r w:rsidRPr="00181EF3">
              <w:rPr>
                <w:lang w:eastAsia="en-NZ"/>
              </w:rPr>
              <w:t>15+</w:t>
            </w:r>
          </w:p>
        </w:tc>
        <w:tc>
          <w:tcPr>
            <w:tcW w:w="933" w:type="pct"/>
            <w:shd w:val="clear" w:color="auto" w:fill="auto"/>
            <w:noWrap/>
            <w:hideMark/>
          </w:tcPr>
          <w:p w14:paraId="3B71126F" w14:textId="77777777" w:rsidR="001B13EC" w:rsidRPr="00181EF3" w:rsidRDefault="001B13EC" w:rsidP="000667F5">
            <w:pPr>
              <w:pStyle w:val="TableText"/>
              <w:keepNext/>
              <w:jc w:val="center"/>
              <w:rPr>
                <w:lang w:eastAsia="en-NZ"/>
              </w:rPr>
            </w:pPr>
            <w:r w:rsidRPr="00181EF3">
              <w:rPr>
                <w:lang w:eastAsia="en-NZ"/>
              </w:rPr>
              <w:t>No</w:t>
            </w:r>
          </w:p>
        </w:tc>
      </w:tr>
      <w:tr w:rsidR="001B13EC" w:rsidRPr="00181EF3" w14:paraId="7BD452B7" w14:textId="77777777" w:rsidTr="001B13EC">
        <w:trPr>
          <w:cantSplit/>
        </w:trPr>
        <w:tc>
          <w:tcPr>
            <w:tcW w:w="1051" w:type="pct"/>
            <w:vMerge w:val="restart"/>
            <w:shd w:val="clear" w:color="auto" w:fill="auto"/>
            <w:noWrap/>
            <w:hideMark/>
          </w:tcPr>
          <w:p w14:paraId="6A72FD38" w14:textId="77777777" w:rsidR="001B13EC" w:rsidRPr="00181EF3" w:rsidRDefault="001B13EC" w:rsidP="001B13EC">
            <w:pPr>
              <w:pStyle w:val="TableText"/>
              <w:rPr>
                <w:lang w:eastAsia="en-NZ"/>
              </w:rPr>
            </w:pPr>
            <w:r w:rsidRPr="00181EF3">
              <w:rPr>
                <w:lang w:eastAsia="en-NZ"/>
              </w:rPr>
              <w:t>Congestive heart failure</w:t>
            </w:r>
          </w:p>
        </w:tc>
        <w:tc>
          <w:tcPr>
            <w:tcW w:w="615" w:type="pct"/>
            <w:shd w:val="clear" w:color="auto" w:fill="auto"/>
            <w:noWrap/>
            <w:hideMark/>
          </w:tcPr>
          <w:p w14:paraId="58693E42" w14:textId="77777777" w:rsidR="001B13EC" w:rsidRPr="00181EF3" w:rsidRDefault="001B13EC" w:rsidP="001B13EC">
            <w:pPr>
              <w:pStyle w:val="TableText"/>
              <w:jc w:val="center"/>
              <w:rPr>
                <w:lang w:eastAsia="en-NZ"/>
              </w:rPr>
            </w:pPr>
            <w:r w:rsidRPr="00181EF3">
              <w:rPr>
                <w:lang w:eastAsia="en-NZ"/>
              </w:rPr>
              <w:t>I50</w:t>
            </w:r>
          </w:p>
        </w:tc>
        <w:tc>
          <w:tcPr>
            <w:tcW w:w="1749" w:type="pct"/>
            <w:shd w:val="clear" w:color="auto" w:fill="auto"/>
            <w:noWrap/>
            <w:hideMark/>
          </w:tcPr>
          <w:p w14:paraId="58865FEA" w14:textId="77777777" w:rsidR="001B13EC" w:rsidRPr="00181EF3" w:rsidRDefault="001B13EC" w:rsidP="001B13EC">
            <w:pPr>
              <w:pStyle w:val="TableText"/>
              <w:rPr>
                <w:lang w:eastAsia="en-NZ"/>
              </w:rPr>
            </w:pPr>
            <w:r w:rsidRPr="00181EF3">
              <w:rPr>
                <w:lang w:eastAsia="en-NZ"/>
              </w:rPr>
              <w:t>Heart failure</w:t>
            </w:r>
          </w:p>
        </w:tc>
        <w:tc>
          <w:tcPr>
            <w:tcW w:w="652" w:type="pct"/>
            <w:shd w:val="clear" w:color="auto" w:fill="auto"/>
            <w:noWrap/>
            <w:hideMark/>
          </w:tcPr>
          <w:p w14:paraId="361A6A1A" w14:textId="77777777" w:rsidR="001B13EC" w:rsidRPr="00181EF3" w:rsidRDefault="001B13EC" w:rsidP="001B13EC">
            <w:pPr>
              <w:pStyle w:val="TableText"/>
              <w:jc w:val="center"/>
              <w:rPr>
                <w:lang w:eastAsia="en-NZ"/>
              </w:rPr>
            </w:pPr>
            <w:r w:rsidRPr="00181EF3">
              <w:rPr>
                <w:lang w:eastAsia="en-NZ"/>
              </w:rPr>
              <w:t>15+</w:t>
            </w:r>
          </w:p>
        </w:tc>
        <w:tc>
          <w:tcPr>
            <w:tcW w:w="933" w:type="pct"/>
            <w:shd w:val="clear" w:color="auto" w:fill="auto"/>
            <w:noWrap/>
            <w:hideMark/>
          </w:tcPr>
          <w:p w14:paraId="2E6535F9"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03E99E9E" w14:textId="77777777" w:rsidTr="001B13EC">
        <w:trPr>
          <w:cantSplit/>
        </w:trPr>
        <w:tc>
          <w:tcPr>
            <w:tcW w:w="1051" w:type="pct"/>
            <w:vMerge/>
            <w:shd w:val="clear" w:color="auto" w:fill="auto"/>
            <w:noWrap/>
          </w:tcPr>
          <w:p w14:paraId="1B763EB4" w14:textId="77777777" w:rsidR="001B13EC" w:rsidRPr="00181EF3" w:rsidRDefault="001B13EC" w:rsidP="001B13EC">
            <w:pPr>
              <w:pStyle w:val="TableText"/>
              <w:rPr>
                <w:lang w:eastAsia="en-NZ"/>
              </w:rPr>
            </w:pPr>
          </w:p>
        </w:tc>
        <w:tc>
          <w:tcPr>
            <w:tcW w:w="615" w:type="pct"/>
            <w:shd w:val="clear" w:color="auto" w:fill="auto"/>
            <w:hideMark/>
          </w:tcPr>
          <w:p w14:paraId="22503B8F" w14:textId="77777777" w:rsidR="001B13EC" w:rsidRPr="00181EF3" w:rsidRDefault="001B13EC" w:rsidP="001B13EC">
            <w:pPr>
              <w:pStyle w:val="TableText"/>
              <w:jc w:val="center"/>
              <w:rPr>
                <w:lang w:eastAsia="en-NZ"/>
              </w:rPr>
            </w:pPr>
            <w:r w:rsidRPr="00181EF3">
              <w:rPr>
                <w:lang w:eastAsia="en-NZ"/>
              </w:rPr>
              <w:t>J81</w:t>
            </w:r>
          </w:p>
        </w:tc>
        <w:tc>
          <w:tcPr>
            <w:tcW w:w="1749" w:type="pct"/>
            <w:shd w:val="clear" w:color="auto" w:fill="auto"/>
            <w:noWrap/>
            <w:hideMark/>
          </w:tcPr>
          <w:p w14:paraId="7B09B151" w14:textId="77777777" w:rsidR="001B13EC" w:rsidRPr="00181EF3" w:rsidRDefault="001B13EC" w:rsidP="001B13EC">
            <w:pPr>
              <w:pStyle w:val="TableText"/>
              <w:rPr>
                <w:lang w:eastAsia="en-NZ"/>
              </w:rPr>
            </w:pPr>
            <w:r w:rsidRPr="00181EF3">
              <w:rPr>
                <w:lang w:eastAsia="en-NZ"/>
              </w:rPr>
              <w:t>Pulmonary oedema</w:t>
            </w:r>
          </w:p>
        </w:tc>
        <w:tc>
          <w:tcPr>
            <w:tcW w:w="652" w:type="pct"/>
            <w:shd w:val="clear" w:color="auto" w:fill="auto"/>
            <w:noWrap/>
            <w:hideMark/>
          </w:tcPr>
          <w:p w14:paraId="3DE45E7F" w14:textId="77777777" w:rsidR="001B13EC" w:rsidRPr="00181EF3" w:rsidRDefault="001B13EC" w:rsidP="001B13EC">
            <w:pPr>
              <w:pStyle w:val="TableText"/>
              <w:jc w:val="center"/>
              <w:rPr>
                <w:lang w:eastAsia="en-NZ"/>
              </w:rPr>
            </w:pPr>
            <w:r w:rsidRPr="00181EF3">
              <w:rPr>
                <w:lang w:eastAsia="en-NZ"/>
              </w:rPr>
              <w:t>15+</w:t>
            </w:r>
          </w:p>
        </w:tc>
        <w:tc>
          <w:tcPr>
            <w:tcW w:w="933" w:type="pct"/>
            <w:shd w:val="clear" w:color="auto" w:fill="auto"/>
            <w:noWrap/>
            <w:hideMark/>
          </w:tcPr>
          <w:p w14:paraId="7D0A0187"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03F4E388" w14:textId="77777777" w:rsidTr="001B13EC">
        <w:trPr>
          <w:cantSplit/>
        </w:trPr>
        <w:tc>
          <w:tcPr>
            <w:tcW w:w="1051" w:type="pct"/>
            <w:vMerge w:val="restart"/>
            <w:shd w:val="clear" w:color="auto" w:fill="auto"/>
            <w:noWrap/>
            <w:hideMark/>
          </w:tcPr>
          <w:p w14:paraId="3476CF91" w14:textId="77777777" w:rsidR="001B13EC" w:rsidRPr="00181EF3" w:rsidRDefault="001B13EC" w:rsidP="001B13EC">
            <w:pPr>
              <w:pStyle w:val="TableText"/>
              <w:rPr>
                <w:lang w:eastAsia="en-NZ"/>
              </w:rPr>
            </w:pPr>
            <w:r w:rsidRPr="00181EF3">
              <w:rPr>
                <w:lang w:eastAsia="en-NZ"/>
              </w:rPr>
              <w:t>Hypertensive disease</w:t>
            </w:r>
          </w:p>
        </w:tc>
        <w:tc>
          <w:tcPr>
            <w:tcW w:w="615" w:type="pct"/>
            <w:shd w:val="clear" w:color="auto" w:fill="auto"/>
            <w:hideMark/>
          </w:tcPr>
          <w:p w14:paraId="4D05C20B" w14:textId="77777777" w:rsidR="001B13EC" w:rsidRPr="00181EF3" w:rsidRDefault="001B13EC" w:rsidP="001B13EC">
            <w:pPr>
              <w:pStyle w:val="TableText"/>
              <w:jc w:val="center"/>
              <w:rPr>
                <w:lang w:eastAsia="en-NZ"/>
              </w:rPr>
            </w:pPr>
            <w:r w:rsidRPr="00181EF3">
              <w:rPr>
                <w:lang w:eastAsia="en-NZ"/>
              </w:rPr>
              <w:t>I10</w:t>
            </w:r>
          </w:p>
        </w:tc>
        <w:tc>
          <w:tcPr>
            <w:tcW w:w="1749" w:type="pct"/>
            <w:shd w:val="clear" w:color="auto" w:fill="auto"/>
            <w:noWrap/>
            <w:hideMark/>
          </w:tcPr>
          <w:p w14:paraId="70F20E10" w14:textId="77777777" w:rsidR="001B13EC" w:rsidRPr="00181EF3" w:rsidRDefault="001B13EC" w:rsidP="001B13EC">
            <w:pPr>
              <w:pStyle w:val="TableText"/>
              <w:rPr>
                <w:lang w:eastAsia="en-NZ"/>
              </w:rPr>
            </w:pPr>
            <w:r w:rsidRPr="00181EF3">
              <w:rPr>
                <w:lang w:eastAsia="en-NZ"/>
              </w:rPr>
              <w:t>Essential (primary) hypertension</w:t>
            </w:r>
          </w:p>
        </w:tc>
        <w:tc>
          <w:tcPr>
            <w:tcW w:w="652" w:type="pct"/>
            <w:shd w:val="clear" w:color="auto" w:fill="auto"/>
            <w:noWrap/>
            <w:hideMark/>
          </w:tcPr>
          <w:p w14:paraId="11127580" w14:textId="77777777" w:rsidR="001B13EC" w:rsidRPr="00181EF3" w:rsidRDefault="001B13EC" w:rsidP="001B13EC">
            <w:pPr>
              <w:pStyle w:val="TableText"/>
              <w:jc w:val="center"/>
              <w:rPr>
                <w:lang w:eastAsia="en-NZ"/>
              </w:rPr>
            </w:pPr>
            <w:r w:rsidRPr="00181EF3">
              <w:rPr>
                <w:lang w:eastAsia="en-NZ"/>
              </w:rPr>
              <w:t>15+</w:t>
            </w:r>
          </w:p>
        </w:tc>
        <w:tc>
          <w:tcPr>
            <w:tcW w:w="933" w:type="pct"/>
            <w:shd w:val="clear" w:color="auto" w:fill="auto"/>
            <w:noWrap/>
            <w:hideMark/>
          </w:tcPr>
          <w:p w14:paraId="0C326261"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1525CA46" w14:textId="77777777" w:rsidTr="001B13EC">
        <w:trPr>
          <w:cantSplit/>
        </w:trPr>
        <w:tc>
          <w:tcPr>
            <w:tcW w:w="1051" w:type="pct"/>
            <w:vMerge/>
            <w:shd w:val="clear" w:color="auto" w:fill="auto"/>
            <w:noWrap/>
          </w:tcPr>
          <w:p w14:paraId="64C98609" w14:textId="77777777" w:rsidR="001B13EC" w:rsidRPr="00181EF3" w:rsidRDefault="001B13EC" w:rsidP="001B13EC">
            <w:pPr>
              <w:pStyle w:val="TableText"/>
              <w:rPr>
                <w:lang w:eastAsia="en-NZ"/>
              </w:rPr>
            </w:pPr>
          </w:p>
        </w:tc>
        <w:tc>
          <w:tcPr>
            <w:tcW w:w="615" w:type="pct"/>
            <w:shd w:val="clear" w:color="auto" w:fill="auto"/>
            <w:hideMark/>
          </w:tcPr>
          <w:p w14:paraId="2227F8DD" w14:textId="77777777" w:rsidR="001B13EC" w:rsidRPr="00181EF3" w:rsidRDefault="001B13EC" w:rsidP="001B13EC">
            <w:pPr>
              <w:pStyle w:val="TableText"/>
              <w:jc w:val="center"/>
              <w:rPr>
                <w:lang w:eastAsia="en-NZ"/>
              </w:rPr>
            </w:pPr>
            <w:r w:rsidRPr="00181EF3">
              <w:rPr>
                <w:lang w:eastAsia="en-NZ"/>
              </w:rPr>
              <w:t>I11</w:t>
            </w:r>
          </w:p>
        </w:tc>
        <w:tc>
          <w:tcPr>
            <w:tcW w:w="1749" w:type="pct"/>
            <w:shd w:val="clear" w:color="auto" w:fill="auto"/>
            <w:noWrap/>
            <w:hideMark/>
          </w:tcPr>
          <w:p w14:paraId="7282F7D8" w14:textId="77777777" w:rsidR="001B13EC" w:rsidRPr="00181EF3" w:rsidRDefault="001B13EC" w:rsidP="001B13EC">
            <w:pPr>
              <w:pStyle w:val="TableText"/>
              <w:rPr>
                <w:lang w:eastAsia="en-NZ"/>
              </w:rPr>
            </w:pPr>
            <w:r w:rsidRPr="00181EF3">
              <w:rPr>
                <w:lang w:eastAsia="en-NZ"/>
              </w:rPr>
              <w:t>Hypertensive heart disease</w:t>
            </w:r>
          </w:p>
        </w:tc>
        <w:tc>
          <w:tcPr>
            <w:tcW w:w="652" w:type="pct"/>
            <w:shd w:val="clear" w:color="auto" w:fill="auto"/>
            <w:noWrap/>
            <w:hideMark/>
          </w:tcPr>
          <w:p w14:paraId="256B1733" w14:textId="77777777" w:rsidR="001B13EC" w:rsidRPr="00181EF3" w:rsidRDefault="001B13EC" w:rsidP="001B13EC">
            <w:pPr>
              <w:pStyle w:val="TableText"/>
              <w:jc w:val="center"/>
              <w:rPr>
                <w:lang w:eastAsia="en-NZ"/>
              </w:rPr>
            </w:pPr>
            <w:r w:rsidRPr="00181EF3">
              <w:rPr>
                <w:lang w:eastAsia="en-NZ"/>
              </w:rPr>
              <w:t>15+</w:t>
            </w:r>
          </w:p>
        </w:tc>
        <w:tc>
          <w:tcPr>
            <w:tcW w:w="933" w:type="pct"/>
            <w:shd w:val="clear" w:color="auto" w:fill="auto"/>
            <w:noWrap/>
            <w:hideMark/>
          </w:tcPr>
          <w:p w14:paraId="1865D194"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070683EF" w14:textId="77777777" w:rsidTr="001B13EC">
        <w:trPr>
          <w:cantSplit/>
        </w:trPr>
        <w:tc>
          <w:tcPr>
            <w:tcW w:w="1051" w:type="pct"/>
            <w:vMerge/>
            <w:shd w:val="clear" w:color="auto" w:fill="auto"/>
            <w:noWrap/>
          </w:tcPr>
          <w:p w14:paraId="65CD990C" w14:textId="77777777" w:rsidR="001B13EC" w:rsidRPr="00181EF3" w:rsidRDefault="001B13EC" w:rsidP="001B13EC">
            <w:pPr>
              <w:pStyle w:val="TableText"/>
              <w:rPr>
                <w:lang w:eastAsia="en-NZ"/>
              </w:rPr>
            </w:pPr>
          </w:p>
        </w:tc>
        <w:tc>
          <w:tcPr>
            <w:tcW w:w="615" w:type="pct"/>
            <w:shd w:val="clear" w:color="auto" w:fill="auto"/>
            <w:hideMark/>
          </w:tcPr>
          <w:p w14:paraId="1B75555A" w14:textId="77777777" w:rsidR="001B13EC" w:rsidRPr="00181EF3" w:rsidRDefault="001B13EC" w:rsidP="001B13EC">
            <w:pPr>
              <w:pStyle w:val="TableText"/>
              <w:jc w:val="center"/>
              <w:rPr>
                <w:lang w:eastAsia="en-NZ"/>
              </w:rPr>
            </w:pPr>
            <w:r w:rsidRPr="00181EF3">
              <w:rPr>
                <w:lang w:eastAsia="en-NZ"/>
              </w:rPr>
              <w:t>I12</w:t>
            </w:r>
          </w:p>
        </w:tc>
        <w:tc>
          <w:tcPr>
            <w:tcW w:w="1749" w:type="pct"/>
            <w:shd w:val="clear" w:color="auto" w:fill="auto"/>
            <w:noWrap/>
            <w:hideMark/>
          </w:tcPr>
          <w:p w14:paraId="7F581810" w14:textId="77777777" w:rsidR="001B13EC" w:rsidRPr="00181EF3" w:rsidRDefault="001B13EC" w:rsidP="001B13EC">
            <w:pPr>
              <w:pStyle w:val="TableText"/>
              <w:rPr>
                <w:lang w:eastAsia="en-NZ"/>
              </w:rPr>
            </w:pPr>
            <w:r w:rsidRPr="00181EF3">
              <w:rPr>
                <w:lang w:eastAsia="en-NZ"/>
              </w:rPr>
              <w:t>Hypertensive kidney disease</w:t>
            </w:r>
          </w:p>
        </w:tc>
        <w:tc>
          <w:tcPr>
            <w:tcW w:w="652" w:type="pct"/>
            <w:shd w:val="clear" w:color="auto" w:fill="auto"/>
            <w:noWrap/>
            <w:hideMark/>
          </w:tcPr>
          <w:p w14:paraId="71A00AC1" w14:textId="77777777" w:rsidR="001B13EC" w:rsidRPr="00181EF3" w:rsidRDefault="001B13EC" w:rsidP="001B13EC">
            <w:pPr>
              <w:pStyle w:val="TableText"/>
              <w:jc w:val="center"/>
              <w:rPr>
                <w:lang w:eastAsia="en-NZ"/>
              </w:rPr>
            </w:pPr>
            <w:r w:rsidRPr="00181EF3">
              <w:rPr>
                <w:lang w:eastAsia="en-NZ"/>
              </w:rPr>
              <w:t>15+</w:t>
            </w:r>
          </w:p>
        </w:tc>
        <w:tc>
          <w:tcPr>
            <w:tcW w:w="933" w:type="pct"/>
            <w:shd w:val="clear" w:color="auto" w:fill="auto"/>
            <w:noWrap/>
            <w:hideMark/>
          </w:tcPr>
          <w:p w14:paraId="23C99283"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04694CC6" w14:textId="77777777" w:rsidTr="001B13EC">
        <w:trPr>
          <w:cantSplit/>
        </w:trPr>
        <w:tc>
          <w:tcPr>
            <w:tcW w:w="1051" w:type="pct"/>
            <w:vMerge/>
            <w:shd w:val="clear" w:color="auto" w:fill="auto"/>
            <w:noWrap/>
          </w:tcPr>
          <w:p w14:paraId="20002139" w14:textId="77777777" w:rsidR="001B13EC" w:rsidRPr="00181EF3" w:rsidRDefault="001B13EC" w:rsidP="001B13EC">
            <w:pPr>
              <w:pStyle w:val="TableText"/>
              <w:rPr>
                <w:lang w:eastAsia="en-NZ"/>
              </w:rPr>
            </w:pPr>
          </w:p>
        </w:tc>
        <w:tc>
          <w:tcPr>
            <w:tcW w:w="615" w:type="pct"/>
            <w:shd w:val="clear" w:color="auto" w:fill="auto"/>
            <w:hideMark/>
          </w:tcPr>
          <w:p w14:paraId="4007406E" w14:textId="77777777" w:rsidR="001B13EC" w:rsidRPr="00181EF3" w:rsidRDefault="001B13EC" w:rsidP="001B13EC">
            <w:pPr>
              <w:pStyle w:val="TableText"/>
              <w:jc w:val="center"/>
              <w:rPr>
                <w:lang w:eastAsia="en-NZ"/>
              </w:rPr>
            </w:pPr>
            <w:r w:rsidRPr="00181EF3">
              <w:rPr>
                <w:lang w:eastAsia="en-NZ"/>
              </w:rPr>
              <w:t>I13</w:t>
            </w:r>
          </w:p>
        </w:tc>
        <w:tc>
          <w:tcPr>
            <w:tcW w:w="1749" w:type="pct"/>
            <w:shd w:val="clear" w:color="auto" w:fill="auto"/>
            <w:noWrap/>
            <w:hideMark/>
          </w:tcPr>
          <w:p w14:paraId="713F82B1" w14:textId="77777777" w:rsidR="001B13EC" w:rsidRPr="00181EF3" w:rsidRDefault="001B13EC" w:rsidP="001B13EC">
            <w:pPr>
              <w:pStyle w:val="TableText"/>
              <w:rPr>
                <w:lang w:eastAsia="en-NZ"/>
              </w:rPr>
            </w:pPr>
            <w:r w:rsidRPr="00181EF3">
              <w:rPr>
                <w:lang w:eastAsia="en-NZ"/>
              </w:rPr>
              <w:t>Hypertensive heart and kidney disease</w:t>
            </w:r>
          </w:p>
        </w:tc>
        <w:tc>
          <w:tcPr>
            <w:tcW w:w="652" w:type="pct"/>
            <w:shd w:val="clear" w:color="auto" w:fill="auto"/>
            <w:noWrap/>
            <w:hideMark/>
          </w:tcPr>
          <w:p w14:paraId="2C85AC20" w14:textId="77777777" w:rsidR="001B13EC" w:rsidRPr="00181EF3" w:rsidRDefault="001B13EC" w:rsidP="001B13EC">
            <w:pPr>
              <w:pStyle w:val="TableText"/>
              <w:jc w:val="center"/>
              <w:rPr>
                <w:lang w:eastAsia="en-NZ"/>
              </w:rPr>
            </w:pPr>
            <w:r w:rsidRPr="00181EF3">
              <w:rPr>
                <w:lang w:eastAsia="en-NZ"/>
              </w:rPr>
              <w:t>15+</w:t>
            </w:r>
          </w:p>
        </w:tc>
        <w:tc>
          <w:tcPr>
            <w:tcW w:w="933" w:type="pct"/>
            <w:shd w:val="clear" w:color="auto" w:fill="auto"/>
            <w:noWrap/>
            <w:hideMark/>
          </w:tcPr>
          <w:p w14:paraId="1F2909CA"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3CCA3CF7" w14:textId="77777777" w:rsidTr="001B13EC">
        <w:trPr>
          <w:cantSplit/>
        </w:trPr>
        <w:tc>
          <w:tcPr>
            <w:tcW w:w="1051" w:type="pct"/>
            <w:vMerge/>
            <w:shd w:val="clear" w:color="auto" w:fill="auto"/>
            <w:noWrap/>
          </w:tcPr>
          <w:p w14:paraId="56B2F8DB" w14:textId="77777777" w:rsidR="001B13EC" w:rsidRPr="00181EF3" w:rsidRDefault="001B13EC" w:rsidP="001B13EC">
            <w:pPr>
              <w:pStyle w:val="TableText"/>
              <w:rPr>
                <w:lang w:eastAsia="en-NZ"/>
              </w:rPr>
            </w:pPr>
          </w:p>
        </w:tc>
        <w:tc>
          <w:tcPr>
            <w:tcW w:w="615" w:type="pct"/>
            <w:shd w:val="clear" w:color="auto" w:fill="auto"/>
            <w:hideMark/>
          </w:tcPr>
          <w:p w14:paraId="2B01DADA" w14:textId="77777777" w:rsidR="001B13EC" w:rsidRPr="00181EF3" w:rsidRDefault="001B13EC" w:rsidP="001B13EC">
            <w:pPr>
              <w:pStyle w:val="TableText"/>
              <w:jc w:val="center"/>
              <w:rPr>
                <w:lang w:eastAsia="en-NZ"/>
              </w:rPr>
            </w:pPr>
            <w:r w:rsidRPr="00181EF3">
              <w:rPr>
                <w:lang w:eastAsia="en-NZ"/>
              </w:rPr>
              <w:t>I15</w:t>
            </w:r>
          </w:p>
        </w:tc>
        <w:tc>
          <w:tcPr>
            <w:tcW w:w="1749" w:type="pct"/>
            <w:shd w:val="clear" w:color="auto" w:fill="auto"/>
            <w:noWrap/>
            <w:hideMark/>
          </w:tcPr>
          <w:p w14:paraId="0135A940" w14:textId="77777777" w:rsidR="001B13EC" w:rsidRPr="00181EF3" w:rsidRDefault="001B13EC" w:rsidP="001B13EC">
            <w:pPr>
              <w:pStyle w:val="TableText"/>
              <w:rPr>
                <w:lang w:eastAsia="en-NZ"/>
              </w:rPr>
            </w:pPr>
            <w:r w:rsidRPr="00181EF3">
              <w:rPr>
                <w:lang w:eastAsia="en-NZ"/>
              </w:rPr>
              <w:t>Secondary hypertension</w:t>
            </w:r>
          </w:p>
        </w:tc>
        <w:tc>
          <w:tcPr>
            <w:tcW w:w="652" w:type="pct"/>
            <w:shd w:val="clear" w:color="auto" w:fill="auto"/>
            <w:noWrap/>
            <w:hideMark/>
          </w:tcPr>
          <w:p w14:paraId="02AABDBE" w14:textId="77777777" w:rsidR="001B13EC" w:rsidRPr="00181EF3" w:rsidRDefault="001B13EC" w:rsidP="001B13EC">
            <w:pPr>
              <w:pStyle w:val="TableText"/>
              <w:jc w:val="center"/>
              <w:rPr>
                <w:lang w:eastAsia="en-NZ"/>
              </w:rPr>
            </w:pPr>
            <w:r w:rsidRPr="00181EF3">
              <w:rPr>
                <w:lang w:eastAsia="en-NZ"/>
              </w:rPr>
              <w:t>15+</w:t>
            </w:r>
          </w:p>
        </w:tc>
        <w:tc>
          <w:tcPr>
            <w:tcW w:w="933" w:type="pct"/>
            <w:shd w:val="clear" w:color="auto" w:fill="auto"/>
            <w:noWrap/>
            <w:hideMark/>
          </w:tcPr>
          <w:p w14:paraId="6B3DCC0F"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70167462" w14:textId="77777777" w:rsidTr="001B13EC">
        <w:trPr>
          <w:cantSplit/>
        </w:trPr>
        <w:tc>
          <w:tcPr>
            <w:tcW w:w="1051" w:type="pct"/>
            <w:vMerge/>
            <w:shd w:val="clear" w:color="auto" w:fill="auto"/>
            <w:noWrap/>
            <w:hideMark/>
          </w:tcPr>
          <w:p w14:paraId="3591B569" w14:textId="77777777" w:rsidR="001B13EC" w:rsidRPr="00181EF3" w:rsidRDefault="001B13EC" w:rsidP="001B13EC">
            <w:pPr>
              <w:pStyle w:val="TableText"/>
              <w:rPr>
                <w:lang w:eastAsia="en-NZ"/>
              </w:rPr>
            </w:pPr>
          </w:p>
        </w:tc>
        <w:tc>
          <w:tcPr>
            <w:tcW w:w="615" w:type="pct"/>
            <w:shd w:val="clear" w:color="auto" w:fill="auto"/>
            <w:noWrap/>
            <w:hideMark/>
          </w:tcPr>
          <w:p w14:paraId="31E94347" w14:textId="77777777" w:rsidR="001B13EC" w:rsidRPr="00181EF3" w:rsidRDefault="001B13EC" w:rsidP="001B13EC">
            <w:pPr>
              <w:pStyle w:val="TableText"/>
              <w:jc w:val="center"/>
              <w:rPr>
                <w:lang w:eastAsia="en-NZ"/>
              </w:rPr>
            </w:pPr>
            <w:r w:rsidRPr="00181EF3">
              <w:rPr>
                <w:lang w:eastAsia="en-NZ"/>
              </w:rPr>
              <w:t>I67</w:t>
            </w:r>
            <w:r>
              <w:rPr>
                <w:lang w:eastAsia="en-NZ"/>
              </w:rPr>
              <w:t>.</w:t>
            </w:r>
            <w:r w:rsidRPr="00181EF3">
              <w:rPr>
                <w:lang w:eastAsia="en-NZ"/>
              </w:rPr>
              <w:t>4</w:t>
            </w:r>
          </w:p>
        </w:tc>
        <w:tc>
          <w:tcPr>
            <w:tcW w:w="1749" w:type="pct"/>
            <w:shd w:val="clear" w:color="auto" w:fill="auto"/>
            <w:noWrap/>
            <w:hideMark/>
          </w:tcPr>
          <w:p w14:paraId="5CC6D53B" w14:textId="77777777" w:rsidR="001B13EC" w:rsidRPr="00181EF3" w:rsidRDefault="001B13EC" w:rsidP="001B13EC">
            <w:pPr>
              <w:pStyle w:val="TableText"/>
              <w:rPr>
                <w:lang w:eastAsia="en-NZ"/>
              </w:rPr>
            </w:pPr>
            <w:r w:rsidRPr="00181EF3">
              <w:rPr>
                <w:lang w:eastAsia="en-NZ"/>
              </w:rPr>
              <w:t>Hypertensive encephalopathy</w:t>
            </w:r>
          </w:p>
        </w:tc>
        <w:tc>
          <w:tcPr>
            <w:tcW w:w="652" w:type="pct"/>
            <w:shd w:val="clear" w:color="auto" w:fill="auto"/>
            <w:noWrap/>
            <w:hideMark/>
          </w:tcPr>
          <w:p w14:paraId="52EF1B7D" w14:textId="77777777" w:rsidR="001B13EC" w:rsidRPr="00181EF3" w:rsidRDefault="001B13EC" w:rsidP="001B13EC">
            <w:pPr>
              <w:pStyle w:val="TableText"/>
              <w:jc w:val="center"/>
              <w:rPr>
                <w:lang w:eastAsia="en-NZ"/>
              </w:rPr>
            </w:pPr>
            <w:r w:rsidRPr="00181EF3">
              <w:rPr>
                <w:lang w:eastAsia="en-NZ"/>
              </w:rPr>
              <w:t>15+</w:t>
            </w:r>
          </w:p>
        </w:tc>
        <w:tc>
          <w:tcPr>
            <w:tcW w:w="933" w:type="pct"/>
            <w:shd w:val="clear" w:color="auto" w:fill="auto"/>
            <w:noWrap/>
            <w:hideMark/>
          </w:tcPr>
          <w:p w14:paraId="39FE6932"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5D6992F3" w14:textId="77777777" w:rsidTr="001B13EC">
        <w:trPr>
          <w:cantSplit/>
        </w:trPr>
        <w:tc>
          <w:tcPr>
            <w:tcW w:w="1051" w:type="pct"/>
            <w:vMerge w:val="restart"/>
            <w:shd w:val="clear" w:color="auto" w:fill="auto"/>
            <w:noWrap/>
            <w:hideMark/>
          </w:tcPr>
          <w:p w14:paraId="287BCFE9" w14:textId="77777777" w:rsidR="001B13EC" w:rsidRPr="00181EF3" w:rsidRDefault="001B13EC" w:rsidP="001B13EC">
            <w:pPr>
              <w:pStyle w:val="TableText"/>
              <w:rPr>
                <w:lang w:eastAsia="en-NZ"/>
              </w:rPr>
            </w:pPr>
            <w:r w:rsidRPr="00181EF3">
              <w:rPr>
                <w:lang w:eastAsia="en-NZ"/>
              </w:rPr>
              <w:t>Myocardial infarction</w:t>
            </w:r>
          </w:p>
        </w:tc>
        <w:tc>
          <w:tcPr>
            <w:tcW w:w="615" w:type="pct"/>
            <w:shd w:val="clear" w:color="auto" w:fill="auto"/>
            <w:hideMark/>
          </w:tcPr>
          <w:p w14:paraId="30E3DE4F" w14:textId="77777777" w:rsidR="001B13EC" w:rsidRPr="00181EF3" w:rsidRDefault="001B13EC" w:rsidP="001B13EC">
            <w:pPr>
              <w:pStyle w:val="TableText"/>
              <w:jc w:val="center"/>
              <w:rPr>
                <w:lang w:eastAsia="en-NZ"/>
              </w:rPr>
            </w:pPr>
            <w:r w:rsidRPr="00181EF3">
              <w:rPr>
                <w:lang w:eastAsia="en-NZ"/>
              </w:rPr>
              <w:t>I21</w:t>
            </w:r>
          </w:p>
        </w:tc>
        <w:tc>
          <w:tcPr>
            <w:tcW w:w="1749" w:type="pct"/>
            <w:shd w:val="clear" w:color="auto" w:fill="auto"/>
            <w:noWrap/>
            <w:hideMark/>
          </w:tcPr>
          <w:p w14:paraId="30D44D2C" w14:textId="77777777" w:rsidR="001B13EC" w:rsidRPr="00181EF3" w:rsidRDefault="001B13EC" w:rsidP="001B13EC">
            <w:pPr>
              <w:pStyle w:val="TableText"/>
              <w:rPr>
                <w:lang w:eastAsia="en-NZ"/>
              </w:rPr>
            </w:pPr>
            <w:r w:rsidRPr="00181EF3">
              <w:rPr>
                <w:lang w:eastAsia="en-NZ"/>
              </w:rPr>
              <w:t>Acute myocardial infarction</w:t>
            </w:r>
          </w:p>
        </w:tc>
        <w:tc>
          <w:tcPr>
            <w:tcW w:w="652" w:type="pct"/>
            <w:shd w:val="clear" w:color="auto" w:fill="auto"/>
            <w:noWrap/>
            <w:hideMark/>
          </w:tcPr>
          <w:p w14:paraId="5BA16DF8" w14:textId="77777777" w:rsidR="001B13EC" w:rsidRPr="00181EF3" w:rsidRDefault="001B13EC" w:rsidP="001B13EC">
            <w:pPr>
              <w:pStyle w:val="TableText"/>
              <w:jc w:val="center"/>
              <w:rPr>
                <w:lang w:eastAsia="en-NZ"/>
              </w:rPr>
            </w:pPr>
            <w:r w:rsidRPr="00181EF3">
              <w:rPr>
                <w:lang w:eastAsia="en-NZ"/>
              </w:rPr>
              <w:t>15+</w:t>
            </w:r>
          </w:p>
        </w:tc>
        <w:tc>
          <w:tcPr>
            <w:tcW w:w="933" w:type="pct"/>
            <w:shd w:val="clear" w:color="auto" w:fill="auto"/>
            <w:noWrap/>
            <w:hideMark/>
          </w:tcPr>
          <w:p w14:paraId="5B04ACE4"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7049AEA1" w14:textId="77777777" w:rsidTr="001B13EC">
        <w:trPr>
          <w:cantSplit/>
        </w:trPr>
        <w:tc>
          <w:tcPr>
            <w:tcW w:w="1051" w:type="pct"/>
            <w:vMerge/>
            <w:shd w:val="clear" w:color="auto" w:fill="auto"/>
            <w:noWrap/>
          </w:tcPr>
          <w:p w14:paraId="3637523D" w14:textId="77777777" w:rsidR="001B13EC" w:rsidRPr="00181EF3" w:rsidRDefault="001B13EC" w:rsidP="001B13EC">
            <w:pPr>
              <w:pStyle w:val="TableText"/>
              <w:rPr>
                <w:lang w:eastAsia="en-NZ"/>
              </w:rPr>
            </w:pPr>
          </w:p>
        </w:tc>
        <w:tc>
          <w:tcPr>
            <w:tcW w:w="615" w:type="pct"/>
            <w:shd w:val="clear" w:color="auto" w:fill="auto"/>
            <w:hideMark/>
          </w:tcPr>
          <w:p w14:paraId="035ABF76" w14:textId="77777777" w:rsidR="001B13EC" w:rsidRPr="00181EF3" w:rsidRDefault="001B13EC" w:rsidP="001B13EC">
            <w:pPr>
              <w:pStyle w:val="TableText"/>
              <w:jc w:val="center"/>
              <w:rPr>
                <w:lang w:eastAsia="en-NZ"/>
              </w:rPr>
            </w:pPr>
            <w:r w:rsidRPr="00181EF3">
              <w:rPr>
                <w:lang w:eastAsia="en-NZ"/>
              </w:rPr>
              <w:t>I22</w:t>
            </w:r>
          </w:p>
        </w:tc>
        <w:tc>
          <w:tcPr>
            <w:tcW w:w="1749" w:type="pct"/>
            <w:shd w:val="clear" w:color="auto" w:fill="auto"/>
            <w:noWrap/>
            <w:hideMark/>
          </w:tcPr>
          <w:p w14:paraId="4B6FC86A" w14:textId="77777777" w:rsidR="001B13EC" w:rsidRPr="00181EF3" w:rsidRDefault="001B13EC" w:rsidP="001B13EC">
            <w:pPr>
              <w:pStyle w:val="TableText"/>
              <w:rPr>
                <w:lang w:eastAsia="en-NZ"/>
              </w:rPr>
            </w:pPr>
            <w:r w:rsidRPr="00181EF3">
              <w:rPr>
                <w:lang w:eastAsia="en-NZ"/>
              </w:rPr>
              <w:t>Subsequent myocardial infarction</w:t>
            </w:r>
          </w:p>
        </w:tc>
        <w:tc>
          <w:tcPr>
            <w:tcW w:w="652" w:type="pct"/>
            <w:shd w:val="clear" w:color="auto" w:fill="auto"/>
            <w:noWrap/>
            <w:hideMark/>
          </w:tcPr>
          <w:p w14:paraId="1A686D57" w14:textId="77777777" w:rsidR="001B13EC" w:rsidRPr="00181EF3" w:rsidRDefault="001B13EC" w:rsidP="001B13EC">
            <w:pPr>
              <w:pStyle w:val="TableText"/>
              <w:jc w:val="center"/>
              <w:rPr>
                <w:lang w:eastAsia="en-NZ"/>
              </w:rPr>
            </w:pPr>
            <w:r w:rsidRPr="00181EF3">
              <w:rPr>
                <w:lang w:eastAsia="en-NZ"/>
              </w:rPr>
              <w:t>15+</w:t>
            </w:r>
          </w:p>
        </w:tc>
        <w:tc>
          <w:tcPr>
            <w:tcW w:w="933" w:type="pct"/>
            <w:shd w:val="clear" w:color="auto" w:fill="auto"/>
            <w:noWrap/>
            <w:hideMark/>
          </w:tcPr>
          <w:p w14:paraId="33376C7C"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33D9B023" w14:textId="77777777" w:rsidTr="001B13EC">
        <w:trPr>
          <w:cantSplit/>
        </w:trPr>
        <w:tc>
          <w:tcPr>
            <w:tcW w:w="1051" w:type="pct"/>
            <w:vMerge/>
            <w:shd w:val="clear" w:color="auto" w:fill="auto"/>
            <w:noWrap/>
          </w:tcPr>
          <w:p w14:paraId="55BD51AB" w14:textId="77777777" w:rsidR="001B13EC" w:rsidRPr="00181EF3" w:rsidRDefault="001B13EC" w:rsidP="001B13EC">
            <w:pPr>
              <w:pStyle w:val="TableText"/>
              <w:rPr>
                <w:lang w:eastAsia="en-NZ"/>
              </w:rPr>
            </w:pPr>
          </w:p>
        </w:tc>
        <w:tc>
          <w:tcPr>
            <w:tcW w:w="615" w:type="pct"/>
            <w:shd w:val="clear" w:color="auto" w:fill="auto"/>
            <w:hideMark/>
          </w:tcPr>
          <w:p w14:paraId="5AF2FEA3" w14:textId="77777777" w:rsidR="001B13EC" w:rsidRPr="00181EF3" w:rsidRDefault="001B13EC" w:rsidP="001B13EC">
            <w:pPr>
              <w:pStyle w:val="TableText"/>
              <w:jc w:val="center"/>
              <w:rPr>
                <w:lang w:eastAsia="en-NZ"/>
              </w:rPr>
            </w:pPr>
            <w:r w:rsidRPr="00181EF3">
              <w:rPr>
                <w:lang w:eastAsia="en-NZ"/>
              </w:rPr>
              <w:t>I23</w:t>
            </w:r>
          </w:p>
        </w:tc>
        <w:tc>
          <w:tcPr>
            <w:tcW w:w="1749" w:type="pct"/>
            <w:shd w:val="clear" w:color="auto" w:fill="auto"/>
            <w:noWrap/>
            <w:hideMark/>
          </w:tcPr>
          <w:p w14:paraId="371F942C" w14:textId="77777777" w:rsidR="001B13EC" w:rsidRPr="00181EF3" w:rsidRDefault="001B13EC" w:rsidP="001B13EC">
            <w:pPr>
              <w:pStyle w:val="TableText"/>
              <w:rPr>
                <w:lang w:eastAsia="en-NZ"/>
              </w:rPr>
            </w:pPr>
            <w:r w:rsidRPr="00181EF3">
              <w:rPr>
                <w:lang w:eastAsia="en-NZ"/>
              </w:rPr>
              <w:t>Certain current complications following acute myocardial infarction</w:t>
            </w:r>
          </w:p>
        </w:tc>
        <w:tc>
          <w:tcPr>
            <w:tcW w:w="652" w:type="pct"/>
            <w:shd w:val="clear" w:color="auto" w:fill="auto"/>
            <w:noWrap/>
            <w:hideMark/>
          </w:tcPr>
          <w:p w14:paraId="51843779" w14:textId="77777777" w:rsidR="001B13EC" w:rsidRPr="00181EF3" w:rsidRDefault="001B13EC" w:rsidP="001B13EC">
            <w:pPr>
              <w:pStyle w:val="TableText"/>
              <w:jc w:val="center"/>
              <w:rPr>
                <w:lang w:eastAsia="en-NZ"/>
              </w:rPr>
            </w:pPr>
            <w:r w:rsidRPr="00181EF3">
              <w:rPr>
                <w:lang w:eastAsia="en-NZ"/>
              </w:rPr>
              <w:t>15+</w:t>
            </w:r>
          </w:p>
        </w:tc>
        <w:tc>
          <w:tcPr>
            <w:tcW w:w="933" w:type="pct"/>
            <w:shd w:val="clear" w:color="auto" w:fill="auto"/>
            <w:noWrap/>
            <w:hideMark/>
          </w:tcPr>
          <w:p w14:paraId="5850EE7A"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1AF165AE" w14:textId="77777777" w:rsidTr="001B13EC">
        <w:trPr>
          <w:cantSplit/>
        </w:trPr>
        <w:tc>
          <w:tcPr>
            <w:tcW w:w="1051" w:type="pct"/>
            <w:vMerge/>
            <w:shd w:val="clear" w:color="auto" w:fill="auto"/>
            <w:noWrap/>
          </w:tcPr>
          <w:p w14:paraId="4147052F" w14:textId="77777777" w:rsidR="001B13EC" w:rsidRPr="00181EF3" w:rsidRDefault="001B13EC" w:rsidP="001B13EC">
            <w:pPr>
              <w:pStyle w:val="TableText"/>
              <w:rPr>
                <w:lang w:eastAsia="en-NZ"/>
              </w:rPr>
            </w:pPr>
          </w:p>
        </w:tc>
        <w:tc>
          <w:tcPr>
            <w:tcW w:w="615" w:type="pct"/>
            <w:shd w:val="clear" w:color="auto" w:fill="auto"/>
            <w:noWrap/>
            <w:hideMark/>
          </w:tcPr>
          <w:p w14:paraId="5C9EA713" w14:textId="77777777" w:rsidR="001B13EC" w:rsidRPr="00181EF3" w:rsidRDefault="001B13EC" w:rsidP="001B13EC">
            <w:pPr>
              <w:pStyle w:val="TableText"/>
              <w:jc w:val="center"/>
              <w:rPr>
                <w:lang w:eastAsia="en-NZ"/>
              </w:rPr>
            </w:pPr>
            <w:r w:rsidRPr="00181EF3">
              <w:rPr>
                <w:lang w:eastAsia="en-NZ"/>
              </w:rPr>
              <w:t>I24</w:t>
            </w:r>
            <w:r>
              <w:rPr>
                <w:lang w:eastAsia="en-NZ"/>
              </w:rPr>
              <w:t>.</w:t>
            </w:r>
            <w:r w:rsidRPr="00181EF3">
              <w:rPr>
                <w:lang w:eastAsia="en-NZ"/>
              </w:rPr>
              <w:t>1</w:t>
            </w:r>
          </w:p>
        </w:tc>
        <w:tc>
          <w:tcPr>
            <w:tcW w:w="1749" w:type="pct"/>
            <w:shd w:val="clear" w:color="auto" w:fill="auto"/>
            <w:noWrap/>
            <w:hideMark/>
          </w:tcPr>
          <w:p w14:paraId="4D7C7D49" w14:textId="77777777" w:rsidR="001B13EC" w:rsidRPr="00181EF3" w:rsidRDefault="001B13EC" w:rsidP="001B13EC">
            <w:pPr>
              <w:pStyle w:val="TableText"/>
              <w:rPr>
                <w:lang w:eastAsia="en-NZ"/>
              </w:rPr>
            </w:pPr>
            <w:r w:rsidRPr="00181EF3">
              <w:rPr>
                <w:lang w:eastAsia="en-NZ"/>
              </w:rPr>
              <w:t>Dressler’s syndrome</w:t>
            </w:r>
          </w:p>
        </w:tc>
        <w:tc>
          <w:tcPr>
            <w:tcW w:w="652" w:type="pct"/>
            <w:shd w:val="clear" w:color="auto" w:fill="auto"/>
            <w:noWrap/>
            <w:hideMark/>
          </w:tcPr>
          <w:p w14:paraId="3BDF3D40" w14:textId="77777777" w:rsidR="001B13EC" w:rsidRPr="00181EF3" w:rsidRDefault="001B13EC" w:rsidP="001B13EC">
            <w:pPr>
              <w:pStyle w:val="TableText"/>
              <w:jc w:val="center"/>
              <w:rPr>
                <w:lang w:eastAsia="en-NZ"/>
              </w:rPr>
            </w:pPr>
            <w:r w:rsidRPr="00181EF3">
              <w:rPr>
                <w:lang w:eastAsia="en-NZ"/>
              </w:rPr>
              <w:t>15+</w:t>
            </w:r>
          </w:p>
        </w:tc>
        <w:tc>
          <w:tcPr>
            <w:tcW w:w="933" w:type="pct"/>
            <w:shd w:val="clear" w:color="auto" w:fill="auto"/>
            <w:noWrap/>
            <w:hideMark/>
          </w:tcPr>
          <w:p w14:paraId="7E3D9105"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2E4EDB65" w14:textId="77777777" w:rsidTr="001B13EC">
        <w:trPr>
          <w:cantSplit/>
        </w:trPr>
        <w:tc>
          <w:tcPr>
            <w:tcW w:w="1051" w:type="pct"/>
            <w:vMerge w:val="restart"/>
            <w:shd w:val="clear" w:color="auto" w:fill="auto"/>
            <w:noWrap/>
            <w:hideMark/>
          </w:tcPr>
          <w:p w14:paraId="39D6773D" w14:textId="77777777" w:rsidR="001B13EC" w:rsidRPr="00181EF3" w:rsidRDefault="001B13EC" w:rsidP="001B13EC">
            <w:pPr>
              <w:pStyle w:val="TableText"/>
              <w:rPr>
                <w:lang w:eastAsia="en-NZ"/>
              </w:rPr>
            </w:pPr>
            <w:r w:rsidRPr="00181EF3">
              <w:rPr>
                <w:lang w:eastAsia="en-NZ"/>
              </w:rPr>
              <w:t>Other isochaemic heart disease</w:t>
            </w:r>
          </w:p>
        </w:tc>
        <w:tc>
          <w:tcPr>
            <w:tcW w:w="615" w:type="pct"/>
            <w:shd w:val="clear" w:color="auto" w:fill="auto"/>
            <w:hideMark/>
          </w:tcPr>
          <w:p w14:paraId="73A92D62" w14:textId="77777777" w:rsidR="001B13EC" w:rsidRPr="00181EF3" w:rsidRDefault="001B13EC" w:rsidP="001B13EC">
            <w:pPr>
              <w:pStyle w:val="TableText"/>
              <w:jc w:val="center"/>
              <w:rPr>
                <w:lang w:eastAsia="en-NZ"/>
              </w:rPr>
            </w:pPr>
            <w:r w:rsidRPr="00181EF3">
              <w:rPr>
                <w:lang w:eastAsia="en-NZ"/>
              </w:rPr>
              <w:t>I24</w:t>
            </w:r>
            <w:r>
              <w:rPr>
                <w:lang w:eastAsia="en-NZ"/>
              </w:rPr>
              <w:t>.</w:t>
            </w:r>
            <w:r w:rsidRPr="00181EF3">
              <w:rPr>
                <w:lang w:eastAsia="en-NZ"/>
              </w:rPr>
              <w:t>0</w:t>
            </w:r>
          </w:p>
        </w:tc>
        <w:tc>
          <w:tcPr>
            <w:tcW w:w="1749" w:type="pct"/>
            <w:shd w:val="clear" w:color="auto" w:fill="auto"/>
            <w:noWrap/>
            <w:hideMark/>
          </w:tcPr>
          <w:p w14:paraId="3C3EFAB8" w14:textId="77777777" w:rsidR="001B13EC" w:rsidRPr="00181EF3" w:rsidRDefault="001B13EC" w:rsidP="001B13EC">
            <w:pPr>
              <w:pStyle w:val="TableText"/>
              <w:rPr>
                <w:lang w:eastAsia="en-NZ"/>
              </w:rPr>
            </w:pPr>
            <w:r w:rsidRPr="00181EF3">
              <w:rPr>
                <w:lang w:eastAsia="en-NZ"/>
              </w:rPr>
              <w:t>Coronary thrombosis not resulting in myocardial infarction</w:t>
            </w:r>
          </w:p>
        </w:tc>
        <w:tc>
          <w:tcPr>
            <w:tcW w:w="652" w:type="pct"/>
            <w:shd w:val="clear" w:color="auto" w:fill="auto"/>
            <w:noWrap/>
            <w:hideMark/>
          </w:tcPr>
          <w:p w14:paraId="572530E5" w14:textId="77777777" w:rsidR="001B13EC" w:rsidRPr="00181EF3" w:rsidRDefault="001B13EC" w:rsidP="001B13EC">
            <w:pPr>
              <w:pStyle w:val="TableText"/>
              <w:jc w:val="center"/>
              <w:rPr>
                <w:lang w:eastAsia="en-NZ"/>
              </w:rPr>
            </w:pPr>
            <w:r w:rsidRPr="00181EF3">
              <w:rPr>
                <w:lang w:eastAsia="en-NZ"/>
              </w:rPr>
              <w:t>15+</w:t>
            </w:r>
          </w:p>
        </w:tc>
        <w:tc>
          <w:tcPr>
            <w:tcW w:w="933" w:type="pct"/>
            <w:shd w:val="clear" w:color="auto" w:fill="auto"/>
            <w:noWrap/>
            <w:hideMark/>
          </w:tcPr>
          <w:p w14:paraId="48D1A90B"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226CADAF" w14:textId="77777777" w:rsidTr="001B13EC">
        <w:trPr>
          <w:cantSplit/>
        </w:trPr>
        <w:tc>
          <w:tcPr>
            <w:tcW w:w="1051" w:type="pct"/>
            <w:vMerge/>
            <w:shd w:val="clear" w:color="auto" w:fill="auto"/>
            <w:noWrap/>
          </w:tcPr>
          <w:p w14:paraId="224387B6" w14:textId="77777777" w:rsidR="001B13EC" w:rsidRPr="00181EF3" w:rsidRDefault="001B13EC" w:rsidP="001B13EC">
            <w:pPr>
              <w:pStyle w:val="TableText"/>
              <w:rPr>
                <w:lang w:eastAsia="en-NZ"/>
              </w:rPr>
            </w:pPr>
          </w:p>
        </w:tc>
        <w:tc>
          <w:tcPr>
            <w:tcW w:w="615" w:type="pct"/>
            <w:shd w:val="clear" w:color="auto" w:fill="auto"/>
            <w:noWrap/>
            <w:hideMark/>
          </w:tcPr>
          <w:p w14:paraId="13BA18AD" w14:textId="77777777" w:rsidR="001B13EC" w:rsidRPr="00181EF3" w:rsidRDefault="001B13EC" w:rsidP="001B13EC">
            <w:pPr>
              <w:pStyle w:val="TableText"/>
              <w:jc w:val="center"/>
              <w:rPr>
                <w:lang w:eastAsia="en-NZ"/>
              </w:rPr>
            </w:pPr>
            <w:r w:rsidRPr="00181EF3">
              <w:rPr>
                <w:lang w:eastAsia="en-NZ"/>
              </w:rPr>
              <w:t>I24</w:t>
            </w:r>
            <w:r>
              <w:rPr>
                <w:lang w:eastAsia="en-NZ"/>
              </w:rPr>
              <w:t>.</w:t>
            </w:r>
            <w:r w:rsidRPr="00181EF3">
              <w:rPr>
                <w:lang w:eastAsia="en-NZ"/>
              </w:rPr>
              <w:t>8</w:t>
            </w:r>
          </w:p>
        </w:tc>
        <w:tc>
          <w:tcPr>
            <w:tcW w:w="1749" w:type="pct"/>
            <w:shd w:val="clear" w:color="auto" w:fill="auto"/>
            <w:noWrap/>
            <w:hideMark/>
          </w:tcPr>
          <w:p w14:paraId="65516A3B" w14:textId="77777777" w:rsidR="001B13EC" w:rsidRPr="00181EF3" w:rsidRDefault="001B13EC" w:rsidP="001B13EC">
            <w:pPr>
              <w:pStyle w:val="TableText"/>
              <w:rPr>
                <w:lang w:eastAsia="en-NZ"/>
              </w:rPr>
            </w:pPr>
            <w:r w:rsidRPr="00181EF3">
              <w:rPr>
                <w:lang w:eastAsia="en-NZ"/>
              </w:rPr>
              <w:t>Other forms of acute ischaemic heart disease</w:t>
            </w:r>
          </w:p>
        </w:tc>
        <w:tc>
          <w:tcPr>
            <w:tcW w:w="652" w:type="pct"/>
            <w:shd w:val="clear" w:color="auto" w:fill="auto"/>
            <w:noWrap/>
            <w:hideMark/>
          </w:tcPr>
          <w:p w14:paraId="7F653AE9" w14:textId="77777777" w:rsidR="001B13EC" w:rsidRPr="00181EF3" w:rsidRDefault="001B13EC" w:rsidP="001B13EC">
            <w:pPr>
              <w:pStyle w:val="TableText"/>
              <w:jc w:val="center"/>
              <w:rPr>
                <w:lang w:eastAsia="en-NZ"/>
              </w:rPr>
            </w:pPr>
            <w:r w:rsidRPr="00181EF3">
              <w:rPr>
                <w:lang w:eastAsia="en-NZ"/>
              </w:rPr>
              <w:t>15+</w:t>
            </w:r>
          </w:p>
        </w:tc>
        <w:tc>
          <w:tcPr>
            <w:tcW w:w="933" w:type="pct"/>
            <w:shd w:val="clear" w:color="auto" w:fill="auto"/>
            <w:noWrap/>
            <w:hideMark/>
          </w:tcPr>
          <w:p w14:paraId="699208E8"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724CA2D3" w14:textId="77777777" w:rsidTr="001B13EC">
        <w:trPr>
          <w:cantSplit/>
        </w:trPr>
        <w:tc>
          <w:tcPr>
            <w:tcW w:w="1051" w:type="pct"/>
            <w:vMerge/>
            <w:shd w:val="clear" w:color="auto" w:fill="auto"/>
            <w:noWrap/>
          </w:tcPr>
          <w:p w14:paraId="3E4FE0A6" w14:textId="77777777" w:rsidR="001B13EC" w:rsidRPr="00181EF3" w:rsidRDefault="001B13EC" w:rsidP="001B13EC">
            <w:pPr>
              <w:pStyle w:val="TableText"/>
              <w:rPr>
                <w:lang w:eastAsia="en-NZ"/>
              </w:rPr>
            </w:pPr>
          </w:p>
        </w:tc>
        <w:tc>
          <w:tcPr>
            <w:tcW w:w="615" w:type="pct"/>
            <w:shd w:val="clear" w:color="auto" w:fill="auto"/>
            <w:hideMark/>
          </w:tcPr>
          <w:p w14:paraId="196A247D" w14:textId="77777777" w:rsidR="001B13EC" w:rsidRPr="00181EF3" w:rsidRDefault="001B13EC" w:rsidP="001B13EC">
            <w:pPr>
              <w:pStyle w:val="TableText"/>
              <w:jc w:val="center"/>
              <w:rPr>
                <w:lang w:eastAsia="en-NZ"/>
              </w:rPr>
            </w:pPr>
            <w:r w:rsidRPr="00181EF3">
              <w:rPr>
                <w:lang w:eastAsia="en-NZ"/>
              </w:rPr>
              <w:t>I24</w:t>
            </w:r>
            <w:r>
              <w:rPr>
                <w:lang w:eastAsia="en-NZ"/>
              </w:rPr>
              <w:t>.</w:t>
            </w:r>
            <w:r w:rsidRPr="00181EF3">
              <w:rPr>
                <w:lang w:eastAsia="en-NZ"/>
              </w:rPr>
              <w:t>9</w:t>
            </w:r>
          </w:p>
        </w:tc>
        <w:tc>
          <w:tcPr>
            <w:tcW w:w="1749" w:type="pct"/>
            <w:shd w:val="clear" w:color="auto" w:fill="auto"/>
            <w:noWrap/>
            <w:hideMark/>
          </w:tcPr>
          <w:p w14:paraId="18067D45" w14:textId="77777777" w:rsidR="001B13EC" w:rsidRPr="00181EF3" w:rsidRDefault="001B13EC" w:rsidP="001B13EC">
            <w:pPr>
              <w:pStyle w:val="TableText"/>
              <w:rPr>
                <w:lang w:eastAsia="en-NZ"/>
              </w:rPr>
            </w:pPr>
            <w:r w:rsidRPr="00181EF3">
              <w:rPr>
                <w:lang w:eastAsia="en-NZ"/>
              </w:rPr>
              <w:t>Acute ischaemic heart disease, unspecified</w:t>
            </w:r>
          </w:p>
        </w:tc>
        <w:tc>
          <w:tcPr>
            <w:tcW w:w="652" w:type="pct"/>
            <w:shd w:val="clear" w:color="auto" w:fill="auto"/>
            <w:noWrap/>
            <w:hideMark/>
          </w:tcPr>
          <w:p w14:paraId="4C0079D6" w14:textId="77777777" w:rsidR="001B13EC" w:rsidRPr="00181EF3" w:rsidRDefault="001B13EC" w:rsidP="001B13EC">
            <w:pPr>
              <w:pStyle w:val="TableText"/>
              <w:jc w:val="center"/>
              <w:rPr>
                <w:lang w:eastAsia="en-NZ"/>
              </w:rPr>
            </w:pPr>
            <w:r w:rsidRPr="00181EF3">
              <w:rPr>
                <w:lang w:eastAsia="en-NZ"/>
              </w:rPr>
              <w:t>15+</w:t>
            </w:r>
          </w:p>
        </w:tc>
        <w:tc>
          <w:tcPr>
            <w:tcW w:w="933" w:type="pct"/>
            <w:shd w:val="clear" w:color="auto" w:fill="auto"/>
            <w:noWrap/>
            <w:hideMark/>
          </w:tcPr>
          <w:p w14:paraId="494EE24E"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02B46723" w14:textId="77777777" w:rsidTr="001B13EC">
        <w:trPr>
          <w:cantSplit/>
        </w:trPr>
        <w:tc>
          <w:tcPr>
            <w:tcW w:w="1051" w:type="pct"/>
            <w:vMerge/>
            <w:shd w:val="clear" w:color="auto" w:fill="auto"/>
            <w:noWrap/>
          </w:tcPr>
          <w:p w14:paraId="010F665A" w14:textId="77777777" w:rsidR="001B13EC" w:rsidRPr="00181EF3" w:rsidRDefault="001B13EC" w:rsidP="001B13EC">
            <w:pPr>
              <w:pStyle w:val="TableText"/>
              <w:rPr>
                <w:lang w:eastAsia="en-NZ"/>
              </w:rPr>
            </w:pPr>
          </w:p>
        </w:tc>
        <w:tc>
          <w:tcPr>
            <w:tcW w:w="615" w:type="pct"/>
            <w:shd w:val="clear" w:color="auto" w:fill="auto"/>
            <w:hideMark/>
          </w:tcPr>
          <w:p w14:paraId="46D63B2D" w14:textId="77777777" w:rsidR="001B13EC" w:rsidRPr="00181EF3" w:rsidRDefault="001B13EC" w:rsidP="001B13EC">
            <w:pPr>
              <w:pStyle w:val="TableText"/>
              <w:jc w:val="center"/>
              <w:rPr>
                <w:lang w:eastAsia="en-NZ"/>
              </w:rPr>
            </w:pPr>
            <w:r w:rsidRPr="00181EF3">
              <w:rPr>
                <w:lang w:eastAsia="en-NZ"/>
              </w:rPr>
              <w:t>I25</w:t>
            </w:r>
          </w:p>
        </w:tc>
        <w:tc>
          <w:tcPr>
            <w:tcW w:w="1749" w:type="pct"/>
            <w:shd w:val="clear" w:color="auto" w:fill="auto"/>
            <w:noWrap/>
            <w:hideMark/>
          </w:tcPr>
          <w:p w14:paraId="23A8F4D5" w14:textId="77777777" w:rsidR="001B13EC" w:rsidRPr="00181EF3" w:rsidRDefault="001B13EC" w:rsidP="001B13EC">
            <w:pPr>
              <w:pStyle w:val="TableText"/>
              <w:rPr>
                <w:lang w:eastAsia="en-NZ"/>
              </w:rPr>
            </w:pPr>
            <w:r w:rsidRPr="00181EF3">
              <w:rPr>
                <w:lang w:eastAsia="en-NZ"/>
              </w:rPr>
              <w:t>Chronic ischaemic heart disease</w:t>
            </w:r>
          </w:p>
        </w:tc>
        <w:tc>
          <w:tcPr>
            <w:tcW w:w="652" w:type="pct"/>
            <w:shd w:val="clear" w:color="auto" w:fill="auto"/>
            <w:noWrap/>
            <w:hideMark/>
          </w:tcPr>
          <w:p w14:paraId="23C55943" w14:textId="77777777" w:rsidR="001B13EC" w:rsidRPr="00181EF3" w:rsidRDefault="001B13EC" w:rsidP="001B13EC">
            <w:pPr>
              <w:pStyle w:val="TableText"/>
              <w:jc w:val="center"/>
              <w:rPr>
                <w:lang w:eastAsia="en-NZ"/>
              </w:rPr>
            </w:pPr>
            <w:r w:rsidRPr="00181EF3">
              <w:rPr>
                <w:lang w:eastAsia="en-NZ"/>
              </w:rPr>
              <w:t>15+</w:t>
            </w:r>
          </w:p>
        </w:tc>
        <w:tc>
          <w:tcPr>
            <w:tcW w:w="933" w:type="pct"/>
            <w:shd w:val="clear" w:color="auto" w:fill="auto"/>
            <w:noWrap/>
            <w:hideMark/>
          </w:tcPr>
          <w:p w14:paraId="64FE168F"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09AD0BE7" w14:textId="77777777" w:rsidTr="001B13EC">
        <w:trPr>
          <w:cantSplit/>
        </w:trPr>
        <w:tc>
          <w:tcPr>
            <w:tcW w:w="1051" w:type="pct"/>
            <w:vMerge w:val="restart"/>
            <w:shd w:val="clear" w:color="auto" w:fill="auto"/>
            <w:noWrap/>
            <w:hideMark/>
          </w:tcPr>
          <w:p w14:paraId="5DE54E81" w14:textId="77777777" w:rsidR="001B13EC" w:rsidRPr="00181EF3" w:rsidRDefault="001B13EC" w:rsidP="001B13EC">
            <w:pPr>
              <w:pStyle w:val="TableText"/>
              <w:rPr>
                <w:lang w:eastAsia="en-NZ"/>
              </w:rPr>
            </w:pPr>
            <w:r w:rsidRPr="00181EF3">
              <w:rPr>
                <w:lang w:eastAsia="en-NZ"/>
              </w:rPr>
              <w:t>Rheumatic fever/ heart disease</w:t>
            </w:r>
          </w:p>
        </w:tc>
        <w:tc>
          <w:tcPr>
            <w:tcW w:w="615" w:type="pct"/>
            <w:shd w:val="clear" w:color="auto" w:fill="auto"/>
            <w:noWrap/>
            <w:hideMark/>
          </w:tcPr>
          <w:p w14:paraId="41018BD3" w14:textId="77777777" w:rsidR="001B13EC" w:rsidRPr="00181EF3" w:rsidRDefault="001B13EC" w:rsidP="001B13EC">
            <w:pPr>
              <w:pStyle w:val="TableText"/>
              <w:jc w:val="center"/>
              <w:rPr>
                <w:lang w:eastAsia="en-NZ"/>
              </w:rPr>
            </w:pPr>
            <w:r w:rsidRPr="00181EF3">
              <w:rPr>
                <w:lang w:eastAsia="en-NZ"/>
              </w:rPr>
              <w:t>I00</w:t>
            </w:r>
          </w:p>
        </w:tc>
        <w:tc>
          <w:tcPr>
            <w:tcW w:w="1749" w:type="pct"/>
            <w:shd w:val="clear" w:color="auto" w:fill="auto"/>
            <w:noWrap/>
            <w:hideMark/>
          </w:tcPr>
          <w:p w14:paraId="735DE9C7" w14:textId="77777777" w:rsidR="001B13EC" w:rsidRPr="00181EF3" w:rsidRDefault="001B13EC" w:rsidP="001B13EC">
            <w:pPr>
              <w:pStyle w:val="TableText"/>
              <w:rPr>
                <w:lang w:eastAsia="en-NZ"/>
              </w:rPr>
            </w:pPr>
            <w:r w:rsidRPr="00181EF3">
              <w:rPr>
                <w:lang w:eastAsia="en-NZ"/>
              </w:rPr>
              <w:t>Rheumatic fever without mention of heart involvement</w:t>
            </w:r>
          </w:p>
        </w:tc>
        <w:tc>
          <w:tcPr>
            <w:tcW w:w="652" w:type="pct"/>
            <w:shd w:val="clear" w:color="auto" w:fill="auto"/>
            <w:noWrap/>
            <w:hideMark/>
          </w:tcPr>
          <w:p w14:paraId="74DE661C"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130032E4"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40E23F47" w14:textId="77777777" w:rsidTr="001B13EC">
        <w:trPr>
          <w:cantSplit/>
        </w:trPr>
        <w:tc>
          <w:tcPr>
            <w:tcW w:w="1051" w:type="pct"/>
            <w:vMerge/>
            <w:shd w:val="clear" w:color="auto" w:fill="auto"/>
            <w:noWrap/>
          </w:tcPr>
          <w:p w14:paraId="4EAE63CD" w14:textId="77777777" w:rsidR="001B13EC" w:rsidRPr="00181EF3" w:rsidRDefault="001B13EC" w:rsidP="001B13EC">
            <w:pPr>
              <w:pStyle w:val="TableText"/>
              <w:rPr>
                <w:lang w:eastAsia="en-NZ"/>
              </w:rPr>
            </w:pPr>
          </w:p>
        </w:tc>
        <w:tc>
          <w:tcPr>
            <w:tcW w:w="615" w:type="pct"/>
            <w:shd w:val="clear" w:color="auto" w:fill="auto"/>
            <w:noWrap/>
            <w:hideMark/>
          </w:tcPr>
          <w:p w14:paraId="133782DF" w14:textId="77777777" w:rsidR="001B13EC" w:rsidRPr="00181EF3" w:rsidRDefault="001B13EC" w:rsidP="001B13EC">
            <w:pPr>
              <w:pStyle w:val="TableText"/>
              <w:jc w:val="center"/>
              <w:rPr>
                <w:lang w:eastAsia="en-NZ"/>
              </w:rPr>
            </w:pPr>
            <w:r w:rsidRPr="00181EF3">
              <w:rPr>
                <w:lang w:eastAsia="en-NZ"/>
              </w:rPr>
              <w:t>I01</w:t>
            </w:r>
          </w:p>
        </w:tc>
        <w:tc>
          <w:tcPr>
            <w:tcW w:w="1749" w:type="pct"/>
            <w:shd w:val="clear" w:color="auto" w:fill="auto"/>
            <w:noWrap/>
            <w:hideMark/>
          </w:tcPr>
          <w:p w14:paraId="53A45EDB" w14:textId="77777777" w:rsidR="001B13EC" w:rsidRPr="00181EF3" w:rsidRDefault="001B13EC" w:rsidP="001B13EC">
            <w:pPr>
              <w:pStyle w:val="TableText"/>
              <w:rPr>
                <w:lang w:eastAsia="en-NZ"/>
              </w:rPr>
            </w:pPr>
            <w:r w:rsidRPr="00181EF3">
              <w:rPr>
                <w:lang w:eastAsia="en-NZ"/>
              </w:rPr>
              <w:t>Rheumatic fever with heart involvement</w:t>
            </w:r>
          </w:p>
        </w:tc>
        <w:tc>
          <w:tcPr>
            <w:tcW w:w="652" w:type="pct"/>
            <w:shd w:val="clear" w:color="auto" w:fill="auto"/>
            <w:noWrap/>
            <w:hideMark/>
          </w:tcPr>
          <w:p w14:paraId="63D7DA16"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6AD678B9"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4A67E907" w14:textId="77777777" w:rsidTr="001B13EC">
        <w:trPr>
          <w:cantSplit/>
        </w:trPr>
        <w:tc>
          <w:tcPr>
            <w:tcW w:w="1051" w:type="pct"/>
            <w:vMerge/>
            <w:shd w:val="clear" w:color="auto" w:fill="auto"/>
            <w:noWrap/>
          </w:tcPr>
          <w:p w14:paraId="42A25A30" w14:textId="77777777" w:rsidR="001B13EC" w:rsidRPr="00181EF3" w:rsidRDefault="001B13EC" w:rsidP="001B13EC">
            <w:pPr>
              <w:pStyle w:val="TableText"/>
              <w:rPr>
                <w:lang w:eastAsia="en-NZ"/>
              </w:rPr>
            </w:pPr>
          </w:p>
        </w:tc>
        <w:tc>
          <w:tcPr>
            <w:tcW w:w="615" w:type="pct"/>
            <w:shd w:val="clear" w:color="auto" w:fill="auto"/>
            <w:noWrap/>
            <w:hideMark/>
          </w:tcPr>
          <w:p w14:paraId="696AC3A5" w14:textId="77777777" w:rsidR="001B13EC" w:rsidRPr="00181EF3" w:rsidRDefault="001B13EC" w:rsidP="001B13EC">
            <w:pPr>
              <w:pStyle w:val="TableText"/>
              <w:jc w:val="center"/>
              <w:rPr>
                <w:lang w:eastAsia="en-NZ"/>
              </w:rPr>
            </w:pPr>
            <w:r w:rsidRPr="00181EF3">
              <w:rPr>
                <w:lang w:eastAsia="en-NZ"/>
              </w:rPr>
              <w:t>I02</w:t>
            </w:r>
          </w:p>
        </w:tc>
        <w:tc>
          <w:tcPr>
            <w:tcW w:w="1749" w:type="pct"/>
            <w:shd w:val="clear" w:color="auto" w:fill="auto"/>
            <w:noWrap/>
            <w:hideMark/>
          </w:tcPr>
          <w:p w14:paraId="3FE07379" w14:textId="77777777" w:rsidR="001B13EC" w:rsidRPr="00181EF3" w:rsidRDefault="001B13EC" w:rsidP="001B13EC">
            <w:pPr>
              <w:pStyle w:val="TableText"/>
              <w:rPr>
                <w:lang w:eastAsia="en-NZ"/>
              </w:rPr>
            </w:pPr>
            <w:r w:rsidRPr="00181EF3">
              <w:rPr>
                <w:lang w:eastAsia="en-NZ"/>
              </w:rPr>
              <w:t>Rheumatic chorea</w:t>
            </w:r>
          </w:p>
        </w:tc>
        <w:tc>
          <w:tcPr>
            <w:tcW w:w="652" w:type="pct"/>
            <w:shd w:val="clear" w:color="auto" w:fill="auto"/>
            <w:noWrap/>
            <w:hideMark/>
          </w:tcPr>
          <w:p w14:paraId="20BABD54"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36FE0739"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00904960" w14:textId="77777777" w:rsidTr="001B13EC">
        <w:trPr>
          <w:cantSplit/>
        </w:trPr>
        <w:tc>
          <w:tcPr>
            <w:tcW w:w="1051" w:type="pct"/>
            <w:vMerge/>
            <w:shd w:val="clear" w:color="auto" w:fill="auto"/>
            <w:noWrap/>
          </w:tcPr>
          <w:p w14:paraId="0F638AC9" w14:textId="77777777" w:rsidR="001B13EC" w:rsidRPr="00181EF3" w:rsidRDefault="001B13EC" w:rsidP="001B13EC">
            <w:pPr>
              <w:pStyle w:val="TableText"/>
              <w:rPr>
                <w:lang w:eastAsia="en-NZ"/>
              </w:rPr>
            </w:pPr>
          </w:p>
        </w:tc>
        <w:tc>
          <w:tcPr>
            <w:tcW w:w="615" w:type="pct"/>
            <w:shd w:val="clear" w:color="auto" w:fill="auto"/>
            <w:noWrap/>
            <w:hideMark/>
          </w:tcPr>
          <w:p w14:paraId="78D0014E" w14:textId="77777777" w:rsidR="001B13EC" w:rsidRPr="00181EF3" w:rsidRDefault="001B13EC" w:rsidP="001B13EC">
            <w:pPr>
              <w:pStyle w:val="TableText"/>
              <w:jc w:val="center"/>
              <w:rPr>
                <w:lang w:eastAsia="en-NZ"/>
              </w:rPr>
            </w:pPr>
            <w:r w:rsidRPr="00181EF3">
              <w:rPr>
                <w:lang w:eastAsia="en-NZ"/>
              </w:rPr>
              <w:t>I05</w:t>
            </w:r>
          </w:p>
        </w:tc>
        <w:tc>
          <w:tcPr>
            <w:tcW w:w="1749" w:type="pct"/>
            <w:shd w:val="clear" w:color="auto" w:fill="auto"/>
            <w:noWrap/>
            <w:hideMark/>
          </w:tcPr>
          <w:p w14:paraId="5ECF07B1" w14:textId="77777777" w:rsidR="001B13EC" w:rsidRPr="00181EF3" w:rsidRDefault="001B13EC" w:rsidP="001B13EC">
            <w:pPr>
              <w:pStyle w:val="TableText"/>
              <w:rPr>
                <w:lang w:eastAsia="en-NZ"/>
              </w:rPr>
            </w:pPr>
            <w:r w:rsidRPr="00181EF3">
              <w:rPr>
                <w:lang w:eastAsia="en-NZ"/>
              </w:rPr>
              <w:t>Rheumatic mitral valve diseases</w:t>
            </w:r>
          </w:p>
        </w:tc>
        <w:tc>
          <w:tcPr>
            <w:tcW w:w="652" w:type="pct"/>
            <w:shd w:val="clear" w:color="auto" w:fill="auto"/>
            <w:noWrap/>
            <w:hideMark/>
          </w:tcPr>
          <w:p w14:paraId="476702F8"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55E9ACA0"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03B068CE" w14:textId="77777777" w:rsidTr="001B13EC">
        <w:trPr>
          <w:cantSplit/>
        </w:trPr>
        <w:tc>
          <w:tcPr>
            <w:tcW w:w="1051" w:type="pct"/>
            <w:vMerge/>
            <w:shd w:val="clear" w:color="auto" w:fill="auto"/>
            <w:noWrap/>
          </w:tcPr>
          <w:p w14:paraId="3A5B93C9" w14:textId="77777777" w:rsidR="001B13EC" w:rsidRPr="00181EF3" w:rsidRDefault="001B13EC" w:rsidP="001B13EC">
            <w:pPr>
              <w:pStyle w:val="TableText"/>
              <w:rPr>
                <w:lang w:eastAsia="en-NZ"/>
              </w:rPr>
            </w:pPr>
          </w:p>
        </w:tc>
        <w:tc>
          <w:tcPr>
            <w:tcW w:w="615" w:type="pct"/>
            <w:shd w:val="clear" w:color="auto" w:fill="auto"/>
            <w:noWrap/>
            <w:hideMark/>
          </w:tcPr>
          <w:p w14:paraId="66414A6E" w14:textId="77777777" w:rsidR="001B13EC" w:rsidRPr="00181EF3" w:rsidRDefault="001B13EC" w:rsidP="001B13EC">
            <w:pPr>
              <w:pStyle w:val="TableText"/>
              <w:jc w:val="center"/>
              <w:rPr>
                <w:lang w:eastAsia="en-NZ"/>
              </w:rPr>
            </w:pPr>
            <w:r w:rsidRPr="00181EF3">
              <w:rPr>
                <w:lang w:eastAsia="en-NZ"/>
              </w:rPr>
              <w:t>I06</w:t>
            </w:r>
          </w:p>
        </w:tc>
        <w:tc>
          <w:tcPr>
            <w:tcW w:w="1749" w:type="pct"/>
            <w:shd w:val="clear" w:color="auto" w:fill="auto"/>
            <w:noWrap/>
            <w:hideMark/>
          </w:tcPr>
          <w:p w14:paraId="71D13D0B" w14:textId="77777777" w:rsidR="001B13EC" w:rsidRPr="00181EF3" w:rsidRDefault="001B13EC" w:rsidP="001B13EC">
            <w:pPr>
              <w:pStyle w:val="TableText"/>
              <w:rPr>
                <w:lang w:eastAsia="en-NZ"/>
              </w:rPr>
            </w:pPr>
            <w:r w:rsidRPr="00181EF3">
              <w:rPr>
                <w:lang w:eastAsia="en-NZ"/>
              </w:rPr>
              <w:t>Rheumatic aortic valve diseases</w:t>
            </w:r>
          </w:p>
        </w:tc>
        <w:tc>
          <w:tcPr>
            <w:tcW w:w="652" w:type="pct"/>
            <w:shd w:val="clear" w:color="auto" w:fill="auto"/>
            <w:noWrap/>
            <w:hideMark/>
          </w:tcPr>
          <w:p w14:paraId="031FBC19"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737FAA2D"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481F740D" w14:textId="77777777" w:rsidTr="001B13EC">
        <w:trPr>
          <w:cantSplit/>
        </w:trPr>
        <w:tc>
          <w:tcPr>
            <w:tcW w:w="1051" w:type="pct"/>
            <w:vMerge/>
            <w:shd w:val="clear" w:color="auto" w:fill="auto"/>
            <w:noWrap/>
          </w:tcPr>
          <w:p w14:paraId="21B152F9" w14:textId="77777777" w:rsidR="001B13EC" w:rsidRPr="00181EF3" w:rsidRDefault="001B13EC" w:rsidP="001B13EC">
            <w:pPr>
              <w:pStyle w:val="TableText"/>
              <w:rPr>
                <w:lang w:eastAsia="en-NZ"/>
              </w:rPr>
            </w:pPr>
          </w:p>
        </w:tc>
        <w:tc>
          <w:tcPr>
            <w:tcW w:w="615" w:type="pct"/>
            <w:shd w:val="clear" w:color="auto" w:fill="auto"/>
            <w:noWrap/>
            <w:hideMark/>
          </w:tcPr>
          <w:p w14:paraId="2AC8CD69" w14:textId="77777777" w:rsidR="001B13EC" w:rsidRPr="00181EF3" w:rsidRDefault="001B13EC" w:rsidP="001B13EC">
            <w:pPr>
              <w:pStyle w:val="TableText"/>
              <w:jc w:val="center"/>
              <w:rPr>
                <w:lang w:eastAsia="en-NZ"/>
              </w:rPr>
            </w:pPr>
            <w:r w:rsidRPr="00181EF3">
              <w:rPr>
                <w:lang w:eastAsia="en-NZ"/>
              </w:rPr>
              <w:t>I07</w:t>
            </w:r>
          </w:p>
        </w:tc>
        <w:tc>
          <w:tcPr>
            <w:tcW w:w="1749" w:type="pct"/>
            <w:shd w:val="clear" w:color="auto" w:fill="auto"/>
            <w:noWrap/>
            <w:hideMark/>
          </w:tcPr>
          <w:p w14:paraId="747CFC66" w14:textId="77777777" w:rsidR="001B13EC" w:rsidRPr="00181EF3" w:rsidRDefault="001B13EC" w:rsidP="001B13EC">
            <w:pPr>
              <w:pStyle w:val="TableText"/>
              <w:rPr>
                <w:lang w:eastAsia="en-NZ"/>
              </w:rPr>
            </w:pPr>
            <w:r w:rsidRPr="00181EF3">
              <w:rPr>
                <w:lang w:eastAsia="en-NZ"/>
              </w:rPr>
              <w:t>Rheumatic tricuspid valve diseases</w:t>
            </w:r>
          </w:p>
        </w:tc>
        <w:tc>
          <w:tcPr>
            <w:tcW w:w="652" w:type="pct"/>
            <w:shd w:val="clear" w:color="auto" w:fill="auto"/>
            <w:noWrap/>
            <w:hideMark/>
          </w:tcPr>
          <w:p w14:paraId="79EBCB4A"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65E2C7FF"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257A9A07" w14:textId="77777777" w:rsidTr="001B13EC">
        <w:trPr>
          <w:cantSplit/>
        </w:trPr>
        <w:tc>
          <w:tcPr>
            <w:tcW w:w="1051" w:type="pct"/>
            <w:vMerge/>
            <w:shd w:val="clear" w:color="auto" w:fill="auto"/>
            <w:noWrap/>
          </w:tcPr>
          <w:p w14:paraId="79B3FE92" w14:textId="77777777" w:rsidR="001B13EC" w:rsidRPr="00181EF3" w:rsidRDefault="001B13EC" w:rsidP="001B13EC">
            <w:pPr>
              <w:pStyle w:val="TableText"/>
              <w:rPr>
                <w:lang w:eastAsia="en-NZ"/>
              </w:rPr>
            </w:pPr>
          </w:p>
        </w:tc>
        <w:tc>
          <w:tcPr>
            <w:tcW w:w="615" w:type="pct"/>
            <w:shd w:val="clear" w:color="auto" w:fill="auto"/>
            <w:noWrap/>
            <w:hideMark/>
          </w:tcPr>
          <w:p w14:paraId="093A1DCE" w14:textId="77777777" w:rsidR="001B13EC" w:rsidRPr="00181EF3" w:rsidRDefault="001B13EC" w:rsidP="001B13EC">
            <w:pPr>
              <w:pStyle w:val="TableText"/>
              <w:jc w:val="center"/>
              <w:rPr>
                <w:lang w:eastAsia="en-NZ"/>
              </w:rPr>
            </w:pPr>
            <w:r w:rsidRPr="00181EF3">
              <w:rPr>
                <w:lang w:eastAsia="en-NZ"/>
              </w:rPr>
              <w:t>I08</w:t>
            </w:r>
          </w:p>
        </w:tc>
        <w:tc>
          <w:tcPr>
            <w:tcW w:w="1749" w:type="pct"/>
            <w:shd w:val="clear" w:color="auto" w:fill="auto"/>
            <w:noWrap/>
            <w:hideMark/>
          </w:tcPr>
          <w:p w14:paraId="15961791" w14:textId="77777777" w:rsidR="001B13EC" w:rsidRPr="00181EF3" w:rsidRDefault="001B13EC" w:rsidP="001B13EC">
            <w:pPr>
              <w:pStyle w:val="TableText"/>
              <w:rPr>
                <w:lang w:eastAsia="en-NZ"/>
              </w:rPr>
            </w:pPr>
            <w:r w:rsidRPr="00181EF3">
              <w:rPr>
                <w:lang w:eastAsia="en-NZ"/>
              </w:rPr>
              <w:t>Multiple valve diseases</w:t>
            </w:r>
          </w:p>
        </w:tc>
        <w:tc>
          <w:tcPr>
            <w:tcW w:w="652" w:type="pct"/>
            <w:shd w:val="clear" w:color="auto" w:fill="auto"/>
            <w:noWrap/>
            <w:hideMark/>
          </w:tcPr>
          <w:p w14:paraId="3A12E434"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01C96028"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4651D187" w14:textId="77777777" w:rsidTr="001B13EC">
        <w:trPr>
          <w:cantSplit/>
        </w:trPr>
        <w:tc>
          <w:tcPr>
            <w:tcW w:w="1051" w:type="pct"/>
            <w:vMerge/>
            <w:tcBorders>
              <w:bottom w:val="single" w:sz="4" w:space="0" w:color="A6A6A6" w:themeColor="background1" w:themeShade="A6"/>
            </w:tcBorders>
            <w:shd w:val="clear" w:color="auto" w:fill="auto"/>
            <w:noWrap/>
          </w:tcPr>
          <w:p w14:paraId="6B73BA90" w14:textId="77777777" w:rsidR="001B13EC" w:rsidRPr="00181EF3" w:rsidRDefault="001B13EC" w:rsidP="001B13EC">
            <w:pPr>
              <w:pStyle w:val="TableText"/>
              <w:rPr>
                <w:lang w:eastAsia="en-NZ"/>
              </w:rPr>
            </w:pPr>
          </w:p>
        </w:tc>
        <w:tc>
          <w:tcPr>
            <w:tcW w:w="615" w:type="pct"/>
            <w:tcBorders>
              <w:bottom w:val="single" w:sz="4" w:space="0" w:color="A6A6A6" w:themeColor="background1" w:themeShade="A6"/>
            </w:tcBorders>
            <w:shd w:val="clear" w:color="auto" w:fill="auto"/>
            <w:noWrap/>
            <w:hideMark/>
          </w:tcPr>
          <w:p w14:paraId="51C903BF" w14:textId="77777777" w:rsidR="001B13EC" w:rsidRPr="00181EF3" w:rsidRDefault="001B13EC" w:rsidP="001B13EC">
            <w:pPr>
              <w:pStyle w:val="TableText"/>
              <w:jc w:val="center"/>
              <w:rPr>
                <w:lang w:eastAsia="en-NZ"/>
              </w:rPr>
            </w:pPr>
            <w:r w:rsidRPr="00181EF3">
              <w:rPr>
                <w:lang w:eastAsia="en-NZ"/>
              </w:rPr>
              <w:t>I09</w:t>
            </w:r>
          </w:p>
        </w:tc>
        <w:tc>
          <w:tcPr>
            <w:tcW w:w="1749" w:type="pct"/>
            <w:tcBorders>
              <w:bottom w:val="single" w:sz="4" w:space="0" w:color="A6A6A6" w:themeColor="background1" w:themeShade="A6"/>
            </w:tcBorders>
            <w:shd w:val="clear" w:color="auto" w:fill="auto"/>
            <w:noWrap/>
            <w:hideMark/>
          </w:tcPr>
          <w:p w14:paraId="27A1A3B5" w14:textId="77777777" w:rsidR="001B13EC" w:rsidRPr="00181EF3" w:rsidRDefault="001B13EC" w:rsidP="001B13EC">
            <w:pPr>
              <w:pStyle w:val="TableText"/>
              <w:rPr>
                <w:lang w:eastAsia="en-NZ"/>
              </w:rPr>
            </w:pPr>
            <w:r w:rsidRPr="00181EF3">
              <w:rPr>
                <w:lang w:eastAsia="en-NZ"/>
              </w:rPr>
              <w:t>Other rheumatic heart diseases</w:t>
            </w:r>
          </w:p>
        </w:tc>
        <w:tc>
          <w:tcPr>
            <w:tcW w:w="652" w:type="pct"/>
            <w:tcBorders>
              <w:bottom w:val="single" w:sz="4" w:space="0" w:color="A6A6A6" w:themeColor="background1" w:themeShade="A6"/>
            </w:tcBorders>
            <w:shd w:val="clear" w:color="auto" w:fill="auto"/>
            <w:noWrap/>
            <w:hideMark/>
          </w:tcPr>
          <w:p w14:paraId="7F12311D" w14:textId="77777777" w:rsidR="001B13EC" w:rsidRPr="00181EF3" w:rsidRDefault="001B13EC" w:rsidP="001B13EC">
            <w:pPr>
              <w:pStyle w:val="TableText"/>
              <w:jc w:val="center"/>
              <w:rPr>
                <w:lang w:eastAsia="en-NZ"/>
              </w:rPr>
            </w:pPr>
            <w:r w:rsidRPr="00181EF3">
              <w:rPr>
                <w:lang w:eastAsia="en-NZ"/>
              </w:rPr>
              <w:t>All</w:t>
            </w:r>
          </w:p>
        </w:tc>
        <w:tc>
          <w:tcPr>
            <w:tcW w:w="933" w:type="pct"/>
            <w:tcBorders>
              <w:bottom w:val="single" w:sz="4" w:space="0" w:color="A6A6A6" w:themeColor="background1" w:themeShade="A6"/>
            </w:tcBorders>
            <w:shd w:val="clear" w:color="auto" w:fill="auto"/>
            <w:noWrap/>
            <w:hideMark/>
          </w:tcPr>
          <w:p w14:paraId="77F327FB"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5A9F498E" w14:textId="77777777" w:rsidTr="001B13EC">
        <w:trPr>
          <w:cantSplit/>
        </w:trPr>
        <w:tc>
          <w:tcPr>
            <w:tcW w:w="1051" w:type="pct"/>
            <w:tcBorders>
              <w:top w:val="single" w:sz="4" w:space="0" w:color="A6A6A6" w:themeColor="background1" w:themeShade="A6"/>
              <w:bottom w:val="nil"/>
            </w:tcBorders>
            <w:shd w:val="clear" w:color="auto" w:fill="F2F2F2" w:themeFill="background1" w:themeFillShade="F2"/>
            <w:noWrap/>
            <w:hideMark/>
          </w:tcPr>
          <w:p w14:paraId="4BDFFFEF" w14:textId="77777777" w:rsidR="001B13EC" w:rsidRPr="00181EF3" w:rsidRDefault="001B13EC" w:rsidP="001B13EC">
            <w:pPr>
              <w:pStyle w:val="TableText"/>
              <w:keepNext/>
              <w:rPr>
                <w:b/>
                <w:lang w:eastAsia="en-NZ"/>
              </w:rPr>
            </w:pPr>
            <w:r w:rsidRPr="00181EF3">
              <w:rPr>
                <w:b/>
                <w:lang w:eastAsia="en-NZ"/>
              </w:rPr>
              <w:lastRenderedPageBreak/>
              <w:t>Dental</w:t>
            </w:r>
          </w:p>
        </w:tc>
        <w:tc>
          <w:tcPr>
            <w:tcW w:w="615" w:type="pct"/>
            <w:tcBorders>
              <w:top w:val="single" w:sz="4" w:space="0" w:color="A6A6A6" w:themeColor="background1" w:themeShade="A6"/>
              <w:bottom w:val="nil"/>
            </w:tcBorders>
            <w:shd w:val="clear" w:color="auto" w:fill="F2F2F2" w:themeFill="background1" w:themeFillShade="F2"/>
            <w:noWrap/>
            <w:hideMark/>
          </w:tcPr>
          <w:p w14:paraId="6B6A5022" w14:textId="77777777" w:rsidR="001B13EC" w:rsidRPr="00181EF3" w:rsidRDefault="001B13EC" w:rsidP="001B13EC">
            <w:pPr>
              <w:pStyle w:val="TableText"/>
              <w:keepNext/>
              <w:jc w:val="center"/>
              <w:rPr>
                <w:b/>
                <w:lang w:eastAsia="en-NZ"/>
              </w:rPr>
            </w:pPr>
          </w:p>
        </w:tc>
        <w:tc>
          <w:tcPr>
            <w:tcW w:w="1749" w:type="pct"/>
            <w:tcBorders>
              <w:top w:val="single" w:sz="4" w:space="0" w:color="A6A6A6" w:themeColor="background1" w:themeShade="A6"/>
              <w:bottom w:val="nil"/>
            </w:tcBorders>
            <w:shd w:val="clear" w:color="auto" w:fill="F2F2F2" w:themeFill="background1" w:themeFillShade="F2"/>
            <w:noWrap/>
          </w:tcPr>
          <w:p w14:paraId="68912029" w14:textId="77777777" w:rsidR="001B13EC" w:rsidRPr="00181EF3" w:rsidRDefault="001B13EC" w:rsidP="001B13EC">
            <w:pPr>
              <w:pStyle w:val="TableText"/>
              <w:keepNext/>
              <w:rPr>
                <w:b/>
                <w:lang w:eastAsia="en-NZ"/>
              </w:rPr>
            </w:pPr>
          </w:p>
        </w:tc>
        <w:tc>
          <w:tcPr>
            <w:tcW w:w="652" w:type="pct"/>
            <w:tcBorders>
              <w:top w:val="single" w:sz="4" w:space="0" w:color="A6A6A6" w:themeColor="background1" w:themeShade="A6"/>
              <w:bottom w:val="nil"/>
            </w:tcBorders>
            <w:shd w:val="clear" w:color="auto" w:fill="F2F2F2" w:themeFill="background1" w:themeFillShade="F2"/>
            <w:noWrap/>
          </w:tcPr>
          <w:p w14:paraId="228BAFD2" w14:textId="77777777" w:rsidR="001B13EC" w:rsidRPr="00181EF3" w:rsidRDefault="001B13EC" w:rsidP="001B13EC">
            <w:pPr>
              <w:pStyle w:val="TableText"/>
              <w:keepNext/>
              <w:jc w:val="center"/>
              <w:rPr>
                <w:b/>
                <w:lang w:eastAsia="en-NZ"/>
              </w:rPr>
            </w:pPr>
          </w:p>
        </w:tc>
        <w:tc>
          <w:tcPr>
            <w:tcW w:w="933" w:type="pct"/>
            <w:tcBorders>
              <w:top w:val="single" w:sz="4" w:space="0" w:color="A6A6A6" w:themeColor="background1" w:themeShade="A6"/>
              <w:bottom w:val="nil"/>
            </w:tcBorders>
            <w:shd w:val="clear" w:color="auto" w:fill="F2F2F2" w:themeFill="background1" w:themeFillShade="F2"/>
            <w:noWrap/>
          </w:tcPr>
          <w:p w14:paraId="63E4C67B" w14:textId="77777777" w:rsidR="001B13EC" w:rsidRPr="00181EF3" w:rsidRDefault="001B13EC" w:rsidP="001B13EC">
            <w:pPr>
              <w:pStyle w:val="TableText"/>
              <w:keepNext/>
              <w:jc w:val="center"/>
              <w:rPr>
                <w:b/>
                <w:lang w:eastAsia="en-NZ"/>
              </w:rPr>
            </w:pPr>
          </w:p>
        </w:tc>
      </w:tr>
      <w:tr w:rsidR="001B13EC" w:rsidRPr="00181EF3" w14:paraId="1BE3C270" w14:textId="77777777" w:rsidTr="001B13EC">
        <w:trPr>
          <w:cantSplit/>
        </w:trPr>
        <w:tc>
          <w:tcPr>
            <w:tcW w:w="1051" w:type="pct"/>
            <w:vMerge w:val="restart"/>
            <w:tcBorders>
              <w:top w:val="nil"/>
            </w:tcBorders>
            <w:shd w:val="clear" w:color="auto" w:fill="auto"/>
            <w:noWrap/>
            <w:hideMark/>
          </w:tcPr>
          <w:p w14:paraId="2BD5A381" w14:textId="77777777" w:rsidR="001B13EC" w:rsidRPr="00181EF3" w:rsidRDefault="001B13EC" w:rsidP="000667F5">
            <w:pPr>
              <w:pStyle w:val="TableText"/>
              <w:keepNext/>
              <w:rPr>
                <w:lang w:eastAsia="en-NZ"/>
              </w:rPr>
            </w:pPr>
            <w:r w:rsidRPr="00181EF3">
              <w:rPr>
                <w:lang w:eastAsia="en-NZ"/>
              </w:rPr>
              <w:t>Dental conditions</w:t>
            </w:r>
          </w:p>
        </w:tc>
        <w:tc>
          <w:tcPr>
            <w:tcW w:w="615" w:type="pct"/>
            <w:tcBorders>
              <w:top w:val="nil"/>
            </w:tcBorders>
            <w:shd w:val="clear" w:color="auto" w:fill="auto"/>
            <w:hideMark/>
          </w:tcPr>
          <w:p w14:paraId="3DEE5A50" w14:textId="77777777" w:rsidR="001B13EC" w:rsidRPr="00181EF3" w:rsidRDefault="001B13EC" w:rsidP="000667F5">
            <w:pPr>
              <w:pStyle w:val="TableText"/>
              <w:keepNext/>
              <w:jc w:val="center"/>
              <w:rPr>
                <w:lang w:eastAsia="en-NZ"/>
              </w:rPr>
            </w:pPr>
            <w:r w:rsidRPr="00181EF3">
              <w:rPr>
                <w:lang w:eastAsia="en-NZ"/>
              </w:rPr>
              <w:t>K02</w:t>
            </w:r>
          </w:p>
        </w:tc>
        <w:tc>
          <w:tcPr>
            <w:tcW w:w="1749" w:type="pct"/>
            <w:tcBorders>
              <w:top w:val="nil"/>
            </w:tcBorders>
            <w:shd w:val="clear" w:color="auto" w:fill="auto"/>
            <w:noWrap/>
            <w:hideMark/>
          </w:tcPr>
          <w:p w14:paraId="7C0B8FB7" w14:textId="77777777" w:rsidR="001B13EC" w:rsidRPr="00181EF3" w:rsidRDefault="001B13EC" w:rsidP="000667F5">
            <w:pPr>
              <w:pStyle w:val="TableText"/>
              <w:keepNext/>
              <w:rPr>
                <w:lang w:eastAsia="en-NZ"/>
              </w:rPr>
            </w:pPr>
            <w:r w:rsidRPr="00181EF3">
              <w:rPr>
                <w:lang w:eastAsia="en-NZ"/>
              </w:rPr>
              <w:t>Dental caries</w:t>
            </w:r>
          </w:p>
        </w:tc>
        <w:tc>
          <w:tcPr>
            <w:tcW w:w="652" w:type="pct"/>
            <w:tcBorders>
              <w:top w:val="nil"/>
            </w:tcBorders>
            <w:shd w:val="clear" w:color="auto" w:fill="auto"/>
            <w:noWrap/>
            <w:hideMark/>
          </w:tcPr>
          <w:p w14:paraId="62956BD2" w14:textId="77777777" w:rsidR="001B13EC" w:rsidRPr="00181EF3" w:rsidRDefault="001B13EC" w:rsidP="000667F5">
            <w:pPr>
              <w:pStyle w:val="TableText"/>
              <w:keepNext/>
              <w:jc w:val="center"/>
              <w:rPr>
                <w:lang w:eastAsia="en-NZ"/>
              </w:rPr>
            </w:pPr>
            <w:r w:rsidRPr="00181EF3">
              <w:rPr>
                <w:lang w:eastAsia="en-NZ"/>
              </w:rPr>
              <w:t>All</w:t>
            </w:r>
          </w:p>
        </w:tc>
        <w:tc>
          <w:tcPr>
            <w:tcW w:w="933" w:type="pct"/>
            <w:tcBorders>
              <w:top w:val="nil"/>
            </w:tcBorders>
            <w:shd w:val="clear" w:color="auto" w:fill="auto"/>
            <w:noWrap/>
            <w:hideMark/>
          </w:tcPr>
          <w:p w14:paraId="1956395F" w14:textId="77777777" w:rsidR="001B13EC" w:rsidRPr="00181EF3" w:rsidRDefault="001B13EC" w:rsidP="000667F5">
            <w:pPr>
              <w:pStyle w:val="TableText"/>
              <w:keepNext/>
              <w:jc w:val="center"/>
              <w:rPr>
                <w:lang w:eastAsia="en-NZ"/>
              </w:rPr>
            </w:pPr>
            <w:r w:rsidRPr="00181EF3">
              <w:rPr>
                <w:lang w:eastAsia="en-NZ"/>
              </w:rPr>
              <w:t>Yes</w:t>
            </w:r>
          </w:p>
        </w:tc>
      </w:tr>
      <w:tr w:rsidR="001B13EC" w:rsidRPr="00181EF3" w14:paraId="2167B1BB" w14:textId="77777777" w:rsidTr="001B13EC">
        <w:trPr>
          <w:cantSplit/>
        </w:trPr>
        <w:tc>
          <w:tcPr>
            <w:tcW w:w="1051" w:type="pct"/>
            <w:vMerge/>
            <w:shd w:val="clear" w:color="auto" w:fill="auto"/>
            <w:noWrap/>
          </w:tcPr>
          <w:p w14:paraId="0BA6FCC3" w14:textId="77777777" w:rsidR="001B13EC" w:rsidRPr="00181EF3" w:rsidRDefault="001B13EC" w:rsidP="000667F5">
            <w:pPr>
              <w:pStyle w:val="TableText"/>
              <w:keepNext/>
              <w:rPr>
                <w:lang w:eastAsia="en-NZ"/>
              </w:rPr>
            </w:pPr>
          </w:p>
        </w:tc>
        <w:tc>
          <w:tcPr>
            <w:tcW w:w="615" w:type="pct"/>
            <w:shd w:val="clear" w:color="auto" w:fill="auto"/>
            <w:noWrap/>
            <w:hideMark/>
          </w:tcPr>
          <w:p w14:paraId="203B6F8D" w14:textId="77777777" w:rsidR="001B13EC" w:rsidRPr="00181EF3" w:rsidRDefault="001B13EC" w:rsidP="000667F5">
            <w:pPr>
              <w:pStyle w:val="TableText"/>
              <w:keepNext/>
              <w:jc w:val="center"/>
              <w:rPr>
                <w:lang w:eastAsia="en-NZ"/>
              </w:rPr>
            </w:pPr>
            <w:r w:rsidRPr="00181EF3">
              <w:rPr>
                <w:lang w:eastAsia="en-NZ"/>
              </w:rPr>
              <w:t>K04</w:t>
            </w:r>
          </w:p>
        </w:tc>
        <w:tc>
          <w:tcPr>
            <w:tcW w:w="1749" w:type="pct"/>
            <w:shd w:val="clear" w:color="auto" w:fill="auto"/>
            <w:noWrap/>
            <w:hideMark/>
          </w:tcPr>
          <w:p w14:paraId="23333C3B" w14:textId="77777777" w:rsidR="001B13EC" w:rsidRPr="00181EF3" w:rsidRDefault="001B13EC" w:rsidP="000667F5">
            <w:pPr>
              <w:pStyle w:val="TableText"/>
              <w:keepNext/>
              <w:rPr>
                <w:lang w:eastAsia="en-NZ"/>
              </w:rPr>
            </w:pPr>
            <w:r w:rsidRPr="00181EF3">
              <w:rPr>
                <w:lang w:eastAsia="en-NZ"/>
              </w:rPr>
              <w:t>Diseases of pulp and periapical tissues</w:t>
            </w:r>
          </w:p>
        </w:tc>
        <w:tc>
          <w:tcPr>
            <w:tcW w:w="652" w:type="pct"/>
            <w:shd w:val="clear" w:color="auto" w:fill="auto"/>
            <w:noWrap/>
            <w:hideMark/>
          </w:tcPr>
          <w:p w14:paraId="7F9A6C43" w14:textId="77777777" w:rsidR="001B13EC" w:rsidRPr="00181EF3" w:rsidRDefault="001B13EC" w:rsidP="000667F5">
            <w:pPr>
              <w:pStyle w:val="TableText"/>
              <w:keepNext/>
              <w:jc w:val="center"/>
              <w:rPr>
                <w:lang w:eastAsia="en-NZ"/>
              </w:rPr>
            </w:pPr>
            <w:r w:rsidRPr="00181EF3">
              <w:rPr>
                <w:lang w:eastAsia="en-NZ"/>
              </w:rPr>
              <w:t>All</w:t>
            </w:r>
          </w:p>
        </w:tc>
        <w:tc>
          <w:tcPr>
            <w:tcW w:w="933" w:type="pct"/>
            <w:shd w:val="clear" w:color="auto" w:fill="auto"/>
            <w:noWrap/>
            <w:hideMark/>
          </w:tcPr>
          <w:p w14:paraId="62383575" w14:textId="77777777" w:rsidR="001B13EC" w:rsidRPr="00181EF3" w:rsidRDefault="001B13EC" w:rsidP="000667F5">
            <w:pPr>
              <w:pStyle w:val="TableText"/>
              <w:keepNext/>
              <w:jc w:val="center"/>
              <w:rPr>
                <w:lang w:eastAsia="en-NZ"/>
              </w:rPr>
            </w:pPr>
            <w:r w:rsidRPr="00181EF3">
              <w:rPr>
                <w:lang w:eastAsia="en-NZ"/>
              </w:rPr>
              <w:t>Yes</w:t>
            </w:r>
          </w:p>
        </w:tc>
      </w:tr>
      <w:tr w:rsidR="001B13EC" w:rsidRPr="00181EF3" w14:paraId="6FF1997E" w14:textId="77777777" w:rsidTr="001B13EC">
        <w:trPr>
          <w:cantSplit/>
        </w:trPr>
        <w:tc>
          <w:tcPr>
            <w:tcW w:w="1051" w:type="pct"/>
            <w:vMerge/>
            <w:tcBorders>
              <w:bottom w:val="single" w:sz="4" w:space="0" w:color="A6A6A6" w:themeColor="background1" w:themeShade="A6"/>
            </w:tcBorders>
            <w:shd w:val="clear" w:color="auto" w:fill="auto"/>
            <w:noWrap/>
          </w:tcPr>
          <w:p w14:paraId="221A1FD0" w14:textId="77777777" w:rsidR="001B13EC" w:rsidRPr="00181EF3" w:rsidRDefault="001B13EC" w:rsidP="001B13EC">
            <w:pPr>
              <w:pStyle w:val="TableText"/>
              <w:rPr>
                <w:lang w:eastAsia="en-NZ"/>
              </w:rPr>
            </w:pPr>
          </w:p>
        </w:tc>
        <w:tc>
          <w:tcPr>
            <w:tcW w:w="615" w:type="pct"/>
            <w:tcBorders>
              <w:bottom w:val="single" w:sz="4" w:space="0" w:color="A6A6A6" w:themeColor="background1" w:themeShade="A6"/>
            </w:tcBorders>
            <w:shd w:val="clear" w:color="auto" w:fill="auto"/>
            <w:noWrap/>
            <w:hideMark/>
          </w:tcPr>
          <w:p w14:paraId="5F432FF9" w14:textId="77777777" w:rsidR="001B13EC" w:rsidRPr="00181EF3" w:rsidRDefault="001B13EC" w:rsidP="001B13EC">
            <w:pPr>
              <w:pStyle w:val="TableText"/>
              <w:jc w:val="center"/>
              <w:rPr>
                <w:lang w:eastAsia="en-NZ"/>
              </w:rPr>
            </w:pPr>
            <w:r w:rsidRPr="00181EF3">
              <w:rPr>
                <w:lang w:eastAsia="en-NZ"/>
              </w:rPr>
              <w:t>K05</w:t>
            </w:r>
          </w:p>
        </w:tc>
        <w:tc>
          <w:tcPr>
            <w:tcW w:w="1749" w:type="pct"/>
            <w:tcBorders>
              <w:bottom w:val="single" w:sz="4" w:space="0" w:color="A6A6A6" w:themeColor="background1" w:themeShade="A6"/>
            </w:tcBorders>
            <w:shd w:val="clear" w:color="auto" w:fill="auto"/>
            <w:noWrap/>
            <w:hideMark/>
          </w:tcPr>
          <w:p w14:paraId="2F945340" w14:textId="77777777" w:rsidR="001B13EC" w:rsidRPr="00181EF3" w:rsidRDefault="001B13EC" w:rsidP="001B13EC">
            <w:pPr>
              <w:pStyle w:val="TableText"/>
              <w:rPr>
                <w:lang w:eastAsia="en-NZ"/>
              </w:rPr>
            </w:pPr>
            <w:r w:rsidRPr="00181EF3">
              <w:rPr>
                <w:lang w:eastAsia="en-NZ"/>
              </w:rPr>
              <w:t>Gingivitis and periodontal diseases</w:t>
            </w:r>
          </w:p>
        </w:tc>
        <w:tc>
          <w:tcPr>
            <w:tcW w:w="652" w:type="pct"/>
            <w:tcBorders>
              <w:bottom w:val="single" w:sz="4" w:space="0" w:color="A6A6A6" w:themeColor="background1" w:themeShade="A6"/>
            </w:tcBorders>
            <w:shd w:val="clear" w:color="auto" w:fill="auto"/>
            <w:noWrap/>
            <w:hideMark/>
          </w:tcPr>
          <w:p w14:paraId="684A9863" w14:textId="77777777" w:rsidR="001B13EC" w:rsidRPr="00181EF3" w:rsidRDefault="001B13EC" w:rsidP="001B13EC">
            <w:pPr>
              <w:pStyle w:val="TableText"/>
              <w:jc w:val="center"/>
              <w:rPr>
                <w:lang w:eastAsia="en-NZ"/>
              </w:rPr>
            </w:pPr>
            <w:r w:rsidRPr="00181EF3">
              <w:rPr>
                <w:lang w:eastAsia="en-NZ"/>
              </w:rPr>
              <w:t>All</w:t>
            </w:r>
          </w:p>
        </w:tc>
        <w:tc>
          <w:tcPr>
            <w:tcW w:w="933" w:type="pct"/>
            <w:tcBorders>
              <w:bottom w:val="single" w:sz="4" w:space="0" w:color="A6A6A6" w:themeColor="background1" w:themeShade="A6"/>
            </w:tcBorders>
            <w:shd w:val="clear" w:color="auto" w:fill="auto"/>
            <w:noWrap/>
            <w:hideMark/>
          </w:tcPr>
          <w:p w14:paraId="10C4FB83" w14:textId="77777777" w:rsidR="001B13EC" w:rsidRPr="00181EF3" w:rsidRDefault="001B13EC" w:rsidP="001B13EC">
            <w:pPr>
              <w:pStyle w:val="TableText"/>
              <w:jc w:val="center"/>
              <w:rPr>
                <w:lang w:eastAsia="en-NZ"/>
              </w:rPr>
            </w:pPr>
            <w:r w:rsidRPr="00181EF3">
              <w:rPr>
                <w:lang w:eastAsia="en-NZ"/>
              </w:rPr>
              <w:t>Yes</w:t>
            </w:r>
          </w:p>
        </w:tc>
      </w:tr>
      <w:tr w:rsidR="001B13EC" w:rsidRPr="00181EF3" w14:paraId="7FBA6A14" w14:textId="77777777" w:rsidTr="001B13EC">
        <w:trPr>
          <w:cantSplit/>
        </w:trPr>
        <w:tc>
          <w:tcPr>
            <w:tcW w:w="1051" w:type="pct"/>
            <w:tcBorders>
              <w:top w:val="single" w:sz="4" w:space="0" w:color="A6A6A6" w:themeColor="background1" w:themeShade="A6"/>
              <w:bottom w:val="nil"/>
            </w:tcBorders>
            <w:shd w:val="clear" w:color="auto" w:fill="F2F2F2" w:themeFill="background1" w:themeFillShade="F2"/>
            <w:noWrap/>
            <w:hideMark/>
          </w:tcPr>
          <w:p w14:paraId="229A6CDD" w14:textId="77777777" w:rsidR="001B13EC" w:rsidRPr="00181EF3" w:rsidRDefault="001B13EC" w:rsidP="001B13EC">
            <w:pPr>
              <w:pStyle w:val="TableText"/>
              <w:rPr>
                <w:b/>
                <w:lang w:eastAsia="en-NZ"/>
              </w:rPr>
            </w:pPr>
            <w:r w:rsidRPr="00181EF3">
              <w:rPr>
                <w:b/>
                <w:lang w:eastAsia="en-NZ"/>
              </w:rPr>
              <w:t>Dermatological</w:t>
            </w:r>
          </w:p>
        </w:tc>
        <w:tc>
          <w:tcPr>
            <w:tcW w:w="615" w:type="pct"/>
            <w:tcBorders>
              <w:top w:val="single" w:sz="4" w:space="0" w:color="A6A6A6" w:themeColor="background1" w:themeShade="A6"/>
              <w:bottom w:val="nil"/>
            </w:tcBorders>
            <w:shd w:val="clear" w:color="auto" w:fill="F2F2F2" w:themeFill="background1" w:themeFillShade="F2"/>
            <w:noWrap/>
            <w:hideMark/>
          </w:tcPr>
          <w:p w14:paraId="194F17F4" w14:textId="77777777" w:rsidR="001B13EC" w:rsidRPr="00181EF3" w:rsidRDefault="001B13EC" w:rsidP="001B13EC">
            <w:pPr>
              <w:pStyle w:val="TableText"/>
              <w:jc w:val="center"/>
              <w:rPr>
                <w:b/>
                <w:lang w:eastAsia="en-NZ"/>
              </w:rPr>
            </w:pPr>
          </w:p>
        </w:tc>
        <w:tc>
          <w:tcPr>
            <w:tcW w:w="1749" w:type="pct"/>
            <w:tcBorders>
              <w:top w:val="single" w:sz="4" w:space="0" w:color="A6A6A6" w:themeColor="background1" w:themeShade="A6"/>
              <w:bottom w:val="nil"/>
            </w:tcBorders>
            <w:shd w:val="clear" w:color="auto" w:fill="F2F2F2" w:themeFill="background1" w:themeFillShade="F2"/>
            <w:noWrap/>
            <w:hideMark/>
          </w:tcPr>
          <w:p w14:paraId="0A56B1ED" w14:textId="77777777" w:rsidR="001B13EC" w:rsidRPr="00181EF3" w:rsidRDefault="001B13EC" w:rsidP="001B13EC">
            <w:pPr>
              <w:pStyle w:val="TableText"/>
              <w:rPr>
                <w:b/>
                <w:lang w:eastAsia="en-NZ"/>
              </w:rPr>
            </w:pPr>
          </w:p>
        </w:tc>
        <w:tc>
          <w:tcPr>
            <w:tcW w:w="652" w:type="pct"/>
            <w:tcBorders>
              <w:top w:val="single" w:sz="4" w:space="0" w:color="A6A6A6" w:themeColor="background1" w:themeShade="A6"/>
              <w:bottom w:val="nil"/>
            </w:tcBorders>
            <w:shd w:val="clear" w:color="auto" w:fill="F2F2F2" w:themeFill="background1" w:themeFillShade="F2"/>
            <w:noWrap/>
            <w:hideMark/>
          </w:tcPr>
          <w:p w14:paraId="3AF4931C" w14:textId="77777777" w:rsidR="001B13EC" w:rsidRPr="00181EF3" w:rsidRDefault="001B13EC" w:rsidP="001B13EC">
            <w:pPr>
              <w:pStyle w:val="TableText"/>
              <w:jc w:val="center"/>
              <w:rPr>
                <w:b/>
                <w:lang w:eastAsia="en-NZ"/>
              </w:rPr>
            </w:pPr>
          </w:p>
        </w:tc>
        <w:tc>
          <w:tcPr>
            <w:tcW w:w="933" w:type="pct"/>
            <w:tcBorders>
              <w:top w:val="single" w:sz="4" w:space="0" w:color="A6A6A6" w:themeColor="background1" w:themeShade="A6"/>
              <w:bottom w:val="nil"/>
            </w:tcBorders>
            <w:shd w:val="clear" w:color="auto" w:fill="F2F2F2" w:themeFill="background1" w:themeFillShade="F2"/>
            <w:noWrap/>
            <w:hideMark/>
          </w:tcPr>
          <w:p w14:paraId="53BC73FC" w14:textId="77777777" w:rsidR="001B13EC" w:rsidRPr="00181EF3" w:rsidRDefault="001B13EC" w:rsidP="001B13EC">
            <w:pPr>
              <w:pStyle w:val="TableText"/>
              <w:jc w:val="center"/>
              <w:rPr>
                <w:b/>
                <w:lang w:eastAsia="en-NZ"/>
              </w:rPr>
            </w:pPr>
          </w:p>
        </w:tc>
      </w:tr>
      <w:tr w:rsidR="001B13EC" w:rsidRPr="00181EF3" w14:paraId="39710064" w14:textId="77777777" w:rsidTr="001B13EC">
        <w:trPr>
          <w:cantSplit/>
        </w:trPr>
        <w:tc>
          <w:tcPr>
            <w:tcW w:w="1051" w:type="pct"/>
            <w:vMerge w:val="restart"/>
            <w:tcBorders>
              <w:top w:val="nil"/>
            </w:tcBorders>
            <w:shd w:val="clear" w:color="auto" w:fill="auto"/>
            <w:noWrap/>
            <w:hideMark/>
          </w:tcPr>
          <w:p w14:paraId="2D8471CF" w14:textId="77777777" w:rsidR="001B13EC" w:rsidRPr="00181EF3" w:rsidRDefault="001B13EC" w:rsidP="001B13EC">
            <w:pPr>
              <w:pStyle w:val="TableText"/>
              <w:rPr>
                <w:lang w:eastAsia="en-NZ"/>
              </w:rPr>
            </w:pPr>
            <w:r w:rsidRPr="00181EF3">
              <w:rPr>
                <w:lang w:eastAsia="en-NZ"/>
              </w:rPr>
              <w:t>Cellulitis</w:t>
            </w:r>
          </w:p>
        </w:tc>
        <w:tc>
          <w:tcPr>
            <w:tcW w:w="615" w:type="pct"/>
            <w:tcBorders>
              <w:top w:val="nil"/>
            </w:tcBorders>
            <w:shd w:val="clear" w:color="auto" w:fill="auto"/>
            <w:hideMark/>
          </w:tcPr>
          <w:p w14:paraId="4D0EE572" w14:textId="77777777" w:rsidR="001B13EC" w:rsidRPr="00181EF3" w:rsidRDefault="001B13EC" w:rsidP="001B13EC">
            <w:pPr>
              <w:pStyle w:val="TableText"/>
              <w:jc w:val="center"/>
              <w:rPr>
                <w:lang w:eastAsia="en-NZ"/>
              </w:rPr>
            </w:pPr>
            <w:r w:rsidRPr="00181EF3">
              <w:rPr>
                <w:lang w:eastAsia="en-NZ"/>
              </w:rPr>
              <w:t>L01</w:t>
            </w:r>
          </w:p>
        </w:tc>
        <w:tc>
          <w:tcPr>
            <w:tcW w:w="1749" w:type="pct"/>
            <w:tcBorders>
              <w:top w:val="nil"/>
            </w:tcBorders>
            <w:shd w:val="clear" w:color="auto" w:fill="auto"/>
            <w:noWrap/>
            <w:hideMark/>
          </w:tcPr>
          <w:p w14:paraId="4F8518AF" w14:textId="77777777" w:rsidR="001B13EC" w:rsidRPr="00181EF3" w:rsidRDefault="001B13EC" w:rsidP="001B13EC">
            <w:pPr>
              <w:pStyle w:val="TableText"/>
              <w:rPr>
                <w:lang w:eastAsia="en-NZ"/>
              </w:rPr>
            </w:pPr>
            <w:r w:rsidRPr="00181EF3">
              <w:rPr>
                <w:lang w:eastAsia="en-NZ"/>
              </w:rPr>
              <w:t>Impetigo</w:t>
            </w:r>
          </w:p>
        </w:tc>
        <w:tc>
          <w:tcPr>
            <w:tcW w:w="652" w:type="pct"/>
            <w:tcBorders>
              <w:top w:val="nil"/>
            </w:tcBorders>
            <w:shd w:val="clear" w:color="auto" w:fill="auto"/>
            <w:noWrap/>
            <w:hideMark/>
          </w:tcPr>
          <w:p w14:paraId="4010DC59" w14:textId="77777777" w:rsidR="001B13EC" w:rsidRPr="00181EF3" w:rsidRDefault="001B13EC" w:rsidP="001B13EC">
            <w:pPr>
              <w:pStyle w:val="TableText"/>
              <w:jc w:val="center"/>
              <w:rPr>
                <w:lang w:eastAsia="en-NZ"/>
              </w:rPr>
            </w:pPr>
            <w:r w:rsidRPr="00181EF3">
              <w:rPr>
                <w:lang w:eastAsia="en-NZ"/>
              </w:rPr>
              <w:t>All</w:t>
            </w:r>
          </w:p>
        </w:tc>
        <w:tc>
          <w:tcPr>
            <w:tcW w:w="933" w:type="pct"/>
            <w:tcBorders>
              <w:top w:val="nil"/>
            </w:tcBorders>
            <w:shd w:val="clear" w:color="auto" w:fill="auto"/>
            <w:noWrap/>
            <w:hideMark/>
          </w:tcPr>
          <w:p w14:paraId="61E215F3"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74190065" w14:textId="77777777" w:rsidTr="001B13EC">
        <w:trPr>
          <w:cantSplit/>
        </w:trPr>
        <w:tc>
          <w:tcPr>
            <w:tcW w:w="1051" w:type="pct"/>
            <w:vMerge/>
            <w:shd w:val="clear" w:color="auto" w:fill="auto"/>
            <w:noWrap/>
          </w:tcPr>
          <w:p w14:paraId="3F28D27F" w14:textId="77777777" w:rsidR="001B13EC" w:rsidRPr="00181EF3" w:rsidRDefault="001B13EC" w:rsidP="001B13EC">
            <w:pPr>
              <w:pStyle w:val="TableText"/>
              <w:rPr>
                <w:lang w:eastAsia="en-NZ"/>
              </w:rPr>
            </w:pPr>
          </w:p>
        </w:tc>
        <w:tc>
          <w:tcPr>
            <w:tcW w:w="615" w:type="pct"/>
            <w:shd w:val="clear" w:color="auto" w:fill="auto"/>
            <w:hideMark/>
          </w:tcPr>
          <w:p w14:paraId="1C2027A2" w14:textId="77777777" w:rsidR="001B13EC" w:rsidRPr="00181EF3" w:rsidRDefault="001B13EC" w:rsidP="001B13EC">
            <w:pPr>
              <w:pStyle w:val="TableText"/>
              <w:jc w:val="center"/>
              <w:rPr>
                <w:lang w:eastAsia="en-NZ"/>
              </w:rPr>
            </w:pPr>
            <w:r w:rsidRPr="00181EF3">
              <w:rPr>
                <w:lang w:eastAsia="en-NZ"/>
              </w:rPr>
              <w:t>L02</w:t>
            </w:r>
          </w:p>
        </w:tc>
        <w:tc>
          <w:tcPr>
            <w:tcW w:w="1749" w:type="pct"/>
            <w:shd w:val="clear" w:color="auto" w:fill="auto"/>
            <w:noWrap/>
            <w:hideMark/>
          </w:tcPr>
          <w:p w14:paraId="189D2EFF" w14:textId="77777777" w:rsidR="001B13EC" w:rsidRPr="00181EF3" w:rsidRDefault="001B13EC" w:rsidP="001B13EC">
            <w:pPr>
              <w:pStyle w:val="TableText"/>
              <w:rPr>
                <w:lang w:eastAsia="en-NZ"/>
              </w:rPr>
            </w:pPr>
            <w:r w:rsidRPr="00181EF3">
              <w:rPr>
                <w:lang w:eastAsia="en-NZ"/>
              </w:rPr>
              <w:t>Cutaneous abscess, furuncle and carbuncle</w:t>
            </w:r>
          </w:p>
        </w:tc>
        <w:tc>
          <w:tcPr>
            <w:tcW w:w="652" w:type="pct"/>
            <w:shd w:val="clear" w:color="auto" w:fill="auto"/>
            <w:noWrap/>
            <w:hideMark/>
          </w:tcPr>
          <w:p w14:paraId="6120A881"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3CED3BB9"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63ADC838" w14:textId="77777777" w:rsidTr="001B13EC">
        <w:trPr>
          <w:cantSplit/>
        </w:trPr>
        <w:tc>
          <w:tcPr>
            <w:tcW w:w="1051" w:type="pct"/>
            <w:vMerge/>
            <w:shd w:val="clear" w:color="auto" w:fill="auto"/>
            <w:noWrap/>
          </w:tcPr>
          <w:p w14:paraId="7E311ADF" w14:textId="77777777" w:rsidR="001B13EC" w:rsidRPr="00181EF3" w:rsidRDefault="001B13EC" w:rsidP="001B13EC">
            <w:pPr>
              <w:pStyle w:val="TableText"/>
              <w:rPr>
                <w:lang w:eastAsia="en-NZ"/>
              </w:rPr>
            </w:pPr>
          </w:p>
        </w:tc>
        <w:tc>
          <w:tcPr>
            <w:tcW w:w="615" w:type="pct"/>
            <w:shd w:val="clear" w:color="auto" w:fill="auto"/>
            <w:hideMark/>
          </w:tcPr>
          <w:p w14:paraId="3CE0EAB4" w14:textId="77777777" w:rsidR="001B13EC" w:rsidRPr="00181EF3" w:rsidRDefault="001B13EC" w:rsidP="001B13EC">
            <w:pPr>
              <w:pStyle w:val="TableText"/>
              <w:jc w:val="center"/>
              <w:rPr>
                <w:lang w:eastAsia="en-NZ"/>
              </w:rPr>
            </w:pPr>
            <w:r w:rsidRPr="00181EF3">
              <w:rPr>
                <w:lang w:eastAsia="en-NZ"/>
              </w:rPr>
              <w:t>L03</w:t>
            </w:r>
          </w:p>
        </w:tc>
        <w:tc>
          <w:tcPr>
            <w:tcW w:w="1749" w:type="pct"/>
            <w:shd w:val="clear" w:color="auto" w:fill="auto"/>
            <w:noWrap/>
            <w:hideMark/>
          </w:tcPr>
          <w:p w14:paraId="1B98C173" w14:textId="77777777" w:rsidR="001B13EC" w:rsidRPr="00181EF3" w:rsidRDefault="001B13EC" w:rsidP="001B13EC">
            <w:pPr>
              <w:pStyle w:val="TableText"/>
              <w:rPr>
                <w:lang w:eastAsia="en-NZ"/>
              </w:rPr>
            </w:pPr>
            <w:r w:rsidRPr="00181EF3">
              <w:rPr>
                <w:lang w:eastAsia="en-NZ"/>
              </w:rPr>
              <w:t>Cellulitis</w:t>
            </w:r>
          </w:p>
        </w:tc>
        <w:tc>
          <w:tcPr>
            <w:tcW w:w="652" w:type="pct"/>
            <w:shd w:val="clear" w:color="auto" w:fill="auto"/>
            <w:noWrap/>
            <w:hideMark/>
          </w:tcPr>
          <w:p w14:paraId="4E422C3F"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5BA85410"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24779D0E" w14:textId="77777777" w:rsidTr="001B13EC">
        <w:trPr>
          <w:cantSplit/>
        </w:trPr>
        <w:tc>
          <w:tcPr>
            <w:tcW w:w="1051" w:type="pct"/>
            <w:vMerge/>
            <w:shd w:val="clear" w:color="auto" w:fill="auto"/>
            <w:noWrap/>
          </w:tcPr>
          <w:p w14:paraId="1CE70774" w14:textId="77777777" w:rsidR="001B13EC" w:rsidRPr="00181EF3" w:rsidRDefault="001B13EC" w:rsidP="001B13EC">
            <w:pPr>
              <w:pStyle w:val="TableText"/>
              <w:rPr>
                <w:lang w:eastAsia="en-NZ"/>
              </w:rPr>
            </w:pPr>
          </w:p>
        </w:tc>
        <w:tc>
          <w:tcPr>
            <w:tcW w:w="615" w:type="pct"/>
            <w:shd w:val="clear" w:color="auto" w:fill="auto"/>
            <w:hideMark/>
          </w:tcPr>
          <w:p w14:paraId="6615B153" w14:textId="77777777" w:rsidR="001B13EC" w:rsidRPr="00181EF3" w:rsidRDefault="001B13EC" w:rsidP="001B13EC">
            <w:pPr>
              <w:pStyle w:val="TableText"/>
              <w:jc w:val="center"/>
              <w:rPr>
                <w:lang w:eastAsia="en-NZ"/>
              </w:rPr>
            </w:pPr>
            <w:r w:rsidRPr="00181EF3">
              <w:rPr>
                <w:lang w:eastAsia="en-NZ"/>
              </w:rPr>
              <w:t>L04</w:t>
            </w:r>
          </w:p>
        </w:tc>
        <w:tc>
          <w:tcPr>
            <w:tcW w:w="1749" w:type="pct"/>
            <w:shd w:val="clear" w:color="auto" w:fill="auto"/>
            <w:noWrap/>
            <w:hideMark/>
          </w:tcPr>
          <w:p w14:paraId="6940A23A" w14:textId="77777777" w:rsidR="001B13EC" w:rsidRPr="00181EF3" w:rsidRDefault="001B13EC" w:rsidP="001B13EC">
            <w:pPr>
              <w:pStyle w:val="TableText"/>
              <w:rPr>
                <w:lang w:eastAsia="en-NZ"/>
              </w:rPr>
            </w:pPr>
            <w:r w:rsidRPr="00181EF3">
              <w:rPr>
                <w:lang w:eastAsia="en-NZ"/>
              </w:rPr>
              <w:t>Acute lymphadenitis</w:t>
            </w:r>
          </w:p>
        </w:tc>
        <w:tc>
          <w:tcPr>
            <w:tcW w:w="652" w:type="pct"/>
            <w:shd w:val="clear" w:color="auto" w:fill="auto"/>
            <w:noWrap/>
            <w:hideMark/>
          </w:tcPr>
          <w:p w14:paraId="6F9C8C8B"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63C8ABE7"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33976E2B" w14:textId="77777777" w:rsidTr="001B13EC">
        <w:trPr>
          <w:cantSplit/>
        </w:trPr>
        <w:tc>
          <w:tcPr>
            <w:tcW w:w="1051" w:type="pct"/>
            <w:vMerge/>
            <w:shd w:val="clear" w:color="auto" w:fill="auto"/>
            <w:noWrap/>
          </w:tcPr>
          <w:p w14:paraId="1BD0D74A" w14:textId="77777777" w:rsidR="001B13EC" w:rsidRPr="00181EF3" w:rsidRDefault="001B13EC" w:rsidP="001B13EC">
            <w:pPr>
              <w:pStyle w:val="TableText"/>
              <w:rPr>
                <w:lang w:eastAsia="en-NZ"/>
              </w:rPr>
            </w:pPr>
          </w:p>
        </w:tc>
        <w:tc>
          <w:tcPr>
            <w:tcW w:w="615" w:type="pct"/>
            <w:shd w:val="clear" w:color="auto" w:fill="auto"/>
            <w:hideMark/>
          </w:tcPr>
          <w:p w14:paraId="35DFE403" w14:textId="77777777" w:rsidR="001B13EC" w:rsidRPr="00181EF3" w:rsidRDefault="001B13EC" w:rsidP="001B13EC">
            <w:pPr>
              <w:pStyle w:val="TableText"/>
              <w:jc w:val="center"/>
              <w:rPr>
                <w:lang w:eastAsia="en-NZ"/>
              </w:rPr>
            </w:pPr>
            <w:r w:rsidRPr="00181EF3">
              <w:rPr>
                <w:lang w:eastAsia="en-NZ"/>
              </w:rPr>
              <w:t>L08</w:t>
            </w:r>
          </w:p>
        </w:tc>
        <w:tc>
          <w:tcPr>
            <w:tcW w:w="1749" w:type="pct"/>
            <w:shd w:val="clear" w:color="auto" w:fill="auto"/>
            <w:noWrap/>
            <w:hideMark/>
          </w:tcPr>
          <w:p w14:paraId="693B0E6B" w14:textId="77777777" w:rsidR="001B13EC" w:rsidRPr="00181EF3" w:rsidRDefault="001B13EC" w:rsidP="001B13EC">
            <w:pPr>
              <w:pStyle w:val="TableText"/>
              <w:rPr>
                <w:lang w:eastAsia="en-NZ"/>
              </w:rPr>
            </w:pPr>
            <w:r w:rsidRPr="00181EF3">
              <w:rPr>
                <w:lang w:eastAsia="en-NZ"/>
              </w:rPr>
              <w:t>Other local infections of skin and subcutaneous tissue</w:t>
            </w:r>
          </w:p>
        </w:tc>
        <w:tc>
          <w:tcPr>
            <w:tcW w:w="652" w:type="pct"/>
            <w:shd w:val="clear" w:color="auto" w:fill="auto"/>
            <w:noWrap/>
            <w:hideMark/>
          </w:tcPr>
          <w:p w14:paraId="19A51C14"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6E32F2BF"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759E721B" w14:textId="77777777" w:rsidTr="001B13EC">
        <w:trPr>
          <w:cantSplit/>
        </w:trPr>
        <w:tc>
          <w:tcPr>
            <w:tcW w:w="1051" w:type="pct"/>
            <w:vMerge/>
            <w:shd w:val="clear" w:color="auto" w:fill="auto"/>
            <w:noWrap/>
          </w:tcPr>
          <w:p w14:paraId="536A26EF" w14:textId="77777777" w:rsidR="001B13EC" w:rsidRPr="00181EF3" w:rsidRDefault="001B13EC" w:rsidP="001B13EC">
            <w:pPr>
              <w:pStyle w:val="TableText"/>
              <w:rPr>
                <w:lang w:eastAsia="en-NZ"/>
              </w:rPr>
            </w:pPr>
          </w:p>
        </w:tc>
        <w:tc>
          <w:tcPr>
            <w:tcW w:w="615" w:type="pct"/>
            <w:shd w:val="clear" w:color="auto" w:fill="auto"/>
            <w:hideMark/>
          </w:tcPr>
          <w:p w14:paraId="2A648B52" w14:textId="77777777" w:rsidR="001B13EC" w:rsidRPr="00181EF3" w:rsidRDefault="001B13EC" w:rsidP="001B13EC">
            <w:pPr>
              <w:pStyle w:val="TableText"/>
              <w:jc w:val="center"/>
              <w:rPr>
                <w:lang w:eastAsia="en-NZ"/>
              </w:rPr>
            </w:pPr>
            <w:r w:rsidRPr="00181EF3">
              <w:rPr>
                <w:lang w:eastAsia="en-NZ"/>
              </w:rPr>
              <w:t>H00</w:t>
            </w:r>
            <w:r>
              <w:rPr>
                <w:lang w:eastAsia="en-NZ"/>
              </w:rPr>
              <w:t>.</w:t>
            </w:r>
            <w:r w:rsidRPr="00181EF3">
              <w:rPr>
                <w:lang w:eastAsia="en-NZ"/>
              </w:rPr>
              <w:t>0</w:t>
            </w:r>
          </w:p>
        </w:tc>
        <w:tc>
          <w:tcPr>
            <w:tcW w:w="1749" w:type="pct"/>
            <w:shd w:val="clear" w:color="auto" w:fill="auto"/>
            <w:noWrap/>
            <w:hideMark/>
          </w:tcPr>
          <w:p w14:paraId="6E41A33A" w14:textId="77777777" w:rsidR="001B13EC" w:rsidRPr="00181EF3" w:rsidRDefault="001B13EC" w:rsidP="001B13EC">
            <w:pPr>
              <w:pStyle w:val="TableText"/>
              <w:rPr>
                <w:lang w:eastAsia="en-NZ"/>
              </w:rPr>
            </w:pPr>
            <w:r w:rsidRPr="00181EF3">
              <w:rPr>
                <w:lang w:eastAsia="en-NZ"/>
              </w:rPr>
              <w:t>Hordeolum and other deep inflammation of eyelid</w:t>
            </w:r>
          </w:p>
        </w:tc>
        <w:tc>
          <w:tcPr>
            <w:tcW w:w="652" w:type="pct"/>
            <w:shd w:val="clear" w:color="auto" w:fill="auto"/>
            <w:noWrap/>
            <w:hideMark/>
          </w:tcPr>
          <w:p w14:paraId="671FCB20"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49C0698F"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0706CA2F" w14:textId="77777777" w:rsidTr="001B13EC">
        <w:trPr>
          <w:cantSplit/>
        </w:trPr>
        <w:tc>
          <w:tcPr>
            <w:tcW w:w="1051" w:type="pct"/>
            <w:vMerge/>
            <w:shd w:val="clear" w:color="auto" w:fill="auto"/>
            <w:noWrap/>
          </w:tcPr>
          <w:p w14:paraId="5A8C69DF" w14:textId="77777777" w:rsidR="001B13EC" w:rsidRPr="00181EF3" w:rsidRDefault="001B13EC" w:rsidP="001B13EC">
            <w:pPr>
              <w:pStyle w:val="TableText"/>
              <w:rPr>
                <w:lang w:eastAsia="en-NZ"/>
              </w:rPr>
            </w:pPr>
          </w:p>
        </w:tc>
        <w:tc>
          <w:tcPr>
            <w:tcW w:w="615" w:type="pct"/>
            <w:shd w:val="clear" w:color="auto" w:fill="auto"/>
            <w:hideMark/>
          </w:tcPr>
          <w:p w14:paraId="57C677C9" w14:textId="77777777" w:rsidR="001B13EC" w:rsidRPr="00181EF3" w:rsidRDefault="001B13EC" w:rsidP="001B13EC">
            <w:pPr>
              <w:pStyle w:val="TableText"/>
              <w:jc w:val="center"/>
              <w:rPr>
                <w:lang w:eastAsia="en-NZ"/>
              </w:rPr>
            </w:pPr>
            <w:r w:rsidRPr="00181EF3">
              <w:rPr>
                <w:lang w:eastAsia="en-NZ"/>
              </w:rPr>
              <w:t>H01</w:t>
            </w:r>
            <w:r>
              <w:rPr>
                <w:lang w:eastAsia="en-NZ"/>
              </w:rPr>
              <w:t>.</w:t>
            </w:r>
            <w:r w:rsidRPr="00181EF3">
              <w:rPr>
                <w:lang w:eastAsia="en-NZ"/>
              </w:rPr>
              <w:t>0</w:t>
            </w:r>
          </w:p>
        </w:tc>
        <w:tc>
          <w:tcPr>
            <w:tcW w:w="1749" w:type="pct"/>
            <w:shd w:val="clear" w:color="auto" w:fill="auto"/>
            <w:noWrap/>
            <w:hideMark/>
          </w:tcPr>
          <w:p w14:paraId="73EE49CF" w14:textId="77777777" w:rsidR="001B13EC" w:rsidRPr="00181EF3" w:rsidRDefault="001B13EC" w:rsidP="001B13EC">
            <w:pPr>
              <w:pStyle w:val="TableText"/>
              <w:rPr>
                <w:lang w:eastAsia="en-NZ"/>
              </w:rPr>
            </w:pPr>
            <w:r w:rsidRPr="00181EF3">
              <w:rPr>
                <w:lang w:eastAsia="en-NZ"/>
              </w:rPr>
              <w:t>Blepharitis</w:t>
            </w:r>
          </w:p>
        </w:tc>
        <w:tc>
          <w:tcPr>
            <w:tcW w:w="652" w:type="pct"/>
            <w:shd w:val="clear" w:color="auto" w:fill="auto"/>
            <w:noWrap/>
            <w:hideMark/>
          </w:tcPr>
          <w:p w14:paraId="17928AB4"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6BDFE2A5"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3A198121" w14:textId="77777777" w:rsidTr="001B13EC">
        <w:trPr>
          <w:cantSplit/>
        </w:trPr>
        <w:tc>
          <w:tcPr>
            <w:tcW w:w="1051" w:type="pct"/>
            <w:vMerge/>
            <w:shd w:val="clear" w:color="auto" w:fill="auto"/>
            <w:noWrap/>
          </w:tcPr>
          <w:p w14:paraId="2A871277" w14:textId="77777777" w:rsidR="001B13EC" w:rsidRPr="00181EF3" w:rsidRDefault="001B13EC" w:rsidP="001B13EC">
            <w:pPr>
              <w:pStyle w:val="TableText"/>
              <w:rPr>
                <w:lang w:eastAsia="en-NZ"/>
              </w:rPr>
            </w:pPr>
          </w:p>
        </w:tc>
        <w:tc>
          <w:tcPr>
            <w:tcW w:w="615" w:type="pct"/>
            <w:shd w:val="clear" w:color="auto" w:fill="auto"/>
            <w:noWrap/>
            <w:hideMark/>
          </w:tcPr>
          <w:p w14:paraId="1ADC2B36" w14:textId="77777777" w:rsidR="001B13EC" w:rsidRPr="00181EF3" w:rsidRDefault="001B13EC" w:rsidP="001B13EC">
            <w:pPr>
              <w:pStyle w:val="TableText"/>
              <w:jc w:val="center"/>
              <w:rPr>
                <w:lang w:eastAsia="en-NZ"/>
              </w:rPr>
            </w:pPr>
            <w:r w:rsidRPr="00181EF3">
              <w:rPr>
                <w:lang w:eastAsia="en-NZ"/>
              </w:rPr>
              <w:t>J34</w:t>
            </w:r>
            <w:r>
              <w:rPr>
                <w:lang w:eastAsia="en-NZ"/>
              </w:rPr>
              <w:t>.</w:t>
            </w:r>
            <w:r w:rsidRPr="00181EF3">
              <w:rPr>
                <w:lang w:eastAsia="en-NZ"/>
              </w:rPr>
              <w:t>0</w:t>
            </w:r>
          </w:p>
        </w:tc>
        <w:tc>
          <w:tcPr>
            <w:tcW w:w="1749" w:type="pct"/>
            <w:shd w:val="clear" w:color="auto" w:fill="auto"/>
            <w:noWrap/>
            <w:hideMark/>
          </w:tcPr>
          <w:p w14:paraId="0B727124" w14:textId="77777777" w:rsidR="001B13EC" w:rsidRPr="00181EF3" w:rsidRDefault="001B13EC" w:rsidP="001B13EC">
            <w:pPr>
              <w:pStyle w:val="TableText"/>
              <w:rPr>
                <w:lang w:eastAsia="en-NZ"/>
              </w:rPr>
            </w:pPr>
            <w:r w:rsidRPr="00181EF3">
              <w:rPr>
                <w:lang w:eastAsia="en-NZ"/>
              </w:rPr>
              <w:t>Abscess, furuncle and carbuncle of nose</w:t>
            </w:r>
          </w:p>
        </w:tc>
        <w:tc>
          <w:tcPr>
            <w:tcW w:w="652" w:type="pct"/>
            <w:shd w:val="clear" w:color="auto" w:fill="auto"/>
            <w:noWrap/>
            <w:hideMark/>
          </w:tcPr>
          <w:p w14:paraId="406B203C"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68C07370"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57B77715" w14:textId="77777777" w:rsidTr="001B13EC">
        <w:trPr>
          <w:cantSplit/>
        </w:trPr>
        <w:tc>
          <w:tcPr>
            <w:tcW w:w="1051" w:type="pct"/>
            <w:vMerge/>
            <w:shd w:val="clear" w:color="auto" w:fill="auto"/>
            <w:noWrap/>
          </w:tcPr>
          <w:p w14:paraId="7F7BA8F9" w14:textId="77777777" w:rsidR="001B13EC" w:rsidRPr="00181EF3" w:rsidRDefault="001B13EC" w:rsidP="001B13EC">
            <w:pPr>
              <w:pStyle w:val="TableText"/>
              <w:rPr>
                <w:lang w:eastAsia="en-NZ"/>
              </w:rPr>
            </w:pPr>
          </w:p>
        </w:tc>
        <w:tc>
          <w:tcPr>
            <w:tcW w:w="615" w:type="pct"/>
            <w:shd w:val="clear" w:color="auto" w:fill="auto"/>
            <w:hideMark/>
          </w:tcPr>
          <w:p w14:paraId="460E5E6E" w14:textId="77777777" w:rsidR="001B13EC" w:rsidRPr="00181EF3" w:rsidRDefault="001B13EC" w:rsidP="001B13EC">
            <w:pPr>
              <w:pStyle w:val="TableText"/>
              <w:jc w:val="center"/>
              <w:rPr>
                <w:lang w:eastAsia="en-NZ"/>
              </w:rPr>
            </w:pPr>
            <w:r w:rsidRPr="00181EF3">
              <w:rPr>
                <w:lang w:eastAsia="en-NZ"/>
              </w:rPr>
              <w:t>L98</w:t>
            </w:r>
            <w:r>
              <w:rPr>
                <w:lang w:eastAsia="en-NZ"/>
              </w:rPr>
              <w:t>.</w:t>
            </w:r>
            <w:r w:rsidRPr="00181EF3">
              <w:rPr>
                <w:lang w:eastAsia="en-NZ"/>
              </w:rPr>
              <w:t>0</w:t>
            </w:r>
          </w:p>
        </w:tc>
        <w:tc>
          <w:tcPr>
            <w:tcW w:w="1749" w:type="pct"/>
            <w:shd w:val="clear" w:color="auto" w:fill="auto"/>
            <w:noWrap/>
            <w:hideMark/>
          </w:tcPr>
          <w:p w14:paraId="3049731C" w14:textId="77777777" w:rsidR="001B13EC" w:rsidRPr="00181EF3" w:rsidRDefault="001B13EC" w:rsidP="001B13EC">
            <w:pPr>
              <w:pStyle w:val="TableText"/>
              <w:rPr>
                <w:lang w:eastAsia="en-NZ"/>
              </w:rPr>
            </w:pPr>
            <w:r w:rsidRPr="00181EF3">
              <w:rPr>
                <w:lang w:eastAsia="en-NZ"/>
              </w:rPr>
              <w:t>Pyogenic granuloma</w:t>
            </w:r>
          </w:p>
        </w:tc>
        <w:tc>
          <w:tcPr>
            <w:tcW w:w="652" w:type="pct"/>
            <w:shd w:val="clear" w:color="auto" w:fill="auto"/>
            <w:noWrap/>
            <w:hideMark/>
          </w:tcPr>
          <w:p w14:paraId="0CD1C826"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66F81E83"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62C12263" w14:textId="77777777" w:rsidTr="001B13EC">
        <w:trPr>
          <w:cantSplit/>
        </w:trPr>
        <w:tc>
          <w:tcPr>
            <w:tcW w:w="1051" w:type="pct"/>
            <w:vMerge w:val="restart"/>
            <w:shd w:val="clear" w:color="auto" w:fill="auto"/>
            <w:noWrap/>
            <w:hideMark/>
          </w:tcPr>
          <w:p w14:paraId="34604542" w14:textId="77777777" w:rsidR="001B13EC" w:rsidRPr="00181EF3" w:rsidRDefault="001B13EC" w:rsidP="001B13EC">
            <w:pPr>
              <w:pStyle w:val="TableText"/>
              <w:rPr>
                <w:lang w:eastAsia="en-NZ"/>
              </w:rPr>
            </w:pPr>
            <w:r w:rsidRPr="00181EF3">
              <w:rPr>
                <w:lang w:eastAsia="en-NZ"/>
              </w:rPr>
              <w:t>Dermatitis and eczema</w:t>
            </w:r>
          </w:p>
        </w:tc>
        <w:tc>
          <w:tcPr>
            <w:tcW w:w="615" w:type="pct"/>
            <w:shd w:val="clear" w:color="auto" w:fill="auto"/>
            <w:hideMark/>
          </w:tcPr>
          <w:p w14:paraId="6C4DCCA4" w14:textId="77777777" w:rsidR="001B13EC" w:rsidRPr="00181EF3" w:rsidRDefault="001B13EC" w:rsidP="001B13EC">
            <w:pPr>
              <w:pStyle w:val="TableText"/>
              <w:jc w:val="center"/>
              <w:rPr>
                <w:lang w:eastAsia="en-NZ"/>
              </w:rPr>
            </w:pPr>
            <w:r w:rsidRPr="00181EF3">
              <w:rPr>
                <w:lang w:eastAsia="en-NZ"/>
              </w:rPr>
              <w:t>L20</w:t>
            </w:r>
          </w:p>
        </w:tc>
        <w:tc>
          <w:tcPr>
            <w:tcW w:w="1749" w:type="pct"/>
            <w:shd w:val="clear" w:color="auto" w:fill="auto"/>
            <w:noWrap/>
            <w:hideMark/>
          </w:tcPr>
          <w:p w14:paraId="7FB09D58" w14:textId="77777777" w:rsidR="001B13EC" w:rsidRPr="00181EF3" w:rsidRDefault="001B13EC" w:rsidP="001B13EC">
            <w:pPr>
              <w:pStyle w:val="TableText"/>
              <w:rPr>
                <w:lang w:eastAsia="en-NZ"/>
              </w:rPr>
            </w:pPr>
            <w:r w:rsidRPr="00181EF3">
              <w:rPr>
                <w:lang w:eastAsia="en-NZ"/>
              </w:rPr>
              <w:t>Atopic dermatitis</w:t>
            </w:r>
          </w:p>
        </w:tc>
        <w:tc>
          <w:tcPr>
            <w:tcW w:w="652" w:type="pct"/>
            <w:shd w:val="clear" w:color="auto" w:fill="auto"/>
            <w:noWrap/>
            <w:hideMark/>
          </w:tcPr>
          <w:p w14:paraId="35913D38"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1FE657C0"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4990FF1A" w14:textId="77777777" w:rsidTr="001B13EC">
        <w:trPr>
          <w:cantSplit/>
        </w:trPr>
        <w:tc>
          <w:tcPr>
            <w:tcW w:w="1051" w:type="pct"/>
            <w:vMerge/>
            <w:shd w:val="clear" w:color="auto" w:fill="auto"/>
            <w:noWrap/>
          </w:tcPr>
          <w:p w14:paraId="26510E4D" w14:textId="77777777" w:rsidR="001B13EC" w:rsidRPr="00181EF3" w:rsidRDefault="001B13EC" w:rsidP="001B13EC">
            <w:pPr>
              <w:pStyle w:val="TableText"/>
              <w:rPr>
                <w:lang w:eastAsia="en-NZ"/>
              </w:rPr>
            </w:pPr>
          </w:p>
        </w:tc>
        <w:tc>
          <w:tcPr>
            <w:tcW w:w="615" w:type="pct"/>
            <w:shd w:val="clear" w:color="auto" w:fill="auto"/>
            <w:hideMark/>
          </w:tcPr>
          <w:p w14:paraId="0E9E6DC0" w14:textId="77777777" w:rsidR="001B13EC" w:rsidRPr="00181EF3" w:rsidRDefault="001B13EC" w:rsidP="001B13EC">
            <w:pPr>
              <w:pStyle w:val="TableText"/>
              <w:jc w:val="center"/>
              <w:rPr>
                <w:lang w:eastAsia="en-NZ"/>
              </w:rPr>
            </w:pPr>
            <w:r w:rsidRPr="00181EF3">
              <w:rPr>
                <w:lang w:eastAsia="en-NZ"/>
              </w:rPr>
              <w:t>L21</w:t>
            </w:r>
          </w:p>
        </w:tc>
        <w:tc>
          <w:tcPr>
            <w:tcW w:w="1749" w:type="pct"/>
            <w:shd w:val="clear" w:color="auto" w:fill="auto"/>
            <w:noWrap/>
            <w:hideMark/>
          </w:tcPr>
          <w:p w14:paraId="6EE5270E" w14:textId="77777777" w:rsidR="001B13EC" w:rsidRPr="00181EF3" w:rsidRDefault="001B13EC" w:rsidP="001B13EC">
            <w:pPr>
              <w:pStyle w:val="TableText"/>
              <w:rPr>
                <w:lang w:eastAsia="en-NZ"/>
              </w:rPr>
            </w:pPr>
            <w:r w:rsidRPr="00181EF3">
              <w:rPr>
                <w:lang w:eastAsia="en-NZ"/>
              </w:rPr>
              <w:t>Seborrhoeic dermatitis</w:t>
            </w:r>
          </w:p>
        </w:tc>
        <w:tc>
          <w:tcPr>
            <w:tcW w:w="652" w:type="pct"/>
            <w:shd w:val="clear" w:color="auto" w:fill="auto"/>
            <w:noWrap/>
            <w:hideMark/>
          </w:tcPr>
          <w:p w14:paraId="681828CA"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01E1AC05"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74EAB117" w14:textId="77777777" w:rsidTr="001B13EC">
        <w:trPr>
          <w:cantSplit/>
        </w:trPr>
        <w:tc>
          <w:tcPr>
            <w:tcW w:w="1051" w:type="pct"/>
            <w:vMerge/>
            <w:shd w:val="clear" w:color="auto" w:fill="auto"/>
            <w:noWrap/>
          </w:tcPr>
          <w:p w14:paraId="5A9766A2" w14:textId="77777777" w:rsidR="001B13EC" w:rsidRPr="00181EF3" w:rsidRDefault="001B13EC" w:rsidP="001B13EC">
            <w:pPr>
              <w:pStyle w:val="TableText"/>
              <w:rPr>
                <w:lang w:eastAsia="en-NZ"/>
              </w:rPr>
            </w:pPr>
          </w:p>
        </w:tc>
        <w:tc>
          <w:tcPr>
            <w:tcW w:w="615" w:type="pct"/>
            <w:shd w:val="clear" w:color="auto" w:fill="auto"/>
            <w:hideMark/>
          </w:tcPr>
          <w:p w14:paraId="7D492BB1" w14:textId="77777777" w:rsidR="001B13EC" w:rsidRPr="00181EF3" w:rsidRDefault="001B13EC" w:rsidP="001B13EC">
            <w:pPr>
              <w:pStyle w:val="TableText"/>
              <w:jc w:val="center"/>
              <w:rPr>
                <w:lang w:eastAsia="en-NZ"/>
              </w:rPr>
            </w:pPr>
            <w:r w:rsidRPr="00181EF3">
              <w:rPr>
                <w:lang w:eastAsia="en-NZ"/>
              </w:rPr>
              <w:t>L22</w:t>
            </w:r>
          </w:p>
        </w:tc>
        <w:tc>
          <w:tcPr>
            <w:tcW w:w="1749" w:type="pct"/>
            <w:shd w:val="clear" w:color="auto" w:fill="auto"/>
            <w:noWrap/>
            <w:hideMark/>
          </w:tcPr>
          <w:p w14:paraId="7B1E1324" w14:textId="77777777" w:rsidR="001B13EC" w:rsidRPr="00181EF3" w:rsidRDefault="001B13EC" w:rsidP="001B13EC">
            <w:pPr>
              <w:pStyle w:val="TableText"/>
              <w:rPr>
                <w:lang w:eastAsia="en-NZ"/>
              </w:rPr>
            </w:pPr>
            <w:r w:rsidRPr="00181EF3">
              <w:rPr>
                <w:lang w:eastAsia="en-NZ"/>
              </w:rPr>
              <w:t>Diaper [napkin] dermatitis</w:t>
            </w:r>
          </w:p>
        </w:tc>
        <w:tc>
          <w:tcPr>
            <w:tcW w:w="652" w:type="pct"/>
            <w:shd w:val="clear" w:color="auto" w:fill="auto"/>
            <w:noWrap/>
            <w:hideMark/>
          </w:tcPr>
          <w:p w14:paraId="4BD1575F"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3911A4C3"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5B2DA84A" w14:textId="77777777" w:rsidTr="001B13EC">
        <w:trPr>
          <w:cantSplit/>
        </w:trPr>
        <w:tc>
          <w:tcPr>
            <w:tcW w:w="1051" w:type="pct"/>
            <w:vMerge/>
            <w:shd w:val="clear" w:color="auto" w:fill="auto"/>
            <w:noWrap/>
          </w:tcPr>
          <w:p w14:paraId="6A98C0E7" w14:textId="77777777" w:rsidR="001B13EC" w:rsidRPr="00181EF3" w:rsidRDefault="001B13EC" w:rsidP="001B13EC">
            <w:pPr>
              <w:pStyle w:val="TableText"/>
              <w:rPr>
                <w:lang w:eastAsia="en-NZ"/>
              </w:rPr>
            </w:pPr>
          </w:p>
        </w:tc>
        <w:tc>
          <w:tcPr>
            <w:tcW w:w="615" w:type="pct"/>
            <w:shd w:val="clear" w:color="auto" w:fill="auto"/>
            <w:hideMark/>
          </w:tcPr>
          <w:p w14:paraId="012D605F" w14:textId="77777777" w:rsidR="001B13EC" w:rsidRPr="00181EF3" w:rsidRDefault="001B13EC" w:rsidP="001B13EC">
            <w:pPr>
              <w:pStyle w:val="TableText"/>
              <w:jc w:val="center"/>
              <w:rPr>
                <w:lang w:eastAsia="en-NZ"/>
              </w:rPr>
            </w:pPr>
            <w:r w:rsidRPr="00181EF3">
              <w:rPr>
                <w:lang w:eastAsia="en-NZ"/>
              </w:rPr>
              <w:t>L23</w:t>
            </w:r>
          </w:p>
        </w:tc>
        <w:tc>
          <w:tcPr>
            <w:tcW w:w="1749" w:type="pct"/>
            <w:shd w:val="clear" w:color="auto" w:fill="auto"/>
            <w:noWrap/>
            <w:hideMark/>
          </w:tcPr>
          <w:p w14:paraId="44D6D90E" w14:textId="77777777" w:rsidR="001B13EC" w:rsidRPr="00181EF3" w:rsidRDefault="001B13EC" w:rsidP="001B13EC">
            <w:pPr>
              <w:pStyle w:val="TableText"/>
              <w:rPr>
                <w:lang w:eastAsia="en-NZ"/>
              </w:rPr>
            </w:pPr>
            <w:r w:rsidRPr="00181EF3">
              <w:rPr>
                <w:lang w:eastAsia="en-NZ"/>
              </w:rPr>
              <w:t>Allergic contact dermatitis</w:t>
            </w:r>
          </w:p>
        </w:tc>
        <w:tc>
          <w:tcPr>
            <w:tcW w:w="652" w:type="pct"/>
            <w:shd w:val="clear" w:color="auto" w:fill="auto"/>
            <w:noWrap/>
            <w:hideMark/>
          </w:tcPr>
          <w:p w14:paraId="0151BEF0"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3816BBC1"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4CB794DF" w14:textId="77777777" w:rsidTr="001B13EC">
        <w:trPr>
          <w:cantSplit/>
        </w:trPr>
        <w:tc>
          <w:tcPr>
            <w:tcW w:w="1051" w:type="pct"/>
            <w:vMerge/>
            <w:shd w:val="clear" w:color="auto" w:fill="auto"/>
            <w:noWrap/>
          </w:tcPr>
          <w:p w14:paraId="019E07A3" w14:textId="77777777" w:rsidR="001B13EC" w:rsidRPr="00181EF3" w:rsidRDefault="001B13EC" w:rsidP="001B13EC">
            <w:pPr>
              <w:pStyle w:val="TableText"/>
              <w:rPr>
                <w:lang w:eastAsia="en-NZ"/>
              </w:rPr>
            </w:pPr>
          </w:p>
        </w:tc>
        <w:tc>
          <w:tcPr>
            <w:tcW w:w="615" w:type="pct"/>
            <w:shd w:val="clear" w:color="auto" w:fill="auto"/>
            <w:hideMark/>
          </w:tcPr>
          <w:p w14:paraId="2697A925" w14:textId="77777777" w:rsidR="001B13EC" w:rsidRPr="00181EF3" w:rsidRDefault="001B13EC" w:rsidP="001B13EC">
            <w:pPr>
              <w:pStyle w:val="TableText"/>
              <w:jc w:val="center"/>
              <w:rPr>
                <w:lang w:eastAsia="en-NZ"/>
              </w:rPr>
            </w:pPr>
            <w:r w:rsidRPr="00181EF3">
              <w:rPr>
                <w:lang w:eastAsia="en-NZ"/>
              </w:rPr>
              <w:t>L24</w:t>
            </w:r>
          </w:p>
        </w:tc>
        <w:tc>
          <w:tcPr>
            <w:tcW w:w="1749" w:type="pct"/>
            <w:shd w:val="clear" w:color="auto" w:fill="auto"/>
            <w:noWrap/>
            <w:hideMark/>
          </w:tcPr>
          <w:p w14:paraId="2340BB5F" w14:textId="77777777" w:rsidR="001B13EC" w:rsidRPr="00181EF3" w:rsidRDefault="001B13EC" w:rsidP="001B13EC">
            <w:pPr>
              <w:pStyle w:val="TableText"/>
              <w:rPr>
                <w:lang w:eastAsia="en-NZ"/>
              </w:rPr>
            </w:pPr>
            <w:r w:rsidRPr="00181EF3">
              <w:rPr>
                <w:lang w:eastAsia="en-NZ"/>
              </w:rPr>
              <w:t>Irritant contact dermatitis</w:t>
            </w:r>
          </w:p>
        </w:tc>
        <w:tc>
          <w:tcPr>
            <w:tcW w:w="652" w:type="pct"/>
            <w:shd w:val="clear" w:color="auto" w:fill="auto"/>
            <w:noWrap/>
            <w:hideMark/>
          </w:tcPr>
          <w:p w14:paraId="05610312"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75BF734F"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7465158D" w14:textId="77777777" w:rsidTr="001B13EC">
        <w:trPr>
          <w:cantSplit/>
        </w:trPr>
        <w:tc>
          <w:tcPr>
            <w:tcW w:w="1051" w:type="pct"/>
            <w:vMerge/>
            <w:shd w:val="clear" w:color="auto" w:fill="auto"/>
            <w:noWrap/>
          </w:tcPr>
          <w:p w14:paraId="39D71849" w14:textId="77777777" w:rsidR="001B13EC" w:rsidRPr="00181EF3" w:rsidRDefault="001B13EC" w:rsidP="001B13EC">
            <w:pPr>
              <w:pStyle w:val="TableText"/>
              <w:rPr>
                <w:lang w:eastAsia="en-NZ"/>
              </w:rPr>
            </w:pPr>
          </w:p>
        </w:tc>
        <w:tc>
          <w:tcPr>
            <w:tcW w:w="615" w:type="pct"/>
            <w:shd w:val="clear" w:color="auto" w:fill="auto"/>
            <w:hideMark/>
          </w:tcPr>
          <w:p w14:paraId="0BCB8A3B" w14:textId="77777777" w:rsidR="001B13EC" w:rsidRPr="00181EF3" w:rsidRDefault="001B13EC" w:rsidP="001B13EC">
            <w:pPr>
              <w:pStyle w:val="TableText"/>
              <w:jc w:val="center"/>
              <w:rPr>
                <w:lang w:eastAsia="en-NZ"/>
              </w:rPr>
            </w:pPr>
            <w:r w:rsidRPr="00181EF3">
              <w:rPr>
                <w:lang w:eastAsia="en-NZ"/>
              </w:rPr>
              <w:t>L25</w:t>
            </w:r>
          </w:p>
        </w:tc>
        <w:tc>
          <w:tcPr>
            <w:tcW w:w="1749" w:type="pct"/>
            <w:shd w:val="clear" w:color="auto" w:fill="auto"/>
            <w:noWrap/>
            <w:hideMark/>
          </w:tcPr>
          <w:p w14:paraId="1A82A784" w14:textId="77777777" w:rsidR="001B13EC" w:rsidRPr="00181EF3" w:rsidRDefault="001B13EC" w:rsidP="001B13EC">
            <w:pPr>
              <w:pStyle w:val="TableText"/>
              <w:rPr>
                <w:lang w:eastAsia="en-NZ"/>
              </w:rPr>
            </w:pPr>
            <w:r w:rsidRPr="00181EF3">
              <w:rPr>
                <w:lang w:eastAsia="en-NZ"/>
              </w:rPr>
              <w:t>Unspecified contact dermatitis</w:t>
            </w:r>
          </w:p>
        </w:tc>
        <w:tc>
          <w:tcPr>
            <w:tcW w:w="652" w:type="pct"/>
            <w:shd w:val="clear" w:color="auto" w:fill="auto"/>
            <w:noWrap/>
            <w:hideMark/>
          </w:tcPr>
          <w:p w14:paraId="216141A1"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2B1F8CB0"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25296F96" w14:textId="77777777" w:rsidTr="001B13EC">
        <w:trPr>
          <w:cantSplit/>
        </w:trPr>
        <w:tc>
          <w:tcPr>
            <w:tcW w:w="1051" w:type="pct"/>
            <w:vMerge/>
            <w:shd w:val="clear" w:color="auto" w:fill="auto"/>
            <w:noWrap/>
          </w:tcPr>
          <w:p w14:paraId="64F8A55A" w14:textId="77777777" w:rsidR="001B13EC" w:rsidRPr="00181EF3" w:rsidRDefault="001B13EC" w:rsidP="001B13EC">
            <w:pPr>
              <w:pStyle w:val="TableText"/>
              <w:rPr>
                <w:lang w:eastAsia="en-NZ"/>
              </w:rPr>
            </w:pPr>
          </w:p>
        </w:tc>
        <w:tc>
          <w:tcPr>
            <w:tcW w:w="615" w:type="pct"/>
            <w:shd w:val="clear" w:color="auto" w:fill="auto"/>
            <w:hideMark/>
          </w:tcPr>
          <w:p w14:paraId="31EC5386" w14:textId="77777777" w:rsidR="001B13EC" w:rsidRPr="00181EF3" w:rsidRDefault="001B13EC" w:rsidP="001B13EC">
            <w:pPr>
              <w:pStyle w:val="TableText"/>
              <w:jc w:val="center"/>
              <w:rPr>
                <w:lang w:eastAsia="en-NZ"/>
              </w:rPr>
            </w:pPr>
            <w:r w:rsidRPr="00181EF3">
              <w:rPr>
                <w:lang w:eastAsia="en-NZ"/>
              </w:rPr>
              <w:t>L26</w:t>
            </w:r>
          </w:p>
        </w:tc>
        <w:tc>
          <w:tcPr>
            <w:tcW w:w="1749" w:type="pct"/>
            <w:shd w:val="clear" w:color="auto" w:fill="auto"/>
            <w:noWrap/>
            <w:hideMark/>
          </w:tcPr>
          <w:p w14:paraId="524D0FC0" w14:textId="77777777" w:rsidR="001B13EC" w:rsidRPr="00181EF3" w:rsidRDefault="001B13EC" w:rsidP="001B13EC">
            <w:pPr>
              <w:pStyle w:val="TableText"/>
              <w:rPr>
                <w:lang w:eastAsia="en-NZ"/>
              </w:rPr>
            </w:pPr>
            <w:r w:rsidRPr="00181EF3">
              <w:rPr>
                <w:lang w:eastAsia="en-NZ"/>
              </w:rPr>
              <w:t>Exfoliative dermatitis</w:t>
            </w:r>
          </w:p>
        </w:tc>
        <w:tc>
          <w:tcPr>
            <w:tcW w:w="652" w:type="pct"/>
            <w:shd w:val="clear" w:color="auto" w:fill="auto"/>
            <w:noWrap/>
            <w:hideMark/>
          </w:tcPr>
          <w:p w14:paraId="71620AF2"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594AC9B8"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06E62DE3" w14:textId="77777777" w:rsidTr="001B13EC">
        <w:trPr>
          <w:cantSplit/>
        </w:trPr>
        <w:tc>
          <w:tcPr>
            <w:tcW w:w="1051" w:type="pct"/>
            <w:vMerge/>
            <w:shd w:val="clear" w:color="auto" w:fill="auto"/>
            <w:noWrap/>
          </w:tcPr>
          <w:p w14:paraId="41AA9BDE" w14:textId="77777777" w:rsidR="001B13EC" w:rsidRPr="00181EF3" w:rsidRDefault="001B13EC" w:rsidP="001B13EC">
            <w:pPr>
              <w:pStyle w:val="TableText"/>
              <w:rPr>
                <w:lang w:eastAsia="en-NZ"/>
              </w:rPr>
            </w:pPr>
          </w:p>
        </w:tc>
        <w:tc>
          <w:tcPr>
            <w:tcW w:w="615" w:type="pct"/>
            <w:shd w:val="clear" w:color="auto" w:fill="auto"/>
            <w:hideMark/>
          </w:tcPr>
          <w:p w14:paraId="492A6D56" w14:textId="77777777" w:rsidR="001B13EC" w:rsidRPr="00181EF3" w:rsidRDefault="001B13EC" w:rsidP="001B13EC">
            <w:pPr>
              <w:pStyle w:val="TableText"/>
              <w:jc w:val="center"/>
              <w:rPr>
                <w:lang w:eastAsia="en-NZ"/>
              </w:rPr>
            </w:pPr>
            <w:r w:rsidRPr="00181EF3">
              <w:rPr>
                <w:lang w:eastAsia="en-NZ"/>
              </w:rPr>
              <w:t>L27</w:t>
            </w:r>
          </w:p>
        </w:tc>
        <w:tc>
          <w:tcPr>
            <w:tcW w:w="1749" w:type="pct"/>
            <w:shd w:val="clear" w:color="auto" w:fill="auto"/>
            <w:noWrap/>
            <w:hideMark/>
          </w:tcPr>
          <w:p w14:paraId="7BB16656" w14:textId="77777777" w:rsidR="001B13EC" w:rsidRPr="00181EF3" w:rsidRDefault="001B13EC" w:rsidP="001B13EC">
            <w:pPr>
              <w:pStyle w:val="TableText"/>
              <w:rPr>
                <w:lang w:eastAsia="en-NZ"/>
              </w:rPr>
            </w:pPr>
            <w:r w:rsidRPr="00181EF3">
              <w:rPr>
                <w:lang w:eastAsia="en-NZ"/>
              </w:rPr>
              <w:t>Dermatitis due to substances taken internally</w:t>
            </w:r>
          </w:p>
        </w:tc>
        <w:tc>
          <w:tcPr>
            <w:tcW w:w="652" w:type="pct"/>
            <w:shd w:val="clear" w:color="auto" w:fill="auto"/>
            <w:noWrap/>
            <w:hideMark/>
          </w:tcPr>
          <w:p w14:paraId="5FAFF93C"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7CF966B5"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0FA571D6" w14:textId="77777777" w:rsidTr="001B13EC">
        <w:trPr>
          <w:cantSplit/>
        </w:trPr>
        <w:tc>
          <w:tcPr>
            <w:tcW w:w="1051" w:type="pct"/>
            <w:vMerge/>
            <w:shd w:val="clear" w:color="auto" w:fill="auto"/>
            <w:noWrap/>
          </w:tcPr>
          <w:p w14:paraId="477B01F4" w14:textId="77777777" w:rsidR="001B13EC" w:rsidRPr="00181EF3" w:rsidRDefault="001B13EC" w:rsidP="001B13EC">
            <w:pPr>
              <w:pStyle w:val="TableText"/>
              <w:rPr>
                <w:lang w:eastAsia="en-NZ"/>
              </w:rPr>
            </w:pPr>
          </w:p>
        </w:tc>
        <w:tc>
          <w:tcPr>
            <w:tcW w:w="615" w:type="pct"/>
            <w:shd w:val="clear" w:color="auto" w:fill="auto"/>
            <w:hideMark/>
          </w:tcPr>
          <w:p w14:paraId="5506D916" w14:textId="77777777" w:rsidR="001B13EC" w:rsidRPr="00181EF3" w:rsidRDefault="001B13EC" w:rsidP="001B13EC">
            <w:pPr>
              <w:pStyle w:val="TableText"/>
              <w:jc w:val="center"/>
              <w:rPr>
                <w:lang w:eastAsia="en-NZ"/>
              </w:rPr>
            </w:pPr>
            <w:r w:rsidRPr="00181EF3">
              <w:rPr>
                <w:lang w:eastAsia="en-NZ"/>
              </w:rPr>
              <w:t>L28</w:t>
            </w:r>
          </w:p>
        </w:tc>
        <w:tc>
          <w:tcPr>
            <w:tcW w:w="1749" w:type="pct"/>
            <w:shd w:val="clear" w:color="auto" w:fill="auto"/>
            <w:noWrap/>
            <w:hideMark/>
          </w:tcPr>
          <w:p w14:paraId="02C30CF8" w14:textId="77777777" w:rsidR="001B13EC" w:rsidRPr="00181EF3" w:rsidRDefault="001B13EC" w:rsidP="001B13EC">
            <w:pPr>
              <w:pStyle w:val="TableText"/>
              <w:rPr>
                <w:lang w:eastAsia="en-NZ"/>
              </w:rPr>
            </w:pPr>
            <w:r w:rsidRPr="00181EF3">
              <w:rPr>
                <w:lang w:eastAsia="en-NZ"/>
              </w:rPr>
              <w:t>Lichen simplex chronicus and prurigo</w:t>
            </w:r>
          </w:p>
        </w:tc>
        <w:tc>
          <w:tcPr>
            <w:tcW w:w="652" w:type="pct"/>
            <w:shd w:val="clear" w:color="auto" w:fill="auto"/>
            <w:noWrap/>
            <w:hideMark/>
          </w:tcPr>
          <w:p w14:paraId="0FD52FC2"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0095D8A9"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5AE94C63" w14:textId="77777777" w:rsidTr="001B13EC">
        <w:trPr>
          <w:cantSplit/>
        </w:trPr>
        <w:tc>
          <w:tcPr>
            <w:tcW w:w="1051" w:type="pct"/>
            <w:vMerge/>
            <w:shd w:val="clear" w:color="auto" w:fill="auto"/>
            <w:noWrap/>
          </w:tcPr>
          <w:p w14:paraId="590CD930" w14:textId="77777777" w:rsidR="001B13EC" w:rsidRPr="00181EF3" w:rsidRDefault="001B13EC" w:rsidP="001B13EC">
            <w:pPr>
              <w:pStyle w:val="TableText"/>
              <w:rPr>
                <w:lang w:eastAsia="en-NZ"/>
              </w:rPr>
            </w:pPr>
          </w:p>
        </w:tc>
        <w:tc>
          <w:tcPr>
            <w:tcW w:w="615" w:type="pct"/>
            <w:shd w:val="clear" w:color="auto" w:fill="auto"/>
            <w:hideMark/>
          </w:tcPr>
          <w:p w14:paraId="5CF4DF7D" w14:textId="77777777" w:rsidR="001B13EC" w:rsidRPr="00181EF3" w:rsidRDefault="001B13EC" w:rsidP="001B13EC">
            <w:pPr>
              <w:pStyle w:val="TableText"/>
              <w:jc w:val="center"/>
              <w:rPr>
                <w:lang w:eastAsia="en-NZ"/>
              </w:rPr>
            </w:pPr>
            <w:r w:rsidRPr="00181EF3">
              <w:rPr>
                <w:lang w:eastAsia="en-NZ"/>
              </w:rPr>
              <w:t>L29</w:t>
            </w:r>
          </w:p>
        </w:tc>
        <w:tc>
          <w:tcPr>
            <w:tcW w:w="1749" w:type="pct"/>
            <w:shd w:val="clear" w:color="auto" w:fill="auto"/>
            <w:noWrap/>
            <w:hideMark/>
          </w:tcPr>
          <w:p w14:paraId="392EA6DC" w14:textId="77777777" w:rsidR="001B13EC" w:rsidRPr="00181EF3" w:rsidRDefault="001B13EC" w:rsidP="001B13EC">
            <w:pPr>
              <w:pStyle w:val="TableText"/>
              <w:rPr>
                <w:lang w:eastAsia="en-NZ"/>
              </w:rPr>
            </w:pPr>
            <w:r w:rsidRPr="00181EF3">
              <w:rPr>
                <w:lang w:eastAsia="en-NZ"/>
              </w:rPr>
              <w:t>Pruritus</w:t>
            </w:r>
          </w:p>
        </w:tc>
        <w:tc>
          <w:tcPr>
            <w:tcW w:w="652" w:type="pct"/>
            <w:shd w:val="clear" w:color="auto" w:fill="auto"/>
            <w:noWrap/>
            <w:hideMark/>
          </w:tcPr>
          <w:p w14:paraId="4DC427B4"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7933FFCD"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57D7AF9C" w14:textId="77777777" w:rsidTr="001B13EC">
        <w:trPr>
          <w:cantSplit/>
        </w:trPr>
        <w:tc>
          <w:tcPr>
            <w:tcW w:w="1051" w:type="pct"/>
            <w:vMerge/>
            <w:tcBorders>
              <w:bottom w:val="single" w:sz="4" w:space="0" w:color="A6A6A6" w:themeColor="background1" w:themeShade="A6"/>
            </w:tcBorders>
            <w:shd w:val="clear" w:color="auto" w:fill="auto"/>
            <w:noWrap/>
          </w:tcPr>
          <w:p w14:paraId="432467FA" w14:textId="77777777" w:rsidR="001B13EC" w:rsidRPr="00181EF3" w:rsidRDefault="001B13EC" w:rsidP="001B13EC">
            <w:pPr>
              <w:pStyle w:val="TableText"/>
              <w:rPr>
                <w:lang w:eastAsia="en-NZ"/>
              </w:rPr>
            </w:pPr>
          </w:p>
        </w:tc>
        <w:tc>
          <w:tcPr>
            <w:tcW w:w="615" w:type="pct"/>
            <w:tcBorders>
              <w:bottom w:val="single" w:sz="4" w:space="0" w:color="A6A6A6" w:themeColor="background1" w:themeShade="A6"/>
            </w:tcBorders>
            <w:shd w:val="clear" w:color="auto" w:fill="auto"/>
            <w:hideMark/>
          </w:tcPr>
          <w:p w14:paraId="66B5BEE1" w14:textId="77777777" w:rsidR="001B13EC" w:rsidRPr="00181EF3" w:rsidRDefault="001B13EC" w:rsidP="001B13EC">
            <w:pPr>
              <w:pStyle w:val="TableText"/>
              <w:jc w:val="center"/>
              <w:rPr>
                <w:lang w:eastAsia="en-NZ"/>
              </w:rPr>
            </w:pPr>
            <w:r w:rsidRPr="00181EF3">
              <w:rPr>
                <w:lang w:eastAsia="en-NZ"/>
              </w:rPr>
              <w:t>L30</w:t>
            </w:r>
          </w:p>
        </w:tc>
        <w:tc>
          <w:tcPr>
            <w:tcW w:w="1749" w:type="pct"/>
            <w:tcBorders>
              <w:bottom w:val="single" w:sz="4" w:space="0" w:color="A6A6A6" w:themeColor="background1" w:themeShade="A6"/>
            </w:tcBorders>
            <w:shd w:val="clear" w:color="auto" w:fill="auto"/>
            <w:noWrap/>
            <w:hideMark/>
          </w:tcPr>
          <w:p w14:paraId="6568AE81" w14:textId="77777777" w:rsidR="001B13EC" w:rsidRPr="00181EF3" w:rsidRDefault="001B13EC" w:rsidP="001B13EC">
            <w:pPr>
              <w:pStyle w:val="TableText"/>
              <w:rPr>
                <w:lang w:eastAsia="en-NZ"/>
              </w:rPr>
            </w:pPr>
            <w:r w:rsidRPr="00181EF3">
              <w:rPr>
                <w:lang w:eastAsia="en-NZ"/>
              </w:rPr>
              <w:t>Other dermatitis</w:t>
            </w:r>
          </w:p>
        </w:tc>
        <w:tc>
          <w:tcPr>
            <w:tcW w:w="652" w:type="pct"/>
            <w:tcBorders>
              <w:bottom w:val="single" w:sz="4" w:space="0" w:color="A6A6A6" w:themeColor="background1" w:themeShade="A6"/>
            </w:tcBorders>
            <w:shd w:val="clear" w:color="auto" w:fill="auto"/>
            <w:noWrap/>
            <w:hideMark/>
          </w:tcPr>
          <w:p w14:paraId="7BFB72DC" w14:textId="77777777" w:rsidR="001B13EC" w:rsidRPr="00181EF3" w:rsidRDefault="001B13EC" w:rsidP="001B13EC">
            <w:pPr>
              <w:pStyle w:val="TableText"/>
              <w:jc w:val="center"/>
              <w:rPr>
                <w:lang w:eastAsia="en-NZ"/>
              </w:rPr>
            </w:pPr>
            <w:r w:rsidRPr="00181EF3">
              <w:rPr>
                <w:lang w:eastAsia="en-NZ"/>
              </w:rPr>
              <w:t>All</w:t>
            </w:r>
          </w:p>
        </w:tc>
        <w:tc>
          <w:tcPr>
            <w:tcW w:w="933" w:type="pct"/>
            <w:tcBorders>
              <w:bottom w:val="single" w:sz="4" w:space="0" w:color="A6A6A6" w:themeColor="background1" w:themeShade="A6"/>
            </w:tcBorders>
            <w:shd w:val="clear" w:color="auto" w:fill="auto"/>
            <w:noWrap/>
            <w:hideMark/>
          </w:tcPr>
          <w:p w14:paraId="7872669E"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12C1A47B" w14:textId="77777777" w:rsidTr="001B13EC">
        <w:trPr>
          <w:cantSplit/>
        </w:trPr>
        <w:tc>
          <w:tcPr>
            <w:tcW w:w="1051" w:type="pct"/>
            <w:tcBorders>
              <w:top w:val="single" w:sz="4" w:space="0" w:color="A6A6A6" w:themeColor="background1" w:themeShade="A6"/>
              <w:bottom w:val="nil"/>
            </w:tcBorders>
            <w:shd w:val="clear" w:color="auto" w:fill="F2F2F2" w:themeFill="background1" w:themeFillShade="F2"/>
            <w:noWrap/>
            <w:hideMark/>
          </w:tcPr>
          <w:p w14:paraId="0878E963" w14:textId="77777777" w:rsidR="001B13EC" w:rsidRPr="00181EF3" w:rsidRDefault="001B13EC" w:rsidP="001B13EC">
            <w:pPr>
              <w:pStyle w:val="TableText"/>
              <w:keepNext/>
              <w:rPr>
                <w:b/>
                <w:lang w:eastAsia="en-NZ"/>
              </w:rPr>
            </w:pPr>
            <w:r w:rsidRPr="00181EF3">
              <w:rPr>
                <w:b/>
                <w:lang w:eastAsia="en-NZ"/>
              </w:rPr>
              <w:lastRenderedPageBreak/>
              <w:t>Gastrointestinal</w:t>
            </w:r>
          </w:p>
        </w:tc>
        <w:tc>
          <w:tcPr>
            <w:tcW w:w="615" w:type="pct"/>
            <w:tcBorders>
              <w:top w:val="single" w:sz="4" w:space="0" w:color="A6A6A6" w:themeColor="background1" w:themeShade="A6"/>
              <w:bottom w:val="nil"/>
            </w:tcBorders>
            <w:shd w:val="clear" w:color="auto" w:fill="F2F2F2" w:themeFill="background1" w:themeFillShade="F2"/>
            <w:noWrap/>
            <w:hideMark/>
          </w:tcPr>
          <w:p w14:paraId="219E3C28" w14:textId="77777777" w:rsidR="001B13EC" w:rsidRPr="00181EF3" w:rsidRDefault="001B13EC" w:rsidP="001B13EC">
            <w:pPr>
              <w:pStyle w:val="TableText"/>
              <w:keepNext/>
              <w:jc w:val="center"/>
              <w:rPr>
                <w:lang w:eastAsia="en-NZ"/>
              </w:rPr>
            </w:pPr>
          </w:p>
        </w:tc>
        <w:tc>
          <w:tcPr>
            <w:tcW w:w="1749" w:type="pct"/>
            <w:tcBorders>
              <w:top w:val="single" w:sz="4" w:space="0" w:color="A6A6A6" w:themeColor="background1" w:themeShade="A6"/>
              <w:bottom w:val="nil"/>
            </w:tcBorders>
            <w:shd w:val="clear" w:color="auto" w:fill="F2F2F2" w:themeFill="background1" w:themeFillShade="F2"/>
            <w:noWrap/>
            <w:hideMark/>
          </w:tcPr>
          <w:p w14:paraId="4E767F0E" w14:textId="77777777" w:rsidR="001B13EC" w:rsidRPr="00181EF3" w:rsidRDefault="001B13EC" w:rsidP="001B13EC">
            <w:pPr>
              <w:pStyle w:val="TableText"/>
              <w:keepNext/>
              <w:rPr>
                <w:lang w:eastAsia="en-NZ"/>
              </w:rPr>
            </w:pPr>
          </w:p>
        </w:tc>
        <w:tc>
          <w:tcPr>
            <w:tcW w:w="652" w:type="pct"/>
            <w:tcBorders>
              <w:top w:val="single" w:sz="4" w:space="0" w:color="A6A6A6" w:themeColor="background1" w:themeShade="A6"/>
              <w:bottom w:val="nil"/>
            </w:tcBorders>
            <w:shd w:val="clear" w:color="auto" w:fill="F2F2F2" w:themeFill="background1" w:themeFillShade="F2"/>
            <w:noWrap/>
            <w:hideMark/>
          </w:tcPr>
          <w:p w14:paraId="32F52297" w14:textId="77777777" w:rsidR="001B13EC" w:rsidRPr="00181EF3" w:rsidRDefault="001B13EC" w:rsidP="001B13EC">
            <w:pPr>
              <w:pStyle w:val="TableText"/>
              <w:keepNext/>
              <w:jc w:val="center"/>
              <w:rPr>
                <w:lang w:eastAsia="en-NZ"/>
              </w:rPr>
            </w:pPr>
          </w:p>
        </w:tc>
        <w:tc>
          <w:tcPr>
            <w:tcW w:w="933" w:type="pct"/>
            <w:tcBorders>
              <w:top w:val="single" w:sz="4" w:space="0" w:color="A6A6A6" w:themeColor="background1" w:themeShade="A6"/>
              <w:bottom w:val="nil"/>
            </w:tcBorders>
            <w:shd w:val="clear" w:color="auto" w:fill="F2F2F2" w:themeFill="background1" w:themeFillShade="F2"/>
            <w:noWrap/>
            <w:hideMark/>
          </w:tcPr>
          <w:p w14:paraId="013CC0EB" w14:textId="77777777" w:rsidR="001B13EC" w:rsidRPr="00181EF3" w:rsidRDefault="001B13EC" w:rsidP="001B13EC">
            <w:pPr>
              <w:pStyle w:val="TableText"/>
              <w:keepNext/>
              <w:jc w:val="center"/>
              <w:rPr>
                <w:lang w:eastAsia="en-NZ"/>
              </w:rPr>
            </w:pPr>
          </w:p>
        </w:tc>
      </w:tr>
      <w:tr w:rsidR="001B13EC" w:rsidRPr="00181EF3" w14:paraId="25D5ED84" w14:textId="77777777" w:rsidTr="001B13EC">
        <w:trPr>
          <w:cantSplit/>
        </w:trPr>
        <w:tc>
          <w:tcPr>
            <w:tcW w:w="1051" w:type="pct"/>
            <w:tcBorders>
              <w:top w:val="nil"/>
            </w:tcBorders>
            <w:shd w:val="clear" w:color="auto" w:fill="auto"/>
            <w:noWrap/>
            <w:hideMark/>
          </w:tcPr>
          <w:p w14:paraId="29CFC380" w14:textId="77777777" w:rsidR="001B13EC" w:rsidRPr="00181EF3" w:rsidRDefault="001B13EC" w:rsidP="001B13EC">
            <w:pPr>
              <w:pStyle w:val="TableText"/>
              <w:keepNext/>
              <w:rPr>
                <w:lang w:eastAsia="en-NZ"/>
              </w:rPr>
            </w:pPr>
            <w:r w:rsidRPr="00181EF3">
              <w:rPr>
                <w:lang w:eastAsia="en-NZ"/>
              </w:rPr>
              <w:t>Constipation</w:t>
            </w:r>
          </w:p>
        </w:tc>
        <w:tc>
          <w:tcPr>
            <w:tcW w:w="615" w:type="pct"/>
            <w:tcBorders>
              <w:top w:val="nil"/>
            </w:tcBorders>
            <w:shd w:val="clear" w:color="auto" w:fill="auto"/>
            <w:hideMark/>
          </w:tcPr>
          <w:p w14:paraId="228BC90D" w14:textId="77777777" w:rsidR="001B13EC" w:rsidRPr="00181EF3" w:rsidRDefault="001B13EC" w:rsidP="001B13EC">
            <w:pPr>
              <w:pStyle w:val="TableText"/>
              <w:keepNext/>
              <w:jc w:val="center"/>
              <w:rPr>
                <w:lang w:eastAsia="en-NZ"/>
              </w:rPr>
            </w:pPr>
            <w:r w:rsidRPr="00181EF3">
              <w:rPr>
                <w:lang w:eastAsia="en-NZ"/>
              </w:rPr>
              <w:t>K59</w:t>
            </w:r>
            <w:r>
              <w:rPr>
                <w:lang w:eastAsia="en-NZ"/>
              </w:rPr>
              <w:t>.</w:t>
            </w:r>
            <w:r w:rsidRPr="00181EF3">
              <w:rPr>
                <w:lang w:eastAsia="en-NZ"/>
              </w:rPr>
              <w:t>0</w:t>
            </w:r>
          </w:p>
        </w:tc>
        <w:tc>
          <w:tcPr>
            <w:tcW w:w="1749" w:type="pct"/>
            <w:tcBorders>
              <w:top w:val="nil"/>
            </w:tcBorders>
            <w:shd w:val="clear" w:color="auto" w:fill="auto"/>
            <w:noWrap/>
            <w:hideMark/>
          </w:tcPr>
          <w:p w14:paraId="67ACB4C0" w14:textId="77777777" w:rsidR="001B13EC" w:rsidRPr="00181EF3" w:rsidRDefault="001B13EC" w:rsidP="001B13EC">
            <w:pPr>
              <w:pStyle w:val="TableText"/>
              <w:keepNext/>
              <w:rPr>
                <w:lang w:eastAsia="en-NZ"/>
              </w:rPr>
            </w:pPr>
            <w:r w:rsidRPr="00181EF3">
              <w:rPr>
                <w:lang w:eastAsia="en-NZ"/>
              </w:rPr>
              <w:t>Constipation</w:t>
            </w:r>
          </w:p>
        </w:tc>
        <w:tc>
          <w:tcPr>
            <w:tcW w:w="652" w:type="pct"/>
            <w:tcBorders>
              <w:top w:val="nil"/>
            </w:tcBorders>
            <w:shd w:val="clear" w:color="auto" w:fill="auto"/>
            <w:noWrap/>
            <w:hideMark/>
          </w:tcPr>
          <w:p w14:paraId="679F14B5" w14:textId="77777777" w:rsidR="001B13EC" w:rsidRPr="00181EF3" w:rsidRDefault="001B13EC" w:rsidP="001B13EC">
            <w:pPr>
              <w:pStyle w:val="TableText"/>
              <w:keepNext/>
              <w:jc w:val="center"/>
              <w:rPr>
                <w:lang w:eastAsia="en-NZ"/>
              </w:rPr>
            </w:pPr>
            <w:r w:rsidRPr="00181EF3">
              <w:rPr>
                <w:lang w:eastAsia="en-NZ"/>
              </w:rPr>
              <w:t>All</w:t>
            </w:r>
          </w:p>
        </w:tc>
        <w:tc>
          <w:tcPr>
            <w:tcW w:w="933" w:type="pct"/>
            <w:tcBorders>
              <w:top w:val="nil"/>
            </w:tcBorders>
            <w:shd w:val="clear" w:color="auto" w:fill="auto"/>
            <w:noWrap/>
            <w:hideMark/>
          </w:tcPr>
          <w:p w14:paraId="5CEA5BF0" w14:textId="77777777" w:rsidR="001B13EC" w:rsidRPr="00181EF3" w:rsidRDefault="001B13EC" w:rsidP="001B13EC">
            <w:pPr>
              <w:pStyle w:val="TableText"/>
              <w:keepNext/>
              <w:jc w:val="center"/>
              <w:rPr>
                <w:lang w:eastAsia="en-NZ"/>
              </w:rPr>
            </w:pPr>
            <w:r w:rsidRPr="00181EF3">
              <w:rPr>
                <w:lang w:eastAsia="en-NZ"/>
              </w:rPr>
              <w:t>No</w:t>
            </w:r>
          </w:p>
        </w:tc>
      </w:tr>
      <w:tr w:rsidR="001B13EC" w:rsidRPr="00181EF3" w14:paraId="25F8949B" w14:textId="77777777" w:rsidTr="001B13EC">
        <w:trPr>
          <w:cantSplit/>
        </w:trPr>
        <w:tc>
          <w:tcPr>
            <w:tcW w:w="1051" w:type="pct"/>
            <w:vMerge w:val="restart"/>
            <w:shd w:val="clear" w:color="auto" w:fill="auto"/>
            <w:noWrap/>
            <w:hideMark/>
          </w:tcPr>
          <w:p w14:paraId="1B05A6F0" w14:textId="77777777" w:rsidR="001B13EC" w:rsidRPr="00181EF3" w:rsidRDefault="001B13EC" w:rsidP="000667F5">
            <w:pPr>
              <w:pStyle w:val="TableText"/>
              <w:keepNext/>
              <w:rPr>
                <w:lang w:eastAsia="en-NZ"/>
              </w:rPr>
            </w:pPr>
            <w:r w:rsidRPr="00181EF3">
              <w:rPr>
                <w:lang w:eastAsia="en-NZ"/>
              </w:rPr>
              <w:t>Gastroenteritis/ dehydration</w:t>
            </w:r>
          </w:p>
        </w:tc>
        <w:tc>
          <w:tcPr>
            <w:tcW w:w="615" w:type="pct"/>
            <w:shd w:val="clear" w:color="auto" w:fill="auto"/>
            <w:hideMark/>
          </w:tcPr>
          <w:p w14:paraId="42E211B0" w14:textId="77777777" w:rsidR="001B13EC" w:rsidRPr="00181EF3" w:rsidRDefault="001B13EC" w:rsidP="000667F5">
            <w:pPr>
              <w:pStyle w:val="TableText"/>
              <w:keepNext/>
              <w:jc w:val="center"/>
              <w:rPr>
                <w:lang w:eastAsia="en-NZ"/>
              </w:rPr>
            </w:pPr>
            <w:r w:rsidRPr="00181EF3">
              <w:rPr>
                <w:lang w:eastAsia="en-NZ"/>
              </w:rPr>
              <w:t>A02</w:t>
            </w:r>
          </w:p>
        </w:tc>
        <w:tc>
          <w:tcPr>
            <w:tcW w:w="1749" w:type="pct"/>
            <w:shd w:val="clear" w:color="auto" w:fill="auto"/>
            <w:noWrap/>
            <w:hideMark/>
          </w:tcPr>
          <w:p w14:paraId="75CD783B" w14:textId="77777777" w:rsidR="001B13EC" w:rsidRPr="00181EF3" w:rsidRDefault="001B13EC" w:rsidP="000667F5">
            <w:pPr>
              <w:pStyle w:val="TableText"/>
              <w:keepNext/>
              <w:rPr>
                <w:lang w:eastAsia="en-NZ"/>
              </w:rPr>
            </w:pPr>
            <w:r w:rsidRPr="00181EF3">
              <w:rPr>
                <w:lang w:eastAsia="en-NZ"/>
              </w:rPr>
              <w:t>Other salmonella infections</w:t>
            </w:r>
          </w:p>
        </w:tc>
        <w:tc>
          <w:tcPr>
            <w:tcW w:w="652" w:type="pct"/>
            <w:shd w:val="clear" w:color="auto" w:fill="auto"/>
            <w:noWrap/>
            <w:hideMark/>
          </w:tcPr>
          <w:p w14:paraId="668A73D4" w14:textId="77777777" w:rsidR="001B13EC" w:rsidRPr="00181EF3" w:rsidRDefault="001B13EC" w:rsidP="000667F5">
            <w:pPr>
              <w:pStyle w:val="TableText"/>
              <w:keepNext/>
              <w:jc w:val="center"/>
              <w:rPr>
                <w:lang w:eastAsia="en-NZ"/>
              </w:rPr>
            </w:pPr>
            <w:r w:rsidRPr="00181EF3">
              <w:rPr>
                <w:lang w:eastAsia="en-NZ"/>
              </w:rPr>
              <w:t>All</w:t>
            </w:r>
          </w:p>
        </w:tc>
        <w:tc>
          <w:tcPr>
            <w:tcW w:w="933" w:type="pct"/>
            <w:shd w:val="clear" w:color="auto" w:fill="auto"/>
            <w:noWrap/>
            <w:hideMark/>
          </w:tcPr>
          <w:p w14:paraId="688A8AB8" w14:textId="77777777" w:rsidR="001B13EC" w:rsidRPr="00181EF3" w:rsidRDefault="001B13EC" w:rsidP="000667F5">
            <w:pPr>
              <w:pStyle w:val="TableText"/>
              <w:keepNext/>
              <w:jc w:val="center"/>
              <w:rPr>
                <w:lang w:eastAsia="en-NZ"/>
              </w:rPr>
            </w:pPr>
            <w:r w:rsidRPr="00181EF3">
              <w:rPr>
                <w:lang w:eastAsia="en-NZ"/>
              </w:rPr>
              <w:t>No</w:t>
            </w:r>
          </w:p>
        </w:tc>
      </w:tr>
      <w:tr w:rsidR="001B13EC" w:rsidRPr="00181EF3" w14:paraId="65597389" w14:textId="77777777" w:rsidTr="001B13EC">
        <w:trPr>
          <w:cantSplit/>
        </w:trPr>
        <w:tc>
          <w:tcPr>
            <w:tcW w:w="1051" w:type="pct"/>
            <w:vMerge/>
            <w:shd w:val="clear" w:color="auto" w:fill="auto"/>
            <w:noWrap/>
          </w:tcPr>
          <w:p w14:paraId="4C69B707" w14:textId="77777777" w:rsidR="001B13EC" w:rsidRPr="00181EF3" w:rsidRDefault="001B13EC" w:rsidP="000667F5">
            <w:pPr>
              <w:pStyle w:val="TableText"/>
              <w:keepNext/>
              <w:rPr>
                <w:lang w:eastAsia="en-NZ"/>
              </w:rPr>
            </w:pPr>
          </w:p>
        </w:tc>
        <w:tc>
          <w:tcPr>
            <w:tcW w:w="615" w:type="pct"/>
            <w:shd w:val="clear" w:color="auto" w:fill="auto"/>
            <w:hideMark/>
          </w:tcPr>
          <w:p w14:paraId="0E9F74A4" w14:textId="77777777" w:rsidR="001B13EC" w:rsidRPr="00181EF3" w:rsidRDefault="001B13EC" w:rsidP="000667F5">
            <w:pPr>
              <w:pStyle w:val="TableText"/>
              <w:keepNext/>
              <w:jc w:val="center"/>
              <w:rPr>
                <w:lang w:eastAsia="en-NZ"/>
              </w:rPr>
            </w:pPr>
            <w:r w:rsidRPr="00181EF3">
              <w:rPr>
                <w:lang w:eastAsia="en-NZ"/>
              </w:rPr>
              <w:t>A03</w:t>
            </w:r>
          </w:p>
        </w:tc>
        <w:tc>
          <w:tcPr>
            <w:tcW w:w="1749" w:type="pct"/>
            <w:shd w:val="clear" w:color="auto" w:fill="auto"/>
            <w:noWrap/>
            <w:hideMark/>
          </w:tcPr>
          <w:p w14:paraId="164A7D0A" w14:textId="77777777" w:rsidR="001B13EC" w:rsidRPr="00181EF3" w:rsidRDefault="001B13EC" w:rsidP="000667F5">
            <w:pPr>
              <w:pStyle w:val="TableText"/>
              <w:keepNext/>
              <w:rPr>
                <w:lang w:eastAsia="en-NZ"/>
              </w:rPr>
            </w:pPr>
            <w:r w:rsidRPr="00181EF3">
              <w:rPr>
                <w:lang w:eastAsia="en-NZ"/>
              </w:rPr>
              <w:t>Shigellosis</w:t>
            </w:r>
          </w:p>
        </w:tc>
        <w:tc>
          <w:tcPr>
            <w:tcW w:w="652" w:type="pct"/>
            <w:shd w:val="clear" w:color="auto" w:fill="auto"/>
            <w:noWrap/>
            <w:hideMark/>
          </w:tcPr>
          <w:p w14:paraId="42ABAAB8" w14:textId="77777777" w:rsidR="001B13EC" w:rsidRPr="00181EF3" w:rsidRDefault="001B13EC" w:rsidP="000667F5">
            <w:pPr>
              <w:pStyle w:val="TableText"/>
              <w:keepNext/>
              <w:jc w:val="center"/>
              <w:rPr>
                <w:lang w:eastAsia="en-NZ"/>
              </w:rPr>
            </w:pPr>
            <w:r w:rsidRPr="00181EF3">
              <w:rPr>
                <w:lang w:eastAsia="en-NZ"/>
              </w:rPr>
              <w:t>All</w:t>
            </w:r>
          </w:p>
        </w:tc>
        <w:tc>
          <w:tcPr>
            <w:tcW w:w="933" w:type="pct"/>
            <w:shd w:val="clear" w:color="auto" w:fill="auto"/>
            <w:noWrap/>
            <w:hideMark/>
          </w:tcPr>
          <w:p w14:paraId="4EC136A0" w14:textId="77777777" w:rsidR="001B13EC" w:rsidRPr="00181EF3" w:rsidRDefault="001B13EC" w:rsidP="000667F5">
            <w:pPr>
              <w:pStyle w:val="TableText"/>
              <w:keepNext/>
              <w:jc w:val="center"/>
              <w:rPr>
                <w:lang w:eastAsia="en-NZ"/>
              </w:rPr>
            </w:pPr>
            <w:r w:rsidRPr="00181EF3">
              <w:rPr>
                <w:lang w:eastAsia="en-NZ"/>
              </w:rPr>
              <w:t>No</w:t>
            </w:r>
          </w:p>
        </w:tc>
      </w:tr>
      <w:tr w:rsidR="001B13EC" w:rsidRPr="00181EF3" w14:paraId="602E9C9C" w14:textId="77777777" w:rsidTr="001B13EC">
        <w:trPr>
          <w:cantSplit/>
        </w:trPr>
        <w:tc>
          <w:tcPr>
            <w:tcW w:w="1051" w:type="pct"/>
            <w:vMerge/>
            <w:shd w:val="clear" w:color="auto" w:fill="auto"/>
            <w:noWrap/>
          </w:tcPr>
          <w:p w14:paraId="33B23FB0" w14:textId="77777777" w:rsidR="001B13EC" w:rsidRPr="00181EF3" w:rsidRDefault="001B13EC" w:rsidP="000667F5">
            <w:pPr>
              <w:pStyle w:val="TableText"/>
              <w:keepNext/>
              <w:rPr>
                <w:lang w:eastAsia="en-NZ"/>
              </w:rPr>
            </w:pPr>
          </w:p>
        </w:tc>
        <w:tc>
          <w:tcPr>
            <w:tcW w:w="615" w:type="pct"/>
            <w:shd w:val="clear" w:color="auto" w:fill="auto"/>
            <w:hideMark/>
          </w:tcPr>
          <w:p w14:paraId="58421283" w14:textId="77777777" w:rsidR="001B13EC" w:rsidRPr="00181EF3" w:rsidRDefault="001B13EC" w:rsidP="000667F5">
            <w:pPr>
              <w:pStyle w:val="TableText"/>
              <w:keepNext/>
              <w:jc w:val="center"/>
              <w:rPr>
                <w:lang w:eastAsia="en-NZ"/>
              </w:rPr>
            </w:pPr>
            <w:r w:rsidRPr="00181EF3">
              <w:rPr>
                <w:lang w:eastAsia="en-NZ"/>
              </w:rPr>
              <w:t>A04</w:t>
            </w:r>
          </w:p>
        </w:tc>
        <w:tc>
          <w:tcPr>
            <w:tcW w:w="1749" w:type="pct"/>
            <w:shd w:val="clear" w:color="auto" w:fill="auto"/>
            <w:noWrap/>
            <w:hideMark/>
          </w:tcPr>
          <w:p w14:paraId="79CD01AE" w14:textId="77777777" w:rsidR="001B13EC" w:rsidRPr="00181EF3" w:rsidRDefault="001B13EC" w:rsidP="000667F5">
            <w:pPr>
              <w:pStyle w:val="TableText"/>
              <w:keepNext/>
              <w:rPr>
                <w:lang w:eastAsia="en-NZ"/>
              </w:rPr>
            </w:pPr>
            <w:r w:rsidRPr="00181EF3">
              <w:rPr>
                <w:lang w:eastAsia="en-NZ"/>
              </w:rPr>
              <w:t>Other bacterial intestinal infections</w:t>
            </w:r>
          </w:p>
        </w:tc>
        <w:tc>
          <w:tcPr>
            <w:tcW w:w="652" w:type="pct"/>
            <w:shd w:val="clear" w:color="auto" w:fill="auto"/>
            <w:noWrap/>
            <w:hideMark/>
          </w:tcPr>
          <w:p w14:paraId="48C66519" w14:textId="77777777" w:rsidR="001B13EC" w:rsidRPr="00181EF3" w:rsidRDefault="001B13EC" w:rsidP="000667F5">
            <w:pPr>
              <w:pStyle w:val="TableText"/>
              <w:keepNext/>
              <w:jc w:val="center"/>
              <w:rPr>
                <w:lang w:eastAsia="en-NZ"/>
              </w:rPr>
            </w:pPr>
            <w:r w:rsidRPr="00181EF3">
              <w:rPr>
                <w:lang w:eastAsia="en-NZ"/>
              </w:rPr>
              <w:t>All</w:t>
            </w:r>
          </w:p>
        </w:tc>
        <w:tc>
          <w:tcPr>
            <w:tcW w:w="933" w:type="pct"/>
            <w:shd w:val="clear" w:color="auto" w:fill="auto"/>
            <w:noWrap/>
            <w:hideMark/>
          </w:tcPr>
          <w:p w14:paraId="7E2157B4" w14:textId="77777777" w:rsidR="001B13EC" w:rsidRPr="00181EF3" w:rsidRDefault="001B13EC" w:rsidP="000667F5">
            <w:pPr>
              <w:pStyle w:val="TableText"/>
              <w:keepNext/>
              <w:jc w:val="center"/>
              <w:rPr>
                <w:lang w:eastAsia="en-NZ"/>
              </w:rPr>
            </w:pPr>
            <w:r w:rsidRPr="00181EF3">
              <w:rPr>
                <w:lang w:eastAsia="en-NZ"/>
              </w:rPr>
              <w:t>No</w:t>
            </w:r>
          </w:p>
        </w:tc>
      </w:tr>
      <w:tr w:rsidR="001B13EC" w:rsidRPr="00181EF3" w14:paraId="452A4193" w14:textId="77777777" w:rsidTr="001B13EC">
        <w:trPr>
          <w:cantSplit/>
        </w:trPr>
        <w:tc>
          <w:tcPr>
            <w:tcW w:w="1051" w:type="pct"/>
            <w:vMerge/>
            <w:shd w:val="clear" w:color="auto" w:fill="auto"/>
            <w:noWrap/>
          </w:tcPr>
          <w:p w14:paraId="773AEF33" w14:textId="77777777" w:rsidR="001B13EC" w:rsidRPr="00181EF3" w:rsidRDefault="001B13EC" w:rsidP="000667F5">
            <w:pPr>
              <w:pStyle w:val="TableText"/>
              <w:keepNext/>
              <w:rPr>
                <w:lang w:eastAsia="en-NZ"/>
              </w:rPr>
            </w:pPr>
          </w:p>
        </w:tc>
        <w:tc>
          <w:tcPr>
            <w:tcW w:w="615" w:type="pct"/>
            <w:shd w:val="clear" w:color="auto" w:fill="auto"/>
            <w:hideMark/>
          </w:tcPr>
          <w:p w14:paraId="2AF77243" w14:textId="77777777" w:rsidR="001B13EC" w:rsidRPr="00181EF3" w:rsidRDefault="001B13EC" w:rsidP="000667F5">
            <w:pPr>
              <w:pStyle w:val="TableText"/>
              <w:keepNext/>
              <w:jc w:val="center"/>
              <w:rPr>
                <w:lang w:eastAsia="en-NZ"/>
              </w:rPr>
            </w:pPr>
            <w:r w:rsidRPr="00181EF3">
              <w:rPr>
                <w:lang w:eastAsia="en-NZ"/>
              </w:rPr>
              <w:t>A05</w:t>
            </w:r>
          </w:p>
        </w:tc>
        <w:tc>
          <w:tcPr>
            <w:tcW w:w="1749" w:type="pct"/>
            <w:shd w:val="clear" w:color="auto" w:fill="auto"/>
            <w:noWrap/>
            <w:hideMark/>
          </w:tcPr>
          <w:p w14:paraId="71E73C31" w14:textId="77777777" w:rsidR="001B13EC" w:rsidRPr="00181EF3" w:rsidRDefault="001B13EC" w:rsidP="000667F5">
            <w:pPr>
              <w:pStyle w:val="TableText"/>
              <w:keepNext/>
              <w:rPr>
                <w:lang w:eastAsia="en-NZ"/>
              </w:rPr>
            </w:pPr>
            <w:r w:rsidRPr="00181EF3">
              <w:rPr>
                <w:lang w:eastAsia="en-NZ"/>
              </w:rPr>
              <w:t>Other bacterial food-borne intoxications, not elsewhere classified</w:t>
            </w:r>
          </w:p>
        </w:tc>
        <w:tc>
          <w:tcPr>
            <w:tcW w:w="652" w:type="pct"/>
            <w:shd w:val="clear" w:color="auto" w:fill="auto"/>
            <w:noWrap/>
            <w:hideMark/>
          </w:tcPr>
          <w:p w14:paraId="4EFD2B6C" w14:textId="77777777" w:rsidR="001B13EC" w:rsidRPr="00181EF3" w:rsidRDefault="001B13EC" w:rsidP="000667F5">
            <w:pPr>
              <w:pStyle w:val="TableText"/>
              <w:keepNext/>
              <w:jc w:val="center"/>
              <w:rPr>
                <w:lang w:eastAsia="en-NZ"/>
              </w:rPr>
            </w:pPr>
            <w:r w:rsidRPr="00181EF3">
              <w:rPr>
                <w:lang w:eastAsia="en-NZ"/>
              </w:rPr>
              <w:t>All</w:t>
            </w:r>
          </w:p>
        </w:tc>
        <w:tc>
          <w:tcPr>
            <w:tcW w:w="933" w:type="pct"/>
            <w:shd w:val="clear" w:color="auto" w:fill="auto"/>
            <w:noWrap/>
            <w:hideMark/>
          </w:tcPr>
          <w:p w14:paraId="61779F61" w14:textId="77777777" w:rsidR="001B13EC" w:rsidRPr="00181EF3" w:rsidRDefault="001B13EC" w:rsidP="000667F5">
            <w:pPr>
              <w:pStyle w:val="TableText"/>
              <w:keepNext/>
              <w:jc w:val="center"/>
              <w:rPr>
                <w:lang w:eastAsia="en-NZ"/>
              </w:rPr>
            </w:pPr>
            <w:r w:rsidRPr="00181EF3">
              <w:rPr>
                <w:lang w:eastAsia="en-NZ"/>
              </w:rPr>
              <w:t>No</w:t>
            </w:r>
          </w:p>
        </w:tc>
      </w:tr>
      <w:tr w:rsidR="001B13EC" w:rsidRPr="00181EF3" w14:paraId="763CF723" w14:textId="77777777" w:rsidTr="001B13EC">
        <w:trPr>
          <w:cantSplit/>
        </w:trPr>
        <w:tc>
          <w:tcPr>
            <w:tcW w:w="1051" w:type="pct"/>
            <w:vMerge/>
            <w:shd w:val="clear" w:color="auto" w:fill="auto"/>
            <w:noWrap/>
          </w:tcPr>
          <w:p w14:paraId="01228F7B" w14:textId="77777777" w:rsidR="001B13EC" w:rsidRPr="00181EF3" w:rsidRDefault="001B13EC" w:rsidP="001B13EC">
            <w:pPr>
              <w:pStyle w:val="TableText"/>
              <w:rPr>
                <w:lang w:eastAsia="en-NZ"/>
              </w:rPr>
            </w:pPr>
          </w:p>
        </w:tc>
        <w:tc>
          <w:tcPr>
            <w:tcW w:w="615" w:type="pct"/>
            <w:shd w:val="clear" w:color="auto" w:fill="auto"/>
            <w:hideMark/>
          </w:tcPr>
          <w:p w14:paraId="25E70474" w14:textId="77777777" w:rsidR="001B13EC" w:rsidRPr="00181EF3" w:rsidRDefault="001B13EC" w:rsidP="001B13EC">
            <w:pPr>
              <w:pStyle w:val="TableText"/>
              <w:jc w:val="center"/>
              <w:rPr>
                <w:lang w:eastAsia="en-NZ"/>
              </w:rPr>
            </w:pPr>
            <w:r w:rsidRPr="00181EF3">
              <w:rPr>
                <w:lang w:eastAsia="en-NZ"/>
              </w:rPr>
              <w:t>A06</w:t>
            </w:r>
          </w:p>
        </w:tc>
        <w:tc>
          <w:tcPr>
            <w:tcW w:w="1749" w:type="pct"/>
            <w:shd w:val="clear" w:color="auto" w:fill="auto"/>
            <w:noWrap/>
            <w:hideMark/>
          </w:tcPr>
          <w:p w14:paraId="2AA29469" w14:textId="77777777" w:rsidR="001B13EC" w:rsidRPr="00181EF3" w:rsidRDefault="001B13EC" w:rsidP="001B13EC">
            <w:pPr>
              <w:pStyle w:val="TableText"/>
              <w:rPr>
                <w:lang w:eastAsia="en-NZ"/>
              </w:rPr>
            </w:pPr>
            <w:r w:rsidRPr="00181EF3">
              <w:rPr>
                <w:lang w:eastAsia="en-NZ"/>
              </w:rPr>
              <w:t>Amoebiasis</w:t>
            </w:r>
          </w:p>
        </w:tc>
        <w:tc>
          <w:tcPr>
            <w:tcW w:w="652" w:type="pct"/>
            <w:shd w:val="clear" w:color="auto" w:fill="auto"/>
            <w:noWrap/>
            <w:hideMark/>
          </w:tcPr>
          <w:p w14:paraId="3A243CF3"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1B430C56"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5AFD5CB2" w14:textId="77777777" w:rsidTr="001B13EC">
        <w:trPr>
          <w:cantSplit/>
        </w:trPr>
        <w:tc>
          <w:tcPr>
            <w:tcW w:w="1051" w:type="pct"/>
            <w:vMerge/>
            <w:shd w:val="clear" w:color="auto" w:fill="auto"/>
            <w:noWrap/>
          </w:tcPr>
          <w:p w14:paraId="1BE1E6E3" w14:textId="77777777" w:rsidR="001B13EC" w:rsidRPr="00181EF3" w:rsidRDefault="001B13EC" w:rsidP="001B13EC">
            <w:pPr>
              <w:pStyle w:val="TableText"/>
              <w:rPr>
                <w:lang w:eastAsia="en-NZ"/>
              </w:rPr>
            </w:pPr>
          </w:p>
        </w:tc>
        <w:tc>
          <w:tcPr>
            <w:tcW w:w="615" w:type="pct"/>
            <w:shd w:val="clear" w:color="auto" w:fill="auto"/>
            <w:hideMark/>
          </w:tcPr>
          <w:p w14:paraId="44635EF7" w14:textId="77777777" w:rsidR="001B13EC" w:rsidRPr="00181EF3" w:rsidRDefault="001B13EC" w:rsidP="001B13EC">
            <w:pPr>
              <w:pStyle w:val="TableText"/>
              <w:jc w:val="center"/>
              <w:rPr>
                <w:lang w:eastAsia="en-NZ"/>
              </w:rPr>
            </w:pPr>
            <w:r w:rsidRPr="00181EF3">
              <w:rPr>
                <w:lang w:eastAsia="en-NZ"/>
              </w:rPr>
              <w:t>A07</w:t>
            </w:r>
          </w:p>
        </w:tc>
        <w:tc>
          <w:tcPr>
            <w:tcW w:w="1749" w:type="pct"/>
            <w:shd w:val="clear" w:color="auto" w:fill="auto"/>
            <w:noWrap/>
            <w:hideMark/>
          </w:tcPr>
          <w:p w14:paraId="333F1507" w14:textId="77777777" w:rsidR="001B13EC" w:rsidRPr="00181EF3" w:rsidRDefault="001B13EC" w:rsidP="001B13EC">
            <w:pPr>
              <w:pStyle w:val="TableText"/>
              <w:rPr>
                <w:lang w:eastAsia="en-NZ"/>
              </w:rPr>
            </w:pPr>
            <w:r w:rsidRPr="00181EF3">
              <w:rPr>
                <w:lang w:eastAsia="en-NZ"/>
              </w:rPr>
              <w:t>Other protozoal intestinal diseases</w:t>
            </w:r>
          </w:p>
        </w:tc>
        <w:tc>
          <w:tcPr>
            <w:tcW w:w="652" w:type="pct"/>
            <w:shd w:val="clear" w:color="auto" w:fill="auto"/>
            <w:noWrap/>
            <w:hideMark/>
          </w:tcPr>
          <w:p w14:paraId="16168B95"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79F58507"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4E818AAF" w14:textId="77777777" w:rsidTr="001B13EC">
        <w:trPr>
          <w:cantSplit/>
        </w:trPr>
        <w:tc>
          <w:tcPr>
            <w:tcW w:w="1051" w:type="pct"/>
            <w:vMerge/>
            <w:shd w:val="clear" w:color="auto" w:fill="auto"/>
            <w:noWrap/>
          </w:tcPr>
          <w:p w14:paraId="44D9FBF2" w14:textId="77777777" w:rsidR="001B13EC" w:rsidRPr="00181EF3" w:rsidRDefault="001B13EC" w:rsidP="001B13EC">
            <w:pPr>
              <w:pStyle w:val="TableText"/>
              <w:rPr>
                <w:lang w:eastAsia="en-NZ"/>
              </w:rPr>
            </w:pPr>
          </w:p>
        </w:tc>
        <w:tc>
          <w:tcPr>
            <w:tcW w:w="615" w:type="pct"/>
            <w:shd w:val="clear" w:color="auto" w:fill="auto"/>
            <w:hideMark/>
          </w:tcPr>
          <w:p w14:paraId="79A3403D" w14:textId="77777777" w:rsidR="001B13EC" w:rsidRPr="00181EF3" w:rsidRDefault="001B13EC" w:rsidP="001B13EC">
            <w:pPr>
              <w:pStyle w:val="TableText"/>
              <w:jc w:val="center"/>
              <w:rPr>
                <w:lang w:eastAsia="en-NZ"/>
              </w:rPr>
            </w:pPr>
            <w:r w:rsidRPr="00181EF3">
              <w:rPr>
                <w:lang w:eastAsia="en-NZ"/>
              </w:rPr>
              <w:t>A08</w:t>
            </w:r>
          </w:p>
        </w:tc>
        <w:tc>
          <w:tcPr>
            <w:tcW w:w="1749" w:type="pct"/>
            <w:shd w:val="clear" w:color="auto" w:fill="auto"/>
            <w:noWrap/>
            <w:hideMark/>
          </w:tcPr>
          <w:p w14:paraId="06E44F63" w14:textId="77777777" w:rsidR="001B13EC" w:rsidRPr="00181EF3" w:rsidRDefault="001B13EC" w:rsidP="001B13EC">
            <w:pPr>
              <w:pStyle w:val="TableText"/>
              <w:rPr>
                <w:lang w:eastAsia="en-NZ"/>
              </w:rPr>
            </w:pPr>
            <w:r w:rsidRPr="00181EF3">
              <w:rPr>
                <w:lang w:eastAsia="en-NZ"/>
              </w:rPr>
              <w:t>Viral and other specified intestinal infections</w:t>
            </w:r>
          </w:p>
        </w:tc>
        <w:tc>
          <w:tcPr>
            <w:tcW w:w="652" w:type="pct"/>
            <w:shd w:val="clear" w:color="auto" w:fill="auto"/>
            <w:noWrap/>
            <w:hideMark/>
          </w:tcPr>
          <w:p w14:paraId="7FC639BD"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72A21160"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1289BA86" w14:textId="77777777" w:rsidTr="001B13EC">
        <w:trPr>
          <w:cantSplit/>
        </w:trPr>
        <w:tc>
          <w:tcPr>
            <w:tcW w:w="1051" w:type="pct"/>
            <w:vMerge/>
            <w:shd w:val="clear" w:color="auto" w:fill="auto"/>
            <w:noWrap/>
          </w:tcPr>
          <w:p w14:paraId="5AB22A53" w14:textId="77777777" w:rsidR="001B13EC" w:rsidRPr="00181EF3" w:rsidRDefault="001B13EC" w:rsidP="001B13EC">
            <w:pPr>
              <w:pStyle w:val="TableText"/>
              <w:rPr>
                <w:lang w:eastAsia="en-NZ"/>
              </w:rPr>
            </w:pPr>
          </w:p>
        </w:tc>
        <w:tc>
          <w:tcPr>
            <w:tcW w:w="615" w:type="pct"/>
            <w:shd w:val="clear" w:color="auto" w:fill="auto"/>
            <w:hideMark/>
          </w:tcPr>
          <w:p w14:paraId="000E8853" w14:textId="77777777" w:rsidR="001B13EC" w:rsidRPr="00181EF3" w:rsidRDefault="001B13EC" w:rsidP="001B13EC">
            <w:pPr>
              <w:pStyle w:val="TableText"/>
              <w:jc w:val="center"/>
              <w:rPr>
                <w:lang w:eastAsia="en-NZ"/>
              </w:rPr>
            </w:pPr>
            <w:r w:rsidRPr="00181EF3">
              <w:rPr>
                <w:lang w:eastAsia="en-NZ"/>
              </w:rPr>
              <w:t>A09</w:t>
            </w:r>
          </w:p>
        </w:tc>
        <w:tc>
          <w:tcPr>
            <w:tcW w:w="1749" w:type="pct"/>
            <w:shd w:val="clear" w:color="auto" w:fill="auto"/>
            <w:noWrap/>
            <w:hideMark/>
          </w:tcPr>
          <w:p w14:paraId="48908748" w14:textId="77777777" w:rsidR="001B13EC" w:rsidRPr="00181EF3" w:rsidRDefault="001B13EC" w:rsidP="001B13EC">
            <w:pPr>
              <w:pStyle w:val="TableText"/>
              <w:rPr>
                <w:lang w:eastAsia="en-NZ"/>
              </w:rPr>
            </w:pPr>
            <w:r w:rsidRPr="00181EF3">
              <w:rPr>
                <w:lang w:eastAsia="en-NZ"/>
              </w:rPr>
              <w:t>Other gastroenteritis and colitis of infectious and unspecified origin</w:t>
            </w:r>
          </w:p>
        </w:tc>
        <w:tc>
          <w:tcPr>
            <w:tcW w:w="652" w:type="pct"/>
            <w:shd w:val="clear" w:color="auto" w:fill="auto"/>
            <w:noWrap/>
            <w:hideMark/>
          </w:tcPr>
          <w:p w14:paraId="6BA2B8A9"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5C931B43"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39B276E0" w14:textId="77777777" w:rsidTr="001B13EC">
        <w:trPr>
          <w:cantSplit/>
        </w:trPr>
        <w:tc>
          <w:tcPr>
            <w:tcW w:w="1051" w:type="pct"/>
            <w:vMerge/>
            <w:shd w:val="clear" w:color="auto" w:fill="auto"/>
            <w:noWrap/>
          </w:tcPr>
          <w:p w14:paraId="48C570B5" w14:textId="77777777" w:rsidR="001B13EC" w:rsidRPr="00181EF3" w:rsidRDefault="001B13EC" w:rsidP="001B13EC">
            <w:pPr>
              <w:pStyle w:val="TableText"/>
              <w:rPr>
                <w:lang w:eastAsia="en-NZ"/>
              </w:rPr>
            </w:pPr>
          </w:p>
        </w:tc>
        <w:tc>
          <w:tcPr>
            <w:tcW w:w="615" w:type="pct"/>
            <w:shd w:val="clear" w:color="auto" w:fill="auto"/>
            <w:noWrap/>
            <w:hideMark/>
          </w:tcPr>
          <w:p w14:paraId="5981BB46" w14:textId="77777777" w:rsidR="001B13EC" w:rsidRPr="00181EF3" w:rsidRDefault="001B13EC" w:rsidP="001B13EC">
            <w:pPr>
              <w:pStyle w:val="TableText"/>
              <w:jc w:val="center"/>
              <w:rPr>
                <w:lang w:eastAsia="en-NZ"/>
              </w:rPr>
            </w:pPr>
            <w:r w:rsidRPr="00181EF3">
              <w:rPr>
                <w:lang w:eastAsia="en-NZ"/>
              </w:rPr>
              <w:t>R11</w:t>
            </w:r>
          </w:p>
        </w:tc>
        <w:tc>
          <w:tcPr>
            <w:tcW w:w="1749" w:type="pct"/>
            <w:shd w:val="clear" w:color="auto" w:fill="auto"/>
            <w:noWrap/>
            <w:hideMark/>
          </w:tcPr>
          <w:p w14:paraId="60FA5F5E" w14:textId="77777777" w:rsidR="001B13EC" w:rsidRPr="00181EF3" w:rsidRDefault="001B13EC" w:rsidP="001B13EC">
            <w:pPr>
              <w:pStyle w:val="TableText"/>
              <w:rPr>
                <w:lang w:eastAsia="en-NZ"/>
              </w:rPr>
            </w:pPr>
            <w:r w:rsidRPr="00181EF3">
              <w:rPr>
                <w:lang w:eastAsia="en-NZ"/>
              </w:rPr>
              <w:t>Nausea and vomiting</w:t>
            </w:r>
          </w:p>
        </w:tc>
        <w:tc>
          <w:tcPr>
            <w:tcW w:w="652" w:type="pct"/>
            <w:shd w:val="clear" w:color="auto" w:fill="auto"/>
            <w:noWrap/>
            <w:hideMark/>
          </w:tcPr>
          <w:p w14:paraId="00298B6B"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54D63B6C"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71155DD0" w14:textId="77777777" w:rsidTr="001B13EC">
        <w:trPr>
          <w:cantSplit/>
        </w:trPr>
        <w:tc>
          <w:tcPr>
            <w:tcW w:w="1051" w:type="pct"/>
            <w:vMerge/>
            <w:shd w:val="clear" w:color="auto" w:fill="auto"/>
            <w:noWrap/>
          </w:tcPr>
          <w:p w14:paraId="0E875308" w14:textId="77777777" w:rsidR="001B13EC" w:rsidRPr="00181EF3" w:rsidRDefault="001B13EC" w:rsidP="001B13EC">
            <w:pPr>
              <w:pStyle w:val="TableText"/>
              <w:rPr>
                <w:lang w:eastAsia="en-NZ"/>
              </w:rPr>
            </w:pPr>
          </w:p>
        </w:tc>
        <w:tc>
          <w:tcPr>
            <w:tcW w:w="615" w:type="pct"/>
            <w:shd w:val="clear" w:color="auto" w:fill="auto"/>
            <w:hideMark/>
          </w:tcPr>
          <w:p w14:paraId="788923B5" w14:textId="77777777" w:rsidR="001B13EC" w:rsidRPr="00181EF3" w:rsidRDefault="001B13EC" w:rsidP="001B13EC">
            <w:pPr>
              <w:pStyle w:val="TableText"/>
              <w:jc w:val="center"/>
              <w:rPr>
                <w:lang w:eastAsia="en-NZ"/>
              </w:rPr>
            </w:pPr>
            <w:r w:rsidRPr="00181EF3">
              <w:rPr>
                <w:lang w:eastAsia="en-NZ"/>
              </w:rPr>
              <w:t>K52</w:t>
            </w:r>
            <w:r>
              <w:rPr>
                <w:lang w:eastAsia="en-NZ"/>
              </w:rPr>
              <w:t>.</w:t>
            </w:r>
            <w:r w:rsidRPr="00181EF3">
              <w:rPr>
                <w:lang w:eastAsia="en-NZ"/>
              </w:rPr>
              <w:t>9</w:t>
            </w:r>
          </w:p>
        </w:tc>
        <w:tc>
          <w:tcPr>
            <w:tcW w:w="1749" w:type="pct"/>
            <w:shd w:val="clear" w:color="auto" w:fill="auto"/>
            <w:noWrap/>
            <w:hideMark/>
          </w:tcPr>
          <w:p w14:paraId="402BD3BC" w14:textId="77777777" w:rsidR="001B13EC" w:rsidRPr="00181EF3" w:rsidRDefault="001B13EC" w:rsidP="001B13EC">
            <w:pPr>
              <w:pStyle w:val="TableText"/>
              <w:rPr>
                <w:lang w:eastAsia="en-NZ"/>
              </w:rPr>
            </w:pPr>
            <w:r w:rsidRPr="00181EF3">
              <w:rPr>
                <w:lang w:eastAsia="en-NZ"/>
              </w:rPr>
              <w:t>Noninfective gastroenteritis and colitis, unspecified</w:t>
            </w:r>
          </w:p>
        </w:tc>
        <w:tc>
          <w:tcPr>
            <w:tcW w:w="652" w:type="pct"/>
            <w:shd w:val="clear" w:color="auto" w:fill="auto"/>
            <w:noWrap/>
            <w:hideMark/>
          </w:tcPr>
          <w:p w14:paraId="6C66AC3C"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39EA6AF0"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667B6CB0" w14:textId="77777777" w:rsidTr="001B13EC">
        <w:trPr>
          <w:cantSplit/>
        </w:trPr>
        <w:tc>
          <w:tcPr>
            <w:tcW w:w="1051" w:type="pct"/>
            <w:shd w:val="clear" w:color="auto" w:fill="auto"/>
            <w:noWrap/>
            <w:hideMark/>
          </w:tcPr>
          <w:p w14:paraId="5BBCF297" w14:textId="77777777" w:rsidR="001B13EC" w:rsidRPr="00181EF3" w:rsidRDefault="001B13EC" w:rsidP="001B13EC">
            <w:pPr>
              <w:pStyle w:val="TableText"/>
              <w:rPr>
                <w:lang w:eastAsia="en-NZ"/>
              </w:rPr>
            </w:pPr>
            <w:r w:rsidRPr="00181EF3">
              <w:rPr>
                <w:lang w:eastAsia="en-NZ"/>
              </w:rPr>
              <w:t>GORD (gastro</w:t>
            </w:r>
            <w:r w:rsidRPr="00181EF3">
              <w:rPr>
                <w:lang w:eastAsia="en-NZ"/>
              </w:rPr>
              <w:noBreakHyphen/>
              <w:t>oesphageal reflux disease)</w:t>
            </w:r>
          </w:p>
        </w:tc>
        <w:tc>
          <w:tcPr>
            <w:tcW w:w="615" w:type="pct"/>
            <w:shd w:val="clear" w:color="auto" w:fill="auto"/>
            <w:hideMark/>
          </w:tcPr>
          <w:p w14:paraId="7AB378C6" w14:textId="77777777" w:rsidR="001B13EC" w:rsidRPr="00181EF3" w:rsidRDefault="001B13EC" w:rsidP="001B13EC">
            <w:pPr>
              <w:pStyle w:val="TableText"/>
              <w:jc w:val="center"/>
              <w:rPr>
                <w:lang w:eastAsia="en-NZ"/>
              </w:rPr>
            </w:pPr>
            <w:r w:rsidRPr="00181EF3">
              <w:rPr>
                <w:lang w:eastAsia="en-NZ"/>
              </w:rPr>
              <w:t>K21</w:t>
            </w:r>
          </w:p>
        </w:tc>
        <w:tc>
          <w:tcPr>
            <w:tcW w:w="1749" w:type="pct"/>
            <w:shd w:val="clear" w:color="auto" w:fill="auto"/>
            <w:noWrap/>
            <w:hideMark/>
          </w:tcPr>
          <w:p w14:paraId="522D2FAD" w14:textId="77777777" w:rsidR="001B13EC" w:rsidRPr="00181EF3" w:rsidRDefault="001B13EC" w:rsidP="001B13EC">
            <w:pPr>
              <w:pStyle w:val="TableText"/>
              <w:rPr>
                <w:lang w:eastAsia="en-NZ"/>
              </w:rPr>
            </w:pPr>
            <w:r w:rsidRPr="00181EF3">
              <w:rPr>
                <w:lang w:eastAsia="en-NZ"/>
              </w:rPr>
              <w:t>Gastro-oesophageal reflux disease</w:t>
            </w:r>
          </w:p>
        </w:tc>
        <w:tc>
          <w:tcPr>
            <w:tcW w:w="652" w:type="pct"/>
            <w:shd w:val="clear" w:color="auto" w:fill="auto"/>
            <w:noWrap/>
            <w:hideMark/>
          </w:tcPr>
          <w:p w14:paraId="2A8AE17B"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2CF8F929"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17845B05" w14:textId="77777777" w:rsidTr="001B13EC">
        <w:trPr>
          <w:cantSplit/>
        </w:trPr>
        <w:tc>
          <w:tcPr>
            <w:tcW w:w="1051" w:type="pct"/>
            <w:vMerge w:val="restart"/>
            <w:shd w:val="clear" w:color="auto" w:fill="auto"/>
            <w:noWrap/>
            <w:hideMark/>
          </w:tcPr>
          <w:p w14:paraId="28059121" w14:textId="1E53D239" w:rsidR="001B13EC" w:rsidRPr="00181EF3" w:rsidRDefault="001B13EC" w:rsidP="001B13EC">
            <w:pPr>
              <w:pStyle w:val="TableText"/>
              <w:rPr>
                <w:lang w:eastAsia="en-NZ"/>
              </w:rPr>
            </w:pPr>
            <w:r w:rsidRPr="00181EF3">
              <w:rPr>
                <w:lang w:eastAsia="en-NZ"/>
              </w:rPr>
              <w:t>Nutrition defi</w:t>
            </w:r>
            <w:r w:rsidR="006A1360">
              <w:rPr>
                <w:lang w:eastAsia="en-NZ"/>
              </w:rPr>
              <w:t>ci</w:t>
            </w:r>
            <w:r w:rsidRPr="00181EF3">
              <w:rPr>
                <w:lang w:eastAsia="en-NZ"/>
              </w:rPr>
              <w:t>ency and anaemia</w:t>
            </w:r>
          </w:p>
        </w:tc>
        <w:tc>
          <w:tcPr>
            <w:tcW w:w="615" w:type="pct"/>
            <w:shd w:val="clear" w:color="auto" w:fill="auto"/>
            <w:noWrap/>
            <w:hideMark/>
          </w:tcPr>
          <w:p w14:paraId="789D55C2" w14:textId="77777777" w:rsidR="001B13EC" w:rsidRPr="00181EF3" w:rsidRDefault="001B13EC" w:rsidP="001B13EC">
            <w:pPr>
              <w:pStyle w:val="TableText"/>
              <w:jc w:val="center"/>
              <w:rPr>
                <w:lang w:eastAsia="en-NZ"/>
              </w:rPr>
            </w:pPr>
            <w:r w:rsidRPr="00181EF3">
              <w:rPr>
                <w:lang w:eastAsia="en-NZ"/>
              </w:rPr>
              <w:t>D50</w:t>
            </w:r>
          </w:p>
        </w:tc>
        <w:tc>
          <w:tcPr>
            <w:tcW w:w="1749" w:type="pct"/>
            <w:shd w:val="clear" w:color="auto" w:fill="auto"/>
            <w:noWrap/>
            <w:hideMark/>
          </w:tcPr>
          <w:p w14:paraId="46EFEB36" w14:textId="77777777" w:rsidR="001B13EC" w:rsidRPr="00181EF3" w:rsidRDefault="001B13EC" w:rsidP="001B13EC">
            <w:pPr>
              <w:pStyle w:val="TableText"/>
              <w:rPr>
                <w:lang w:eastAsia="en-NZ"/>
              </w:rPr>
            </w:pPr>
            <w:r w:rsidRPr="00181EF3">
              <w:rPr>
                <w:lang w:eastAsia="en-NZ"/>
              </w:rPr>
              <w:t>Iron deficiency anaemia</w:t>
            </w:r>
          </w:p>
        </w:tc>
        <w:tc>
          <w:tcPr>
            <w:tcW w:w="652" w:type="pct"/>
            <w:shd w:val="clear" w:color="auto" w:fill="auto"/>
            <w:noWrap/>
            <w:hideMark/>
          </w:tcPr>
          <w:p w14:paraId="7D1F5AA5"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36E55897"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15CFAAD3" w14:textId="77777777" w:rsidTr="001B13EC">
        <w:trPr>
          <w:cantSplit/>
        </w:trPr>
        <w:tc>
          <w:tcPr>
            <w:tcW w:w="1051" w:type="pct"/>
            <w:vMerge/>
            <w:shd w:val="clear" w:color="auto" w:fill="auto"/>
            <w:noWrap/>
          </w:tcPr>
          <w:p w14:paraId="4BA49134" w14:textId="77777777" w:rsidR="001B13EC" w:rsidRPr="00181EF3" w:rsidRDefault="001B13EC" w:rsidP="001B13EC">
            <w:pPr>
              <w:pStyle w:val="TableText"/>
              <w:rPr>
                <w:lang w:eastAsia="en-NZ"/>
              </w:rPr>
            </w:pPr>
          </w:p>
        </w:tc>
        <w:tc>
          <w:tcPr>
            <w:tcW w:w="615" w:type="pct"/>
            <w:shd w:val="clear" w:color="auto" w:fill="auto"/>
            <w:noWrap/>
            <w:hideMark/>
          </w:tcPr>
          <w:p w14:paraId="03634F30" w14:textId="77777777" w:rsidR="001B13EC" w:rsidRPr="00181EF3" w:rsidRDefault="001B13EC" w:rsidP="001B13EC">
            <w:pPr>
              <w:pStyle w:val="TableText"/>
              <w:jc w:val="center"/>
              <w:rPr>
                <w:lang w:eastAsia="en-NZ"/>
              </w:rPr>
            </w:pPr>
            <w:r w:rsidRPr="00181EF3">
              <w:rPr>
                <w:lang w:eastAsia="en-NZ"/>
              </w:rPr>
              <w:t>D51</w:t>
            </w:r>
          </w:p>
        </w:tc>
        <w:tc>
          <w:tcPr>
            <w:tcW w:w="1749" w:type="pct"/>
            <w:shd w:val="clear" w:color="auto" w:fill="auto"/>
            <w:noWrap/>
            <w:hideMark/>
          </w:tcPr>
          <w:p w14:paraId="13E18901" w14:textId="77777777" w:rsidR="001B13EC" w:rsidRPr="00181EF3" w:rsidRDefault="001B13EC" w:rsidP="001B13EC">
            <w:pPr>
              <w:pStyle w:val="TableText"/>
              <w:rPr>
                <w:lang w:eastAsia="en-NZ"/>
              </w:rPr>
            </w:pPr>
            <w:r w:rsidRPr="00181EF3">
              <w:rPr>
                <w:lang w:eastAsia="en-NZ"/>
              </w:rPr>
              <w:t>Vitamin B12 deficiency anaemia</w:t>
            </w:r>
          </w:p>
        </w:tc>
        <w:tc>
          <w:tcPr>
            <w:tcW w:w="652" w:type="pct"/>
            <w:shd w:val="clear" w:color="auto" w:fill="auto"/>
            <w:noWrap/>
            <w:hideMark/>
          </w:tcPr>
          <w:p w14:paraId="4E51B76A"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2FF6455C"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062A7F55" w14:textId="77777777" w:rsidTr="001B13EC">
        <w:trPr>
          <w:cantSplit/>
        </w:trPr>
        <w:tc>
          <w:tcPr>
            <w:tcW w:w="1051" w:type="pct"/>
            <w:vMerge/>
            <w:shd w:val="clear" w:color="auto" w:fill="auto"/>
            <w:noWrap/>
          </w:tcPr>
          <w:p w14:paraId="5AD9104E" w14:textId="77777777" w:rsidR="001B13EC" w:rsidRPr="00181EF3" w:rsidRDefault="001B13EC" w:rsidP="001B13EC">
            <w:pPr>
              <w:pStyle w:val="TableText"/>
              <w:rPr>
                <w:lang w:eastAsia="en-NZ"/>
              </w:rPr>
            </w:pPr>
          </w:p>
        </w:tc>
        <w:tc>
          <w:tcPr>
            <w:tcW w:w="615" w:type="pct"/>
            <w:shd w:val="clear" w:color="auto" w:fill="auto"/>
            <w:noWrap/>
            <w:hideMark/>
          </w:tcPr>
          <w:p w14:paraId="54536E41" w14:textId="77777777" w:rsidR="001B13EC" w:rsidRPr="00181EF3" w:rsidRDefault="001B13EC" w:rsidP="001B13EC">
            <w:pPr>
              <w:pStyle w:val="TableText"/>
              <w:jc w:val="center"/>
              <w:rPr>
                <w:lang w:eastAsia="en-NZ"/>
              </w:rPr>
            </w:pPr>
            <w:r w:rsidRPr="00181EF3">
              <w:rPr>
                <w:lang w:eastAsia="en-NZ"/>
              </w:rPr>
              <w:t>D52</w:t>
            </w:r>
          </w:p>
        </w:tc>
        <w:tc>
          <w:tcPr>
            <w:tcW w:w="1749" w:type="pct"/>
            <w:shd w:val="clear" w:color="auto" w:fill="auto"/>
            <w:noWrap/>
            <w:hideMark/>
          </w:tcPr>
          <w:p w14:paraId="1FB99F5D" w14:textId="77777777" w:rsidR="001B13EC" w:rsidRPr="00181EF3" w:rsidRDefault="001B13EC" w:rsidP="001B13EC">
            <w:pPr>
              <w:pStyle w:val="TableText"/>
              <w:rPr>
                <w:lang w:eastAsia="en-NZ"/>
              </w:rPr>
            </w:pPr>
            <w:r w:rsidRPr="00181EF3">
              <w:rPr>
                <w:lang w:eastAsia="en-NZ"/>
              </w:rPr>
              <w:t>Folate deficiency anaemia</w:t>
            </w:r>
          </w:p>
        </w:tc>
        <w:tc>
          <w:tcPr>
            <w:tcW w:w="652" w:type="pct"/>
            <w:shd w:val="clear" w:color="auto" w:fill="auto"/>
            <w:noWrap/>
            <w:hideMark/>
          </w:tcPr>
          <w:p w14:paraId="2F236DE8"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7D3C1CD1"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194B6ED9" w14:textId="77777777" w:rsidTr="001B13EC">
        <w:trPr>
          <w:cantSplit/>
        </w:trPr>
        <w:tc>
          <w:tcPr>
            <w:tcW w:w="1051" w:type="pct"/>
            <w:vMerge/>
            <w:shd w:val="clear" w:color="auto" w:fill="auto"/>
            <w:noWrap/>
          </w:tcPr>
          <w:p w14:paraId="276387AB" w14:textId="77777777" w:rsidR="001B13EC" w:rsidRPr="00181EF3" w:rsidRDefault="001B13EC" w:rsidP="001B13EC">
            <w:pPr>
              <w:pStyle w:val="TableText"/>
              <w:rPr>
                <w:lang w:eastAsia="en-NZ"/>
              </w:rPr>
            </w:pPr>
          </w:p>
        </w:tc>
        <w:tc>
          <w:tcPr>
            <w:tcW w:w="615" w:type="pct"/>
            <w:shd w:val="clear" w:color="auto" w:fill="auto"/>
            <w:noWrap/>
            <w:hideMark/>
          </w:tcPr>
          <w:p w14:paraId="30586FE8" w14:textId="77777777" w:rsidR="001B13EC" w:rsidRPr="00181EF3" w:rsidRDefault="001B13EC" w:rsidP="001B13EC">
            <w:pPr>
              <w:pStyle w:val="TableText"/>
              <w:jc w:val="center"/>
              <w:rPr>
                <w:lang w:eastAsia="en-NZ"/>
              </w:rPr>
            </w:pPr>
            <w:r w:rsidRPr="00181EF3">
              <w:rPr>
                <w:lang w:eastAsia="en-NZ"/>
              </w:rPr>
              <w:t>D53</w:t>
            </w:r>
          </w:p>
        </w:tc>
        <w:tc>
          <w:tcPr>
            <w:tcW w:w="1749" w:type="pct"/>
            <w:shd w:val="clear" w:color="auto" w:fill="auto"/>
            <w:noWrap/>
            <w:hideMark/>
          </w:tcPr>
          <w:p w14:paraId="4BC9E761" w14:textId="77777777" w:rsidR="001B13EC" w:rsidRPr="00181EF3" w:rsidRDefault="001B13EC" w:rsidP="001B13EC">
            <w:pPr>
              <w:pStyle w:val="TableText"/>
              <w:rPr>
                <w:lang w:eastAsia="en-NZ"/>
              </w:rPr>
            </w:pPr>
            <w:r w:rsidRPr="00181EF3">
              <w:rPr>
                <w:lang w:eastAsia="en-NZ"/>
              </w:rPr>
              <w:t>Other nutritional anaemias</w:t>
            </w:r>
          </w:p>
        </w:tc>
        <w:tc>
          <w:tcPr>
            <w:tcW w:w="652" w:type="pct"/>
            <w:shd w:val="clear" w:color="auto" w:fill="auto"/>
            <w:noWrap/>
            <w:hideMark/>
          </w:tcPr>
          <w:p w14:paraId="1BBE54C0"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6FC5FB6D"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134588F9" w14:textId="77777777" w:rsidTr="001B13EC">
        <w:trPr>
          <w:cantSplit/>
        </w:trPr>
        <w:tc>
          <w:tcPr>
            <w:tcW w:w="1051" w:type="pct"/>
            <w:vMerge/>
            <w:shd w:val="clear" w:color="auto" w:fill="auto"/>
            <w:noWrap/>
          </w:tcPr>
          <w:p w14:paraId="7DE8442F" w14:textId="77777777" w:rsidR="001B13EC" w:rsidRPr="00181EF3" w:rsidRDefault="001B13EC" w:rsidP="001B13EC">
            <w:pPr>
              <w:pStyle w:val="TableText"/>
              <w:rPr>
                <w:lang w:eastAsia="en-NZ"/>
              </w:rPr>
            </w:pPr>
          </w:p>
        </w:tc>
        <w:tc>
          <w:tcPr>
            <w:tcW w:w="615" w:type="pct"/>
            <w:shd w:val="clear" w:color="auto" w:fill="auto"/>
            <w:hideMark/>
          </w:tcPr>
          <w:p w14:paraId="528CB89B" w14:textId="77777777" w:rsidR="001B13EC" w:rsidRPr="00181EF3" w:rsidRDefault="001B13EC" w:rsidP="001B13EC">
            <w:pPr>
              <w:pStyle w:val="TableText"/>
              <w:jc w:val="center"/>
              <w:rPr>
                <w:lang w:eastAsia="en-NZ"/>
              </w:rPr>
            </w:pPr>
            <w:r w:rsidRPr="00181EF3">
              <w:rPr>
                <w:lang w:eastAsia="en-NZ"/>
              </w:rPr>
              <w:t>E40</w:t>
            </w:r>
          </w:p>
        </w:tc>
        <w:tc>
          <w:tcPr>
            <w:tcW w:w="1749" w:type="pct"/>
            <w:shd w:val="clear" w:color="auto" w:fill="auto"/>
            <w:noWrap/>
            <w:hideMark/>
          </w:tcPr>
          <w:p w14:paraId="7B93041F" w14:textId="77777777" w:rsidR="001B13EC" w:rsidRPr="00181EF3" w:rsidRDefault="001B13EC" w:rsidP="001B13EC">
            <w:pPr>
              <w:pStyle w:val="TableText"/>
              <w:rPr>
                <w:lang w:eastAsia="en-NZ"/>
              </w:rPr>
            </w:pPr>
            <w:r w:rsidRPr="00181EF3">
              <w:rPr>
                <w:lang w:eastAsia="en-NZ"/>
              </w:rPr>
              <w:t>Kwashiorkor</w:t>
            </w:r>
          </w:p>
        </w:tc>
        <w:tc>
          <w:tcPr>
            <w:tcW w:w="652" w:type="pct"/>
            <w:shd w:val="clear" w:color="auto" w:fill="auto"/>
            <w:noWrap/>
            <w:hideMark/>
          </w:tcPr>
          <w:p w14:paraId="52121617"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1AE661E0"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6218E4F3" w14:textId="77777777" w:rsidTr="001B13EC">
        <w:trPr>
          <w:cantSplit/>
        </w:trPr>
        <w:tc>
          <w:tcPr>
            <w:tcW w:w="1051" w:type="pct"/>
            <w:vMerge/>
            <w:shd w:val="clear" w:color="auto" w:fill="auto"/>
            <w:noWrap/>
          </w:tcPr>
          <w:p w14:paraId="6DA46D94" w14:textId="77777777" w:rsidR="001B13EC" w:rsidRPr="00181EF3" w:rsidRDefault="001B13EC" w:rsidP="001B13EC">
            <w:pPr>
              <w:pStyle w:val="TableText"/>
              <w:rPr>
                <w:lang w:eastAsia="en-NZ"/>
              </w:rPr>
            </w:pPr>
          </w:p>
        </w:tc>
        <w:tc>
          <w:tcPr>
            <w:tcW w:w="615" w:type="pct"/>
            <w:shd w:val="clear" w:color="auto" w:fill="auto"/>
            <w:hideMark/>
          </w:tcPr>
          <w:p w14:paraId="580CBEA6" w14:textId="77777777" w:rsidR="001B13EC" w:rsidRPr="00181EF3" w:rsidRDefault="001B13EC" w:rsidP="001B13EC">
            <w:pPr>
              <w:pStyle w:val="TableText"/>
              <w:jc w:val="center"/>
              <w:rPr>
                <w:lang w:eastAsia="en-NZ"/>
              </w:rPr>
            </w:pPr>
            <w:r w:rsidRPr="00181EF3">
              <w:rPr>
                <w:lang w:eastAsia="en-NZ"/>
              </w:rPr>
              <w:t>E41</w:t>
            </w:r>
          </w:p>
        </w:tc>
        <w:tc>
          <w:tcPr>
            <w:tcW w:w="1749" w:type="pct"/>
            <w:shd w:val="clear" w:color="auto" w:fill="auto"/>
            <w:noWrap/>
            <w:hideMark/>
          </w:tcPr>
          <w:p w14:paraId="7BFAD81E" w14:textId="77777777" w:rsidR="001B13EC" w:rsidRPr="00181EF3" w:rsidRDefault="001B13EC" w:rsidP="001B13EC">
            <w:pPr>
              <w:pStyle w:val="TableText"/>
              <w:rPr>
                <w:lang w:eastAsia="en-NZ"/>
              </w:rPr>
            </w:pPr>
            <w:r w:rsidRPr="00181EF3">
              <w:rPr>
                <w:lang w:eastAsia="en-NZ"/>
              </w:rPr>
              <w:t>Nutritional marasmus</w:t>
            </w:r>
          </w:p>
        </w:tc>
        <w:tc>
          <w:tcPr>
            <w:tcW w:w="652" w:type="pct"/>
            <w:shd w:val="clear" w:color="auto" w:fill="auto"/>
            <w:noWrap/>
            <w:hideMark/>
          </w:tcPr>
          <w:p w14:paraId="6141F3BA"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3A301816"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1CDA10B9" w14:textId="77777777" w:rsidTr="001B13EC">
        <w:trPr>
          <w:cantSplit/>
        </w:trPr>
        <w:tc>
          <w:tcPr>
            <w:tcW w:w="1051" w:type="pct"/>
            <w:vMerge/>
            <w:shd w:val="clear" w:color="auto" w:fill="auto"/>
            <w:noWrap/>
          </w:tcPr>
          <w:p w14:paraId="701419C3" w14:textId="77777777" w:rsidR="001B13EC" w:rsidRPr="00181EF3" w:rsidRDefault="001B13EC" w:rsidP="001B13EC">
            <w:pPr>
              <w:pStyle w:val="TableText"/>
              <w:rPr>
                <w:lang w:eastAsia="en-NZ"/>
              </w:rPr>
            </w:pPr>
          </w:p>
        </w:tc>
        <w:tc>
          <w:tcPr>
            <w:tcW w:w="615" w:type="pct"/>
            <w:shd w:val="clear" w:color="auto" w:fill="auto"/>
            <w:hideMark/>
          </w:tcPr>
          <w:p w14:paraId="4E2D45B9" w14:textId="77777777" w:rsidR="001B13EC" w:rsidRPr="00181EF3" w:rsidRDefault="001B13EC" w:rsidP="001B13EC">
            <w:pPr>
              <w:pStyle w:val="TableText"/>
              <w:jc w:val="center"/>
              <w:rPr>
                <w:lang w:eastAsia="en-NZ"/>
              </w:rPr>
            </w:pPr>
            <w:r w:rsidRPr="00181EF3">
              <w:rPr>
                <w:lang w:eastAsia="en-NZ"/>
              </w:rPr>
              <w:t>E42</w:t>
            </w:r>
          </w:p>
        </w:tc>
        <w:tc>
          <w:tcPr>
            <w:tcW w:w="1749" w:type="pct"/>
            <w:shd w:val="clear" w:color="auto" w:fill="auto"/>
            <w:noWrap/>
            <w:hideMark/>
          </w:tcPr>
          <w:p w14:paraId="39D8BC06" w14:textId="77777777" w:rsidR="001B13EC" w:rsidRPr="00181EF3" w:rsidRDefault="001B13EC" w:rsidP="001B13EC">
            <w:pPr>
              <w:pStyle w:val="TableText"/>
              <w:rPr>
                <w:lang w:eastAsia="en-NZ"/>
              </w:rPr>
            </w:pPr>
            <w:r w:rsidRPr="00181EF3">
              <w:rPr>
                <w:lang w:eastAsia="en-NZ"/>
              </w:rPr>
              <w:t>Marasmic kwashiorkor</w:t>
            </w:r>
          </w:p>
        </w:tc>
        <w:tc>
          <w:tcPr>
            <w:tcW w:w="652" w:type="pct"/>
            <w:shd w:val="clear" w:color="auto" w:fill="auto"/>
            <w:noWrap/>
            <w:hideMark/>
          </w:tcPr>
          <w:p w14:paraId="4AB208A6"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2B02934F"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292F86D1" w14:textId="77777777" w:rsidTr="001B13EC">
        <w:trPr>
          <w:cantSplit/>
        </w:trPr>
        <w:tc>
          <w:tcPr>
            <w:tcW w:w="1051" w:type="pct"/>
            <w:vMerge/>
            <w:shd w:val="clear" w:color="auto" w:fill="auto"/>
            <w:noWrap/>
          </w:tcPr>
          <w:p w14:paraId="74C04692" w14:textId="77777777" w:rsidR="001B13EC" w:rsidRPr="00181EF3" w:rsidRDefault="001B13EC" w:rsidP="001B13EC">
            <w:pPr>
              <w:pStyle w:val="TableText"/>
              <w:rPr>
                <w:lang w:eastAsia="en-NZ"/>
              </w:rPr>
            </w:pPr>
          </w:p>
        </w:tc>
        <w:tc>
          <w:tcPr>
            <w:tcW w:w="615" w:type="pct"/>
            <w:shd w:val="clear" w:color="auto" w:fill="auto"/>
            <w:hideMark/>
          </w:tcPr>
          <w:p w14:paraId="0F60462E" w14:textId="77777777" w:rsidR="001B13EC" w:rsidRPr="00181EF3" w:rsidRDefault="001B13EC" w:rsidP="001B13EC">
            <w:pPr>
              <w:pStyle w:val="TableText"/>
              <w:jc w:val="center"/>
              <w:rPr>
                <w:lang w:eastAsia="en-NZ"/>
              </w:rPr>
            </w:pPr>
            <w:r w:rsidRPr="00181EF3">
              <w:rPr>
                <w:lang w:eastAsia="en-NZ"/>
              </w:rPr>
              <w:t>E43</w:t>
            </w:r>
          </w:p>
        </w:tc>
        <w:tc>
          <w:tcPr>
            <w:tcW w:w="1749" w:type="pct"/>
            <w:shd w:val="clear" w:color="auto" w:fill="auto"/>
            <w:noWrap/>
            <w:hideMark/>
          </w:tcPr>
          <w:p w14:paraId="7B70FEFE" w14:textId="77777777" w:rsidR="001B13EC" w:rsidRPr="00181EF3" w:rsidRDefault="001B13EC" w:rsidP="001B13EC">
            <w:pPr>
              <w:pStyle w:val="TableText"/>
              <w:rPr>
                <w:lang w:eastAsia="en-NZ"/>
              </w:rPr>
            </w:pPr>
            <w:r w:rsidRPr="00181EF3">
              <w:rPr>
                <w:lang w:eastAsia="en-NZ"/>
              </w:rPr>
              <w:t>Unspecified severe protein-energy malnutrition</w:t>
            </w:r>
          </w:p>
        </w:tc>
        <w:tc>
          <w:tcPr>
            <w:tcW w:w="652" w:type="pct"/>
            <w:shd w:val="clear" w:color="auto" w:fill="auto"/>
            <w:noWrap/>
            <w:hideMark/>
          </w:tcPr>
          <w:p w14:paraId="38F33D87"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668C2335"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4BC34610" w14:textId="77777777" w:rsidTr="001B13EC">
        <w:trPr>
          <w:cantSplit/>
        </w:trPr>
        <w:tc>
          <w:tcPr>
            <w:tcW w:w="1051" w:type="pct"/>
            <w:vMerge/>
            <w:shd w:val="clear" w:color="auto" w:fill="auto"/>
            <w:noWrap/>
          </w:tcPr>
          <w:p w14:paraId="1F53BC3F" w14:textId="77777777" w:rsidR="001B13EC" w:rsidRPr="00181EF3" w:rsidRDefault="001B13EC" w:rsidP="001B13EC">
            <w:pPr>
              <w:pStyle w:val="TableText"/>
              <w:rPr>
                <w:lang w:eastAsia="en-NZ"/>
              </w:rPr>
            </w:pPr>
          </w:p>
        </w:tc>
        <w:tc>
          <w:tcPr>
            <w:tcW w:w="615" w:type="pct"/>
            <w:shd w:val="clear" w:color="auto" w:fill="auto"/>
            <w:hideMark/>
          </w:tcPr>
          <w:p w14:paraId="6A6978D4" w14:textId="77777777" w:rsidR="001B13EC" w:rsidRPr="00181EF3" w:rsidRDefault="001B13EC" w:rsidP="001B13EC">
            <w:pPr>
              <w:pStyle w:val="TableText"/>
              <w:jc w:val="center"/>
              <w:rPr>
                <w:lang w:eastAsia="en-NZ"/>
              </w:rPr>
            </w:pPr>
            <w:r w:rsidRPr="00181EF3">
              <w:rPr>
                <w:lang w:eastAsia="en-NZ"/>
              </w:rPr>
              <w:t>E44</w:t>
            </w:r>
          </w:p>
        </w:tc>
        <w:tc>
          <w:tcPr>
            <w:tcW w:w="1749" w:type="pct"/>
            <w:shd w:val="clear" w:color="auto" w:fill="auto"/>
            <w:noWrap/>
            <w:hideMark/>
          </w:tcPr>
          <w:p w14:paraId="6B4D42D7" w14:textId="77777777" w:rsidR="001B13EC" w:rsidRPr="00181EF3" w:rsidRDefault="001B13EC" w:rsidP="001B13EC">
            <w:pPr>
              <w:pStyle w:val="TableText"/>
              <w:rPr>
                <w:lang w:eastAsia="en-NZ"/>
              </w:rPr>
            </w:pPr>
            <w:r w:rsidRPr="00181EF3">
              <w:rPr>
                <w:lang w:eastAsia="en-NZ"/>
              </w:rPr>
              <w:t>Protein-energy malnutrition of moderate and mild degree</w:t>
            </w:r>
          </w:p>
        </w:tc>
        <w:tc>
          <w:tcPr>
            <w:tcW w:w="652" w:type="pct"/>
            <w:shd w:val="clear" w:color="auto" w:fill="auto"/>
            <w:noWrap/>
            <w:hideMark/>
          </w:tcPr>
          <w:p w14:paraId="0E0A2C8B"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375B7C7B"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2D8C4B99" w14:textId="77777777" w:rsidTr="001B13EC">
        <w:trPr>
          <w:cantSplit/>
        </w:trPr>
        <w:tc>
          <w:tcPr>
            <w:tcW w:w="1051" w:type="pct"/>
            <w:vMerge/>
            <w:shd w:val="clear" w:color="auto" w:fill="auto"/>
            <w:noWrap/>
          </w:tcPr>
          <w:p w14:paraId="1D63A350" w14:textId="77777777" w:rsidR="001B13EC" w:rsidRPr="00181EF3" w:rsidRDefault="001B13EC" w:rsidP="001B13EC">
            <w:pPr>
              <w:pStyle w:val="TableText"/>
              <w:rPr>
                <w:lang w:eastAsia="en-NZ"/>
              </w:rPr>
            </w:pPr>
          </w:p>
        </w:tc>
        <w:tc>
          <w:tcPr>
            <w:tcW w:w="615" w:type="pct"/>
            <w:shd w:val="clear" w:color="auto" w:fill="auto"/>
            <w:hideMark/>
          </w:tcPr>
          <w:p w14:paraId="127D0331" w14:textId="77777777" w:rsidR="001B13EC" w:rsidRPr="00181EF3" w:rsidRDefault="001B13EC" w:rsidP="001B13EC">
            <w:pPr>
              <w:pStyle w:val="TableText"/>
              <w:jc w:val="center"/>
              <w:rPr>
                <w:lang w:eastAsia="en-NZ"/>
              </w:rPr>
            </w:pPr>
            <w:r w:rsidRPr="00181EF3">
              <w:rPr>
                <w:lang w:eastAsia="en-NZ"/>
              </w:rPr>
              <w:t>E45</w:t>
            </w:r>
          </w:p>
        </w:tc>
        <w:tc>
          <w:tcPr>
            <w:tcW w:w="1749" w:type="pct"/>
            <w:shd w:val="clear" w:color="auto" w:fill="auto"/>
            <w:noWrap/>
            <w:hideMark/>
          </w:tcPr>
          <w:p w14:paraId="60F01B15" w14:textId="77777777" w:rsidR="001B13EC" w:rsidRPr="00181EF3" w:rsidRDefault="001B13EC" w:rsidP="001B13EC">
            <w:pPr>
              <w:pStyle w:val="TableText"/>
              <w:rPr>
                <w:lang w:eastAsia="en-NZ"/>
              </w:rPr>
            </w:pPr>
            <w:r w:rsidRPr="00181EF3">
              <w:rPr>
                <w:lang w:eastAsia="en-NZ"/>
              </w:rPr>
              <w:t>Retarded development following protein-energy malnutrition</w:t>
            </w:r>
          </w:p>
        </w:tc>
        <w:tc>
          <w:tcPr>
            <w:tcW w:w="652" w:type="pct"/>
            <w:shd w:val="clear" w:color="auto" w:fill="auto"/>
            <w:noWrap/>
            <w:hideMark/>
          </w:tcPr>
          <w:p w14:paraId="764BDBE1"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573F2C1D"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21005BCE" w14:textId="77777777" w:rsidTr="001B13EC">
        <w:trPr>
          <w:cantSplit/>
        </w:trPr>
        <w:tc>
          <w:tcPr>
            <w:tcW w:w="1051" w:type="pct"/>
            <w:vMerge/>
            <w:shd w:val="clear" w:color="auto" w:fill="auto"/>
            <w:noWrap/>
          </w:tcPr>
          <w:p w14:paraId="7A3CF81B" w14:textId="77777777" w:rsidR="001B13EC" w:rsidRPr="00181EF3" w:rsidRDefault="001B13EC" w:rsidP="001B13EC">
            <w:pPr>
              <w:pStyle w:val="TableText"/>
              <w:rPr>
                <w:lang w:eastAsia="en-NZ"/>
              </w:rPr>
            </w:pPr>
          </w:p>
        </w:tc>
        <w:tc>
          <w:tcPr>
            <w:tcW w:w="615" w:type="pct"/>
            <w:shd w:val="clear" w:color="auto" w:fill="auto"/>
            <w:hideMark/>
          </w:tcPr>
          <w:p w14:paraId="1007279C" w14:textId="77777777" w:rsidR="001B13EC" w:rsidRPr="00181EF3" w:rsidRDefault="001B13EC" w:rsidP="001B13EC">
            <w:pPr>
              <w:pStyle w:val="TableText"/>
              <w:jc w:val="center"/>
              <w:rPr>
                <w:lang w:eastAsia="en-NZ"/>
              </w:rPr>
            </w:pPr>
            <w:r w:rsidRPr="00181EF3">
              <w:rPr>
                <w:lang w:eastAsia="en-NZ"/>
              </w:rPr>
              <w:t>E46</w:t>
            </w:r>
          </w:p>
        </w:tc>
        <w:tc>
          <w:tcPr>
            <w:tcW w:w="1749" w:type="pct"/>
            <w:shd w:val="clear" w:color="auto" w:fill="auto"/>
            <w:noWrap/>
            <w:hideMark/>
          </w:tcPr>
          <w:p w14:paraId="7D8752A0" w14:textId="77777777" w:rsidR="001B13EC" w:rsidRPr="00181EF3" w:rsidRDefault="001B13EC" w:rsidP="001B13EC">
            <w:pPr>
              <w:pStyle w:val="TableText"/>
              <w:rPr>
                <w:lang w:eastAsia="en-NZ"/>
              </w:rPr>
            </w:pPr>
            <w:r w:rsidRPr="00181EF3">
              <w:rPr>
                <w:lang w:eastAsia="en-NZ"/>
              </w:rPr>
              <w:t>Unspecified protein-energy malnutrition</w:t>
            </w:r>
          </w:p>
        </w:tc>
        <w:tc>
          <w:tcPr>
            <w:tcW w:w="652" w:type="pct"/>
            <w:shd w:val="clear" w:color="auto" w:fill="auto"/>
            <w:noWrap/>
            <w:hideMark/>
          </w:tcPr>
          <w:p w14:paraId="4B79C4DA"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1981BB6F"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51297F6D" w14:textId="77777777" w:rsidTr="001B13EC">
        <w:trPr>
          <w:cantSplit/>
        </w:trPr>
        <w:tc>
          <w:tcPr>
            <w:tcW w:w="1051" w:type="pct"/>
            <w:vMerge/>
            <w:shd w:val="clear" w:color="auto" w:fill="auto"/>
            <w:noWrap/>
          </w:tcPr>
          <w:p w14:paraId="25CEB672" w14:textId="77777777" w:rsidR="001B13EC" w:rsidRPr="00181EF3" w:rsidRDefault="001B13EC" w:rsidP="001B13EC">
            <w:pPr>
              <w:pStyle w:val="TableText"/>
              <w:rPr>
                <w:lang w:eastAsia="en-NZ"/>
              </w:rPr>
            </w:pPr>
          </w:p>
        </w:tc>
        <w:tc>
          <w:tcPr>
            <w:tcW w:w="615" w:type="pct"/>
            <w:shd w:val="clear" w:color="auto" w:fill="auto"/>
            <w:hideMark/>
          </w:tcPr>
          <w:p w14:paraId="0639E745" w14:textId="77777777" w:rsidR="001B13EC" w:rsidRPr="00181EF3" w:rsidRDefault="001B13EC" w:rsidP="001B13EC">
            <w:pPr>
              <w:pStyle w:val="TableText"/>
              <w:jc w:val="center"/>
              <w:rPr>
                <w:lang w:eastAsia="en-NZ"/>
              </w:rPr>
            </w:pPr>
            <w:r w:rsidRPr="00181EF3">
              <w:rPr>
                <w:lang w:eastAsia="en-NZ"/>
              </w:rPr>
              <w:t>E50</w:t>
            </w:r>
          </w:p>
        </w:tc>
        <w:tc>
          <w:tcPr>
            <w:tcW w:w="1749" w:type="pct"/>
            <w:shd w:val="clear" w:color="auto" w:fill="auto"/>
            <w:noWrap/>
            <w:hideMark/>
          </w:tcPr>
          <w:p w14:paraId="7669E9DA" w14:textId="77777777" w:rsidR="001B13EC" w:rsidRPr="00181EF3" w:rsidRDefault="001B13EC" w:rsidP="001B13EC">
            <w:pPr>
              <w:pStyle w:val="TableText"/>
              <w:rPr>
                <w:lang w:eastAsia="en-NZ"/>
              </w:rPr>
            </w:pPr>
            <w:r w:rsidRPr="00181EF3">
              <w:rPr>
                <w:lang w:eastAsia="en-NZ"/>
              </w:rPr>
              <w:t>Vitamin A deficiency</w:t>
            </w:r>
          </w:p>
        </w:tc>
        <w:tc>
          <w:tcPr>
            <w:tcW w:w="652" w:type="pct"/>
            <w:shd w:val="clear" w:color="auto" w:fill="auto"/>
            <w:noWrap/>
            <w:hideMark/>
          </w:tcPr>
          <w:p w14:paraId="583D3B57"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401A6F38"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4E0D813B" w14:textId="77777777" w:rsidTr="001B13EC">
        <w:trPr>
          <w:cantSplit/>
        </w:trPr>
        <w:tc>
          <w:tcPr>
            <w:tcW w:w="1051" w:type="pct"/>
            <w:vMerge/>
            <w:shd w:val="clear" w:color="auto" w:fill="auto"/>
            <w:noWrap/>
            <w:hideMark/>
          </w:tcPr>
          <w:p w14:paraId="400A4866" w14:textId="77777777" w:rsidR="001B13EC" w:rsidRPr="00181EF3" w:rsidRDefault="001B13EC" w:rsidP="001B13EC">
            <w:pPr>
              <w:pStyle w:val="TableText"/>
              <w:rPr>
                <w:lang w:eastAsia="en-NZ"/>
              </w:rPr>
            </w:pPr>
          </w:p>
        </w:tc>
        <w:tc>
          <w:tcPr>
            <w:tcW w:w="615" w:type="pct"/>
            <w:shd w:val="clear" w:color="auto" w:fill="auto"/>
            <w:hideMark/>
          </w:tcPr>
          <w:p w14:paraId="658835B0" w14:textId="77777777" w:rsidR="001B13EC" w:rsidRPr="00181EF3" w:rsidRDefault="001B13EC" w:rsidP="001B13EC">
            <w:pPr>
              <w:pStyle w:val="TableText"/>
              <w:jc w:val="center"/>
              <w:rPr>
                <w:lang w:eastAsia="en-NZ"/>
              </w:rPr>
            </w:pPr>
            <w:r w:rsidRPr="00181EF3">
              <w:rPr>
                <w:lang w:eastAsia="en-NZ"/>
              </w:rPr>
              <w:t>E51</w:t>
            </w:r>
          </w:p>
        </w:tc>
        <w:tc>
          <w:tcPr>
            <w:tcW w:w="1749" w:type="pct"/>
            <w:shd w:val="clear" w:color="auto" w:fill="auto"/>
            <w:noWrap/>
            <w:hideMark/>
          </w:tcPr>
          <w:p w14:paraId="35808977" w14:textId="77777777" w:rsidR="001B13EC" w:rsidRPr="00181EF3" w:rsidRDefault="001B13EC" w:rsidP="001B13EC">
            <w:pPr>
              <w:pStyle w:val="TableText"/>
              <w:rPr>
                <w:lang w:eastAsia="en-NZ"/>
              </w:rPr>
            </w:pPr>
            <w:r w:rsidRPr="00181EF3">
              <w:rPr>
                <w:lang w:eastAsia="en-NZ"/>
              </w:rPr>
              <w:t>Thiamine deficiency</w:t>
            </w:r>
          </w:p>
        </w:tc>
        <w:tc>
          <w:tcPr>
            <w:tcW w:w="652" w:type="pct"/>
            <w:shd w:val="clear" w:color="auto" w:fill="auto"/>
            <w:noWrap/>
            <w:hideMark/>
          </w:tcPr>
          <w:p w14:paraId="1F265C9F"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1DBBF0B1"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3C6E9D6E" w14:textId="77777777" w:rsidTr="001B13EC">
        <w:trPr>
          <w:cantSplit/>
        </w:trPr>
        <w:tc>
          <w:tcPr>
            <w:tcW w:w="1051" w:type="pct"/>
            <w:vMerge/>
            <w:shd w:val="clear" w:color="auto" w:fill="auto"/>
            <w:noWrap/>
          </w:tcPr>
          <w:p w14:paraId="7723807C" w14:textId="77777777" w:rsidR="001B13EC" w:rsidRPr="00181EF3" w:rsidRDefault="001B13EC" w:rsidP="001B13EC">
            <w:pPr>
              <w:pStyle w:val="TableText"/>
              <w:rPr>
                <w:lang w:eastAsia="en-NZ"/>
              </w:rPr>
            </w:pPr>
          </w:p>
        </w:tc>
        <w:tc>
          <w:tcPr>
            <w:tcW w:w="615" w:type="pct"/>
            <w:shd w:val="clear" w:color="auto" w:fill="auto"/>
            <w:hideMark/>
          </w:tcPr>
          <w:p w14:paraId="2804FCE6" w14:textId="77777777" w:rsidR="001B13EC" w:rsidRPr="00181EF3" w:rsidRDefault="001B13EC" w:rsidP="001B13EC">
            <w:pPr>
              <w:pStyle w:val="TableText"/>
              <w:jc w:val="center"/>
              <w:rPr>
                <w:lang w:eastAsia="en-NZ"/>
              </w:rPr>
            </w:pPr>
            <w:r w:rsidRPr="00181EF3">
              <w:rPr>
                <w:lang w:eastAsia="en-NZ"/>
              </w:rPr>
              <w:t>E52</w:t>
            </w:r>
          </w:p>
        </w:tc>
        <w:tc>
          <w:tcPr>
            <w:tcW w:w="1749" w:type="pct"/>
            <w:shd w:val="clear" w:color="auto" w:fill="auto"/>
            <w:noWrap/>
            <w:hideMark/>
          </w:tcPr>
          <w:p w14:paraId="6266D41A" w14:textId="77777777" w:rsidR="001B13EC" w:rsidRPr="00181EF3" w:rsidRDefault="001B13EC" w:rsidP="001B13EC">
            <w:pPr>
              <w:pStyle w:val="TableText"/>
              <w:rPr>
                <w:lang w:eastAsia="en-NZ"/>
              </w:rPr>
            </w:pPr>
            <w:r w:rsidRPr="00181EF3">
              <w:rPr>
                <w:lang w:eastAsia="en-NZ"/>
              </w:rPr>
              <w:t>Niacin deficiency [pellagra]</w:t>
            </w:r>
          </w:p>
        </w:tc>
        <w:tc>
          <w:tcPr>
            <w:tcW w:w="652" w:type="pct"/>
            <w:shd w:val="clear" w:color="auto" w:fill="auto"/>
            <w:noWrap/>
            <w:hideMark/>
          </w:tcPr>
          <w:p w14:paraId="1DE3CD67"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474BA7BB"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0204FC73" w14:textId="77777777" w:rsidTr="001B13EC">
        <w:trPr>
          <w:cantSplit/>
        </w:trPr>
        <w:tc>
          <w:tcPr>
            <w:tcW w:w="1051" w:type="pct"/>
            <w:vMerge w:val="restart"/>
            <w:shd w:val="clear" w:color="auto" w:fill="auto"/>
            <w:noWrap/>
          </w:tcPr>
          <w:p w14:paraId="7A9A5F65" w14:textId="77777777" w:rsidR="001B13EC" w:rsidRPr="00181EF3" w:rsidRDefault="001B13EC" w:rsidP="000667F5">
            <w:pPr>
              <w:pStyle w:val="TableText"/>
              <w:keepNext/>
              <w:rPr>
                <w:lang w:eastAsia="en-NZ"/>
              </w:rPr>
            </w:pPr>
            <w:r w:rsidRPr="00181EF3">
              <w:rPr>
                <w:lang w:eastAsia="en-NZ"/>
              </w:rPr>
              <w:lastRenderedPageBreak/>
              <w:t xml:space="preserve">Nutrition </w:t>
            </w:r>
            <w:r>
              <w:rPr>
                <w:lang w:eastAsia="en-NZ"/>
              </w:rPr>
              <w:t>deficiency</w:t>
            </w:r>
            <w:r w:rsidRPr="00181EF3">
              <w:rPr>
                <w:lang w:eastAsia="en-NZ"/>
              </w:rPr>
              <w:t xml:space="preserve"> and anaemia (continued)</w:t>
            </w:r>
          </w:p>
        </w:tc>
        <w:tc>
          <w:tcPr>
            <w:tcW w:w="615" w:type="pct"/>
            <w:shd w:val="clear" w:color="auto" w:fill="auto"/>
            <w:hideMark/>
          </w:tcPr>
          <w:p w14:paraId="0F4AAF1D" w14:textId="77777777" w:rsidR="001B13EC" w:rsidRPr="00181EF3" w:rsidRDefault="001B13EC" w:rsidP="000667F5">
            <w:pPr>
              <w:pStyle w:val="TableText"/>
              <w:keepNext/>
              <w:jc w:val="center"/>
              <w:rPr>
                <w:lang w:eastAsia="en-NZ"/>
              </w:rPr>
            </w:pPr>
            <w:r w:rsidRPr="00181EF3">
              <w:rPr>
                <w:lang w:eastAsia="en-NZ"/>
              </w:rPr>
              <w:t>E53</w:t>
            </w:r>
          </w:p>
        </w:tc>
        <w:tc>
          <w:tcPr>
            <w:tcW w:w="1749" w:type="pct"/>
            <w:shd w:val="clear" w:color="auto" w:fill="auto"/>
            <w:noWrap/>
            <w:hideMark/>
          </w:tcPr>
          <w:p w14:paraId="3F2CA41B" w14:textId="77777777" w:rsidR="001B13EC" w:rsidRPr="00181EF3" w:rsidRDefault="001B13EC" w:rsidP="000667F5">
            <w:pPr>
              <w:pStyle w:val="TableText"/>
              <w:keepNext/>
              <w:rPr>
                <w:lang w:eastAsia="en-NZ"/>
              </w:rPr>
            </w:pPr>
            <w:r w:rsidRPr="00181EF3">
              <w:rPr>
                <w:lang w:eastAsia="en-NZ"/>
              </w:rPr>
              <w:t>Deficiency of other B group vitamins</w:t>
            </w:r>
          </w:p>
        </w:tc>
        <w:tc>
          <w:tcPr>
            <w:tcW w:w="652" w:type="pct"/>
            <w:shd w:val="clear" w:color="auto" w:fill="auto"/>
            <w:noWrap/>
            <w:hideMark/>
          </w:tcPr>
          <w:p w14:paraId="2EA07EF8" w14:textId="77777777" w:rsidR="001B13EC" w:rsidRPr="00181EF3" w:rsidRDefault="001B13EC" w:rsidP="000667F5">
            <w:pPr>
              <w:pStyle w:val="TableText"/>
              <w:keepNext/>
              <w:jc w:val="center"/>
              <w:rPr>
                <w:lang w:eastAsia="en-NZ"/>
              </w:rPr>
            </w:pPr>
            <w:r w:rsidRPr="00181EF3">
              <w:rPr>
                <w:lang w:eastAsia="en-NZ"/>
              </w:rPr>
              <w:t>All</w:t>
            </w:r>
          </w:p>
        </w:tc>
        <w:tc>
          <w:tcPr>
            <w:tcW w:w="933" w:type="pct"/>
            <w:shd w:val="clear" w:color="auto" w:fill="auto"/>
            <w:noWrap/>
            <w:hideMark/>
          </w:tcPr>
          <w:p w14:paraId="5E33BDCB" w14:textId="77777777" w:rsidR="001B13EC" w:rsidRPr="00181EF3" w:rsidRDefault="001B13EC" w:rsidP="000667F5">
            <w:pPr>
              <w:pStyle w:val="TableText"/>
              <w:keepNext/>
              <w:jc w:val="center"/>
              <w:rPr>
                <w:lang w:eastAsia="en-NZ"/>
              </w:rPr>
            </w:pPr>
            <w:r w:rsidRPr="00181EF3">
              <w:rPr>
                <w:lang w:eastAsia="en-NZ"/>
              </w:rPr>
              <w:t>No</w:t>
            </w:r>
          </w:p>
        </w:tc>
      </w:tr>
      <w:tr w:rsidR="001B13EC" w:rsidRPr="00181EF3" w14:paraId="42993FB8" w14:textId="77777777" w:rsidTr="001B13EC">
        <w:trPr>
          <w:cantSplit/>
        </w:trPr>
        <w:tc>
          <w:tcPr>
            <w:tcW w:w="1051" w:type="pct"/>
            <w:vMerge/>
            <w:shd w:val="clear" w:color="auto" w:fill="auto"/>
            <w:noWrap/>
          </w:tcPr>
          <w:p w14:paraId="14558A3E" w14:textId="77777777" w:rsidR="001B13EC" w:rsidRPr="00181EF3" w:rsidRDefault="001B13EC" w:rsidP="000667F5">
            <w:pPr>
              <w:pStyle w:val="TableText"/>
              <w:keepNext/>
              <w:rPr>
                <w:lang w:eastAsia="en-NZ"/>
              </w:rPr>
            </w:pPr>
          </w:p>
        </w:tc>
        <w:tc>
          <w:tcPr>
            <w:tcW w:w="615" w:type="pct"/>
            <w:shd w:val="clear" w:color="auto" w:fill="auto"/>
            <w:hideMark/>
          </w:tcPr>
          <w:p w14:paraId="30A5246C" w14:textId="77777777" w:rsidR="001B13EC" w:rsidRPr="00181EF3" w:rsidRDefault="001B13EC" w:rsidP="000667F5">
            <w:pPr>
              <w:pStyle w:val="TableText"/>
              <w:keepNext/>
              <w:jc w:val="center"/>
              <w:rPr>
                <w:lang w:eastAsia="en-NZ"/>
              </w:rPr>
            </w:pPr>
            <w:r w:rsidRPr="00181EF3">
              <w:rPr>
                <w:lang w:eastAsia="en-NZ"/>
              </w:rPr>
              <w:t>E54</w:t>
            </w:r>
          </w:p>
        </w:tc>
        <w:tc>
          <w:tcPr>
            <w:tcW w:w="1749" w:type="pct"/>
            <w:shd w:val="clear" w:color="auto" w:fill="auto"/>
            <w:noWrap/>
            <w:hideMark/>
          </w:tcPr>
          <w:p w14:paraId="4A73210B" w14:textId="77777777" w:rsidR="001B13EC" w:rsidRPr="00181EF3" w:rsidRDefault="001B13EC" w:rsidP="000667F5">
            <w:pPr>
              <w:pStyle w:val="TableText"/>
              <w:keepNext/>
              <w:rPr>
                <w:lang w:eastAsia="en-NZ"/>
              </w:rPr>
            </w:pPr>
            <w:r w:rsidRPr="00181EF3">
              <w:rPr>
                <w:lang w:eastAsia="en-NZ"/>
              </w:rPr>
              <w:t>Ascorbic acid deficiency</w:t>
            </w:r>
          </w:p>
        </w:tc>
        <w:tc>
          <w:tcPr>
            <w:tcW w:w="652" w:type="pct"/>
            <w:shd w:val="clear" w:color="auto" w:fill="auto"/>
            <w:noWrap/>
            <w:hideMark/>
          </w:tcPr>
          <w:p w14:paraId="3DC78CB8" w14:textId="77777777" w:rsidR="001B13EC" w:rsidRPr="00181EF3" w:rsidRDefault="001B13EC" w:rsidP="000667F5">
            <w:pPr>
              <w:pStyle w:val="TableText"/>
              <w:keepNext/>
              <w:jc w:val="center"/>
              <w:rPr>
                <w:lang w:eastAsia="en-NZ"/>
              </w:rPr>
            </w:pPr>
            <w:r w:rsidRPr="00181EF3">
              <w:rPr>
                <w:lang w:eastAsia="en-NZ"/>
              </w:rPr>
              <w:t>All</w:t>
            </w:r>
          </w:p>
        </w:tc>
        <w:tc>
          <w:tcPr>
            <w:tcW w:w="933" w:type="pct"/>
            <w:shd w:val="clear" w:color="auto" w:fill="auto"/>
            <w:noWrap/>
            <w:hideMark/>
          </w:tcPr>
          <w:p w14:paraId="2B6E5400" w14:textId="77777777" w:rsidR="001B13EC" w:rsidRPr="00181EF3" w:rsidRDefault="001B13EC" w:rsidP="000667F5">
            <w:pPr>
              <w:pStyle w:val="TableText"/>
              <w:keepNext/>
              <w:jc w:val="center"/>
              <w:rPr>
                <w:lang w:eastAsia="en-NZ"/>
              </w:rPr>
            </w:pPr>
            <w:r w:rsidRPr="00181EF3">
              <w:rPr>
                <w:lang w:eastAsia="en-NZ"/>
              </w:rPr>
              <w:t>No</w:t>
            </w:r>
          </w:p>
        </w:tc>
      </w:tr>
      <w:tr w:rsidR="001B13EC" w:rsidRPr="00181EF3" w14:paraId="17292427" w14:textId="77777777" w:rsidTr="001B13EC">
        <w:trPr>
          <w:cantSplit/>
        </w:trPr>
        <w:tc>
          <w:tcPr>
            <w:tcW w:w="1051" w:type="pct"/>
            <w:vMerge/>
            <w:shd w:val="clear" w:color="auto" w:fill="auto"/>
            <w:noWrap/>
          </w:tcPr>
          <w:p w14:paraId="0C2E46C5" w14:textId="77777777" w:rsidR="001B13EC" w:rsidRPr="00181EF3" w:rsidRDefault="001B13EC" w:rsidP="000667F5">
            <w:pPr>
              <w:pStyle w:val="TableText"/>
              <w:keepNext/>
              <w:rPr>
                <w:lang w:eastAsia="en-NZ"/>
              </w:rPr>
            </w:pPr>
          </w:p>
        </w:tc>
        <w:tc>
          <w:tcPr>
            <w:tcW w:w="615" w:type="pct"/>
            <w:shd w:val="clear" w:color="auto" w:fill="auto"/>
            <w:hideMark/>
          </w:tcPr>
          <w:p w14:paraId="665DADA2" w14:textId="77777777" w:rsidR="001B13EC" w:rsidRPr="00181EF3" w:rsidRDefault="001B13EC" w:rsidP="000667F5">
            <w:pPr>
              <w:pStyle w:val="TableText"/>
              <w:keepNext/>
              <w:jc w:val="center"/>
              <w:rPr>
                <w:lang w:eastAsia="en-NZ"/>
              </w:rPr>
            </w:pPr>
            <w:r w:rsidRPr="00181EF3">
              <w:rPr>
                <w:lang w:eastAsia="en-NZ"/>
              </w:rPr>
              <w:t>E55</w:t>
            </w:r>
          </w:p>
        </w:tc>
        <w:tc>
          <w:tcPr>
            <w:tcW w:w="1749" w:type="pct"/>
            <w:shd w:val="clear" w:color="auto" w:fill="auto"/>
            <w:noWrap/>
            <w:hideMark/>
          </w:tcPr>
          <w:p w14:paraId="32DB174A" w14:textId="77777777" w:rsidR="001B13EC" w:rsidRPr="00181EF3" w:rsidRDefault="001B13EC" w:rsidP="000667F5">
            <w:pPr>
              <w:pStyle w:val="TableText"/>
              <w:keepNext/>
              <w:rPr>
                <w:lang w:eastAsia="en-NZ"/>
              </w:rPr>
            </w:pPr>
            <w:r w:rsidRPr="00181EF3">
              <w:rPr>
                <w:lang w:eastAsia="en-NZ"/>
              </w:rPr>
              <w:t>Vitamin D deficiency</w:t>
            </w:r>
          </w:p>
        </w:tc>
        <w:tc>
          <w:tcPr>
            <w:tcW w:w="652" w:type="pct"/>
            <w:shd w:val="clear" w:color="auto" w:fill="auto"/>
            <w:noWrap/>
            <w:hideMark/>
          </w:tcPr>
          <w:p w14:paraId="1A1939E4" w14:textId="77777777" w:rsidR="001B13EC" w:rsidRPr="00181EF3" w:rsidRDefault="001B13EC" w:rsidP="000667F5">
            <w:pPr>
              <w:pStyle w:val="TableText"/>
              <w:keepNext/>
              <w:jc w:val="center"/>
              <w:rPr>
                <w:lang w:eastAsia="en-NZ"/>
              </w:rPr>
            </w:pPr>
            <w:r w:rsidRPr="00181EF3">
              <w:rPr>
                <w:lang w:eastAsia="en-NZ"/>
              </w:rPr>
              <w:t>All</w:t>
            </w:r>
          </w:p>
        </w:tc>
        <w:tc>
          <w:tcPr>
            <w:tcW w:w="933" w:type="pct"/>
            <w:shd w:val="clear" w:color="auto" w:fill="auto"/>
            <w:noWrap/>
            <w:hideMark/>
          </w:tcPr>
          <w:p w14:paraId="54CEA8A8" w14:textId="77777777" w:rsidR="001B13EC" w:rsidRPr="00181EF3" w:rsidRDefault="001B13EC" w:rsidP="000667F5">
            <w:pPr>
              <w:pStyle w:val="TableText"/>
              <w:keepNext/>
              <w:jc w:val="center"/>
              <w:rPr>
                <w:lang w:eastAsia="en-NZ"/>
              </w:rPr>
            </w:pPr>
            <w:r w:rsidRPr="00181EF3">
              <w:rPr>
                <w:lang w:eastAsia="en-NZ"/>
              </w:rPr>
              <w:t>No</w:t>
            </w:r>
          </w:p>
        </w:tc>
      </w:tr>
      <w:tr w:rsidR="001B13EC" w:rsidRPr="00181EF3" w14:paraId="43CAD7E4" w14:textId="77777777" w:rsidTr="001B13EC">
        <w:trPr>
          <w:cantSplit/>
        </w:trPr>
        <w:tc>
          <w:tcPr>
            <w:tcW w:w="1051" w:type="pct"/>
            <w:vMerge/>
            <w:shd w:val="clear" w:color="auto" w:fill="auto"/>
            <w:noWrap/>
          </w:tcPr>
          <w:p w14:paraId="205CADF5" w14:textId="77777777" w:rsidR="001B13EC" w:rsidRPr="00181EF3" w:rsidRDefault="001B13EC" w:rsidP="001B13EC">
            <w:pPr>
              <w:pStyle w:val="TableText"/>
              <w:rPr>
                <w:lang w:eastAsia="en-NZ"/>
              </w:rPr>
            </w:pPr>
          </w:p>
        </w:tc>
        <w:tc>
          <w:tcPr>
            <w:tcW w:w="615" w:type="pct"/>
            <w:shd w:val="clear" w:color="auto" w:fill="auto"/>
            <w:hideMark/>
          </w:tcPr>
          <w:p w14:paraId="1E8A55EA" w14:textId="77777777" w:rsidR="001B13EC" w:rsidRPr="00181EF3" w:rsidRDefault="001B13EC" w:rsidP="001B13EC">
            <w:pPr>
              <w:pStyle w:val="TableText"/>
              <w:jc w:val="center"/>
              <w:rPr>
                <w:lang w:eastAsia="en-NZ"/>
              </w:rPr>
            </w:pPr>
            <w:r w:rsidRPr="00181EF3">
              <w:rPr>
                <w:lang w:eastAsia="en-NZ"/>
              </w:rPr>
              <w:t>E56</w:t>
            </w:r>
          </w:p>
        </w:tc>
        <w:tc>
          <w:tcPr>
            <w:tcW w:w="1749" w:type="pct"/>
            <w:shd w:val="clear" w:color="auto" w:fill="auto"/>
            <w:noWrap/>
            <w:hideMark/>
          </w:tcPr>
          <w:p w14:paraId="3C0EB78B" w14:textId="77777777" w:rsidR="001B13EC" w:rsidRPr="00181EF3" w:rsidRDefault="001B13EC" w:rsidP="001B13EC">
            <w:pPr>
              <w:pStyle w:val="TableText"/>
              <w:rPr>
                <w:lang w:eastAsia="en-NZ"/>
              </w:rPr>
            </w:pPr>
            <w:r w:rsidRPr="00181EF3">
              <w:rPr>
                <w:lang w:eastAsia="en-NZ"/>
              </w:rPr>
              <w:t>Other vitamin deficiencies</w:t>
            </w:r>
          </w:p>
        </w:tc>
        <w:tc>
          <w:tcPr>
            <w:tcW w:w="652" w:type="pct"/>
            <w:shd w:val="clear" w:color="auto" w:fill="auto"/>
            <w:noWrap/>
            <w:hideMark/>
          </w:tcPr>
          <w:p w14:paraId="1BA4188E"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014EB6E3"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40E6F854" w14:textId="77777777" w:rsidTr="001B13EC">
        <w:trPr>
          <w:cantSplit/>
        </w:trPr>
        <w:tc>
          <w:tcPr>
            <w:tcW w:w="1051" w:type="pct"/>
            <w:vMerge/>
            <w:shd w:val="clear" w:color="auto" w:fill="auto"/>
            <w:noWrap/>
          </w:tcPr>
          <w:p w14:paraId="57C90CDC" w14:textId="77777777" w:rsidR="001B13EC" w:rsidRPr="00181EF3" w:rsidRDefault="001B13EC" w:rsidP="001B13EC">
            <w:pPr>
              <w:pStyle w:val="TableText"/>
              <w:rPr>
                <w:lang w:eastAsia="en-NZ"/>
              </w:rPr>
            </w:pPr>
          </w:p>
        </w:tc>
        <w:tc>
          <w:tcPr>
            <w:tcW w:w="615" w:type="pct"/>
            <w:shd w:val="clear" w:color="auto" w:fill="auto"/>
            <w:hideMark/>
          </w:tcPr>
          <w:p w14:paraId="56FF40B7" w14:textId="77777777" w:rsidR="001B13EC" w:rsidRPr="00181EF3" w:rsidRDefault="001B13EC" w:rsidP="001B13EC">
            <w:pPr>
              <w:pStyle w:val="TableText"/>
              <w:jc w:val="center"/>
              <w:rPr>
                <w:lang w:eastAsia="en-NZ"/>
              </w:rPr>
            </w:pPr>
            <w:r w:rsidRPr="00181EF3">
              <w:rPr>
                <w:lang w:eastAsia="en-NZ"/>
              </w:rPr>
              <w:t>E58</w:t>
            </w:r>
          </w:p>
        </w:tc>
        <w:tc>
          <w:tcPr>
            <w:tcW w:w="1749" w:type="pct"/>
            <w:shd w:val="clear" w:color="auto" w:fill="auto"/>
            <w:noWrap/>
            <w:hideMark/>
          </w:tcPr>
          <w:p w14:paraId="1962A2CB" w14:textId="77777777" w:rsidR="001B13EC" w:rsidRPr="00181EF3" w:rsidRDefault="001B13EC" w:rsidP="001B13EC">
            <w:pPr>
              <w:pStyle w:val="TableText"/>
              <w:rPr>
                <w:lang w:eastAsia="en-NZ"/>
              </w:rPr>
            </w:pPr>
            <w:r w:rsidRPr="00181EF3">
              <w:rPr>
                <w:lang w:eastAsia="en-NZ"/>
              </w:rPr>
              <w:t>Dietary calcium deficiency</w:t>
            </w:r>
          </w:p>
        </w:tc>
        <w:tc>
          <w:tcPr>
            <w:tcW w:w="652" w:type="pct"/>
            <w:shd w:val="clear" w:color="auto" w:fill="auto"/>
            <w:noWrap/>
            <w:hideMark/>
          </w:tcPr>
          <w:p w14:paraId="780C1850"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030DBBB6"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06D3C637" w14:textId="77777777" w:rsidTr="001B13EC">
        <w:trPr>
          <w:cantSplit/>
        </w:trPr>
        <w:tc>
          <w:tcPr>
            <w:tcW w:w="1051" w:type="pct"/>
            <w:vMerge/>
            <w:shd w:val="clear" w:color="auto" w:fill="auto"/>
            <w:noWrap/>
          </w:tcPr>
          <w:p w14:paraId="77D185BB" w14:textId="77777777" w:rsidR="001B13EC" w:rsidRPr="00181EF3" w:rsidRDefault="001B13EC" w:rsidP="001B13EC">
            <w:pPr>
              <w:pStyle w:val="TableText"/>
              <w:rPr>
                <w:lang w:eastAsia="en-NZ"/>
              </w:rPr>
            </w:pPr>
          </w:p>
        </w:tc>
        <w:tc>
          <w:tcPr>
            <w:tcW w:w="615" w:type="pct"/>
            <w:shd w:val="clear" w:color="auto" w:fill="auto"/>
            <w:hideMark/>
          </w:tcPr>
          <w:p w14:paraId="3C045843" w14:textId="77777777" w:rsidR="001B13EC" w:rsidRPr="00181EF3" w:rsidRDefault="001B13EC" w:rsidP="001B13EC">
            <w:pPr>
              <w:pStyle w:val="TableText"/>
              <w:jc w:val="center"/>
              <w:rPr>
                <w:lang w:eastAsia="en-NZ"/>
              </w:rPr>
            </w:pPr>
            <w:r w:rsidRPr="00181EF3">
              <w:rPr>
                <w:lang w:eastAsia="en-NZ"/>
              </w:rPr>
              <w:t>E59</w:t>
            </w:r>
          </w:p>
        </w:tc>
        <w:tc>
          <w:tcPr>
            <w:tcW w:w="1749" w:type="pct"/>
            <w:shd w:val="clear" w:color="auto" w:fill="auto"/>
            <w:noWrap/>
            <w:hideMark/>
          </w:tcPr>
          <w:p w14:paraId="0DBAC99A" w14:textId="77777777" w:rsidR="001B13EC" w:rsidRPr="00181EF3" w:rsidRDefault="001B13EC" w:rsidP="001B13EC">
            <w:pPr>
              <w:pStyle w:val="TableText"/>
              <w:rPr>
                <w:lang w:eastAsia="en-NZ"/>
              </w:rPr>
            </w:pPr>
            <w:r w:rsidRPr="00181EF3">
              <w:rPr>
                <w:lang w:eastAsia="en-NZ"/>
              </w:rPr>
              <w:t>Dietary selenium deficiency</w:t>
            </w:r>
          </w:p>
        </w:tc>
        <w:tc>
          <w:tcPr>
            <w:tcW w:w="652" w:type="pct"/>
            <w:shd w:val="clear" w:color="auto" w:fill="auto"/>
            <w:noWrap/>
            <w:hideMark/>
          </w:tcPr>
          <w:p w14:paraId="51D4C274"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6A34CE1B"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5CE97B20" w14:textId="77777777" w:rsidTr="001B13EC">
        <w:trPr>
          <w:cantSplit/>
        </w:trPr>
        <w:tc>
          <w:tcPr>
            <w:tcW w:w="1051" w:type="pct"/>
            <w:vMerge/>
            <w:shd w:val="clear" w:color="auto" w:fill="auto"/>
            <w:noWrap/>
          </w:tcPr>
          <w:p w14:paraId="0567EEBF" w14:textId="77777777" w:rsidR="001B13EC" w:rsidRPr="00181EF3" w:rsidRDefault="001B13EC" w:rsidP="001B13EC">
            <w:pPr>
              <w:pStyle w:val="TableText"/>
              <w:rPr>
                <w:lang w:eastAsia="en-NZ"/>
              </w:rPr>
            </w:pPr>
          </w:p>
        </w:tc>
        <w:tc>
          <w:tcPr>
            <w:tcW w:w="615" w:type="pct"/>
            <w:shd w:val="clear" w:color="auto" w:fill="auto"/>
            <w:hideMark/>
          </w:tcPr>
          <w:p w14:paraId="7F3EC2CA" w14:textId="77777777" w:rsidR="001B13EC" w:rsidRPr="00181EF3" w:rsidRDefault="001B13EC" w:rsidP="001B13EC">
            <w:pPr>
              <w:pStyle w:val="TableText"/>
              <w:jc w:val="center"/>
              <w:rPr>
                <w:lang w:eastAsia="en-NZ"/>
              </w:rPr>
            </w:pPr>
            <w:r w:rsidRPr="00181EF3">
              <w:rPr>
                <w:lang w:eastAsia="en-NZ"/>
              </w:rPr>
              <w:t>E60</w:t>
            </w:r>
          </w:p>
        </w:tc>
        <w:tc>
          <w:tcPr>
            <w:tcW w:w="1749" w:type="pct"/>
            <w:shd w:val="clear" w:color="auto" w:fill="auto"/>
            <w:noWrap/>
            <w:hideMark/>
          </w:tcPr>
          <w:p w14:paraId="25C3C26F" w14:textId="77777777" w:rsidR="001B13EC" w:rsidRPr="00181EF3" w:rsidRDefault="001B13EC" w:rsidP="001B13EC">
            <w:pPr>
              <w:pStyle w:val="TableText"/>
              <w:rPr>
                <w:lang w:eastAsia="en-NZ"/>
              </w:rPr>
            </w:pPr>
            <w:r w:rsidRPr="00181EF3">
              <w:rPr>
                <w:lang w:eastAsia="en-NZ"/>
              </w:rPr>
              <w:t>Dietary zinc deficiency</w:t>
            </w:r>
          </w:p>
        </w:tc>
        <w:tc>
          <w:tcPr>
            <w:tcW w:w="652" w:type="pct"/>
            <w:shd w:val="clear" w:color="auto" w:fill="auto"/>
            <w:noWrap/>
            <w:hideMark/>
          </w:tcPr>
          <w:p w14:paraId="6206EA53"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3E584F5D"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156330C9" w14:textId="77777777" w:rsidTr="001B13EC">
        <w:trPr>
          <w:cantSplit/>
        </w:trPr>
        <w:tc>
          <w:tcPr>
            <w:tcW w:w="1051" w:type="pct"/>
            <w:vMerge/>
            <w:shd w:val="clear" w:color="auto" w:fill="auto"/>
            <w:noWrap/>
          </w:tcPr>
          <w:p w14:paraId="04255A63" w14:textId="77777777" w:rsidR="001B13EC" w:rsidRPr="00181EF3" w:rsidRDefault="001B13EC" w:rsidP="001B13EC">
            <w:pPr>
              <w:pStyle w:val="TableText"/>
              <w:rPr>
                <w:lang w:eastAsia="en-NZ"/>
              </w:rPr>
            </w:pPr>
          </w:p>
        </w:tc>
        <w:tc>
          <w:tcPr>
            <w:tcW w:w="615" w:type="pct"/>
            <w:shd w:val="clear" w:color="auto" w:fill="auto"/>
            <w:hideMark/>
          </w:tcPr>
          <w:p w14:paraId="280940B0" w14:textId="77777777" w:rsidR="001B13EC" w:rsidRPr="00181EF3" w:rsidRDefault="001B13EC" w:rsidP="001B13EC">
            <w:pPr>
              <w:pStyle w:val="TableText"/>
              <w:jc w:val="center"/>
              <w:rPr>
                <w:lang w:eastAsia="en-NZ"/>
              </w:rPr>
            </w:pPr>
            <w:r w:rsidRPr="00181EF3">
              <w:rPr>
                <w:lang w:eastAsia="en-NZ"/>
              </w:rPr>
              <w:t>E61</w:t>
            </w:r>
          </w:p>
        </w:tc>
        <w:tc>
          <w:tcPr>
            <w:tcW w:w="1749" w:type="pct"/>
            <w:shd w:val="clear" w:color="auto" w:fill="auto"/>
            <w:noWrap/>
            <w:hideMark/>
          </w:tcPr>
          <w:p w14:paraId="060366AC" w14:textId="77777777" w:rsidR="001B13EC" w:rsidRPr="00181EF3" w:rsidRDefault="001B13EC" w:rsidP="001B13EC">
            <w:pPr>
              <w:pStyle w:val="TableText"/>
              <w:rPr>
                <w:lang w:eastAsia="en-NZ"/>
              </w:rPr>
            </w:pPr>
            <w:r w:rsidRPr="00181EF3">
              <w:rPr>
                <w:lang w:eastAsia="en-NZ"/>
              </w:rPr>
              <w:t>Deficiency of other nutrient elements</w:t>
            </w:r>
          </w:p>
        </w:tc>
        <w:tc>
          <w:tcPr>
            <w:tcW w:w="652" w:type="pct"/>
            <w:shd w:val="clear" w:color="auto" w:fill="auto"/>
            <w:noWrap/>
            <w:hideMark/>
          </w:tcPr>
          <w:p w14:paraId="4B8699F1"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05CC9B01"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55FB459D" w14:textId="77777777" w:rsidTr="001B13EC">
        <w:trPr>
          <w:cantSplit/>
        </w:trPr>
        <w:tc>
          <w:tcPr>
            <w:tcW w:w="1051" w:type="pct"/>
            <w:vMerge/>
            <w:shd w:val="clear" w:color="auto" w:fill="auto"/>
            <w:noWrap/>
          </w:tcPr>
          <w:p w14:paraId="19534412" w14:textId="77777777" w:rsidR="001B13EC" w:rsidRPr="00181EF3" w:rsidRDefault="001B13EC" w:rsidP="001B13EC">
            <w:pPr>
              <w:pStyle w:val="TableText"/>
              <w:rPr>
                <w:lang w:eastAsia="en-NZ"/>
              </w:rPr>
            </w:pPr>
          </w:p>
        </w:tc>
        <w:tc>
          <w:tcPr>
            <w:tcW w:w="615" w:type="pct"/>
            <w:shd w:val="clear" w:color="auto" w:fill="auto"/>
            <w:hideMark/>
          </w:tcPr>
          <w:p w14:paraId="2A673118" w14:textId="77777777" w:rsidR="001B13EC" w:rsidRPr="00181EF3" w:rsidRDefault="001B13EC" w:rsidP="001B13EC">
            <w:pPr>
              <w:pStyle w:val="TableText"/>
              <w:jc w:val="center"/>
              <w:rPr>
                <w:lang w:eastAsia="en-NZ"/>
              </w:rPr>
            </w:pPr>
            <w:r w:rsidRPr="00181EF3">
              <w:rPr>
                <w:lang w:eastAsia="en-NZ"/>
              </w:rPr>
              <w:t>E63</w:t>
            </w:r>
          </w:p>
        </w:tc>
        <w:tc>
          <w:tcPr>
            <w:tcW w:w="1749" w:type="pct"/>
            <w:shd w:val="clear" w:color="auto" w:fill="auto"/>
            <w:noWrap/>
            <w:hideMark/>
          </w:tcPr>
          <w:p w14:paraId="53D3354B" w14:textId="77777777" w:rsidR="001B13EC" w:rsidRPr="00181EF3" w:rsidRDefault="001B13EC" w:rsidP="001B13EC">
            <w:pPr>
              <w:pStyle w:val="TableText"/>
              <w:rPr>
                <w:lang w:eastAsia="en-NZ"/>
              </w:rPr>
            </w:pPr>
            <w:r w:rsidRPr="00181EF3">
              <w:rPr>
                <w:lang w:eastAsia="en-NZ"/>
              </w:rPr>
              <w:t>Other nutritional deficiencies</w:t>
            </w:r>
          </w:p>
        </w:tc>
        <w:tc>
          <w:tcPr>
            <w:tcW w:w="652" w:type="pct"/>
            <w:shd w:val="clear" w:color="auto" w:fill="auto"/>
            <w:noWrap/>
            <w:hideMark/>
          </w:tcPr>
          <w:p w14:paraId="68B05456"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4FA05C21"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16C5D886" w14:textId="77777777" w:rsidTr="001B13EC">
        <w:trPr>
          <w:cantSplit/>
        </w:trPr>
        <w:tc>
          <w:tcPr>
            <w:tcW w:w="1051" w:type="pct"/>
            <w:vMerge/>
            <w:shd w:val="clear" w:color="auto" w:fill="auto"/>
            <w:noWrap/>
          </w:tcPr>
          <w:p w14:paraId="23AA79E5" w14:textId="77777777" w:rsidR="001B13EC" w:rsidRPr="00181EF3" w:rsidRDefault="001B13EC" w:rsidP="001B13EC">
            <w:pPr>
              <w:pStyle w:val="TableText"/>
              <w:rPr>
                <w:lang w:eastAsia="en-NZ"/>
              </w:rPr>
            </w:pPr>
          </w:p>
        </w:tc>
        <w:tc>
          <w:tcPr>
            <w:tcW w:w="615" w:type="pct"/>
            <w:shd w:val="clear" w:color="auto" w:fill="auto"/>
            <w:noWrap/>
            <w:hideMark/>
          </w:tcPr>
          <w:p w14:paraId="5E130235" w14:textId="77777777" w:rsidR="001B13EC" w:rsidRPr="00181EF3" w:rsidRDefault="001B13EC" w:rsidP="001B13EC">
            <w:pPr>
              <w:pStyle w:val="TableText"/>
              <w:jc w:val="center"/>
              <w:rPr>
                <w:lang w:eastAsia="en-NZ"/>
              </w:rPr>
            </w:pPr>
            <w:r w:rsidRPr="00181EF3">
              <w:rPr>
                <w:lang w:eastAsia="en-NZ"/>
              </w:rPr>
              <w:t>M83</w:t>
            </w:r>
            <w:r>
              <w:rPr>
                <w:lang w:eastAsia="en-NZ"/>
              </w:rPr>
              <w:t>.</w:t>
            </w:r>
            <w:r w:rsidRPr="00181EF3">
              <w:rPr>
                <w:lang w:eastAsia="en-NZ"/>
              </w:rPr>
              <w:t>3</w:t>
            </w:r>
          </w:p>
        </w:tc>
        <w:tc>
          <w:tcPr>
            <w:tcW w:w="1749" w:type="pct"/>
            <w:shd w:val="clear" w:color="auto" w:fill="auto"/>
            <w:noWrap/>
            <w:hideMark/>
          </w:tcPr>
          <w:p w14:paraId="1A48980D" w14:textId="77777777" w:rsidR="001B13EC" w:rsidRPr="00181EF3" w:rsidRDefault="001B13EC" w:rsidP="001B13EC">
            <w:pPr>
              <w:pStyle w:val="TableText"/>
              <w:rPr>
                <w:lang w:eastAsia="en-NZ"/>
              </w:rPr>
            </w:pPr>
            <w:r w:rsidRPr="00181EF3">
              <w:rPr>
                <w:lang w:eastAsia="en-NZ"/>
              </w:rPr>
              <w:t>Adult osteomalacia due to malnutrition</w:t>
            </w:r>
          </w:p>
        </w:tc>
        <w:tc>
          <w:tcPr>
            <w:tcW w:w="652" w:type="pct"/>
            <w:shd w:val="clear" w:color="auto" w:fill="auto"/>
            <w:noWrap/>
            <w:hideMark/>
          </w:tcPr>
          <w:p w14:paraId="6DFDFAAB" w14:textId="77777777" w:rsidR="001B13EC" w:rsidRPr="00181EF3" w:rsidRDefault="001B13EC" w:rsidP="001B13EC">
            <w:pPr>
              <w:pStyle w:val="TableText"/>
              <w:jc w:val="center"/>
              <w:rPr>
                <w:lang w:eastAsia="en-NZ"/>
              </w:rPr>
            </w:pPr>
            <w:r w:rsidRPr="00181EF3">
              <w:rPr>
                <w:lang w:eastAsia="en-NZ"/>
              </w:rPr>
              <w:t>15+</w:t>
            </w:r>
          </w:p>
        </w:tc>
        <w:tc>
          <w:tcPr>
            <w:tcW w:w="933" w:type="pct"/>
            <w:shd w:val="clear" w:color="auto" w:fill="auto"/>
            <w:noWrap/>
            <w:hideMark/>
          </w:tcPr>
          <w:p w14:paraId="43866B0E"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5AF825FC" w14:textId="77777777" w:rsidTr="001B13EC">
        <w:trPr>
          <w:cantSplit/>
        </w:trPr>
        <w:tc>
          <w:tcPr>
            <w:tcW w:w="1051" w:type="pct"/>
            <w:vMerge w:val="restart"/>
            <w:shd w:val="clear" w:color="auto" w:fill="auto"/>
            <w:noWrap/>
            <w:hideMark/>
          </w:tcPr>
          <w:p w14:paraId="3F103764" w14:textId="77777777" w:rsidR="001B13EC" w:rsidRPr="00181EF3" w:rsidRDefault="001B13EC" w:rsidP="001B13EC">
            <w:pPr>
              <w:pStyle w:val="TableText"/>
              <w:rPr>
                <w:lang w:eastAsia="en-NZ"/>
              </w:rPr>
            </w:pPr>
            <w:r w:rsidRPr="00181EF3">
              <w:rPr>
                <w:lang w:eastAsia="en-NZ"/>
              </w:rPr>
              <w:t>Peptic ulcer</w:t>
            </w:r>
          </w:p>
        </w:tc>
        <w:tc>
          <w:tcPr>
            <w:tcW w:w="615" w:type="pct"/>
            <w:shd w:val="clear" w:color="auto" w:fill="auto"/>
            <w:hideMark/>
          </w:tcPr>
          <w:p w14:paraId="6C29BF55" w14:textId="77777777" w:rsidR="001B13EC" w:rsidRPr="00181EF3" w:rsidRDefault="001B13EC" w:rsidP="001B13EC">
            <w:pPr>
              <w:pStyle w:val="TableText"/>
              <w:jc w:val="center"/>
              <w:rPr>
                <w:lang w:eastAsia="en-NZ"/>
              </w:rPr>
            </w:pPr>
            <w:r w:rsidRPr="00181EF3">
              <w:rPr>
                <w:lang w:eastAsia="en-NZ"/>
              </w:rPr>
              <w:t>K25</w:t>
            </w:r>
          </w:p>
        </w:tc>
        <w:tc>
          <w:tcPr>
            <w:tcW w:w="1749" w:type="pct"/>
            <w:shd w:val="clear" w:color="auto" w:fill="auto"/>
            <w:noWrap/>
            <w:hideMark/>
          </w:tcPr>
          <w:p w14:paraId="189E0F13" w14:textId="77777777" w:rsidR="001B13EC" w:rsidRPr="00181EF3" w:rsidRDefault="001B13EC" w:rsidP="001B13EC">
            <w:pPr>
              <w:pStyle w:val="TableText"/>
              <w:rPr>
                <w:lang w:eastAsia="en-NZ"/>
              </w:rPr>
            </w:pPr>
            <w:r w:rsidRPr="00181EF3">
              <w:rPr>
                <w:lang w:eastAsia="en-NZ"/>
              </w:rPr>
              <w:t>Gastric ulcer</w:t>
            </w:r>
          </w:p>
        </w:tc>
        <w:tc>
          <w:tcPr>
            <w:tcW w:w="652" w:type="pct"/>
            <w:shd w:val="clear" w:color="auto" w:fill="auto"/>
            <w:noWrap/>
            <w:hideMark/>
          </w:tcPr>
          <w:p w14:paraId="02B514A9" w14:textId="77777777" w:rsidR="001B13EC" w:rsidRPr="00181EF3" w:rsidRDefault="001B13EC" w:rsidP="001B13EC">
            <w:pPr>
              <w:pStyle w:val="TableText"/>
              <w:jc w:val="center"/>
              <w:rPr>
                <w:lang w:eastAsia="en-NZ"/>
              </w:rPr>
            </w:pPr>
            <w:r w:rsidRPr="00181EF3">
              <w:rPr>
                <w:lang w:eastAsia="en-NZ"/>
              </w:rPr>
              <w:t>15+</w:t>
            </w:r>
          </w:p>
        </w:tc>
        <w:tc>
          <w:tcPr>
            <w:tcW w:w="933" w:type="pct"/>
            <w:shd w:val="clear" w:color="auto" w:fill="auto"/>
            <w:noWrap/>
            <w:hideMark/>
          </w:tcPr>
          <w:p w14:paraId="77E6592E"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415C03C5" w14:textId="77777777" w:rsidTr="001B13EC">
        <w:trPr>
          <w:cantSplit/>
        </w:trPr>
        <w:tc>
          <w:tcPr>
            <w:tcW w:w="1051" w:type="pct"/>
            <w:vMerge/>
            <w:shd w:val="clear" w:color="auto" w:fill="auto"/>
            <w:noWrap/>
          </w:tcPr>
          <w:p w14:paraId="7CD61114" w14:textId="77777777" w:rsidR="001B13EC" w:rsidRPr="00181EF3" w:rsidRDefault="001B13EC" w:rsidP="001B13EC">
            <w:pPr>
              <w:pStyle w:val="TableText"/>
              <w:rPr>
                <w:lang w:eastAsia="en-NZ"/>
              </w:rPr>
            </w:pPr>
          </w:p>
        </w:tc>
        <w:tc>
          <w:tcPr>
            <w:tcW w:w="615" w:type="pct"/>
            <w:shd w:val="clear" w:color="auto" w:fill="auto"/>
            <w:hideMark/>
          </w:tcPr>
          <w:p w14:paraId="3B5A38FB" w14:textId="77777777" w:rsidR="001B13EC" w:rsidRPr="00181EF3" w:rsidRDefault="001B13EC" w:rsidP="001B13EC">
            <w:pPr>
              <w:pStyle w:val="TableText"/>
              <w:jc w:val="center"/>
              <w:rPr>
                <w:lang w:eastAsia="en-NZ"/>
              </w:rPr>
            </w:pPr>
            <w:r w:rsidRPr="00181EF3">
              <w:rPr>
                <w:lang w:eastAsia="en-NZ"/>
              </w:rPr>
              <w:t>K26</w:t>
            </w:r>
          </w:p>
        </w:tc>
        <w:tc>
          <w:tcPr>
            <w:tcW w:w="1749" w:type="pct"/>
            <w:shd w:val="clear" w:color="auto" w:fill="auto"/>
            <w:noWrap/>
            <w:hideMark/>
          </w:tcPr>
          <w:p w14:paraId="0F48D3D2" w14:textId="77777777" w:rsidR="001B13EC" w:rsidRPr="00181EF3" w:rsidRDefault="001B13EC" w:rsidP="001B13EC">
            <w:pPr>
              <w:pStyle w:val="TableText"/>
              <w:rPr>
                <w:lang w:eastAsia="en-NZ"/>
              </w:rPr>
            </w:pPr>
            <w:r w:rsidRPr="00181EF3">
              <w:rPr>
                <w:lang w:eastAsia="en-NZ"/>
              </w:rPr>
              <w:t>Duodenal ulcer</w:t>
            </w:r>
          </w:p>
        </w:tc>
        <w:tc>
          <w:tcPr>
            <w:tcW w:w="652" w:type="pct"/>
            <w:shd w:val="clear" w:color="auto" w:fill="auto"/>
            <w:noWrap/>
            <w:hideMark/>
          </w:tcPr>
          <w:p w14:paraId="77F2E292" w14:textId="77777777" w:rsidR="001B13EC" w:rsidRPr="00181EF3" w:rsidRDefault="001B13EC" w:rsidP="001B13EC">
            <w:pPr>
              <w:pStyle w:val="TableText"/>
              <w:jc w:val="center"/>
              <w:rPr>
                <w:lang w:eastAsia="en-NZ"/>
              </w:rPr>
            </w:pPr>
            <w:r w:rsidRPr="00181EF3">
              <w:rPr>
                <w:lang w:eastAsia="en-NZ"/>
              </w:rPr>
              <w:t>15+</w:t>
            </w:r>
          </w:p>
        </w:tc>
        <w:tc>
          <w:tcPr>
            <w:tcW w:w="933" w:type="pct"/>
            <w:shd w:val="clear" w:color="auto" w:fill="auto"/>
            <w:noWrap/>
            <w:hideMark/>
          </w:tcPr>
          <w:p w14:paraId="3BEAFF96"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0FD1D5A0" w14:textId="77777777" w:rsidTr="001B13EC">
        <w:trPr>
          <w:cantSplit/>
        </w:trPr>
        <w:tc>
          <w:tcPr>
            <w:tcW w:w="1051" w:type="pct"/>
            <w:vMerge/>
            <w:shd w:val="clear" w:color="auto" w:fill="auto"/>
            <w:noWrap/>
          </w:tcPr>
          <w:p w14:paraId="02097416" w14:textId="77777777" w:rsidR="001B13EC" w:rsidRPr="00181EF3" w:rsidRDefault="001B13EC" w:rsidP="001B13EC">
            <w:pPr>
              <w:pStyle w:val="TableText"/>
              <w:rPr>
                <w:lang w:eastAsia="en-NZ"/>
              </w:rPr>
            </w:pPr>
          </w:p>
        </w:tc>
        <w:tc>
          <w:tcPr>
            <w:tcW w:w="615" w:type="pct"/>
            <w:shd w:val="clear" w:color="auto" w:fill="auto"/>
            <w:hideMark/>
          </w:tcPr>
          <w:p w14:paraId="3FB72976" w14:textId="77777777" w:rsidR="001B13EC" w:rsidRPr="00181EF3" w:rsidRDefault="001B13EC" w:rsidP="001B13EC">
            <w:pPr>
              <w:pStyle w:val="TableText"/>
              <w:jc w:val="center"/>
              <w:rPr>
                <w:lang w:eastAsia="en-NZ"/>
              </w:rPr>
            </w:pPr>
            <w:r w:rsidRPr="00181EF3">
              <w:rPr>
                <w:lang w:eastAsia="en-NZ"/>
              </w:rPr>
              <w:t>K27</w:t>
            </w:r>
          </w:p>
        </w:tc>
        <w:tc>
          <w:tcPr>
            <w:tcW w:w="1749" w:type="pct"/>
            <w:shd w:val="clear" w:color="auto" w:fill="auto"/>
            <w:noWrap/>
            <w:hideMark/>
          </w:tcPr>
          <w:p w14:paraId="70BE79EB" w14:textId="77777777" w:rsidR="001B13EC" w:rsidRPr="00181EF3" w:rsidRDefault="001B13EC" w:rsidP="001B13EC">
            <w:pPr>
              <w:pStyle w:val="TableText"/>
              <w:rPr>
                <w:lang w:eastAsia="en-NZ"/>
              </w:rPr>
            </w:pPr>
            <w:r w:rsidRPr="00181EF3">
              <w:rPr>
                <w:lang w:eastAsia="en-NZ"/>
              </w:rPr>
              <w:t>Peptic ulcer, site unspecified</w:t>
            </w:r>
          </w:p>
        </w:tc>
        <w:tc>
          <w:tcPr>
            <w:tcW w:w="652" w:type="pct"/>
            <w:shd w:val="clear" w:color="auto" w:fill="auto"/>
            <w:noWrap/>
            <w:hideMark/>
          </w:tcPr>
          <w:p w14:paraId="56582C59" w14:textId="77777777" w:rsidR="001B13EC" w:rsidRPr="00181EF3" w:rsidRDefault="001B13EC" w:rsidP="001B13EC">
            <w:pPr>
              <w:pStyle w:val="TableText"/>
              <w:jc w:val="center"/>
              <w:rPr>
                <w:lang w:eastAsia="en-NZ"/>
              </w:rPr>
            </w:pPr>
            <w:r w:rsidRPr="00181EF3">
              <w:rPr>
                <w:lang w:eastAsia="en-NZ"/>
              </w:rPr>
              <w:t>15+</w:t>
            </w:r>
          </w:p>
        </w:tc>
        <w:tc>
          <w:tcPr>
            <w:tcW w:w="933" w:type="pct"/>
            <w:shd w:val="clear" w:color="auto" w:fill="auto"/>
            <w:noWrap/>
            <w:hideMark/>
          </w:tcPr>
          <w:p w14:paraId="0FAA3577"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241F237B" w14:textId="77777777" w:rsidTr="001B13EC">
        <w:trPr>
          <w:cantSplit/>
        </w:trPr>
        <w:tc>
          <w:tcPr>
            <w:tcW w:w="1051" w:type="pct"/>
            <w:vMerge/>
            <w:tcBorders>
              <w:bottom w:val="single" w:sz="4" w:space="0" w:color="A6A6A6" w:themeColor="background1" w:themeShade="A6"/>
            </w:tcBorders>
            <w:shd w:val="clear" w:color="auto" w:fill="auto"/>
            <w:noWrap/>
          </w:tcPr>
          <w:p w14:paraId="7FFD01DC" w14:textId="77777777" w:rsidR="001B13EC" w:rsidRPr="00181EF3" w:rsidRDefault="001B13EC" w:rsidP="001B13EC">
            <w:pPr>
              <w:pStyle w:val="TableText"/>
              <w:rPr>
                <w:lang w:eastAsia="en-NZ"/>
              </w:rPr>
            </w:pPr>
          </w:p>
        </w:tc>
        <w:tc>
          <w:tcPr>
            <w:tcW w:w="615" w:type="pct"/>
            <w:tcBorders>
              <w:bottom w:val="single" w:sz="4" w:space="0" w:color="A6A6A6" w:themeColor="background1" w:themeShade="A6"/>
            </w:tcBorders>
            <w:shd w:val="clear" w:color="auto" w:fill="auto"/>
            <w:hideMark/>
          </w:tcPr>
          <w:p w14:paraId="283D519B" w14:textId="77777777" w:rsidR="001B13EC" w:rsidRPr="00181EF3" w:rsidRDefault="001B13EC" w:rsidP="001B13EC">
            <w:pPr>
              <w:pStyle w:val="TableText"/>
              <w:jc w:val="center"/>
              <w:rPr>
                <w:lang w:eastAsia="en-NZ"/>
              </w:rPr>
            </w:pPr>
            <w:r w:rsidRPr="00181EF3">
              <w:rPr>
                <w:lang w:eastAsia="en-NZ"/>
              </w:rPr>
              <w:t>K28</w:t>
            </w:r>
          </w:p>
        </w:tc>
        <w:tc>
          <w:tcPr>
            <w:tcW w:w="1749" w:type="pct"/>
            <w:tcBorders>
              <w:bottom w:val="single" w:sz="4" w:space="0" w:color="A6A6A6" w:themeColor="background1" w:themeShade="A6"/>
            </w:tcBorders>
            <w:shd w:val="clear" w:color="auto" w:fill="auto"/>
            <w:noWrap/>
            <w:hideMark/>
          </w:tcPr>
          <w:p w14:paraId="53706460" w14:textId="77777777" w:rsidR="001B13EC" w:rsidRPr="00181EF3" w:rsidRDefault="001B13EC" w:rsidP="001B13EC">
            <w:pPr>
              <w:pStyle w:val="TableText"/>
              <w:rPr>
                <w:lang w:eastAsia="en-NZ"/>
              </w:rPr>
            </w:pPr>
            <w:r w:rsidRPr="00181EF3">
              <w:rPr>
                <w:lang w:eastAsia="en-NZ"/>
              </w:rPr>
              <w:t>Gastrojejunal ulcer</w:t>
            </w:r>
          </w:p>
        </w:tc>
        <w:tc>
          <w:tcPr>
            <w:tcW w:w="652" w:type="pct"/>
            <w:tcBorders>
              <w:bottom w:val="single" w:sz="4" w:space="0" w:color="A6A6A6" w:themeColor="background1" w:themeShade="A6"/>
            </w:tcBorders>
            <w:shd w:val="clear" w:color="auto" w:fill="auto"/>
            <w:noWrap/>
            <w:hideMark/>
          </w:tcPr>
          <w:p w14:paraId="19C79224" w14:textId="77777777" w:rsidR="001B13EC" w:rsidRPr="00181EF3" w:rsidRDefault="001B13EC" w:rsidP="001B13EC">
            <w:pPr>
              <w:pStyle w:val="TableText"/>
              <w:jc w:val="center"/>
              <w:rPr>
                <w:lang w:eastAsia="en-NZ"/>
              </w:rPr>
            </w:pPr>
            <w:r w:rsidRPr="00181EF3">
              <w:rPr>
                <w:lang w:eastAsia="en-NZ"/>
              </w:rPr>
              <w:t>15+</w:t>
            </w:r>
          </w:p>
        </w:tc>
        <w:tc>
          <w:tcPr>
            <w:tcW w:w="933" w:type="pct"/>
            <w:tcBorders>
              <w:bottom w:val="single" w:sz="4" w:space="0" w:color="A6A6A6" w:themeColor="background1" w:themeShade="A6"/>
            </w:tcBorders>
            <w:shd w:val="clear" w:color="auto" w:fill="auto"/>
            <w:noWrap/>
            <w:hideMark/>
          </w:tcPr>
          <w:p w14:paraId="183E2BB3"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4E2B3DBF" w14:textId="77777777" w:rsidTr="001B13EC">
        <w:trPr>
          <w:cantSplit/>
        </w:trPr>
        <w:tc>
          <w:tcPr>
            <w:tcW w:w="1051" w:type="pct"/>
            <w:tcBorders>
              <w:top w:val="single" w:sz="4" w:space="0" w:color="A6A6A6" w:themeColor="background1" w:themeShade="A6"/>
              <w:bottom w:val="nil"/>
            </w:tcBorders>
            <w:shd w:val="clear" w:color="auto" w:fill="F2F2F2" w:themeFill="background1" w:themeFillShade="F2"/>
            <w:noWrap/>
            <w:hideMark/>
          </w:tcPr>
          <w:p w14:paraId="59A0FB07" w14:textId="77777777" w:rsidR="001B13EC" w:rsidRPr="00181EF3" w:rsidRDefault="001B13EC" w:rsidP="001B13EC">
            <w:pPr>
              <w:pStyle w:val="TableText"/>
              <w:rPr>
                <w:b/>
                <w:lang w:eastAsia="en-NZ"/>
              </w:rPr>
            </w:pPr>
            <w:r w:rsidRPr="00181EF3">
              <w:rPr>
                <w:b/>
                <w:lang w:eastAsia="en-NZ"/>
              </w:rPr>
              <w:t>Respiratory</w:t>
            </w:r>
          </w:p>
        </w:tc>
        <w:tc>
          <w:tcPr>
            <w:tcW w:w="615" w:type="pct"/>
            <w:tcBorders>
              <w:top w:val="single" w:sz="4" w:space="0" w:color="A6A6A6" w:themeColor="background1" w:themeShade="A6"/>
              <w:bottom w:val="nil"/>
            </w:tcBorders>
            <w:shd w:val="clear" w:color="auto" w:fill="F2F2F2" w:themeFill="background1" w:themeFillShade="F2"/>
            <w:noWrap/>
            <w:hideMark/>
          </w:tcPr>
          <w:p w14:paraId="0FCB111D" w14:textId="77777777" w:rsidR="001B13EC" w:rsidRPr="00181EF3" w:rsidRDefault="001B13EC" w:rsidP="001B13EC">
            <w:pPr>
              <w:pStyle w:val="TableText"/>
              <w:jc w:val="center"/>
              <w:rPr>
                <w:lang w:eastAsia="en-NZ"/>
              </w:rPr>
            </w:pPr>
          </w:p>
        </w:tc>
        <w:tc>
          <w:tcPr>
            <w:tcW w:w="1749" w:type="pct"/>
            <w:tcBorders>
              <w:top w:val="single" w:sz="4" w:space="0" w:color="A6A6A6" w:themeColor="background1" w:themeShade="A6"/>
              <w:bottom w:val="nil"/>
            </w:tcBorders>
            <w:shd w:val="clear" w:color="auto" w:fill="F2F2F2" w:themeFill="background1" w:themeFillShade="F2"/>
            <w:noWrap/>
            <w:hideMark/>
          </w:tcPr>
          <w:p w14:paraId="7C5C49A4" w14:textId="77777777" w:rsidR="001B13EC" w:rsidRPr="00181EF3" w:rsidRDefault="001B13EC" w:rsidP="001B13EC">
            <w:pPr>
              <w:pStyle w:val="TableText"/>
              <w:rPr>
                <w:lang w:eastAsia="en-NZ"/>
              </w:rPr>
            </w:pPr>
          </w:p>
        </w:tc>
        <w:tc>
          <w:tcPr>
            <w:tcW w:w="652" w:type="pct"/>
            <w:tcBorders>
              <w:top w:val="single" w:sz="4" w:space="0" w:color="A6A6A6" w:themeColor="background1" w:themeShade="A6"/>
              <w:bottom w:val="nil"/>
            </w:tcBorders>
            <w:shd w:val="clear" w:color="auto" w:fill="F2F2F2" w:themeFill="background1" w:themeFillShade="F2"/>
            <w:noWrap/>
            <w:hideMark/>
          </w:tcPr>
          <w:p w14:paraId="7B821D0C" w14:textId="77777777" w:rsidR="001B13EC" w:rsidRPr="00181EF3" w:rsidRDefault="001B13EC" w:rsidP="001B13EC">
            <w:pPr>
              <w:pStyle w:val="TableText"/>
              <w:jc w:val="center"/>
              <w:rPr>
                <w:lang w:eastAsia="en-NZ"/>
              </w:rPr>
            </w:pPr>
          </w:p>
        </w:tc>
        <w:tc>
          <w:tcPr>
            <w:tcW w:w="933" w:type="pct"/>
            <w:tcBorders>
              <w:top w:val="single" w:sz="4" w:space="0" w:color="A6A6A6" w:themeColor="background1" w:themeShade="A6"/>
              <w:bottom w:val="nil"/>
            </w:tcBorders>
            <w:shd w:val="clear" w:color="auto" w:fill="F2F2F2" w:themeFill="background1" w:themeFillShade="F2"/>
            <w:noWrap/>
            <w:hideMark/>
          </w:tcPr>
          <w:p w14:paraId="49A15AF5" w14:textId="77777777" w:rsidR="001B13EC" w:rsidRPr="00181EF3" w:rsidRDefault="001B13EC" w:rsidP="001B13EC">
            <w:pPr>
              <w:pStyle w:val="TableText"/>
              <w:jc w:val="center"/>
              <w:rPr>
                <w:lang w:eastAsia="en-NZ"/>
              </w:rPr>
            </w:pPr>
          </w:p>
        </w:tc>
      </w:tr>
      <w:tr w:rsidR="001B13EC" w:rsidRPr="00181EF3" w14:paraId="0EA3CA6F" w14:textId="77777777" w:rsidTr="001B13EC">
        <w:trPr>
          <w:cantSplit/>
        </w:trPr>
        <w:tc>
          <w:tcPr>
            <w:tcW w:w="1051" w:type="pct"/>
            <w:vMerge w:val="restart"/>
            <w:tcBorders>
              <w:top w:val="nil"/>
            </w:tcBorders>
            <w:shd w:val="clear" w:color="auto" w:fill="auto"/>
            <w:noWrap/>
            <w:hideMark/>
          </w:tcPr>
          <w:p w14:paraId="6BECB2EF" w14:textId="77777777" w:rsidR="001B13EC" w:rsidRPr="00181EF3" w:rsidRDefault="001B13EC" w:rsidP="001B13EC">
            <w:pPr>
              <w:pStyle w:val="TableText"/>
              <w:rPr>
                <w:lang w:eastAsia="en-NZ"/>
              </w:rPr>
            </w:pPr>
            <w:r w:rsidRPr="00181EF3">
              <w:rPr>
                <w:lang w:eastAsia="en-NZ"/>
              </w:rPr>
              <w:t>Asthma</w:t>
            </w:r>
          </w:p>
        </w:tc>
        <w:tc>
          <w:tcPr>
            <w:tcW w:w="615" w:type="pct"/>
            <w:tcBorders>
              <w:top w:val="nil"/>
            </w:tcBorders>
            <w:shd w:val="clear" w:color="auto" w:fill="auto"/>
            <w:hideMark/>
          </w:tcPr>
          <w:p w14:paraId="72995FE6" w14:textId="77777777" w:rsidR="001B13EC" w:rsidRPr="00181EF3" w:rsidRDefault="001B13EC" w:rsidP="001B13EC">
            <w:pPr>
              <w:pStyle w:val="TableText"/>
              <w:jc w:val="center"/>
              <w:rPr>
                <w:lang w:eastAsia="en-NZ"/>
              </w:rPr>
            </w:pPr>
            <w:r w:rsidRPr="00181EF3">
              <w:rPr>
                <w:lang w:eastAsia="en-NZ"/>
              </w:rPr>
              <w:t>J45</w:t>
            </w:r>
          </w:p>
        </w:tc>
        <w:tc>
          <w:tcPr>
            <w:tcW w:w="1749" w:type="pct"/>
            <w:tcBorders>
              <w:top w:val="nil"/>
            </w:tcBorders>
            <w:shd w:val="clear" w:color="auto" w:fill="auto"/>
            <w:noWrap/>
            <w:hideMark/>
          </w:tcPr>
          <w:p w14:paraId="0100FC1C" w14:textId="77777777" w:rsidR="001B13EC" w:rsidRPr="00181EF3" w:rsidRDefault="001B13EC" w:rsidP="001B13EC">
            <w:pPr>
              <w:pStyle w:val="TableText"/>
              <w:rPr>
                <w:lang w:eastAsia="en-NZ"/>
              </w:rPr>
            </w:pPr>
            <w:r w:rsidRPr="00181EF3">
              <w:rPr>
                <w:lang w:eastAsia="en-NZ"/>
              </w:rPr>
              <w:t>Asthma</w:t>
            </w:r>
          </w:p>
        </w:tc>
        <w:tc>
          <w:tcPr>
            <w:tcW w:w="652" w:type="pct"/>
            <w:tcBorders>
              <w:top w:val="nil"/>
            </w:tcBorders>
            <w:shd w:val="clear" w:color="auto" w:fill="auto"/>
            <w:noWrap/>
            <w:hideMark/>
          </w:tcPr>
          <w:p w14:paraId="1DD473E6" w14:textId="77777777" w:rsidR="001B13EC" w:rsidRPr="00181EF3" w:rsidRDefault="001B13EC" w:rsidP="001B13EC">
            <w:pPr>
              <w:pStyle w:val="TableText"/>
              <w:jc w:val="center"/>
              <w:rPr>
                <w:lang w:eastAsia="en-NZ"/>
              </w:rPr>
            </w:pPr>
            <w:r w:rsidRPr="00181EF3">
              <w:rPr>
                <w:lang w:eastAsia="en-NZ"/>
              </w:rPr>
              <w:t>All</w:t>
            </w:r>
          </w:p>
        </w:tc>
        <w:tc>
          <w:tcPr>
            <w:tcW w:w="933" w:type="pct"/>
            <w:tcBorders>
              <w:top w:val="nil"/>
            </w:tcBorders>
            <w:shd w:val="clear" w:color="auto" w:fill="auto"/>
            <w:noWrap/>
            <w:hideMark/>
          </w:tcPr>
          <w:p w14:paraId="7A6EFB18"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0FF441B8" w14:textId="77777777" w:rsidTr="001B13EC">
        <w:trPr>
          <w:cantSplit/>
        </w:trPr>
        <w:tc>
          <w:tcPr>
            <w:tcW w:w="1051" w:type="pct"/>
            <w:vMerge/>
            <w:shd w:val="clear" w:color="auto" w:fill="auto"/>
            <w:noWrap/>
          </w:tcPr>
          <w:p w14:paraId="3C99C630" w14:textId="77777777" w:rsidR="001B13EC" w:rsidRPr="00181EF3" w:rsidRDefault="001B13EC" w:rsidP="001B13EC">
            <w:pPr>
              <w:pStyle w:val="TableText"/>
              <w:rPr>
                <w:lang w:eastAsia="en-NZ"/>
              </w:rPr>
            </w:pPr>
          </w:p>
        </w:tc>
        <w:tc>
          <w:tcPr>
            <w:tcW w:w="615" w:type="pct"/>
            <w:shd w:val="clear" w:color="auto" w:fill="auto"/>
            <w:hideMark/>
          </w:tcPr>
          <w:p w14:paraId="7254EC50" w14:textId="77777777" w:rsidR="001B13EC" w:rsidRPr="00181EF3" w:rsidRDefault="001B13EC" w:rsidP="001B13EC">
            <w:pPr>
              <w:pStyle w:val="TableText"/>
              <w:jc w:val="center"/>
              <w:rPr>
                <w:lang w:eastAsia="en-NZ"/>
              </w:rPr>
            </w:pPr>
            <w:r w:rsidRPr="00181EF3">
              <w:rPr>
                <w:lang w:eastAsia="en-NZ"/>
              </w:rPr>
              <w:t>J46</w:t>
            </w:r>
          </w:p>
        </w:tc>
        <w:tc>
          <w:tcPr>
            <w:tcW w:w="1749" w:type="pct"/>
            <w:shd w:val="clear" w:color="auto" w:fill="auto"/>
            <w:noWrap/>
            <w:hideMark/>
          </w:tcPr>
          <w:p w14:paraId="3EFAA0D7" w14:textId="77777777" w:rsidR="001B13EC" w:rsidRPr="00181EF3" w:rsidRDefault="001B13EC" w:rsidP="001B13EC">
            <w:pPr>
              <w:pStyle w:val="TableText"/>
              <w:rPr>
                <w:lang w:eastAsia="en-NZ"/>
              </w:rPr>
            </w:pPr>
            <w:r w:rsidRPr="00181EF3">
              <w:rPr>
                <w:lang w:eastAsia="en-NZ"/>
              </w:rPr>
              <w:t>Status asthmaticus</w:t>
            </w:r>
          </w:p>
        </w:tc>
        <w:tc>
          <w:tcPr>
            <w:tcW w:w="652" w:type="pct"/>
            <w:shd w:val="clear" w:color="auto" w:fill="auto"/>
            <w:noWrap/>
            <w:hideMark/>
          </w:tcPr>
          <w:p w14:paraId="2FF9219D"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038B3EC8"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47EDADB1" w14:textId="77777777" w:rsidTr="001B13EC">
        <w:trPr>
          <w:cantSplit/>
        </w:trPr>
        <w:tc>
          <w:tcPr>
            <w:tcW w:w="1051" w:type="pct"/>
            <w:vMerge/>
            <w:shd w:val="clear" w:color="auto" w:fill="auto"/>
            <w:noWrap/>
          </w:tcPr>
          <w:p w14:paraId="2889F920" w14:textId="77777777" w:rsidR="001B13EC" w:rsidRPr="00181EF3" w:rsidRDefault="001B13EC" w:rsidP="001B13EC">
            <w:pPr>
              <w:pStyle w:val="TableText"/>
              <w:rPr>
                <w:lang w:eastAsia="en-NZ"/>
              </w:rPr>
            </w:pPr>
          </w:p>
        </w:tc>
        <w:tc>
          <w:tcPr>
            <w:tcW w:w="615" w:type="pct"/>
            <w:shd w:val="clear" w:color="auto" w:fill="auto"/>
            <w:hideMark/>
          </w:tcPr>
          <w:p w14:paraId="50270CD4" w14:textId="77777777" w:rsidR="001B13EC" w:rsidRPr="00181EF3" w:rsidRDefault="001B13EC" w:rsidP="001B13EC">
            <w:pPr>
              <w:pStyle w:val="TableText"/>
              <w:jc w:val="center"/>
              <w:rPr>
                <w:lang w:eastAsia="en-NZ"/>
              </w:rPr>
            </w:pPr>
            <w:r w:rsidRPr="00181EF3">
              <w:rPr>
                <w:lang w:eastAsia="en-NZ"/>
              </w:rPr>
              <w:t>R06</w:t>
            </w:r>
            <w:r>
              <w:rPr>
                <w:lang w:eastAsia="en-NZ"/>
              </w:rPr>
              <w:t>.</w:t>
            </w:r>
            <w:r w:rsidRPr="00181EF3">
              <w:rPr>
                <w:lang w:eastAsia="en-NZ"/>
              </w:rPr>
              <w:t>2</w:t>
            </w:r>
          </w:p>
        </w:tc>
        <w:tc>
          <w:tcPr>
            <w:tcW w:w="1749" w:type="pct"/>
            <w:shd w:val="clear" w:color="auto" w:fill="auto"/>
            <w:noWrap/>
            <w:hideMark/>
          </w:tcPr>
          <w:p w14:paraId="0523F072" w14:textId="77777777" w:rsidR="001B13EC" w:rsidRPr="00181EF3" w:rsidRDefault="001B13EC" w:rsidP="001B13EC">
            <w:pPr>
              <w:pStyle w:val="TableText"/>
              <w:rPr>
                <w:lang w:eastAsia="en-NZ"/>
              </w:rPr>
            </w:pPr>
            <w:r w:rsidRPr="00181EF3">
              <w:rPr>
                <w:lang w:eastAsia="en-NZ"/>
              </w:rPr>
              <w:t>Wheeze</w:t>
            </w:r>
          </w:p>
        </w:tc>
        <w:tc>
          <w:tcPr>
            <w:tcW w:w="652" w:type="pct"/>
            <w:shd w:val="clear" w:color="auto" w:fill="auto"/>
            <w:noWrap/>
            <w:hideMark/>
          </w:tcPr>
          <w:p w14:paraId="4ECBE735" w14:textId="77777777" w:rsidR="001B13EC" w:rsidRPr="00181EF3" w:rsidRDefault="001B13EC" w:rsidP="001B13EC">
            <w:pPr>
              <w:pStyle w:val="TableText"/>
              <w:jc w:val="center"/>
              <w:rPr>
                <w:lang w:eastAsia="en-NZ"/>
              </w:rPr>
            </w:pPr>
            <w:r w:rsidRPr="00181EF3">
              <w:rPr>
                <w:lang w:eastAsia="en-NZ"/>
              </w:rPr>
              <w:t>0 to 4 years</w:t>
            </w:r>
          </w:p>
        </w:tc>
        <w:tc>
          <w:tcPr>
            <w:tcW w:w="933" w:type="pct"/>
            <w:shd w:val="clear" w:color="auto" w:fill="auto"/>
            <w:noWrap/>
            <w:hideMark/>
          </w:tcPr>
          <w:p w14:paraId="7F71B304"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0C591670" w14:textId="77777777" w:rsidTr="001B13EC">
        <w:trPr>
          <w:cantSplit/>
        </w:trPr>
        <w:tc>
          <w:tcPr>
            <w:tcW w:w="1051" w:type="pct"/>
            <w:shd w:val="clear" w:color="auto" w:fill="auto"/>
            <w:noWrap/>
            <w:hideMark/>
          </w:tcPr>
          <w:p w14:paraId="042D4847" w14:textId="77777777" w:rsidR="001B13EC" w:rsidRPr="00181EF3" w:rsidRDefault="001B13EC" w:rsidP="001B13EC">
            <w:pPr>
              <w:pStyle w:val="TableText"/>
              <w:rPr>
                <w:lang w:eastAsia="en-NZ"/>
              </w:rPr>
            </w:pPr>
            <w:r w:rsidRPr="00181EF3">
              <w:rPr>
                <w:lang w:eastAsia="en-NZ"/>
              </w:rPr>
              <w:t>Bronchiectasis</w:t>
            </w:r>
          </w:p>
        </w:tc>
        <w:tc>
          <w:tcPr>
            <w:tcW w:w="615" w:type="pct"/>
            <w:shd w:val="clear" w:color="auto" w:fill="auto"/>
            <w:hideMark/>
          </w:tcPr>
          <w:p w14:paraId="583A91A0" w14:textId="77777777" w:rsidR="001B13EC" w:rsidRPr="00181EF3" w:rsidRDefault="001B13EC" w:rsidP="001B13EC">
            <w:pPr>
              <w:pStyle w:val="TableText"/>
              <w:jc w:val="center"/>
              <w:rPr>
                <w:lang w:eastAsia="en-NZ"/>
              </w:rPr>
            </w:pPr>
            <w:r w:rsidRPr="00181EF3">
              <w:rPr>
                <w:lang w:eastAsia="en-NZ"/>
              </w:rPr>
              <w:t>J47</w:t>
            </w:r>
          </w:p>
        </w:tc>
        <w:tc>
          <w:tcPr>
            <w:tcW w:w="1749" w:type="pct"/>
            <w:shd w:val="clear" w:color="auto" w:fill="auto"/>
            <w:noWrap/>
            <w:hideMark/>
          </w:tcPr>
          <w:p w14:paraId="59F18C0D" w14:textId="77777777" w:rsidR="001B13EC" w:rsidRPr="00181EF3" w:rsidRDefault="001B13EC" w:rsidP="001B13EC">
            <w:pPr>
              <w:pStyle w:val="TableText"/>
              <w:rPr>
                <w:lang w:eastAsia="en-NZ"/>
              </w:rPr>
            </w:pPr>
            <w:r w:rsidRPr="00181EF3">
              <w:rPr>
                <w:lang w:eastAsia="en-NZ"/>
              </w:rPr>
              <w:t>Bronchiectasis</w:t>
            </w:r>
          </w:p>
        </w:tc>
        <w:tc>
          <w:tcPr>
            <w:tcW w:w="652" w:type="pct"/>
            <w:shd w:val="clear" w:color="auto" w:fill="auto"/>
            <w:noWrap/>
            <w:hideMark/>
          </w:tcPr>
          <w:p w14:paraId="2296C244" w14:textId="77777777" w:rsidR="001B13EC" w:rsidRPr="00181EF3" w:rsidRDefault="001B13EC" w:rsidP="001B13EC">
            <w:pPr>
              <w:pStyle w:val="TableText"/>
              <w:jc w:val="center"/>
              <w:rPr>
                <w:lang w:eastAsia="en-NZ"/>
              </w:rPr>
            </w:pPr>
            <w:r w:rsidRPr="00181EF3">
              <w:rPr>
                <w:lang w:eastAsia="en-NZ"/>
              </w:rPr>
              <w:t>15+</w:t>
            </w:r>
          </w:p>
        </w:tc>
        <w:tc>
          <w:tcPr>
            <w:tcW w:w="933" w:type="pct"/>
            <w:shd w:val="clear" w:color="auto" w:fill="auto"/>
            <w:noWrap/>
            <w:hideMark/>
          </w:tcPr>
          <w:p w14:paraId="0CA761A1"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7B8C2BA4" w14:textId="77777777" w:rsidTr="001B13EC">
        <w:trPr>
          <w:cantSplit/>
        </w:trPr>
        <w:tc>
          <w:tcPr>
            <w:tcW w:w="1051" w:type="pct"/>
            <w:shd w:val="clear" w:color="auto" w:fill="auto"/>
            <w:noWrap/>
            <w:hideMark/>
          </w:tcPr>
          <w:p w14:paraId="50BE7BF6" w14:textId="77777777" w:rsidR="001B13EC" w:rsidRPr="00181EF3" w:rsidRDefault="001B13EC" w:rsidP="001B13EC">
            <w:pPr>
              <w:pStyle w:val="TableText"/>
              <w:rPr>
                <w:lang w:eastAsia="en-NZ"/>
              </w:rPr>
            </w:pPr>
            <w:r w:rsidRPr="00181EF3">
              <w:rPr>
                <w:lang w:eastAsia="en-NZ"/>
              </w:rPr>
              <w:t>COPD</w:t>
            </w:r>
          </w:p>
        </w:tc>
        <w:tc>
          <w:tcPr>
            <w:tcW w:w="615" w:type="pct"/>
            <w:shd w:val="clear" w:color="auto" w:fill="auto"/>
            <w:noWrap/>
            <w:hideMark/>
          </w:tcPr>
          <w:p w14:paraId="36A66BD4" w14:textId="77777777" w:rsidR="001B13EC" w:rsidRPr="00181EF3" w:rsidRDefault="001B13EC" w:rsidP="001B13EC">
            <w:pPr>
              <w:pStyle w:val="TableText"/>
              <w:jc w:val="center"/>
              <w:rPr>
                <w:lang w:eastAsia="en-NZ"/>
              </w:rPr>
            </w:pPr>
            <w:r w:rsidRPr="00181EF3">
              <w:rPr>
                <w:lang w:eastAsia="en-NZ"/>
              </w:rPr>
              <w:t>J44</w:t>
            </w:r>
          </w:p>
        </w:tc>
        <w:tc>
          <w:tcPr>
            <w:tcW w:w="1749" w:type="pct"/>
            <w:shd w:val="clear" w:color="auto" w:fill="auto"/>
            <w:noWrap/>
            <w:hideMark/>
          </w:tcPr>
          <w:p w14:paraId="2983673A" w14:textId="77777777" w:rsidR="001B13EC" w:rsidRPr="00181EF3" w:rsidRDefault="001B13EC" w:rsidP="001B13EC">
            <w:pPr>
              <w:pStyle w:val="TableText"/>
              <w:rPr>
                <w:lang w:eastAsia="en-NZ"/>
              </w:rPr>
            </w:pPr>
            <w:r w:rsidRPr="00181EF3">
              <w:rPr>
                <w:lang w:eastAsia="en-NZ"/>
              </w:rPr>
              <w:t>Chronic obstructive pulmonary disease</w:t>
            </w:r>
          </w:p>
        </w:tc>
        <w:tc>
          <w:tcPr>
            <w:tcW w:w="652" w:type="pct"/>
            <w:shd w:val="clear" w:color="auto" w:fill="auto"/>
            <w:noWrap/>
            <w:hideMark/>
          </w:tcPr>
          <w:p w14:paraId="311BF34A" w14:textId="77777777" w:rsidR="001B13EC" w:rsidRPr="00181EF3" w:rsidRDefault="001B13EC" w:rsidP="001B13EC">
            <w:pPr>
              <w:pStyle w:val="TableText"/>
              <w:jc w:val="center"/>
              <w:rPr>
                <w:lang w:eastAsia="en-NZ"/>
              </w:rPr>
            </w:pPr>
            <w:r w:rsidRPr="00181EF3">
              <w:rPr>
                <w:lang w:eastAsia="en-NZ"/>
              </w:rPr>
              <w:t>15+</w:t>
            </w:r>
          </w:p>
        </w:tc>
        <w:tc>
          <w:tcPr>
            <w:tcW w:w="933" w:type="pct"/>
            <w:shd w:val="clear" w:color="auto" w:fill="auto"/>
            <w:noWrap/>
            <w:hideMark/>
          </w:tcPr>
          <w:p w14:paraId="185121D8"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4F0B7067" w14:textId="77777777" w:rsidTr="001B13EC">
        <w:trPr>
          <w:cantSplit/>
        </w:trPr>
        <w:tc>
          <w:tcPr>
            <w:tcW w:w="1051" w:type="pct"/>
            <w:shd w:val="clear" w:color="auto" w:fill="auto"/>
            <w:noWrap/>
            <w:hideMark/>
          </w:tcPr>
          <w:p w14:paraId="4B731A0E" w14:textId="77777777" w:rsidR="001B13EC" w:rsidRPr="00181EF3" w:rsidRDefault="001B13EC" w:rsidP="001B13EC">
            <w:pPr>
              <w:pStyle w:val="TableText"/>
              <w:rPr>
                <w:lang w:eastAsia="en-NZ"/>
              </w:rPr>
            </w:pPr>
            <w:r w:rsidRPr="00181EF3">
              <w:rPr>
                <w:lang w:eastAsia="en-NZ"/>
              </w:rPr>
              <w:t>Lower respiratory infections</w:t>
            </w:r>
          </w:p>
        </w:tc>
        <w:tc>
          <w:tcPr>
            <w:tcW w:w="615" w:type="pct"/>
            <w:shd w:val="clear" w:color="auto" w:fill="auto"/>
            <w:noWrap/>
            <w:hideMark/>
          </w:tcPr>
          <w:p w14:paraId="19BB5F15" w14:textId="77777777" w:rsidR="001B13EC" w:rsidRPr="00181EF3" w:rsidRDefault="001B13EC" w:rsidP="001B13EC">
            <w:pPr>
              <w:pStyle w:val="TableText"/>
              <w:jc w:val="center"/>
              <w:rPr>
                <w:lang w:eastAsia="en-NZ"/>
              </w:rPr>
            </w:pPr>
            <w:r w:rsidRPr="00181EF3">
              <w:rPr>
                <w:lang w:eastAsia="en-NZ"/>
              </w:rPr>
              <w:t>J22</w:t>
            </w:r>
          </w:p>
        </w:tc>
        <w:tc>
          <w:tcPr>
            <w:tcW w:w="1749" w:type="pct"/>
            <w:shd w:val="clear" w:color="auto" w:fill="auto"/>
            <w:noWrap/>
            <w:hideMark/>
          </w:tcPr>
          <w:p w14:paraId="443B73DB" w14:textId="77777777" w:rsidR="001B13EC" w:rsidRPr="00181EF3" w:rsidRDefault="001B13EC" w:rsidP="001B13EC">
            <w:pPr>
              <w:pStyle w:val="TableText"/>
              <w:rPr>
                <w:lang w:eastAsia="en-NZ"/>
              </w:rPr>
            </w:pPr>
            <w:r w:rsidRPr="00181EF3">
              <w:rPr>
                <w:lang w:eastAsia="en-NZ"/>
              </w:rPr>
              <w:t>Unspecified acute lower respiratory infection</w:t>
            </w:r>
          </w:p>
        </w:tc>
        <w:tc>
          <w:tcPr>
            <w:tcW w:w="652" w:type="pct"/>
            <w:shd w:val="clear" w:color="auto" w:fill="auto"/>
            <w:noWrap/>
            <w:hideMark/>
          </w:tcPr>
          <w:p w14:paraId="37D8807C" w14:textId="77777777" w:rsidR="001B13EC" w:rsidRPr="00181EF3" w:rsidRDefault="001B13EC" w:rsidP="001B13EC">
            <w:pPr>
              <w:pStyle w:val="TableText"/>
              <w:jc w:val="center"/>
              <w:rPr>
                <w:lang w:eastAsia="en-NZ"/>
              </w:rPr>
            </w:pPr>
            <w:r w:rsidRPr="00181EF3">
              <w:rPr>
                <w:lang w:eastAsia="en-NZ"/>
              </w:rPr>
              <w:t>0 to 4 years</w:t>
            </w:r>
          </w:p>
        </w:tc>
        <w:tc>
          <w:tcPr>
            <w:tcW w:w="933" w:type="pct"/>
            <w:shd w:val="clear" w:color="auto" w:fill="auto"/>
            <w:noWrap/>
            <w:hideMark/>
          </w:tcPr>
          <w:p w14:paraId="07C5EC6B"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315F8891" w14:textId="77777777" w:rsidTr="001B13EC">
        <w:trPr>
          <w:cantSplit/>
        </w:trPr>
        <w:tc>
          <w:tcPr>
            <w:tcW w:w="1051" w:type="pct"/>
            <w:vMerge w:val="restart"/>
            <w:shd w:val="clear" w:color="auto" w:fill="auto"/>
            <w:noWrap/>
            <w:hideMark/>
          </w:tcPr>
          <w:p w14:paraId="04E40DB7" w14:textId="77777777" w:rsidR="001B13EC" w:rsidRPr="00181EF3" w:rsidRDefault="001B13EC" w:rsidP="001B13EC">
            <w:pPr>
              <w:pStyle w:val="TableText"/>
              <w:rPr>
                <w:lang w:eastAsia="en-NZ"/>
              </w:rPr>
            </w:pPr>
            <w:r w:rsidRPr="00181EF3">
              <w:rPr>
                <w:lang w:eastAsia="en-NZ"/>
              </w:rPr>
              <w:t>Pneumonia</w:t>
            </w:r>
          </w:p>
        </w:tc>
        <w:tc>
          <w:tcPr>
            <w:tcW w:w="615" w:type="pct"/>
            <w:shd w:val="clear" w:color="auto" w:fill="auto"/>
            <w:hideMark/>
          </w:tcPr>
          <w:p w14:paraId="3BEEE758" w14:textId="77777777" w:rsidR="001B13EC" w:rsidRPr="00181EF3" w:rsidRDefault="001B13EC" w:rsidP="001B13EC">
            <w:pPr>
              <w:pStyle w:val="TableText"/>
              <w:jc w:val="center"/>
              <w:rPr>
                <w:lang w:eastAsia="en-NZ"/>
              </w:rPr>
            </w:pPr>
            <w:r w:rsidRPr="00181EF3">
              <w:rPr>
                <w:lang w:eastAsia="en-NZ"/>
              </w:rPr>
              <w:t>J13</w:t>
            </w:r>
          </w:p>
        </w:tc>
        <w:tc>
          <w:tcPr>
            <w:tcW w:w="1749" w:type="pct"/>
            <w:shd w:val="clear" w:color="auto" w:fill="auto"/>
            <w:noWrap/>
            <w:hideMark/>
          </w:tcPr>
          <w:p w14:paraId="572DE7D8" w14:textId="77777777" w:rsidR="001B13EC" w:rsidRPr="00181EF3" w:rsidRDefault="001B13EC" w:rsidP="001B13EC">
            <w:pPr>
              <w:pStyle w:val="TableText"/>
              <w:rPr>
                <w:lang w:eastAsia="en-NZ"/>
              </w:rPr>
            </w:pPr>
            <w:r w:rsidRPr="00181EF3">
              <w:rPr>
                <w:lang w:eastAsia="en-NZ"/>
              </w:rPr>
              <w:t>Pneumonia due to Streptococcus pneumoniae</w:t>
            </w:r>
          </w:p>
        </w:tc>
        <w:tc>
          <w:tcPr>
            <w:tcW w:w="652" w:type="pct"/>
            <w:shd w:val="clear" w:color="auto" w:fill="auto"/>
            <w:noWrap/>
            <w:hideMark/>
          </w:tcPr>
          <w:p w14:paraId="1724313F"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62820751"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04887761" w14:textId="77777777" w:rsidTr="001B13EC">
        <w:trPr>
          <w:cantSplit/>
        </w:trPr>
        <w:tc>
          <w:tcPr>
            <w:tcW w:w="1051" w:type="pct"/>
            <w:vMerge/>
            <w:shd w:val="clear" w:color="auto" w:fill="auto"/>
            <w:noWrap/>
          </w:tcPr>
          <w:p w14:paraId="3906E9DC" w14:textId="77777777" w:rsidR="001B13EC" w:rsidRPr="00181EF3" w:rsidRDefault="001B13EC" w:rsidP="001B13EC">
            <w:pPr>
              <w:pStyle w:val="TableText"/>
              <w:rPr>
                <w:lang w:eastAsia="en-NZ"/>
              </w:rPr>
            </w:pPr>
          </w:p>
        </w:tc>
        <w:tc>
          <w:tcPr>
            <w:tcW w:w="615" w:type="pct"/>
            <w:shd w:val="clear" w:color="auto" w:fill="auto"/>
            <w:hideMark/>
          </w:tcPr>
          <w:p w14:paraId="594665D3" w14:textId="77777777" w:rsidR="001B13EC" w:rsidRPr="00181EF3" w:rsidRDefault="001B13EC" w:rsidP="001B13EC">
            <w:pPr>
              <w:pStyle w:val="TableText"/>
              <w:jc w:val="center"/>
              <w:rPr>
                <w:lang w:eastAsia="en-NZ"/>
              </w:rPr>
            </w:pPr>
            <w:r w:rsidRPr="00181EF3">
              <w:rPr>
                <w:lang w:eastAsia="en-NZ"/>
              </w:rPr>
              <w:t>J14</w:t>
            </w:r>
          </w:p>
        </w:tc>
        <w:tc>
          <w:tcPr>
            <w:tcW w:w="1749" w:type="pct"/>
            <w:shd w:val="clear" w:color="auto" w:fill="auto"/>
            <w:noWrap/>
            <w:hideMark/>
          </w:tcPr>
          <w:p w14:paraId="7CBD45BC" w14:textId="77777777" w:rsidR="001B13EC" w:rsidRPr="00181EF3" w:rsidRDefault="001B13EC" w:rsidP="001B13EC">
            <w:pPr>
              <w:pStyle w:val="TableText"/>
              <w:rPr>
                <w:lang w:eastAsia="en-NZ"/>
              </w:rPr>
            </w:pPr>
            <w:r w:rsidRPr="00181EF3">
              <w:rPr>
                <w:lang w:eastAsia="en-NZ"/>
              </w:rPr>
              <w:t>Pneumonia due to Haemophilus influenzae</w:t>
            </w:r>
          </w:p>
        </w:tc>
        <w:tc>
          <w:tcPr>
            <w:tcW w:w="652" w:type="pct"/>
            <w:shd w:val="clear" w:color="auto" w:fill="auto"/>
            <w:noWrap/>
            <w:hideMark/>
          </w:tcPr>
          <w:p w14:paraId="042947B2"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3EB017A9"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34392FC9" w14:textId="77777777" w:rsidTr="001B13EC">
        <w:trPr>
          <w:cantSplit/>
        </w:trPr>
        <w:tc>
          <w:tcPr>
            <w:tcW w:w="1051" w:type="pct"/>
            <w:vMerge/>
            <w:shd w:val="clear" w:color="auto" w:fill="auto"/>
            <w:noWrap/>
          </w:tcPr>
          <w:p w14:paraId="02587492" w14:textId="77777777" w:rsidR="001B13EC" w:rsidRPr="00181EF3" w:rsidRDefault="001B13EC" w:rsidP="001B13EC">
            <w:pPr>
              <w:pStyle w:val="TableText"/>
              <w:rPr>
                <w:lang w:eastAsia="en-NZ"/>
              </w:rPr>
            </w:pPr>
          </w:p>
        </w:tc>
        <w:tc>
          <w:tcPr>
            <w:tcW w:w="615" w:type="pct"/>
            <w:shd w:val="clear" w:color="auto" w:fill="auto"/>
            <w:hideMark/>
          </w:tcPr>
          <w:p w14:paraId="167CBE96" w14:textId="77777777" w:rsidR="001B13EC" w:rsidRPr="00181EF3" w:rsidRDefault="001B13EC" w:rsidP="001B13EC">
            <w:pPr>
              <w:pStyle w:val="TableText"/>
              <w:jc w:val="center"/>
              <w:rPr>
                <w:lang w:eastAsia="en-NZ"/>
              </w:rPr>
            </w:pPr>
            <w:r w:rsidRPr="00181EF3">
              <w:rPr>
                <w:lang w:eastAsia="en-NZ"/>
              </w:rPr>
              <w:t>J15</w:t>
            </w:r>
          </w:p>
        </w:tc>
        <w:tc>
          <w:tcPr>
            <w:tcW w:w="1749" w:type="pct"/>
            <w:shd w:val="clear" w:color="auto" w:fill="auto"/>
            <w:noWrap/>
            <w:hideMark/>
          </w:tcPr>
          <w:p w14:paraId="4AA84727" w14:textId="77777777" w:rsidR="001B13EC" w:rsidRPr="00181EF3" w:rsidRDefault="001B13EC" w:rsidP="001B13EC">
            <w:pPr>
              <w:pStyle w:val="TableText"/>
              <w:rPr>
                <w:lang w:eastAsia="en-NZ"/>
              </w:rPr>
            </w:pPr>
            <w:r w:rsidRPr="00181EF3">
              <w:rPr>
                <w:lang w:eastAsia="en-NZ"/>
              </w:rPr>
              <w:t>Bacterial pneumonia, not elsewhere classified</w:t>
            </w:r>
          </w:p>
        </w:tc>
        <w:tc>
          <w:tcPr>
            <w:tcW w:w="652" w:type="pct"/>
            <w:shd w:val="clear" w:color="auto" w:fill="auto"/>
            <w:noWrap/>
            <w:hideMark/>
          </w:tcPr>
          <w:p w14:paraId="34BE78AA"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0A27CEE7"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01F7026A" w14:textId="77777777" w:rsidTr="001B13EC">
        <w:trPr>
          <w:cantSplit/>
        </w:trPr>
        <w:tc>
          <w:tcPr>
            <w:tcW w:w="1051" w:type="pct"/>
            <w:vMerge/>
            <w:shd w:val="clear" w:color="auto" w:fill="auto"/>
            <w:noWrap/>
          </w:tcPr>
          <w:p w14:paraId="10EB10E2" w14:textId="77777777" w:rsidR="001B13EC" w:rsidRPr="00181EF3" w:rsidRDefault="001B13EC" w:rsidP="001B13EC">
            <w:pPr>
              <w:pStyle w:val="TableText"/>
              <w:rPr>
                <w:lang w:eastAsia="en-NZ"/>
              </w:rPr>
            </w:pPr>
          </w:p>
        </w:tc>
        <w:tc>
          <w:tcPr>
            <w:tcW w:w="615" w:type="pct"/>
            <w:shd w:val="clear" w:color="auto" w:fill="auto"/>
            <w:hideMark/>
          </w:tcPr>
          <w:p w14:paraId="24F35FEE" w14:textId="77777777" w:rsidR="001B13EC" w:rsidRPr="00181EF3" w:rsidRDefault="001B13EC" w:rsidP="001B13EC">
            <w:pPr>
              <w:pStyle w:val="TableText"/>
              <w:jc w:val="center"/>
              <w:rPr>
                <w:lang w:eastAsia="en-NZ"/>
              </w:rPr>
            </w:pPr>
            <w:r w:rsidRPr="00181EF3">
              <w:rPr>
                <w:lang w:eastAsia="en-NZ"/>
              </w:rPr>
              <w:t>J16</w:t>
            </w:r>
          </w:p>
        </w:tc>
        <w:tc>
          <w:tcPr>
            <w:tcW w:w="1749" w:type="pct"/>
            <w:shd w:val="clear" w:color="auto" w:fill="auto"/>
            <w:noWrap/>
            <w:hideMark/>
          </w:tcPr>
          <w:p w14:paraId="27B3FF49" w14:textId="77777777" w:rsidR="001B13EC" w:rsidRPr="00181EF3" w:rsidRDefault="001B13EC" w:rsidP="001B13EC">
            <w:pPr>
              <w:pStyle w:val="TableText"/>
              <w:rPr>
                <w:lang w:eastAsia="en-NZ"/>
              </w:rPr>
            </w:pPr>
            <w:r w:rsidRPr="00181EF3">
              <w:rPr>
                <w:lang w:eastAsia="en-NZ"/>
              </w:rPr>
              <w:t>Pneumonia due to other infectious organisms, not elsewhere classified</w:t>
            </w:r>
          </w:p>
        </w:tc>
        <w:tc>
          <w:tcPr>
            <w:tcW w:w="652" w:type="pct"/>
            <w:shd w:val="clear" w:color="auto" w:fill="auto"/>
            <w:noWrap/>
            <w:hideMark/>
          </w:tcPr>
          <w:p w14:paraId="3F55547C"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4796DF08"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5C1054A7" w14:textId="77777777" w:rsidTr="001B13EC">
        <w:trPr>
          <w:cantSplit/>
        </w:trPr>
        <w:tc>
          <w:tcPr>
            <w:tcW w:w="1051" w:type="pct"/>
            <w:vMerge/>
            <w:shd w:val="clear" w:color="auto" w:fill="auto"/>
            <w:noWrap/>
          </w:tcPr>
          <w:p w14:paraId="7C243B13" w14:textId="77777777" w:rsidR="001B13EC" w:rsidRPr="00181EF3" w:rsidRDefault="001B13EC" w:rsidP="001B13EC">
            <w:pPr>
              <w:pStyle w:val="TableText"/>
              <w:rPr>
                <w:lang w:eastAsia="en-NZ"/>
              </w:rPr>
            </w:pPr>
          </w:p>
        </w:tc>
        <w:tc>
          <w:tcPr>
            <w:tcW w:w="615" w:type="pct"/>
            <w:shd w:val="clear" w:color="auto" w:fill="auto"/>
            <w:hideMark/>
          </w:tcPr>
          <w:p w14:paraId="14FB4C4E" w14:textId="77777777" w:rsidR="001B13EC" w:rsidRPr="00181EF3" w:rsidRDefault="001B13EC" w:rsidP="001B13EC">
            <w:pPr>
              <w:pStyle w:val="TableText"/>
              <w:jc w:val="center"/>
              <w:rPr>
                <w:lang w:eastAsia="en-NZ"/>
              </w:rPr>
            </w:pPr>
            <w:r w:rsidRPr="00181EF3">
              <w:rPr>
                <w:lang w:eastAsia="en-NZ"/>
              </w:rPr>
              <w:t>J18</w:t>
            </w:r>
          </w:p>
        </w:tc>
        <w:tc>
          <w:tcPr>
            <w:tcW w:w="1749" w:type="pct"/>
            <w:shd w:val="clear" w:color="auto" w:fill="auto"/>
            <w:noWrap/>
            <w:hideMark/>
          </w:tcPr>
          <w:p w14:paraId="07AB153F" w14:textId="77777777" w:rsidR="001B13EC" w:rsidRPr="00181EF3" w:rsidRDefault="001B13EC" w:rsidP="001B13EC">
            <w:pPr>
              <w:pStyle w:val="TableText"/>
              <w:rPr>
                <w:lang w:eastAsia="en-NZ"/>
              </w:rPr>
            </w:pPr>
            <w:r w:rsidRPr="00181EF3">
              <w:rPr>
                <w:lang w:eastAsia="en-NZ"/>
              </w:rPr>
              <w:t>Pneumonia, organism unspecified</w:t>
            </w:r>
          </w:p>
        </w:tc>
        <w:tc>
          <w:tcPr>
            <w:tcW w:w="652" w:type="pct"/>
            <w:shd w:val="clear" w:color="auto" w:fill="auto"/>
            <w:noWrap/>
            <w:hideMark/>
          </w:tcPr>
          <w:p w14:paraId="495ABB3F"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38CE43EB"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2DFF2D35" w14:textId="77777777" w:rsidTr="001B13EC">
        <w:trPr>
          <w:cantSplit/>
        </w:trPr>
        <w:tc>
          <w:tcPr>
            <w:tcW w:w="1051" w:type="pct"/>
            <w:vMerge w:val="restart"/>
            <w:shd w:val="clear" w:color="auto" w:fill="auto"/>
            <w:noWrap/>
            <w:hideMark/>
          </w:tcPr>
          <w:p w14:paraId="798C730A" w14:textId="77777777" w:rsidR="001B13EC" w:rsidRPr="00181EF3" w:rsidRDefault="001B13EC" w:rsidP="000667F5">
            <w:pPr>
              <w:pStyle w:val="TableText"/>
              <w:keepNext/>
              <w:rPr>
                <w:lang w:eastAsia="en-NZ"/>
              </w:rPr>
            </w:pPr>
            <w:r w:rsidRPr="00181EF3">
              <w:rPr>
                <w:lang w:eastAsia="en-NZ"/>
              </w:rPr>
              <w:lastRenderedPageBreak/>
              <w:t>Upper and ENT respiratory infections</w:t>
            </w:r>
          </w:p>
        </w:tc>
        <w:tc>
          <w:tcPr>
            <w:tcW w:w="615" w:type="pct"/>
            <w:shd w:val="clear" w:color="auto" w:fill="auto"/>
            <w:hideMark/>
          </w:tcPr>
          <w:p w14:paraId="1C2647D0" w14:textId="77777777" w:rsidR="001B13EC" w:rsidRPr="00181EF3" w:rsidRDefault="001B13EC" w:rsidP="000667F5">
            <w:pPr>
              <w:pStyle w:val="TableText"/>
              <w:keepNext/>
              <w:jc w:val="center"/>
              <w:rPr>
                <w:lang w:eastAsia="en-NZ"/>
              </w:rPr>
            </w:pPr>
            <w:r w:rsidRPr="00181EF3">
              <w:rPr>
                <w:lang w:eastAsia="en-NZ"/>
              </w:rPr>
              <w:t>J00</w:t>
            </w:r>
          </w:p>
        </w:tc>
        <w:tc>
          <w:tcPr>
            <w:tcW w:w="1749" w:type="pct"/>
            <w:shd w:val="clear" w:color="auto" w:fill="auto"/>
            <w:noWrap/>
            <w:hideMark/>
          </w:tcPr>
          <w:p w14:paraId="039DAFBD" w14:textId="77777777" w:rsidR="001B13EC" w:rsidRPr="00181EF3" w:rsidRDefault="001B13EC" w:rsidP="000667F5">
            <w:pPr>
              <w:pStyle w:val="TableText"/>
              <w:keepNext/>
              <w:rPr>
                <w:lang w:eastAsia="en-NZ"/>
              </w:rPr>
            </w:pPr>
            <w:r w:rsidRPr="00181EF3">
              <w:rPr>
                <w:lang w:eastAsia="en-NZ"/>
              </w:rPr>
              <w:t>Acute nasopharyngitis [common cold]</w:t>
            </w:r>
          </w:p>
        </w:tc>
        <w:tc>
          <w:tcPr>
            <w:tcW w:w="652" w:type="pct"/>
            <w:shd w:val="clear" w:color="auto" w:fill="auto"/>
            <w:noWrap/>
            <w:hideMark/>
          </w:tcPr>
          <w:p w14:paraId="536B897A" w14:textId="77777777" w:rsidR="001B13EC" w:rsidRPr="00181EF3" w:rsidRDefault="001B13EC" w:rsidP="000667F5">
            <w:pPr>
              <w:pStyle w:val="TableText"/>
              <w:keepNext/>
              <w:jc w:val="center"/>
              <w:rPr>
                <w:lang w:eastAsia="en-NZ"/>
              </w:rPr>
            </w:pPr>
            <w:r w:rsidRPr="00181EF3">
              <w:rPr>
                <w:lang w:eastAsia="en-NZ"/>
              </w:rPr>
              <w:t>All</w:t>
            </w:r>
          </w:p>
        </w:tc>
        <w:tc>
          <w:tcPr>
            <w:tcW w:w="933" w:type="pct"/>
            <w:shd w:val="clear" w:color="auto" w:fill="auto"/>
            <w:noWrap/>
            <w:hideMark/>
          </w:tcPr>
          <w:p w14:paraId="5F85E06A" w14:textId="77777777" w:rsidR="001B13EC" w:rsidRPr="00181EF3" w:rsidRDefault="001B13EC" w:rsidP="000667F5">
            <w:pPr>
              <w:pStyle w:val="TableText"/>
              <w:keepNext/>
              <w:jc w:val="center"/>
              <w:rPr>
                <w:lang w:eastAsia="en-NZ"/>
              </w:rPr>
            </w:pPr>
            <w:r w:rsidRPr="00181EF3">
              <w:rPr>
                <w:lang w:eastAsia="en-NZ"/>
              </w:rPr>
              <w:t>No</w:t>
            </w:r>
          </w:p>
        </w:tc>
      </w:tr>
      <w:tr w:rsidR="001B13EC" w:rsidRPr="00181EF3" w14:paraId="443EFFB1" w14:textId="77777777" w:rsidTr="001B13EC">
        <w:trPr>
          <w:cantSplit/>
        </w:trPr>
        <w:tc>
          <w:tcPr>
            <w:tcW w:w="1051" w:type="pct"/>
            <w:vMerge/>
            <w:shd w:val="clear" w:color="auto" w:fill="auto"/>
            <w:noWrap/>
          </w:tcPr>
          <w:p w14:paraId="317616E8" w14:textId="77777777" w:rsidR="001B13EC" w:rsidRPr="00181EF3" w:rsidRDefault="001B13EC" w:rsidP="000667F5">
            <w:pPr>
              <w:pStyle w:val="TableText"/>
              <w:keepNext/>
              <w:rPr>
                <w:lang w:eastAsia="en-NZ"/>
              </w:rPr>
            </w:pPr>
          </w:p>
        </w:tc>
        <w:tc>
          <w:tcPr>
            <w:tcW w:w="615" w:type="pct"/>
            <w:shd w:val="clear" w:color="auto" w:fill="auto"/>
            <w:hideMark/>
          </w:tcPr>
          <w:p w14:paraId="1A599528" w14:textId="77777777" w:rsidR="001B13EC" w:rsidRPr="00181EF3" w:rsidRDefault="001B13EC" w:rsidP="000667F5">
            <w:pPr>
              <w:pStyle w:val="TableText"/>
              <w:keepNext/>
              <w:jc w:val="center"/>
              <w:rPr>
                <w:lang w:eastAsia="en-NZ"/>
              </w:rPr>
            </w:pPr>
            <w:r w:rsidRPr="00181EF3">
              <w:rPr>
                <w:lang w:eastAsia="en-NZ"/>
              </w:rPr>
              <w:t>J01</w:t>
            </w:r>
          </w:p>
        </w:tc>
        <w:tc>
          <w:tcPr>
            <w:tcW w:w="1749" w:type="pct"/>
            <w:shd w:val="clear" w:color="auto" w:fill="auto"/>
            <w:noWrap/>
            <w:hideMark/>
          </w:tcPr>
          <w:p w14:paraId="79BBCEF5" w14:textId="77777777" w:rsidR="001B13EC" w:rsidRPr="00181EF3" w:rsidRDefault="001B13EC" w:rsidP="000667F5">
            <w:pPr>
              <w:pStyle w:val="TableText"/>
              <w:keepNext/>
              <w:rPr>
                <w:lang w:eastAsia="en-NZ"/>
              </w:rPr>
            </w:pPr>
            <w:r w:rsidRPr="00181EF3">
              <w:rPr>
                <w:lang w:eastAsia="en-NZ"/>
              </w:rPr>
              <w:t>Acute sinusitis</w:t>
            </w:r>
          </w:p>
        </w:tc>
        <w:tc>
          <w:tcPr>
            <w:tcW w:w="652" w:type="pct"/>
            <w:shd w:val="clear" w:color="auto" w:fill="auto"/>
            <w:noWrap/>
            <w:hideMark/>
          </w:tcPr>
          <w:p w14:paraId="34FF8C62" w14:textId="77777777" w:rsidR="001B13EC" w:rsidRPr="00181EF3" w:rsidRDefault="001B13EC" w:rsidP="000667F5">
            <w:pPr>
              <w:pStyle w:val="TableText"/>
              <w:keepNext/>
              <w:jc w:val="center"/>
              <w:rPr>
                <w:lang w:eastAsia="en-NZ"/>
              </w:rPr>
            </w:pPr>
            <w:r w:rsidRPr="00181EF3">
              <w:rPr>
                <w:lang w:eastAsia="en-NZ"/>
              </w:rPr>
              <w:t>All</w:t>
            </w:r>
          </w:p>
        </w:tc>
        <w:tc>
          <w:tcPr>
            <w:tcW w:w="933" w:type="pct"/>
            <w:shd w:val="clear" w:color="auto" w:fill="auto"/>
            <w:noWrap/>
            <w:hideMark/>
          </w:tcPr>
          <w:p w14:paraId="4AB95D59" w14:textId="77777777" w:rsidR="001B13EC" w:rsidRPr="00181EF3" w:rsidRDefault="001B13EC" w:rsidP="000667F5">
            <w:pPr>
              <w:pStyle w:val="TableText"/>
              <w:keepNext/>
              <w:jc w:val="center"/>
              <w:rPr>
                <w:lang w:eastAsia="en-NZ"/>
              </w:rPr>
            </w:pPr>
            <w:r w:rsidRPr="00181EF3">
              <w:rPr>
                <w:lang w:eastAsia="en-NZ"/>
              </w:rPr>
              <w:t>No</w:t>
            </w:r>
          </w:p>
        </w:tc>
      </w:tr>
      <w:tr w:rsidR="001B13EC" w:rsidRPr="00181EF3" w14:paraId="585C2AB8" w14:textId="77777777" w:rsidTr="001B13EC">
        <w:trPr>
          <w:cantSplit/>
        </w:trPr>
        <w:tc>
          <w:tcPr>
            <w:tcW w:w="1051" w:type="pct"/>
            <w:vMerge/>
            <w:shd w:val="clear" w:color="auto" w:fill="auto"/>
            <w:noWrap/>
          </w:tcPr>
          <w:p w14:paraId="3FE3F368" w14:textId="77777777" w:rsidR="001B13EC" w:rsidRPr="00181EF3" w:rsidRDefault="001B13EC" w:rsidP="000667F5">
            <w:pPr>
              <w:pStyle w:val="TableText"/>
              <w:keepNext/>
              <w:rPr>
                <w:lang w:eastAsia="en-NZ"/>
              </w:rPr>
            </w:pPr>
          </w:p>
        </w:tc>
        <w:tc>
          <w:tcPr>
            <w:tcW w:w="615" w:type="pct"/>
            <w:shd w:val="clear" w:color="auto" w:fill="auto"/>
            <w:hideMark/>
          </w:tcPr>
          <w:p w14:paraId="26FDA8E9" w14:textId="77777777" w:rsidR="001B13EC" w:rsidRPr="00181EF3" w:rsidRDefault="001B13EC" w:rsidP="000667F5">
            <w:pPr>
              <w:pStyle w:val="TableText"/>
              <w:keepNext/>
              <w:jc w:val="center"/>
              <w:rPr>
                <w:lang w:eastAsia="en-NZ"/>
              </w:rPr>
            </w:pPr>
            <w:r w:rsidRPr="00181EF3">
              <w:rPr>
                <w:lang w:eastAsia="en-NZ"/>
              </w:rPr>
              <w:t>J02</w:t>
            </w:r>
          </w:p>
        </w:tc>
        <w:tc>
          <w:tcPr>
            <w:tcW w:w="1749" w:type="pct"/>
            <w:shd w:val="clear" w:color="auto" w:fill="auto"/>
            <w:noWrap/>
            <w:hideMark/>
          </w:tcPr>
          <w:p w14:paraId="6C45BB19" w14:textId="77777777" w:rsidR="001B13EC" w:rsidRPr="00181EF3" w:rsidRDefault="001B13EC" w:rsidP="000667F5">
            <w:pPr>
              <w:pStyle w:val="TableText"/>
              <w:keepNext/>
              <w:rPr>
                <w:lang w:eastAsia="en-NZ"/>
              </w:rPr>
            </w:pPr>
            <w:r w:rsidRPr="00181EF3">
              <w:rPr>
                <w:lang w:eastAsia="en-NZ"/>
              </w:rPr>
              <w:t>Acute pharyngitis</w:t>
            </w:r>
          </w:p>
        </w:tc>
        <w:tc>
          <w:tcPr>
            <w:tcW w:w="652" w:type="pct"/>
            <w:shd w:val="clear" w:color="auto" w:fill="auto"/>
            <w:noWrap/>
            <w:hideMark/>
          </w:tcPr>
          <w:p w14:paraId="4A27A0B9" w14:textId="77777777" w:rsidR="001B13EC" w:rsidRPr="00181EF3" w:rsidRDefault="001B13EC" w:rsidP="000667F5">
            <w:pPr>
              <w:pStyle w:val="TableText"/>
              <w:keepNext/>
              <w:jc w:val="center"/>
              <w:rPr>
                <w:lang w:eastAsia="en-NZ"/>
              </w:rPr>
            </w:pPr>
            <w:r w:rsidRPr="00181EF3">
              <w:rPr>
                <w:lang w:eastAsia="en-NZ"/>
              </w:rPr>
              <w:t>All</w:t>
            </w:r>
          </w:p>
        </w:tc>
        <w:tc>
          <w:tcPr>
            <w:tcW w:w="933" w:type="pct"/>
            <w:shd w:val="clear" w:color="auto" w:fill="auto"/>
            <w:noWrap/>
            <w:hideMark/>
          </w:tcPr>
          <w:p w14:paraId="6D4DAFBF" w14:textId="77777777" w:rsidR="001B13EC" w:rsidRPr="00181EF3" w:rsidRDefault="001B13EC" w:rsidP="000667F5">
            <w:pPr>
              <w:pStyle w:val="TableText"/>
              <w:keepNext/>
              <w:jc w:val="center"/>
              <w:rPr>
                <w:lang w:eastAsia="en-NZ"/>
              </w:rPr>
            </w:pPr>
            <w:r w:rsidRPr="00181EF3">
              <w:rPr>
                <w:lang w:eastAsia="en-NZ"/>
              </w:rPr>
              <w:t>No</w:t>
            </w:r>
          </w:p>
        </w:tc>
      </w:tr>
      <w:tr w:rsidR="001B13EC" w:rsidRPr="00181EF3" w14:paraId="67AB5EA9" w14:textId="77777777" w:rsidTr="001B13EC">
        <w:trPr>
          <w:cantSplit/>
        </w:trPr>
        <w:tc>
          <w:tcPr>
            <w:tcW w:w="1051" w:type="pct"/>
            <w:vMerge/>
            <w:shd w:val="clear" w:color="auto" w:fill="auto"/>
            <w:noWrap/>
          </w:tcPr>
          <w:p w14:paraId="62DFCA41" w14:textId="77777777" w:rsidR="001B13EC" w:rsidRPr="00181EF3" w:rsidRDefault="001B13EC" w:rsidP="000667F5">
            <w:pPr>
              <w:pStyle w:val="TableText"/>
              <w:keepNext/>
              <w:rPr>
                <w:lang w:eastAsia="en-NZ"/>
              </w:rPr>
            </w:pPr>
          </w:p>
        </w:tc>
        <w:tc>
          <w:tcPr>
            <w:tcW w:w="615" w:type="pct"/>
            <w:shd w:val="clear" w:color="auto" w:fill="auto"/>
            <w:hideMark/>
          </w:tcPr>
          <w:p w14:paraId="3E5F11A8" w14:textId="77777777" w:rsidR="001B13EC" w:rsidRPr="00181EF3" w:rsidRDefault="001B13EC" w:rsidP="000667F5">
            <w:pPr>
              <w:pStyle w:val="TableText"/>
              <w:keepNext/>
              <w:jc w:val="center"/>
              <w:rPr>
                <w:lang w:eastAsia="en-NZ"/>
              </w:rPr>
            </w:pPr>
            <w:r w:rsidRPr="00181EF3">
              <w:rPr>
                <w:lang w:eastAsia="en-NZ"/>
              </w:rPr>
              <w:t>J03</w:t>
            </w:r>
          </w:p>
        </w:tc>
        <w:tc>
          <w:tcPr>
            <w:tcW w:w="1749" w:type="pct"/>
            <w:shd w:val="clear" w:color="auto" w:fill="auto"/>
            <w:noWrap/>
            <w:hideMark/>
          </w:tcPr>
          <w:p w14:paraId="60351F0A" w14:textId="77777777" w:rsidR="001B13EC" w:rsidRPr="00181EF3" w:rsidRDefault="001B13EC" w:rsidP="000667F5">
            <w:pPr>
              <w:pStyle w:val="TableText"/>
              <w:keepNext/>
              <w:rPr>
                <w:lang w:eastAsia="en-NZ"/>
              </w:rPr>
            </w:pPr>
            <w:r w:rsidRPr="00181EF3">
              <w:rPr>
                <w:lang w:eastAsia="en-NZ"/>
              </w:rPr>
              <w:t>Acute tonsillitis</w:t>
            </w:r>
          </w:p>
        </w:tc>
        <w:tc>
          <w:tcPr>
            <w:tcW w:w="652" w:type="pct"/>
            <w:shd w:val="clear" w:color="auto" w:fill="auto"/>
            <w:noWrap/>
            <w:hideMark/>
          </w:tcPr>
          <w:p w14:paraId="70F4A7A2" w14:textId="77777777" w:rsidR="001B13EC" w:rsidRPr="00181EF3" w:rsidRDefault="001B13EC" w:rsidP="000667F5">
            <w:pPr>
              <w:pStyle w:val="TableText"/>
              <w:keepNext/>
              <w:jc w:val="center"/>
              <w:rPr>
                <w:lang w:eastAsia="en-NZ"/>
              </w:rPr>
            </w:pPr>
            <w:r w:rsidRPr="00181EF3">
              <w:rPr>
                <w:lang w:eastAsia="en-NZ"/>
              </w:rPr>
              <w:t>All</w:t>
            </w:r>
          </w:p>
        </w:tc>
        <w:tc>
          <w:tcPr>
            <w:tcW w:w="933" w:type="pct"/>
            <w:shd w:val="clear" w:color="auto" w:fill="auto"/>
            <w:noWrap/>
            <w:hideMark/>
          </w:tcPr>
          <w:p w14:paraId="74CFEC5B" w14:textId="77777777" w:rsidR="001B13EC" w:rsidRPr="00181EF3" w:rsidRDefault="001B13EC" w:rsidP="000667F5">
            <w:pPr>
              <w:pStyle w:val="TableText"/>
              <w:keepNext/>
              <w:jc w:val="center"/>
              <w:rPr>
                <w:lang w:eastAsia="en-NZ"/>
              </w:rPr>
            </w:pPr>
            <w:r w:rsidRPr="00181EF3">
              <w:rPr>
                <w:lang w:eastAsia="en-NZ"/>
              </w:rPr>
              <w:t>No</w:t>
            </w:r>
          </w:p>
        </w:tc>
      </w:tr>
      <w:tr w:rsidR="001B13EC" w:rsidRPr="00181EF3" w14:paraId="5A850775" w14:textId="77777777" w:rsidTr="001B13EC">
        <w:trPr>
          <w:cantSplit/>
        </w:trPr>
        <w:tc>
          <w:tcPr>
            <w:tcW w:w="1051" w:type="pct"/>
            <w:vMerge/>
            <w:shd w:val="clear" w:color="auto" w:fill="auto"/>
            <w:noWrap/>
          </w:tcPr>
          <w:p w14:paraId="345B601F" w14:textId="77777777" w:rsidR="001B13EC" w:rsidRPr="00181EF3" w:rsidRDefault="001B13EC" w:rsidP="000667F5">
            <w:pPr>
              <w:pStyle w:val="TableText"/>
              <w:keepNext/>
              <w:rPr>
                <w:lang w:eastAsia="en-NZ"/>
              </w:rPr>
            </w:pPr>
          </w:p>
        </w:tc>
        <w:tc>
          <w:tcPr>
            <w:tcW w:w="615" w:type="pct"/>
            <w:shd w:val="clear" w:color="auto" w:fill="auto"/>
            <w:hideMark/>
          </w:tcPr>
          <w:p w14:paraId="3083603A" w14:textId="77777777" w:rsidR="001B13EC" w:rsidRPr="00181EF3" w:rsidRDefault="001B13EC" w:rsidP="000667F5">
            <w:pPr>
              <w:pStyle w:val="TableText"/>
              <w:keepNext/>
              <w:jc w:val="center"/>
              <w:rPr>
                <w:lang w:eastAsia="en-NZ"/>
              </w:rPr>
            </w:pPr>
            <w:r w:rsidRPr="00181EF3">
              <w:rPr>
                <w:lang w:eastAsia="en-NZ"/>
              </w:rPr>
              <w:t>J04</w:t>
            </w:r>
          </w:p>
        </w:tc>
        <w:tc>
          <w:tcPr>
            <w:tcW w:w="1749" w:type="pct"/>
            <w:shd w:val="clear" w:color="auto" w:fill="auto"/>
            <w:noWrap/>
            <w:hideMark/>
          </w:tcPr>
          <w:p w14:paraId="3B0F582E" w14:textId="77777777" w:rsidR="001B13EC" w:rsidRPr="00181EF3" w:rsidRDefault="001B13EC" w:rsidP="000667F5">
            <w:pPr>
              <w:pStyle w:val="TableText"/>
              <w:keepNext/>
              <w:rPr>
                <w:lang w:eastAsia="en-NZ"/>
              </w:rPr>
            </w:pPr>
            <w:r w:rsidRPr="00181EF3">
              <w:rPr>
                <w:lang w:eastAsia="en-NZ"/>
              </w:rPr>
              <w:t>Acute laryngitis and tracheitis</w:t>
            </w:r>
          </w:p>
        </w:tc>
        <w:tc>
          <w:tcPr>
            <w:tcW w:w="652" w:type="pct"/>
            <w:shd w:val="clear" w:color="auto" w:fill="auto"/>
            <w:noWrap/>
            <w:hideMark/>
          </w:tcPr>
          <w:p w14:paraId="56B69EA6" w14:textId="77777777" w:rsidR="001B13EC" w:rsidRPr="00181EF3" w:rsidRDefault="001B13EC" w:rsidP="000667F5">
            <w:pPr>
              <w:pStyle w:val="TableText"/>
              <w:keepNext/>
              <w:jc w:val="center"/>
              <w:rPr>
                <w:lang w:eastAsia="en-NZ"/>
              </w:rPr>
            </w:pPr>
            <w:r w:rsidRPr="00181EF3">
              <w:rPr>
                <w:lang w:eastAsia="en-NZ"/>
              </w:rPr>
              <w:t>All</w:t>
            </w:r>
          </w:p>
        </w:tc>
        <w:tc>
          <w:tcPr>
            <w:tcW w:w="933" w:type="pct"/>
            <w:shd w:val="clear" w:color="auto" w:fill="auto"/>
            <w:noWrap/>
            <w:hideMark/>
          </w:tcPr>
          <w:p w14:paraId="36F11A26" w14:textId="77777777" w:rsidR="001B13EC" w:rsidRPr="00181EF3" w:rsidRDefault="001B13EC" w:rsidP="000667F5">
            <w:pPr>
              <w:pStyle w:val="TableText"/>
              <w:keepNext/>
              <w:jc w:val="center"/>
              <w:rPr>
                <w:lang w:eastAsia="en-NZ"/>
              </w:rPr>
            </w:pPr>
            <w:r w:rsidRPr="00181EF3">
              <w:rPr>
                <w:lang w:eastAsia="en-NZ"/>
              </w:rPr>
              <w:t>No</w:t>
            </w:r>
          </w:p>
        </w:tc>
      </w:tr>
      <w:tr w:rsidR="001B13EC" w:rsidRPr="00181EF3" w14:paraId="3D867B6E" w14:textId="77777777" w:rsidTr="001B13EC">
        <w:trPr>
          <w:cantSplit/>
        </w:trPr>
        <w:tc>
          <w:tcPr>
            <w:tcW w:w="1051" w:type="pct"/>
            <w:vMerge/>
            <w:shd w:val="clear" w:color="auto" w:fill="auto"/>
            <w:noWrap/>
          </w:tcPr>
          <w:p w14:paraId="3C7C03AC" w14:textId="77777777" w:rsidR="001B13EC" w:rsidRPr="00181EF3" w:rsidRDefault="001B13EC" w:rsidP="001B13EC">
            <w:pPr>
              <w:pStyle w:val="TableText"/>
              <w:rPr>
                <w:lang w:eastAsia="en-NZ"/>
              </w:rPr>
            </w:pPr>
          </w:p>
        </w:tc>
        <w:tc>
          <w:tcPr>
            <w:tcW w:w="615" w:type="pct"/>
            <w:shd w:val="clear" w:color="auto" w:fill="auto"/>
            <w:hideMark/>
          </w:tcPr>
          <w:p w14:paraId="7CA5B419" w14:textId="77777777" w:rsidR="001B13EC" w:rsidRPr="00181EF3" w:rsidRDefault="001B13EC" w:rsidP="001B13EC">
            <w:pPr>
              <w:pStyle w:val="TableText"/>
              <w:jc w:val="center"/>
              <w:rPr>
                <w:lang w:eastAsia="en-NZ"/>
              </w:rPr>
            </w:pPr>
            <w:r w:rsidRPr="00181EF3">
              <w:rPr>
                <w:lang w:eastAsia="en-NZ"/>
              </w:rPr>
              <w:t>J06</w:t>
            </w:r>
          </w:p>
        </w:tc>
        <w:tc>
          <w:tcPr>
            <w:tcW w:w="1749" w:type="pct"/>
            <w:shd w:val="clear" w:color="auto" w:fill="auto"/>
            <w:noWrap/>
            <w:hideMark/>
          </w:tcPr>
          <w:p w14:paraId="7BFB2262" w14:textId="77777777" w:rsidR="001B13EC" w:rsidRPr="00181EF3" w:rsidRDefault="001B13EC" w:rsidP="001B13EC">
            <w:pPr>
              <w:pStyle w:val="TableText"/>
              <w:rPr>
                <w:lang w:eastAsia="en-NZ"/>
              </w:rPr>
            </w:pPr>
            <w:r w:rsidRPr="00181EF3">
              <w:rPr>
                <w:lang w:eastAsia="en-NZ"/>
              </w:rPr>
              <w:t>Acute upper respiratory infections of multiple and unspecified sites</w:t>
            </w:r>
          </w:p>
        </w:tc>
        <w:tc>
          <w:tcPr>
            <w:tcW w:w="652" w:type="pct"/>
            <w:shd w:val="clear" w:color="auto" w:fill="auto"/>
            <w:noWrap/>
            <w:hideMark/>
          </w:tcPr>
          <w:p w14:paraId="6C62FAD1"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2C3D0F73"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4414F4B2" w14:textId="77777777" w:rsidTr="001B13EC">
        <w:trPr>
          <w:cantSplit/>
        </w:trPr>
        <w:tc>
          <w:tcPr>
            <w:tcW w:w="1051" w:type="pct"/>
            <w:vMerge/>
            <w:shd w:val="clear" w:color="auto" w:fill="auto"/>
            <w:noWrap/>
          </w:tcPr>
          <w:p w14:paraId="6B39FDD4" w14:textId="77777777" w:rsidR="001B13EC" w:rsidRPr="00181EF3" w:rsidRDefault="001B13EC" w:rsidP="001B13EC">
            <w:pPr>
              <w:pStyle w:val="TableText"/>
              <w:rPr>
                <w:lang w:eastAsia="en-NZ"/>
              </w:rPr>
            </w:pPr>
          </w:p>
        </w:tc>
        <w:tc>
          <w:tcPr>
            <w:tcW w:w="615" w:type="pct"/>
            <w:shd w:val="clear" w:color="auto" w:fill="auto"/>
            <w:noWrap/>
            <w:hideMark/>
          </w:tcPr>
          <w:p w14:paraId="2ACBAA2C" w14:textId="77777777" w:rsidR="001B13EC" w:rsidRPr="00181EF3" w:rsidRDefault="001B13EC" w:rsidP="001B13EC">
            <w:pPr>
              <w:pStyle w:val="TableText"/>
              <w:jc w:val="center"/>
              <w:rPr>
                <w:lang w:eastAsia="en-NZ"/>
              </w:rPr>
            </w:pPr>
            <w:r w:rsidRPr="00181EF3">
              <w:rPr>
                <w:lang w:eastAsia="en-NZ"/>
              </w:rPr>
              <w:t>H65</w:t>
            </w:r>
          </w:p>
        </w:tc>
        <w:tc>
          <w:tcPr>
            <w:tcW w:w="1749" w:type="pct"/>
            <w:shd w:val="clear" w:color="auto" w:fill="auto"/>
            <w:noWrap/>
            <w:hideMark/>
          </w:tcPr>
          <w:p w14:paraId="624C3313" w14:textId="77777777" w:rsidR="001B13EC" w:rsidRPr="00181EF3" w:rsidRDefault="001B13EC" w:rsidP="001B13EC">
            <w:pPr>
              <w:pStyle w:val="TableText"/>
              <w:rPr>
                <w:lang w:eastAsia="en-NZ"/>
              </w:rPr>
            </w:pPr>
            <w:r w:rsidRPr="00181EF3">
              <w:rPr>
                <w:lang w:eastAsia="en-NZ"/>
              </w:rPr>
              <w:t>Nonsuppurative otitis media</w:t>
            </w:r>
          </w:p>
        </w:tc>
        <w:tc>
          <w:tcPr>
            <w:tcW w:w="652" w:type="pct"/>
            <w:shd w:val="clear" w:color="auto" w:fill="auto"/>
            <w:noWrap/>
            <w:hideMark/>
          </w:tcPr>
          <w:p w14:paraId="2050389F"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4098E1A3"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18D9ADB1" w14:textId="77777777" w:rsidTr="001B13EC">
        <w:trPr>
          <w:cantSplit/>
        </w:trPr>
        <w:tc>
          <w:tcPr>
            <w:tcW w:w="1051" w:type="pct"/>
            <w:vMerge/>
            <w:shd w:val="clear" w:color="auto" w:fill="auto"/>
            <w:noWrap/>
          </w:tcPr>
          <w:p w14:paraId="72FC1944" w14:textId="77777777" w:rsidR="001B13EC" w:rsidRPr="00181EF3" w:rsidRDefault="001B13EC" w:rsidP="001B13EC">
            <w:pPr>
              <w:pStyle w:val="TableText"/>
              <w:rPr>
                <w:lang w:eastAsia="en-NZ"/>
              </w:rPr>
            </w:pPr>
          </w:p>
        </w:tc>
        <w:tc>
          <w:tcPr>
            <w:tcW w:w="615" w:type="pct"/>
            <w:shd w:val="clear" w:color="auto" w:fill="auto"/>
            <w:hideMark/>
          </w:tcPr>
          <w:p w14:paraId="4C624648" w14:textId="77777777" w:rsidR="001B13EC" w:rsidRPr="00181EF3" w:rsidRDefault="001B13EC" w:rsidP="001B13EC">
            <w:pPr>
              <w:pStyle w:val="TableText"/>
              <w:jc w:val="center"/>
              <w:rPr>
                <w:lang w:eastAsia="en-NZ"/>
              </w:rPr>
            </w:pPr>
            <w:r w:rsidRPr="00181EF3">
              <w:rPr>
                <w:lang w:eastAsia="en-NZ"/>
              </w:rPr>
              <w:t>H66</w:t>
            </w:r>
          </w:p>
        </w:tc>
        <w:tc>
          <w:tcPr>
            <w:tcW w:w="1749" w:type="pct"/>
            <w:shd w:val="clear" w:color="auto" w:fill="auto"/>
            <w:noWrap/>
            <w:hideMark/>
          </w:tcPr>
          <w:p w14:paraId="712F064E" w14:textId="77777777" w:rsidR="001B13EC" w:rsidRPr="00181EF3" w:rsidRDefault="001B13EC" w:rsidP="001B13EC">
            <w:pPr>
              <w:pStyle w:val="TableText"/>
              <w:rPr>
                <w:lang w:eastAsia="en-NZ"/>
              </w:rPr>
            </w:pPr>
            <w:r w:rsidRPr="00181EF3">
              <w:rPr>
                <w:lang w:eastAsia="en-NZ"/>
              </w:rPr>
              <w:t>Suppurative and unspecified otitis media</w:t>
            </w:r>
          </w:p>
        </w:tc>
        <w:tc>
          <w:tcPr>
            <w:tcW w:w="652" w:type="pct"/>
            <w:shd w:val="clear" w:color="auto" w:fill="auto"/>
            <w:noWrap/>
            <w:hideMark/>
          </w:tcPr>
          <w:p w14:paraId="3411C97C" w14:textId="77777777" w:rsidR="001B13EC" w:rsidRPr="00181EF3" w:rsidRDefault="001B13EC" w:rsidP="001B13EC">
            <w:pPr>
              <w:pStyle w:val="TableText"/>
              <w:jc w:val="center"/>
              <w:rPr>
                <w:lang w:eastAsia="en-NZ"/>
              </w:rPr>
            </w:pPr>
            <w:r w:rsidRPr="00181EF3">
              <w:rPr>
                <w:lang w:eastAsia="en-NZ"/>
              </w:rPr>
              <w:t>All</w:t>
            </w:r>
          </w:p>
        </w:tc>
        <w:tc>
          <w:tcPr>
            <w:tcW w:w="933" w:type="pct"/>
            <w:shd w:val="clear" w:color="auto" w:fill="auto"/>
            <w:noWrap/>
            <w:hideMark/>
          </w:tcPr>
          <w:p w14:paraId="296B6A4C"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2D2D45DF" w14:textId="77777777" w:rsidTr="001B13EC">
        <w:trPr>
          <w:cantSplit/>
        </w:trPr>
        <w:tc>
          <w:tcPr>
            <w:tcW w:w="1051" w:type="pct"/>
            <w:vMerge/>
            <w:tcBorders>
              <w:bottom w:val="single" w:sz="4" w:space="0" w:color="A6A6A6" w:themeColor="background1" w:themeShade="A6"/>
            </w:tcBorders>
            <w:shd w:val="clear" w:color="auto" w:fill="auto"/>
            <w:noWrap/>
          </w:tcPr>
          <w:p w14:paraId="71E92F19" w14:textId="77777777" w:rsidR="001B13EC" w:rsidRPr="00181EF3" w:rsidRDefault="001B13EC" w:rsidP="001B13EC">
            <w:pPr>
              <w:pStyle w:val="TableText"/>
              <w:rPr>
                <w:lang w:eastAsia="en-NZ"/>
              </w:rPr>
            </w:pPr>
          </w:p>
        </w:tc>
        <w:tc>
          <w:tcPr>
            <w:tcW w:w="615" w:type="pct"/>
            <w:tcBorders>
              <w:bottom w:val="single" w:sz="4" w:space="0" w:color="A6A6A6" w:themeColor="background1" w:themeShade="A6"/>
            </w:tcBorders>
            <w:shd w:val="clear" w:color="auto" w:fill="auto"/>
            <w:hideMark/>
          </w:tcPr>
          <w:p w14:paraId="19C0BD15" w14:textId="77777777" w:rsidR="001B13EC" w:rsidRPr="00181EF3" w:rsidRDefault="001B13EC" w:rsidP="001B13EC">
            <w:pPr>
              <w:pStyle w:val="TableText"/>
              <w:jc w:val="center"/>
              <w:rPr>
                <w:lang w:eastAsia="en-NZ"/>
              </w:rPr>
            </w:pPr>
            <w:r w:rsidRPr="00181EF3">
              <w:rPr>
                <w:lang w:eastAsia="en-NZ"/>
              </w:rPr>
              <w:t>H67</w:t>
            </w:r>
          </w:p>
        </w:tc>
        <w:tc>
          <w:tcPr>
            <w:tcW w:w="1749" w:type="pct"/>
            <w:tcBorders>
              <w:bottom w:val="single" w:sz="4" w:space="0" w:color="A6A6A6" w:themeColor="background1" w:themeShade="A6"/>
            </w:tcBorders>
            <w:shd w:val="clear" w:color="auto" w:fill="auto"/>
            <w:noWrap/>
            <w:hideMark/>
          </w:tcPr>
          <w:p w14:paraId="122290CB" w14:textId="77777777" w:rsidR="001B13EC" w:rsidRPr="00181EF3" w:rsidRDefault="001B13EC" w:rsidP="001B13EC">
            <w:pPr>
              <w:pStyle w:val="TableText"/>
              <w:rPr>
                <w:lang w:eastAsia="en-NZ"/>
              </w:rPr>
            </w:pPr>
            <w:r w:rsidRPr="00181EF3">
              <w:rPr>
                <w:lang w:eastAsia="en-NZ"/>
              </w:rPr>
              <w:t>Otitis media in diseases classified elsewhere</w:t>
            </w:r>
          </w:p>
        </w:tc>
        <w:tc>
          <w:tcPr>
            <w:tcW w:w="652" w:type="pct"/>
            <w:tcBorders>
              <w:bottom w:val="single" w:sz="4" w:space="0" w:color="A6A6A6" w:themeColor="background1" w:themeShade="A6"/>
            </w:tcBorders>
            <w:shd w:val="clear" w:color="auto" w:fill="auto"/>
            <w:noWrap/>
            <w:hideMark/>
          </w:tcPr>
          <w:p w14:paraId="53197E22" w14:textId="77777777" w:rsidR="001B13EC" w:rsidRPr="00181EF3" w:rsidRDefault="001B13EC" w:rsidP="001B13EC">
            <w:pPr>
              <w:pStyle w:val="TableText"/>
              <w:jc w:val="center"/>
              <w:rPr>
                <w:lang w:eastAsia="en-NZ"/>
              </w:rPr>
            </w:pPr>
            <w:r w:rsidRPr="00181EF3">
              <w:rPr>
                <w:lang w:eastAsia="en-NZ"/>
              </w:rPr>
              <w:t>All</w:t>
            </w:r>
          </w:p>
        </w:tc>
        <w:tc>
          <w:tcPr>
            <w:tcW w:w="933" w:type="pct"/>
            <w:tcBorders>
              <w:bottom w:val="single" w:sz="4" w:space="0" w:color="A6A6A6" w:themeColor="background1" w:themeShade="A6"/>
            </w:tcBorders>
            <w:shd w:val="clear" w:color="auto" w:fill="auto"/>
            <w:noWrap/>
            <w:hideMark/>
          </w:tcPr>
          <w:p w14:paraId="1408B5A5"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367F75AA" w14:textId="77777777" w:rsidTr="001B13EC">
        <w:trPr>
          <w:cantSplit/>
        </w:trPr>
        <w:tc>
          <w:tcPr>
            <w:tcW w:w="5000" w:type="pct"/>
            <w:gridSpan w:val="5"/>
            <w:tcBorders>
              <w:top w:val="single" w:sz="4" w:space="0" w:color="A6A6A6" w:themeColor="background1" w:themeShade="A6"/>
              <w:bottom w:val="nil"/>
            </w:tcBorders>
            <w:shd w:val="clear" w:color="auto" w:fill="F2F2F2" w:themeFill="background1" w:themeFillShade="F2"/>
            <w:noWrap/>
            <w:hideMark/>
          </w:tcPr>
          <w:p w14:paraId="3CDE4811" w14:textId="77777777" w:rsidR="001B13EC" w:rsidRPr="00181EF3" w:rsidRDefault="001B13EC" w:rsidP="001B13EC">
            <w:pPr>
              <w:pStyle w:val="TableText"/>
              <w:rPr>
                <w:lang w:eastAsia="en-NZ"/>
              </w:rPr>
            </w:pPr>
            <w:r w:rsidRPr="00181EF3">
              <w:rPr>
                <w:b/>
                <w:lang w:eastAsia="en-NZ"/>
              </w:rPr>
              <w:t>Vaccine-preventable disease</w:t>
            </w:r>
          </w:p>
        </w:tc>
      </w:tr>
      <w:tr w:rsidR="001B13EC" w:rsidRPr="00181EF3" w14:paraId="58673470" w14:textId="77777777" w:rsidTr="001B13EC">
        <w:trPr>
          <w:cantSplit/>
        </w:trPr>
        <w:tc>
          <w:tcPr>
            <w:tcW w:w="1051" w:type="pct"/>
            <w:vMerge w:val="restart"/>
            <w:tcBorders>
              <w:top w:val="nil"/>
            </w:tcBorders>
            <w:shd w:val="clear" w:color="auto" w:fill="auto"/>
            <w:noWrap/>
            <w:hideMark/>
          </w:tcPr>
          <w:p w14:paraId="52D1CB28" w14:textId="77777777" w:rsidR="001B13EC" w:rsidRPr="00181EF3" w:rsidRDefault="001B13EC" w:rsidP="001B13EC">
            <w:pPr>
              <w:pStyle w:val="TableText"/>
              <w:rPr>
                <w:lang w:eastAsia="en-NZ"/>
              </w:rPr>
            </w:pPr>
            <w:r w:rsidRPr="00181EF3">
              <w:rPr>
                <w:lang w:eastAsia="en-NZ"/>
              </w:rPr>
              <w:t>Vaccine-preventable MMR</w:t>
            </w:r>
          </w:p>
        </w:tc>
        <w:tc>
          <w:tcPr>
            <w:tcW w:w="615" w:type="pct"/>
            <w:tcBorders>
              <w:top w:val="nil"/>
            </w:tcBorders>
            <w:shd w:val="clear" w:color="auto" w:fill="auto"/>
            <w:hideMark/>
          </w:tcPr>
          <w:p w14:paraId="556B938C" w14:textId="77777777" w:rsidR="001B13EC" w:rsidRPr="00181EF3" w:rsidRDefault="001B13EC" w:rsidP="001B13EC">
            <w:pPr>
              <w:pStyle w:val="TableText"/>
              <w:jc w:val="center"/>
              <w:rPr>
                <w:lang w:eastAsia="en-NZ"/>
              </w:rPr>
            </w:pPr>
            <w:r w:rsidRPr="00181EF3">
              <w:rPr>
                <w:lang w:eastAsia="en-NZ"/>
              </w:rPr>
              <w:t>B05</w:t>
            </w:r>
          </w:p>
        </w:tc>
        <w:tc>
          <w:tcPr>
            <w:tcW w:w="1749" w:type="pct"/>
            <w:tcBorders>
              <w:top w:val="nil"/>
            </w:tcBorders>
            <w:shd w:val="clear" w:color="auto" w:fill="auto"/>
            <w:noWrap/>
            <w:hideMark/>
          </w:tcPr>
          <w:p w14:paraId="1B084FC8" w14:textId="77777777" w:rsidR="001B13EC" w:rsidRPr="00181EF3" w:rsidRDefault="001B13EC" w:rsidP="001B13EC">
            <w:pPr>
              <w:pStyle w:val="TableText"/>
              <w:rPr>
                <w:lang w:eastAsia="en-NZ"/>
              </w:rPr>
            </w:pPr>
            <w:r w:rsidRPr="00181EF3">
              <w:rPr>
                <w:lang w:eastAsia="en-NZ"/>
              </w:rPr>
              <w:t>Measles</w:t>
            </w:r>
          </w:p>
        </w:tc>
        <w:tc>
          <w:tcPr>
            <w:tcW w:w="652" w:type="pct"/>
            <w:tcBorders>
              <w:top w:val="nil"/>
            </w:tcBorders>
            <w:shd w:val="clear" w:color="auto" w:fill="auto"/>
            <w:noWrap/>
            <w:hideMark/>
          </w:tcPr>
          <w:p w14:paraId="28E9710B" w14:textId="77777777" w:rsidR="001B13EC" w:rsidRPr="00181EF3" w:rsidRDefault="001B13EC" w:rsidP="001B13EC">
            <w:pPr>
              <w:pStyle w:val="TableText"/>
              <w:jc w:val="center"/>
              <w:rPr>
                <w:lang w:eastAsia="en-NZ"/>
              </w:rPr>
            </w:pPr>
            <w:r w:rsidRPr="00181EF3">
              <w:rPr>
                <w:lang w:eastAsia="en-NZ"/>
              </w:rPr>
              <w:t>15 months to 14 years</w:t>
            </w:r>
          </w:p>
        </w:tc>
        <w:tc>
          <w:tcPr>
            <w:tcW w:w="933" w:type="pct"/>
            <w:tcBorders>
              <w:top w:val="nil"/>
            </w:tcBorders>
            <w:shd w:val="clear" w:color="auto" w:fill="auto"/>
            <w:noWrap/>
            <w:hideMark/>
          </w:tcPr>
          <w:p w14:paraId="1EA26E1E"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00A0E97F" w14:textId="77777777" w:rsidTr="001B13EC">
        <w:trPr>
          <w:cantSplit/>
        </w:trPr>
        <w:tc>
          <w:tcPr>
            <w:tcW w:w="1051" w:type="pct"/>
            <w:vMerge/>
            <w:shd w:val="clear" w:color="auto" w:fill="auto"/>
            <w:noWrap/>
          </w:tcPr>
          <w:p w14:paraId="0A5387BB" w14:textId="77777777" w:rsidR="001B13EC" w:rsidRPr="00181EF3" w:rsidRDefault="001B13EC" w:rsidP="001B13EC">
            <w:pPr>
              <w:pStyle w:val="TableText"/>
              <w:rPr>
                <w:lang w:eastAsia="en-NZ"/>
              </w:rPr>
            </w:pPr>
          </w:p>
        </w:tc>
        <w:tc>
          <w:tcPr>
            <w:tcW w:w="615" w:type="pct"/>
            <w:shd w:val="clear" w:color="auto" w:fill="auto"/>
            <w:hideMark/>
          </w:tcPr>
          <w:p w14:paraId="418AB8A5" w14:textId="77777777" w:rsidR="001B13EC" w:rsidRPr="00181EF3" w:rsidRDefault="001B13EC" w:rsidP="001B13EC">
            <w:pPr>
              <w:pStyle w:val="TableText"/>
              <w:jc w:val="center"/>
              <w:rPr>
                <w:lang w:eastAsia="en-NZ"/>
              </w:rPr>
            </w:pPr>
            <w:r w:rsidRPr="00181EF3">
              <w:rPr>
                <w:lang w:eastAsia="en-NZ"/>
              </w:rPr>
              <w:t>B06</w:t>
            </w:r>
          </w:p>
        </w:tc>
        <w:tc>
          <w:tcPr>
            <w:tcW w:w="1749" w:type="pct"/>
            <w:shd w:val="clear" w:color="auto" w:fill="auto"/>
            <w:noWrap/>
            <w:hideMark/>
          </w:tcPr>
          <w:p w14:paraId="01DA7620" w14:textId="77777777" w:rsidR="001B13EC" w:rsidRPr="00181EF3" w:rsidRDefault="001B13EC" w:rsidP="001B13EC">
            <w:pPr>
              <w:pStyle w:val="TableText"/>
              <w:rPr>
                <w:lang w:eastAsia="en-NZ"/>
              </w:rPr>
            </w:pPr>
            <w:r w:rsidRPr="00181EF3">
              <w:rPr>
                <w:lang w:eastAsia="en-NZ"/>
              </w:rPr>
              <w:t>Rubella [German measles]</w:t>
            </w:r>
          </w:p>
        </w:tc>
        <w:tc>
          <w:tcPr>
            <w:tcW w:w="652" w:type="pct"/>
            <w:shd w:val="clear" w:color="auto" w:fill="auto"/>
            <w:noWrap/>
            <w:hideMark/>
          </w:tcPr>
          <w:p w14:paraId="34F2577B" w14:textId="77777777" w:rsidR="001B13EC" w:rsidRPr="00181EF3" w:rsidRDefault="001B13EC" w:rsidP="001B13EC">
            <w:pPr>
              <w:pStyle w:val="TableText"/>
              <w:jc w:val="center"/>
              <w:rPr>
                <w:lang w:eastAsia="en-NZ"/>
              </w:rPr>
            </w:pPr>
            <w:r w:rsidRPr="00181EF3">
              <w:rPr>
                <w:lang w:eastAsia="en-NZ"/>
              </w:rPr>
              <w:t>15 months to 14 years</w:t>
            </w:r>
          </w:p>
        </w:tc>
        <w:tc>
          <w:tcPr>
            <w:tcW w:w="933" w:type="pct"/>
            <w:shd w:val="clear" w:color="auto" w:fill="auto"/>
            <w:noWrap/>
            <w:hideMark/>
          </w:tcPr>
          <w:p w14:paraId="5012E9D1"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2C5C0D20" w14:textId="77777777" w:rsidTr="001B13EC">
        <w:trPr>
          <w:cantSplit/>
        </w:trPr>
        <w:tc>
          <w:tcPr>
            <w:tcW w:w="1051" w:type="pct"/>
            <w:vMerge/>
            <w:shd w:val="clear" w:color="auto" w:fill="auto"/>
            <w:noWrap/>
          </w:tcPr>
          <w:p w14:paraId="382A5633" w14:textId="77777777" w:rsidR="001B13EC" w:rsidRPr="00181EF3" w:rsidRDefault="001B13EC" w:rsidP="001B13EC">
            <w:pPr>
              <w:pStyle w:val="TableText"/>
              <w:rPr>
                <w:lang w:eastAsia="en-NZ"/>
              </w:rPr>
            </w:pPr>
          </w:p>
        </w:tc>
        <w:tc>
          <w:tcPr>
            <w:tcW w:w="615" w:type="pct"/>
            <w:shd w:val="clear" w:color="auto" w:fill="auto"/>
            <w:noWrap/>
            <w:hideMark/>
          </w:tcPr>
          <w:p w14:paraId="4B39AAAF" w14:textId="77777777" w:rsidR="001B13EC" w:rsidRPr="00181EF3" w:rsidRDefault="001B13EC" w:rsidP="001B13EC">
            <w:pPr>
              <w:pStyle w:val="TableText"/>
              <w:jc w:val="center"/>
              <w:rPr>
                <w:lang w:eastAsia="en-NZ"/>
              </w:rPr>
            </w:pPr>
            <w:r w:rsidRPr="00181EF3">
              <w:rPr>
                <w:lang w:eastAsia="en-NZ"/>
              </w:rPr>
              <w:t>B26</w:t>
            </w:r>
          </w:p>
        </w:tc>
        <w:tc>
          <w:tcPr>
            <w:tcW w:w="1749" w:type="pct"/>
            <w:shd w:val="clear" w:color="auto" w:fill="auto"/>
            <w:noWrap/>
            <w:hideMark/>
          </w:tcPr>
          <w:p w14:paraId="7E55DDCD" w14:textId="77777777" w:rsidR="001B13EC" w:rsidRPr="00181EF3" w:rsidRDefault="001B13EC" w:rsidP="001B13EC">
            <w:pPr>
              <w:pStyle w:val="TableText"/>
              <w:rPr>
                <w:lang w:eastAsia="en-NZ"/>
              </w:rPr>
            </w:pPr>
            <w:r w:rsidRPr="00181EF3">
              <w:rPr>
                <w:lang w:eastAsia="en-NZ"/>
              </w:rPr>
              <w:t>Mumps</w:t>
            </w:r>
          </w:p>
        </w:tc>
        <w:tc>
          <w:tcPr>
            <w:tcW w:w="652" w:type="pct"/>
            <w:shd w:val="clear" w:color="auto" w:fill="auto"/>
            <w:noWrap/>
            <w:hideMark/>
          </w:tcPr>
          <w:p w14:paraId="3F2B06B2" w14:textId="77777777" w:rsidR="001B13EC" w:rsidRPr="00181EF3" w:rsidRDefault="001B13EC" w:rsidP="001B13EC">
            <w:pPr>
              <w:pStyle w:val="TableText"/>
              <w:jc w:val="center"/>
              <w:rPr>
                <w:lang w:eastAsia="en-NZ"/>
              </w:rPr>
            </w:pPr>
            <w:r w:rsidRPr="00181EF3">
              <w:rPr>
                <w:lang w:eastAsia="en-NZ"/>
              </w:rPr>
              <w:t>15 months to 14 years</w:t>
            </w:r>
          </w:p>
        </w:tc>
        <w:tc>
          <w:tcPr>
            <w:tcW w:w="933" w:type="pct"/>
            <w:shd w:val="clear" w:color="auto" w:fill="auto"/>
            <w:noWrap/>
            <w:hideMark/>
          </w:tcPr>
          <w:p w14:paraId="70ACB300"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00E1CE58" w14:textId="77777777" w:rsidTr="001B13EC">
        <w:trPr>
          <w:cantSplit/>
        </w:trPr>
        <w:tc>
          <w:tcPr>
            <w:tcW w:w="1051" w:type="pct"/>
            <w:vMerge/>
            <w:shd w:val="clear" w:color="auto" w:fill="auto"/>
            <w:noWrap/>
          </w:tcPr>
          <w:p w14:paraId="62703D7E" w14:textId="77777777" w:rsidR="001B13EC" w:rsidRPr="00181EF3" w:rsidRDefault="001B13EC" w:rsidP="001B13EC">
            <w:pPr>
              <w:pStyle w:val="TableText"/>
              <w:rPr>
                <w:lang w:eastAsia="en-NZ"/>
              </w:rPr>
            </w:pPr>
          </w:p>
        </w:tc>
        <w:tc>
          <w:tcPr>
            <w:tcW w:w="615" w:type="pct"/>
            <w:shd w:val="clear" w:color="auto" w:fill="auto"/>
            <w:hideMark/>
          </w:tcPr>
          <w:p w14:paraId="06F405CF" w14:textId="77777777" w:rsidR="001B13EC" w:rsidRPr="00181EF3" w:rsidRDefault="001B13EC" w:rsidP="001B13EC">
            <w:pPr>
              <w:pStyle w:val="TableText"/>
              <w:jc w:val="center"/>
              <w:rPr>
                <w:lang w:eastAsia="en-NZ"/>
              </w:rPr>
            </w:pPr>
            <w:r w:rsidRPr="00181EF3">
              <w:rPr>
                <w:lang w:eastAsia="en-NZ"/>
              </w:rPr>
              <w:t>P350</w:t>
            </w:r>
          </w:p>
        </w:tc>
        <w:tc>
          <w:tcPr>
            <w:tcW w:w="1749" w:type="pct"/>
            <w:shd w:val="clear" w:color="auto" w:fill="auto"/>
            <w:noWrap/>
            <w:hideMark/>
          </w:tcPr>
          <w:p w14:paraId="5A8F936A" w14:textId="77777777" w:rsidR="001B13EC" w:rsidRPr="00181EF3" w:rsidRDefault="001B13EC" w:rsidP="001B13EC">
            <w:pPr>
              <w:pStyle w:val="TableText"/>
              <w:rPr>
                <w:lang w:eastAsia="en-NZ"/>
              </w:rPr>
            </w:pPr>
            <w:r w:rsidRPr="00181EF3">
              <w:rPr>
                <w:lang w:eastAsia="en-NZ"/>
              </w:rPr>
              <w:t>Congenital rubella syndrome</w:t>
            </w:r>
          </w:p>
        </w:tc>
        <w:tc>
          <w:tcPr>
            <w:tcW w:w="652" w:type="pct"/>
            <w:shd w:val="clear" w:color="auto" w:fill="auto"/>
            <w:noWrap/>
            <w:hideMark/>
          </w:tcPr>
          <w:p w14:paraId="511732B5" w14:textId="77777777" w:rsidR="001B13EC" w:rsidRPr="00181EF3" w:rsidRDefault="001B13EC" w:rsidP="001B13EC">
            <w:pPr>
              <w:pStyle w:val="TableText"/>
              <w:jc w:val="center"/>
              <w:rPr>
                <w:lang w:eastAsia="en-NZ"/>
              </w:rPr>
            </w:pPr>
            <w:r w:rsidRPr="00181EF3">
              <w:rPr>
                <w:lang w:eastAsia="en-NZ"/>
              </w:rPr>
              <w:t>15 months to 14 years</w:t>
            </w:r>
          </w:p>
        </w:tc>
        <w:tc>
          <w:tcPr>
            <w:tcW w:w="933" w:type="pct"/>
            <w:shd w:val="clear" w:color="auto" w:fill="auto"/>
            <w:noWrap/>
            <w:hideMark/>
          </w:tcPr>
          <w:p w14:paraId="0201247F"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17FE16CA" w14:textId="77777777" w:rsidTr="001B13EC">
        <w:trPr>
          <w:cantSplit/>
        </w:trPr>
        <w:tc>
          <w:tcPr>
            <w:tcW w:w="1051" w:type="pct"/>
            <w:vMerge w:val="restart"/>
            <w:shd w:val="clear" w:color="auto" w:fill="auto"/>
            <w:noWrap/>
            <w:hideMark/>
          </w:tcPr>
          <w:p w14:paraId="71B5ADE8" w14:textId="77777777" w:rsidR="001B13EC" w:rsidRPr="00181EF3" w:rsidRDefault="001B13EC" w:rsidP="001B13EC">
            <w:pPr>
              <w:pStyle w:val="TableText"/>
              <w:rPr>
                <w:lang w:eastAsia="en-NZ"/>
              </w:rPr>
            </w:pPr>
            <w:r w:rsidRPr="00181EF3">
              <w:rPr>
                <w:lang w:eastAsia="en-NZ"/>
              </w:rPr>
              <w:t>Other vaccine preventable disease</w:t>
            </w:r>
          </w:p>
        </w:tc>
        <w:tc>
          <w:tcPr>
            <w:tcW w:w="615" w:type="pct"/>
            <w:shd w:val="clear" w:color="auto" w:fill="auto"/>
            <w:hideMark/>
          </w:tcPr>
          <w:p w14:paraId="61DD86FF" w14:textId="77777777" w:rsidR="001B13EC" w:rsidRPr="00181EF3" w:rsidRDefault="001B13EC" w:rsidP="001B13EC">
            <w:pPr>
              <w:pStyle w:val="TableText"/>
              <w:jc w:val="center"/>
              <w:rPr>
                <w:lang w:eastAsia="en-NZ"/>
              </w:rPr>
            </w:pPr>
            <w:r w:rsidRPr="00181EF3">
              <w:rPr>
                <w:lang w:eastAsia="en-NZ"/>
              </w:rPr>
              <w:t>A33</w:t>
            </w:r>
          </w:p>
        </w:tc>
        <w:tc>
          <w:tcPr>
            <w:tcW w:w="1749" w:type="pct"/>
            <w:shd w:val="clear" w:color="auto" w:fill="auto"/>
            <w:noWrap/>
            <w:hideMark/>
          </w:tcPr>
          <w:p w14:paraId="0A90DD0D" w14:textId="77777777" w:rsidR="001B13EC" w:rsidRPr="00181EF3" w:rsidRDefault="001B13EC" w:rsidP="001B13EC">
            <w:pPr>
              <w:pStyle w:val="TableText"/>
              <w:rPr>
                <w:lang w:eastAsia="en-NZ"/>
              </w:rPr>
            </w:pPr>
            <w:r w:rsidRPr="00181EF3">
              <w:rPr>
                <w:lang w:eastAsia="en-NZ"/>
              </w:rPr>
              <w:t>Tetanus neonatorum</w:t>
            </w:r>
          </w:p>
        </w:tc>
        <w:tc>
          <w:tcPr>
            <w:tcW w:w="652" w:type="pct"/>
            <w:shd w:val="clear" w:color="auto" w:fill="auto"/>
            <w:noWrap/>
            <w:hideMark/>
          </w:tcPr>
          <w:p w14:paraId="727CEB39" w14:textId="77777777" w:rsidR="001B13EC" w:rsidRPr="00181EF3" w:rsidRDefault="001B13EC" w:rsidP="001B13EC">
            <w:pPr>
              <w:pStyle w:val="TableText"/>
              <w:jc w:val="center"/>
              <w:rPr>
                <w:lang w:eastAsia="en-NZ"/>
              </w:rPr>
            </w:pPr>
            <w:r w:rsidRPr="00181EF3">
              <w:rPr>
                <w:lang w:eastAsia="en-NZ"/>
              </w:rPr>
              <w:t>6 months to 14 years</w:t>
            </w:r>
          </w:p>
        </w:tc>
        <w:tc>
          <w:tcPr>
            <w:tcW w:w="933" w:type="pct"/>
            <w:shd w:val="clear" w:color="auto" w:fill="auto"/>
            <w:noWrap/>
            <w:hideMark/>
          </w:tcPr>
          <w:p w14:paraId="3D58F00E"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1E04685F" w14:textId="77777777" w:rsidTr="001B13EC">
        <w:trPr>
          <w:cantSplit/>
        </w:trPr>
        <w:tc>
          <w:tcPr>
            <w:tcW w:w="1051" w:type="pct"/>
            <w:vMerge/>
            <w:shd w:val="clear" w:color="auto" w:fill="auto"/>
            <w:noWrap/>
          </w:tcPr>
          <w:p w14:paraId="09BD04B9" w14:textId="77777777" w:rsidR="001B13EC" w:rsidRPr="00181EF3" w:rsidRDefault="001B13EC" w:rsidP="001B13EC">
            <w:pPr>
              <w:pStyle w:val="TableText"/>
              <w:rPr>
                <w:lang w:eastAsia="en-NZ"/>
              </w:rPr>
            </w:pPr>
          </w:p>
        </w:tc>
        <w:tc>
          <w:tcPr>
            <w:tcW w:w="615" w:type="pct"/>
            <w:shd w:val="clear" w:color="auto" w:fill="auto"/>
            <w:hideMark/>
          </w:tcPr>
          <w:p w14:paraId="336AEFAB" w14:textId="77777777" w:rsidR="001B13EC" w:rsidRPr="00181EF3" w:rsidRDefault="001B13EC" w:rsidP="001B13EC">
            <w:pPr>
              <w:pStyle w:val="TableText"/>
              <w:jc w:val="center"/>
              <w:rPr>
                <w:lang w:eastAsia="en-NZ"/>
              </w:rPr>
            </w:pPr>
            <w:r w:rsidRPr="00181EF3">
              <w:rPr>
                <w:lang w:eastAsia="en-NZ"/>
              </w:rPr>
              <w:t>A34</w:t>
            </w:r>
          </w:p>
        </w:tc>
        <w:tc>
          <w:tcPr>
            <w:tcW w:w="1749" w:type="pct"/>
            <w:shd w:val="clear" w:color="auto" w:fill="auto"/>
            <w:noWrap/>
            <w:hideMark/>
          </w:tcPr>
          <w:p w14:paraId="28795162" w14:textId="77777777" w:rsidR="001B13EC" w:rsidRPr="00181EF3" w:rsidRDefault="001B13EC" w:rsidP="001B13EC">
            <w:pPr>
              <w:pStyle w:val="TableText"/>
              <w:rPr>
                <w:lang w:eastAsia="en-NZ"/>
              </w:rPr>
            </w:pPr>
            <w:r w:rsidRPr="00181EF3">
              <w:rPr>
                <w:lang w:eastAsia="en-NZ"/>
              </w:rPr>
              <w:t>Obstetrical tetanus</w:t>
            </w:r>
          </w:p>
        </w:tc>
        <w:tc>
          <w:tcPr>
            <w:tcW w:w="652" w:type="pct"/>
            <w:shd w:val="clear" w:color="auto" w:fill="auto"/>
            <w:noWrap/>
            <w:hideMark/>
          </w:tcPr>
          <w:p w14:paraId="5133E368" w14:textId="77777777" w:rsidR="001B13EC" w:rsidRPr="00181EF3" w:rsidRDefault="001B13EC" w:rsidP="001B13EC">
            <w:pPr>
              <w:pStyle w:val="TableText"/>
              <w:jc w:val="center"/>
              <w:rPr>
                <w:lang w:eastAsia="en-NZ"/>
              </w:rPr>
            </w:pPr>
            <w:r w:rsidRPr="00181EF3">
              <w:rPr>
                <w:lang w:eastAsia="en-NZ"/>
              </w:rPr>
              <w:t>6 months to 14 years</w:t>
            </w:r>
          </w:p>
        </w:tc>
        <w:tc>
          <w:tcPr>
            <w:tcW w:w="933" w:type="pct"/>
            <w:shd w:val="clear" w:color="auto" w:fill="auto"/>
            <w:noWrap/>
            <w:hideMark/>
          </w:tcPr>
          <w:p w14:paraId="4EA7FF92"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07C518D9" w14:textId="77777777" w:rsidTr="001B13EC">
        <w:trPr>
          <w:cantSplit/>
        </w:trPr>
        <w:tc>
          <w:tcPr>
            <w:tcW w:w="1051" w:type="pct"/>
            <w:vMerge/>
            <w:shd w:val="clear" w:color="auto" w:fill="auto"/>
            <w:noWrap/>
          </w:tcPr>
          <w:p w14:paraId="2A24C04E" w14:textId="77777777" w:rsidR="001B13EC" w:rsidRPr="00181EF3" w:rsidRDefault="001B13EC" w:rsidP="001B13EC">
            <w:pPr>
              <w:pStyle w:val="TableText"/>
              <w:rPr>
                <w:lang w:eastAsia="en-NZ"/>
              </w:rPr>
            </w:pPr>
          </w:p>
        </w:tc>
        <w:tc>
          <w:tcPr>
            <w:tcW w:w="615" w:type="pct"/>
            <w:shd w:val="clear" w:color="auto" w:fill="auto"/>
            <w:hideMark/>
          </w:tcPr>
          <w:p w14:paraId="5EF2483A" w14:textId="77777777" w:rsidR="001B13EC" w:rsidRPr="00181EF3" w:rsidRDefault="001B13EC" w:rsidP="001B13EC">
            <w:pPr>
              <w:pStyle w:val="TableText"/>
              <w:jc w:val="center"/>
              <w:rPr>
                <w:lang w:eastAsia="en-NZ"/>
              </w:rPr>
            </w:pPr>
            <w:r w:rsidRPr="00181EF3">
              <w:rPr>
                <w:lang w:eastAsia="en-NZ"/>
              </w:rPr>
              <w:t>A35</w:t>
            </w:r>
          </w:p>
        </w:tc>
        <w:tc>
          <w:tcPr>
            <w:tcW w:w="1749" w:type="pct"/>
            <w:shd w:val="clear" w:color="auto" w:fill="auto"/>
            <w:noWrap/>
            <w:hideMark/>
          </w:tcPr>
          <w:p w14:paraId="0FC9B563" w14:textId="77777777" w:rsidR="001B13EC" w:rsidRPr="00181EF3" w:rsidRDefault="001B13EC" w:rsidP="001B13EC">
            <w:pPr>
              <w:pStyle w:val="TableText"/>
              <w:rPr>
                <w:lang w:eastAsia="en-NZ"/>
              </w:rPr>
            </w:pPr>
            <w:r w:rsidRPr="00181EF3">
              <w:rPr>
                <w:lang w:eastAsia="en-NZ"/>
              </w:rPr>
              <w:t>Other tetanus</w:t>
            </w:r>
          </w:p>
        </w:tc>
        <w:tc>
          <w:tcPr>
            <w:tcW w:w="652" w:type="pct"/>
            <w:shd w:val="clear" w:color="auto" w:fill="auto"/>
            <w:noWrap/>
            <w:hideMark/>
          </w:tcPr>
          <w:p w14:paraId="4840420C" w14:textId="77777777" w:rsidR="001B13EC" w:rsidRPr="00181EF3" w:rsidRDefault="001B13EC" w:rsidP="001B13EC">
            <w:pPr>
              <w:pStyle w:val="TableText"/>
              <w:jc w:val="center"/>
              <w:rPr>
                <w:lang w:eastAsia="en-NZ"/>
              </w:rPr>
            </w:pPr>
            <w:r w:rsidRPr="00181EF3">
              <w:rPr>
                <w:lang w:eastAsia="en-NZ"/>
              </w:rPr>
              <w:t>6 months to 14 years</w:t>
            </w:r>
          </w:p>
        </w:tc>
        <w:tc>
          <w:tcPr>
            <w:tcW w:w="933" w:type="pct"/>
            <w:shd w:val="clear" w:color="auto" w:fill="auto"/>
            <w:noWrap/>
            <w:hideMark/>
          </w:tcPr>
          <w:p w14:paraId="6432B135"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04ED6423" w14:textId="77777777" w:rsidTr="001B13EC">
        <w:trPr>
          <w:cantSplit/>
        </w:trPr>
        <w:tc>
          <w:tcPr>
            <w:tcW w:w="1051" w:type="pct"/>
            <w:vMerge/>
            <w:shd w:val="clear" w:color="auto" w:fill="auto"/>
            <w:noWrap/>
          </w:tcPr>
          <w:p w14:paraId="2F56E119" w14:textId="77777777" w:rsidR="001B13EC" w:rsidRPr="00181EF3" w:rsidRDefault="001B13EC" w:rsidP="001B13EC">
            <w:pPr>
              <w:pStyle w:val="TableText"/>
              <w:rPr>
                <w:lang w:eastAsia="en-NZ"/>
              </w:rPr>
            </w:pPr>
          </w:p>
        </w:tc>
        <w:tc>
          <w:tcPr>
            <w:tcW w:w="615" w:type="pct"/>
            <w:shd w:val="clear" w:color="auto" w:fill="auto"/>
            <w:hideMark/>
          </w:tcPr>
          <w:p w14:paraId="330652A0" w14:textId="77777777" w:rsidR="001B13EC" w:rsidRPr="00181EF3" w:rsidRDefault="001B13EC" w:rsidP="001B13EC">
            <w:pPr>
              <w:pStyle w:val="TableText"/>
              <w:jc w:val="center"/>
              <w:rPr>
                <w:lang w:eastAsia="en-NZ"/>
              </w:rPr>
            </w:pPr>
            <w:r w:rsidRPr="00181EF3">
              <w:rPr>
                <w:lang w:eastAsia="en-NZ"/>
              </w:rPr>
              <w:t>A36</w:t>
            </w:r>
          </w:p>
        </w:tc>
        <w:tc>
          <w:tcPr>
            <w:tcW w:w="1749" w:type="pct"/>
            <w:shd w:val="clear" w:color="auto" w:fill="auto"/>
            <w:noWrap/>
            <w:hideMark/>
          </w:tcPr>
          <w:p w14:paraId="149C9619" w14:textId="77777777" w:rsidR="001B13EC" w:rsidRPr="00181EF3" w:rsidRDefault="001B13EC" w:rsidP="001B13EC">
            <w:pPr>
              <w:pStyle w:val="TableText"/>
              <w:rPr>
                <w:lang w:eastAsia="en-NZ"/>
              </w:rPr>
            </w:pPr>
            <w:r w:rsidRPr="00181EF3">
              <w:rPr>
                <w:lang w:eastAsia="en-NZ"/>
              </w:rPr>
              <w:t>Diphtheria</w:t>
            </w:r>
          </w:p>
        </w:tc>
        <w:tc>
          <w:tcPr>
            <w:tcW w:w="652" w:type="pct"/>
            <w:shd w:val="clear" w:color="auto" w:fill="auto"/>
            <w:noWrap/>
            <w:hideMark/>
          </w:tcPr>
          <w:p w14:paraId="56370BFB" w14:textId="77777777" w:rsidR="001B13EC" w:rsidRPr="00181EF3" w:rsidRDefault="001B13EC" w:rsidP="001B13EC">
            <w:pPr>
              <w:pStyle w:val="TableText"/>
              <w:jc w:val="center"/>
              <w:rPr>
                <w:lang w:eastAsia="en-NZ"/>
              </w:rPr>
            </w:pPr>
            <w:r w:rsidRPr="00181EF3">
              <w:rPr>
                <w:lang w:eastAsia="en-NZ"/>
              </w:rPr>
              <w:t>6 months to 14 years</w:t>
            </w:r>
          </w:p>
        </w:tc>
        <w:tc>
          <w:tcPr>
            <w:tcW w:w="933" w:type="pct"/>
            <w:shd w:val="clear" w:color="auto" w:fill="auto"/>
            <w:noWrap/>
            <w:hideMark/>
          </w:tcPr>
          <w:p w14:paraId="18D3804A"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4918405D" w14:textId="77777777" w:rsidTr="001B13EC">
        <w:trPr>
          <w:cantSplit/>
        </w:trPr>
        <w:tc>
          <w:tcPr>
            <w:tcW w:w="1051" w:type="pct"/>
            <w:vMerge/>
            <w:shd w:val="clear" w:color="auto" w:fill="auto"/>
            <w:noWrap/>
          </w:tcPr>
          <w:p w14:paraId="2227509C" w14:textId="77777777" w:rsidR="001B13EC" w:rsidRPr="00181EF3" w:rsidRDefault="001B13EC" w:rsidP="001B13EC">
            <w:pPr>
              <w:pStyle w:val="TableText"/>
              <w:rPr>
                <w:lang w:eastAsia="en-NZ"/>
              </w:rPr>
            </w:pPr>
          </w:p>
        </w:tc>
        <w:tc>
          <w:tcPr>
            <w:tcW w:w="615" w:type="pct"/>
            <w:shd w:val="clear" w:color="auto" w:fill="auto"/>
            <w:hideMark/>
          </w:tcPr>
          <w:p w14:paraId="594C257F" w14:textId="77777777" w:rsidR="001B13EC" w:rsidRPr="00181EF3" w:rsidRDefault="001B13EC" w:rsidP="001B13EC">
            <w:pPr>
              <w:pStyle w:val="TableText"/>
              <w:jc w:val="center"/>
              <w:rPr>
                <w:lang w:eastAsia="en-NZ"/>
              </w:rPr>
            </w:pPr>
            <w:r w:rsidRPr="00181EF3">
              <w:rPr>
                <w:lang w:eastAsia="en-NZ"/>
              </w:rPr>
              <w:t>A37</w:t>
            </w:r>
          </w:p>
        </w:tc>
        <w:tc>
          <w:tcPr>
            <w:tcW w:w="1749" w:type="pct"/>
            <w:shd w:val="clear" w:color="auto" w:fill="auto"/>
            <w:noWrap/>
            <w:hideMark/>
          </w:tcPr>
          <w:p w14:paraId="59475526" w14:textId="77777777" w:rsidR="001B13EC" w:rsidRPr="00181EF3" w:rsidRDefault="001B13EC" w:rsidP="001B13EC">
            <w:pPr>
              <w:pStyle w:val="TableText"/>
              <w:rPr>
                <w:lang w:eastAsia="en-NZ"/>
              </w:rPr>
            </w:pPr>
            <w:r w:rsidRPr="00181EF3">
              <w:rPr>
                <w:lang w:eastAsia="en-NZ"/>
              </w:rPr>
              <w:t>Whooping cough</w:t>
            </w:r>
          </w:p>
        </w:tc>
        <w:tc>
          <w:tcPr>
            <w:tcW w:w="652" w:type="pct"/>
            <w:shd w:val="clear" w:color="auto" w:fill="auto"/>
            <w:noWrap/>
            <w:hideMark/>
          </w:tcPr>
          <w:p w14:paraId="209A6EBE" w14:textId="77777777" w:rsidR="001B13EC" w:rsidRPr="00181EF3" w:rsidRDefault="001B13EC" w:rsidP="001B13EC">
            <w:pPr>
              <w:pStyle w:val="TableText"/>
              <w:jc w:val="center"/>
              <w:rPr>
                <w:lang w:eastAsia="en-NZ"/>
              </w:rPr>
            </w:pPr>
            <w:r w:rsidRPr="00181EF3">
              <w:rPr>
                <w:lang w:eastAsia="en-NZ"/>
              </w:rPr>
              <w:t>6 months to 14 years</w:t>
            </w:r>
          </w:p>
        </w:tc>
        <w:tc>
          <w:tcPr>
            <w:tcW w:w="933" w:type="pct"/>
            <w:shd w:val="clear" w:color="auto" w:fill="auto"/>
            <w:noWrap/>
            <w:hideMark/>
          </w:tcPr>
          <w:p w14:paraId="5F9743FE"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01E74652" w14:textId="77777777" w:rsidTr="001B13EC">
        <w:trPr>
          <w:cantSplit/>
        </w:trPr>
        <w:tc>
          <w:tcPr>
            <w:tcW w:w="1051" w:type="pct"/>
            <w:vMerge/>
            <w:shd w:val="clear" w:color="auto" w:fill="auto"/>
            <w:noWrap/>
          </w:tcPr>
          <w:p w14:paraId="426A0880" w14:textId="77777777" w:rsidR="001B13EC" w:rsidRPr="00181EF3" w:rsidRDefault="001B13EC" w:rsidP="001B13EC">
            <w:pPr>
              <w:pStyle w:val="TableText"/>
              <w:rPr>
                <w:lang w:eastAsia="en-NZ"/>
              </w:rPr>
            </w:pPr>
          </w:p>
        </w:tc>
        <w:tc>
          <w:tcPr>
            <w:tcW w:w="615" w:type="pct"/>
            <w:shd w:val="clear" w:color="auto" w:fill="auto"/>
            <w:hideMark/>
          </w:tcPr>
          <w:p w14:paraId="78D4F2BC" w14:textId="77777777" w:rsidR="001B13EC" w:rsidRPr="00181EF3" w:rsidRDefault="001B13EC" w:rsidP="001B13EC">
            <w:pPr>
              <w:pStyle w:val="TableText"/>
              <w:jc w:val="center"/>
              <w:rPr>
                <w:lang w:eastAsia="en-NZ"/>
              </w:rPr>
            </w:pPr>
            <w:r w:rsidRPr="00181EF3">
              <w:rPr>
                <w:lang w:eastAsia="en-NZ"/>
              </w:rPr>
              <w:t>A80</w:t>
            </w:r>
          </w:p>
        </w:tc>
        <w:tc>
          <w:tcPr>
            <w:tcW w:w="1749" w:type="pct"/>
            <w:shd w:val="clear" w:color="auto" w:fill="auto"/>
            <w:noWrap/>
            <w:hideMark/>
          </w:tcPr>
          <w:p w14:paraId="1C710724" w14:textId="77777777" w:rsidR="001B13EC" w:rsidRPr="00181EF3" w:rsidRDefault="001B13EC" w:rsidP="001B13EC">
            <w:pPr>
              <w:pStyle w:val="TableText"/>
              <w:rPr>
                <w:lang w:eastAsia="en-NZ"/>
              </w:rPr>
            </w:pPr>
            <w:r w:rsidRPr="00181EF3">
              <w:rPr>
                <w:lang w:eastAsia="en-NZ"/>
              </w:rPr>
              <w:t>Acute poliomyelitis</w:t>
            </w:r>
          </w:p>
        </w:tc>
        <w:tc>
          <w:tcPr>
            <w:tcW w:w="652" w:type="pct"/>
            <w:shd w:val="clear" w:color="auto" w:fill="auto"/>
            <w:noWrap/>
            <w:hideMark/>
          </w:tcPr>
          <w:p w14:paraId="372BB8D6" w14:textId="77777777" w:rsidR="001B13EC" w:rsidRPr="00181EF3" w:rsidRDefault="001B13EC" w:rsidP="001B13EC">
            <w:pPr>
              <w:pStyle w:val="TableText"/>
              <w:jc w:val="center"/>
              <w:rPr>
                <w:lang w:eastAsia="en-NZ"/>
              </w:rPr>
            </w:pPr>
            <w:r w:rsidRPr="00181EF3">
              <w:rPr>
                <w:lang w:eastAsia="en-NZ"/>
              </w:rPr>
              <w:t>6 months to 14 years</w:t>
            </w:r>
          </w:p>
        </w:tc>
        <w:tc>
          <w:tcPr>
            <w:tcW w:w="933" w:type="pct"/>
            <w:shd w:val="clear" w:color="auto" w:fill="auto"/>
            <w:noWrap/>
            <w:hideMark/>
          </w:tcPr>
          <w:p w14:paraId="235EAB88"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7C6D8D8F" w14:textId="77777777" w:rsidTr="001B13EC">
        <w:trPr>
          <w:cantSplit/>
        </w:trPr>
        <w:tc>
          <w:tcPr>
            <w:tcW w:w="1051" w:type="pct"/>
            <w:vMerge/>
            <w:shd w:val="clear" w:color="auto" w:fill="auto"/>
            <w:noWrap/>
          </w:tcPr>
          <w:p w14:paraId="208156F6" w14:textId="77777777" w:rsidR="001B13EC" w:rsidRPr="00181EF3" w:rsidRDefault="001B13EC" w:rsidP="001B13EC">
            <w:pPr>
              <w:pStyle w:val="TableText"/>
              <w:rPr>
                <w:lang w:eastAsia="en-NZ"/>
              </w:rPr>
            </w:pPr>
          </w:p>
        </w:tc>
        <w:tc>
          <w:tcPr>
            <w:tcW w:w="615" w:type="pct"/>
            <w:shd w:val="clear" w:color="auto" w:fill="auto"/>
            <w:hideMark/>
          </w:tcPr>
          <w:p w14:paraId="1CF1E46D" w14:textId="77777777" w:rsidR="001B13EC" w:rsidRPr="00181EF3" w:rsidRDefault="001B13EC" w:rsidP="001B13EC">
            <w:pPr>
              <w:pStyle w:val="TableText"/>
              <w:jc w:val="center"/>
              <w:rPr>
                <w:lang w:eastAsia="en-NZ"/>
              </w:rPr>
            </w:pPr>
            <w:r w:rsidRPr="00181EF3">
              <w:rPr>
                <w:lang w:eastAsia="en-NZ"/>
              </w:rPr>
              <w:t>B16</w:t>
            </w:r>
          </w:p>
        </w:tc>
        <w:tc>
          <w:tcPr>
            <w:tcW w:w="1749" w:type="pct"/>
            <w:shd w:val="clear" w:color="auto" w:fill="auto"/>
            <w:noWrap/>
            <w:hideMark/>
          </w:tcPr>
          <w:p w14:paraId="06D4F7E7" w14:textId="77777777" w:rsidR="001B13EC" w:rsidRPr="00181EF3" w:rsidRDefault="001B13EC" w:rsidP="001B13EC">
            <w:pPr>
              <w:pStyle w:val="TableText"/>
              <w:rPr>
                <w:lang w:eastAsia="en-NZ"/>
              </w:rPr>
            </w:pPr>
            <w:r w:rsidRPr="00181EF3">
              <w:rPr>
                <w:lang w:eastAsia="en-NZ"/>
              </w:rPr>
              <w:t>Acute hepatitis B</w:t>
            </w:r>
          </w:p>
        </w:tc>
        <w:tc>
          <w:tcPr>
            <w:tcW w:w="652" w:type="pct"/>
            <w:shd w:val="clear" w:color="auto" w:fill="auto"/>
            <w:noWrap/>
            <w:hideMark/>
          </w:tcPr>
          <w:p w14:paraId="33370547" w14:textId="77777777" w:rsidR="001B13EC" w:rsidRPr="00181EF3" w:rsidRDefault="001B13EC" w:rsidP="001B13EC">
            <w:pPr>
              <w:pStyle w:val="TableText"/>
              <w:jc w:val="center"/>
              <w:rPr>
                <w:lang w:eastAsia="en-NZ"/>
              </w:rPr>
            </w:pPr>
            <w:r w:rsidRPr="00181EF3">
              <w:rPr>
                <w:lang w:eastAsia="en-NZ"/>
              </w:rPr>
              <w:t>6 months to 14 years</w:t>
            </w:r>
          </w:p>
        </w:tc>
        <w:tc>
          <w:tcPr>
            <w:tcW w:w="933" w:type="pct"/>
            <w:shd w:val="clear" w:color="auto" w:fill="auto"/>
            <w:noWrap/>
            <w:hideMark/>
          </w:tcPr>
          <w:p w14:paraId="60D23CA6"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1C635886" w14:textId="77777777" w:rsidTr="001B13EC">
        <w:trPr>
          <w:cantSplit/>
        </w:trPr>
        <w:tc>
          <w:tcPr>
            <w:tcW w:w="1051" w:type="pct"/>
            <w:vMerge/>
            <w:shd w:val="clear" w:color="auto" w:fill="auto"/>
            <w:noWrap/>
          </w:tcPr>
          <w:p w14:paraId="11DC9E50" w14:textId="77777777" w:rsidR="001B13EC" w:rsidRPr="00181EF3" w:rsidRDefault="001B13EC" w:rsidP="001B13EC">
            <w:pPr>
              <w:pStyle w:val="TableText"/>
              <w:rPr>
                <w:lang w:eastAsia="en-NZ"/>
              </w:rPr>
            </w:pPr>
          </w:p>
        </w:tc>
        <w:tc>
          <w:tcPr>
            <w:tcW w:w="615" w:type="pct"/>
            <w:shd w:val="clear" w:color="auto" w:fill="auto"/>
            <w:hideMark/>
          </w:tcPr>
          <w:p w14:paraId="57B2242D" w14:textId="77777777" w:rsidR="001B13EC" w:rsidRPr="00181EF3" w:rsidRDefault="001B13EC" w:rsidP="001B13EC">
            <w:pPr>
              <w:pStyle w:val="TableText"/>
              <w:jc w:val="center"/>
              <w:rPr>
                <w:lang w:eastAsia="en-NZ"/>
              </w:rPr>
            </w:pPr>
            <w:r w:rsidRPr="00181EF3">
              <w:rPr>
                <w:lang w:eastAsia="en-NZ"/>
              </w:rPr>
              <w:t>B18</w:t>
            </w:r>
          </w:p>
        </w:tc>
        <w:tc>
          <w:tcPr>
            <w:tcW w:w="1749" w:type="pct"/>
            <w:shd w:val="clear" w:color="auto" w:fill="auto"/>
            <w:noWrap/>
            <w:hideMark/>
          </w:tcPr>
          <w:p w14:paraId="6822A644" w14:textId="77777777" w:rsidR="001B13EC" w:rsidRPr="00181EF3" w:rsidRDefault="001B13EC" w:rsidP="001B13EC">
            <w:pPr>
              <w:pStyle w:val="TableText"/>
              <w:rPr>
                <w:lang w:eastAsia="en-NZ"/>
              </w:rPr>
            </w:pPr>
            <w:r w:rsidRPr="00181EF3">
              <w:rPr>
                <w:lang w:eastAsia="en-NZ"/>
              </w:rPr>
              <w:t>Chronic viral hepatitis</w:t>
            </w:r>
          </w:p>
        </w:tc>
        <w:tc>
          <w:tcPr>
            <w:tcW w:w="652" w:type="pct"/>
            <w:shd w:val="clear" w:color="auto" w:fill="auto"/>
            <w:noWrap/>
            <w:hideMark/>
          </w:tcPr>
          <w:p w14:paraId="14516954" w14:textId="77777777" w:rsidR="001B13EC" w:rsidRPr="00181EF3" w:rsidRDefault="001B13EC" w:rsidP="001B13EC">
            <w:pPr>
              <w:pStyle w:val="TableText"/>
              <w:jc w:val="center"/>
              <w:rPr>
                <w:lang w:eastAsia="en-NZ"/>
              </w:rPr>
            </w:pPr>
            <w:r w:rsidRPr="00181EF3">
              <w:rPr>
                <w:lang w:eastAsia="en-NZ"/>
              </w:rPr>
              <w:t>6 months to 14 years</w:t>
            </w:r>
          </w:p>
        </w:tc>
        <w:tc>
          <w:tcPr>
            <w:tcW w:w="933" w:type="pct"/>
            <w:shd w:val="clear" w:color="auto" w:fill="auto"/>
            <w:noWrap/>
            <w:hideMark/>
          </w:tcPr>
          <w:p w14:paraId="12428134"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4684CE8E" w14:textId="77777777" w:rsidTr="001B13EC">
        <w:trPr>
          <w:cantSplit/>
        </w:trPr>
        <w:tc>
          <w:tcPr>
            <w:tcW w:w="1051" w:type="pct"/>
            <w:vMerge/>
            <w:tcBorders>
              <w:bottom w:val="single" w:sz="4" w:space="0" w:color="A6A6A6" w:themeColor="background1" w:themeShade="A6"/>
            </w:tcBorders>
            <w:shd w:val="clear" w:color="auto" w:fill="auto"/>
            <w:noWrap/>
          </w:tcPr>
          <w:p w14:paraId="2A47BBBC" w14:textId="77777777" w:rsidR="001B13EC" w:rsidRPr="00181EF3" w:rsidRDefault="001B13EC" w:rsidP="001B13EC">
            <w:pPr>
              <w:pStyle w:val="TableText"/>
              <w:rPr>
                <w:lang w:eastAsia="en-NZ"/>
              </w:rPr>
            </w:pPr>
          </w:p>
        </w:tc>
        <w:tc>
          <w:tcPr>
            <w:tcW w:w="615" w:type="pct"/>
            <w:tcBorders>
              <w:bottom w:val="single" w:sz="4" w:space="0" w:color="A6A6A6" w:themeColor="background1" w:themeShade="A6"/>
            </w:tcBorders>
            <w:shd w:val="clear" w:color="auto" w:fill="auto"/>
            <w:hideMark/>
          </w:tcPr>
          <w:p w14:paraId="1CF9F7D6" w14:textId="77777777" w:rsidR="001B13EC" w:rsidRPr="00181EF3" w:rsidRDefault="001B13EC" w:rsidP="001B13EC">
            <w:pPr>
              <w:pStyle w:val="TableText"/>
              <w:jc w:val="center"/>
              <w:rPr>
                <w:lang w:eastAsia="en-NZ"/>
              </w:rPr>
            </w:pPr>
            <w:r w:rsidRPr="00181EF3">
              <w:rPr>
                <w:lang w:eastAsia="en-NZ"/>
              </w:rPr>
              <w:t>A40</w:t>
            </w:r>
            <w:r>
              <w:rPr>
                <w:lang w:eastAsia="en-NZ"/>
              </w:rPr>
              <w:t>.</w:t>
            </w:r>
            <w:r w:rsidRPr="00181EF3">
              <w:rPr>
                <w:lang w:eastAsia="en-NZ"/>
              </w:rPr>
              <w:t>3</w:t>
            </w:r>
          </w:p>
        </w:tc>
        <w:tc>
          <w:tcPr>
            <w:tcW w:w="1749" w:type="pct"/>
            <w:tcBorders>
              <w:bottom w:val="single" w:sz="4" w:space="0" w:color="A6A6A6" w:themeColor="background1" w:themeShade="A6"/>
            </w:tcBorders>
            <w:shd w:val="clear" w:color="auto" w:fill="auto"/>
            <w:noWrap/>
            <w:hideMark/>
          </w:tcPr>
          <w:p w14:paraId="3CA58CBB" w14:textId="77777777" w:rsidR="001B13EC" w:rsidRPr="00181EF3" w:rsidRDefault="001B13EC" w:rsidP="001B13EC">
            <w:pPr>
              <w:pStyle w:val="TableText"/>
              <w:rPr>
                <w:lang w:eastAsia="en-NZ"/>
              </w:rPr>
            </w:pPr>
            <w:r w:rsidRPr="00181EF3">
              <w:rPr>
                <w:lang w:eastAsia="en-NZ"/>
              </w:rPr>
              <w:t>Sepsis due to Streptococcus pneumoniae</w:t>
            </w:r>
          </w:p>
        </w:tc>
        <w:tc>
          <w:tcPr>
            <w:tcW w:w="652" w:type="pct"/>
            <w:tcBorders>
              <w:bottom w:val="single" w:sz="4" w:space="0" w:color="A6A6A6" w:themeColor="background1" w:themeShade="A6"/>
            </w:tcBorders>
            <w:shd w:val="clear" w:color="auto" w:fill="auto"/>
            <w:noWrap/>
            <w:hideMark/>
          </w:tcPr>
          <w:p w14:paraId="3614C06B" w14:textId="77777777" w:rsidR="001B13EC" w:rsidRPr="00181EF3" w:rsidRDefault="001B13EC" w:rsidP="001B13EC">
            <w:pPr>
              <w:pStyle w:val="TableText"/>
              <w:jc w:val="center"/>
              <w:rPr>
                <w:lang w:eastAsia="en-NZ"/>
              </w:rPr>
            </w:pPr>
            <w:r w:rsidRPr="00181EF3">
              <w:rPr>
                <w:lang w:eastAsia="en-NZ"/>
              </w:rPr>
              <w:t>6 months to 14 years</w:t>
            </w:r>
          </w:p>
        </w:tc>
        <w:tc>
          <w:tcPr>
            <w:tcW w:w="933" w:type="pct"/>
            <w:tcBorders>
              <w:bottom w:val="single" w:sz="4" w:space="0" w:color="A6A6A6" w:themeColor="background1" w:themeShade="A6"/>
            </w:tcBorders>
            <w:shd w:val="clear" w:color="auto" w:fill="auto"/>
            <w:noWrap/>
            <w:hideMark/>
          </w:tcPr>
          <w:p w14:paraId="5526A495"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1B25E3B2" w14:textId="77777777" w:rsidTr="001B13EC">
        <w:trPr>
          <w:cantSplit/>
        </w:trPr>
        <w:tc>
          <w:tcPr>
            <w:tcW w:w="1051" w:type="pct"/>
            <w:tcBorders>
              <w:top w:val="single" w:sz="4" w:space="0" w:color="A6A6A6" w:themeColor="background1" w:themeShade="A6"/>
              <w:bottom w:val="nil"/>
            </w:tcBorders>
            <w:shd w:val="clear" w:color="auto" w:fill="F2F2F2" w:themeFill="background1" w:themeFillShade="F2"/>
            <w:noWrap/>
            <w:hideMark/>
          </w:tcPr>
          <w:p w14:paraId="6FF50309" w14:textId="77777777" w:rsidR="001B13EC" w:rsidRPr="00181EF3" w:rsidRDefault="001B13EC" w:rsidP="000667F5">
            <w:pPr>
              <w:pStyle w:val="TableText"/>
              <w:keepNext/>
              <w:rPr>
                <w:b/>
                <w:lang w:eastAsia="en-NZ"/>
              </w:rPr>
            </w:pPr>
            <w:r w:rsidRPr="00181EF3">
              <w:rPr>
                <w:b/>
                <w:lang w:eastAsia="en-NZ"/>
              </w:rPr>
              <w:lastRenderedPageBreak/>
              <w:t>Other</w:t>
            </w:r>
          </w:p>
        </w:tc>
        <w:tc>
          <w:tcPr>
            <w:tcW w:w="615" w:type="pct"/>
            <w:tcBorders>
              <w:top w:val="single" w:sz="4" w:space="0" w:color="A6A6A6" w:themeColor="background1" w:themeShade="A6"/>
              <w:bottom w:val="nil"/>
            </w:tcBorders>
            <w:shd w:val="clear" w:color="auto" w:fill="F2F2F2" w:themeFill="background1" w:themeFillShade="F2"/>
            <w:noWrap/>
            <w:hideMark/>
          </w:tcPr>
          <w:p w14:paraId="25826E3A" w14:textId="77777777" w:rsidR="001B13EC" w:rsidRPr="00181EF3" w:rsidRDefault="001B13EC" w:rsidP="000667F5">
            <w:pPr>
              <w:pStyle w:val="TableText"/>
              <w:keepNext/>
              <w:jc w:val="center"/>
              <w:rPr>
                <w:lang w:eastAsia="en-NZ"/>
              </w:rPr>
            </w:pPr>
          </w:p>
        </w:tc>
        <w:tc>
          <w:tcPr>
            <w:tcW w:w="1749" w:type="pct"/>
            <w:tcBorders>
              <w:top w:val="single" w:sz="4" w:space="0" w:color="A6A6A6" w:themeColor="background1" w:themeShade="A6"/>
              <w:bottom w:val="nil"/>
            </w:tcBorders>
            <w:shd w:val="clear" w:color="auto" w:fill="F2F2F2" w:themeFill="background1" w:themeFillShade="F2"/>
            <w:noWrap/>
            <w:hideMark/>
          </w:tcPr>
          <w:p w14:paraId="17CB6796" w14:textId="77777777" w:rsidR="001B13EC" w:rsidRPr="00181EF3" w:rsidRDefault="001B13EC" w:rsidP="000667F5">
            <w:pPr>
              <w:pStyle w:val="TableText"/>
              <w:keepNext/>
              <w:rPr>
                <w:lang w:eastAsia="en-NZ"/>
              </w:rPr>
            </w:pPr>
          </w:p>
        </w:tc>
        <w:tc>
          <w:tcPr>
            <w:tcW w:w="652" w:type="pct"/>
            <w:tcBorders>
              <w:top w:val="single" w:sz="4" w:space="0" w:color="A6A6A6" w:themeColor="background1" w:themeShade="A6"/>
              <w:bottom w:val="nil"/>
            </w:tcBorders>
            <w:shd w:val="clear" w:color="auto" w:fill="F2F2F2" w:themeFill="background1" w:themeFillShade="F2"/>
            <w:noWrap/>
            <w:hideMark/>
          </w:tcPr>
          <w:p w14:paraId="7151A807" w14:textId="77777777" w:rsidR="001B13EC" w:rsidRPr="00181EF3" w:rsidRDefault="001B13EC" w:rsidP="000667F5">
            <w:pPr>
              <w:pStyle w:val="TableText"/>
              <w:keepNext/>
              <w:jc w:val="center"/>
              <w:rPr>
                <w:lang w:eastAsia="en-NZ"/>
              </w:rPr>
            </w:pPr>
          </w:p>
        </w:tc>
        <w:tc>
          <w:tcPr>
            <w:tcW w:w="933" w:type="pct"/>
            <w:tcBorders>
              <w:top w:val="single" w:sz="4" w:space="0" w:color="A6A6A6" w:themeColor="background1" w:themeShade="A6"/>
              <w:bottom w:val="nil"/>
            </w:tcBorders>
            <w:shd w:val="clear" w:color="auto" w:fill="F2F2F2" w:themeFill="background1" w:themeFillShade="F2"/>
            <w:noWrap/>
            <w:hideMark/>
          </w:tcPr>
          <w:p w14:paraId="64A7F9C5" w14:textId="77777777" w:rsidR="001B13EC" w:rsidRPr="00181EF3" w:rsidRDefault="001B13EC" w:rsidP="000667F5">
            <w:pPr>
              <w:pStyle w:val="TableText"/>
              <w:keepNext/>
              <w:jc w:val="center"/>
              <w:rPr>
                <w:lang w:eastAsia="en-NZ"/>
              </w:rPr>
            </w:pPr>
          </w:p>
        </w:tc>
      </w:tr>
      <w:tr w:rsidR="001B13EC" w:rsidRPr="00181EF3" w14:paraId="5DAD45C8" w14:textId="77777777" w:rsidTr="001B13EC">
        <w:trPr>
          <w:cantSplit/>
        </w:trPr>
        <w:tc>
          <w:tcPr>
            <w:tcW w:w="1051" w:type="pct"/>
            <w:tcBorders>
              <w:top w:val="nil"/>
            </w:tcBorders>
            <w:shd w:val="clear" w:color="auto" w:fill="auto"/>
            <w:noWrap/>
            <w:hideMark/>
          </w:tcPr>
          <w:p w14:paraId="179CD113" w14:textId="77777777" w:rsidR="001B13EC" w:rsidRPr="00181EF3" w:rsidRDefault="001B13EC" w:rsidP="000667F5">
            <w:pPr>
              <w:pStyle w:val="TableText"/>
              <w:keepNext/>
              <w:rPr>
                <w:lang w:eastAsia="en-NZ"/>
              </w:rPr>
            </w:pPr>
            <w:r w:rsidRPr="00181EF3">
              <w:rPr>
                <w:lang w:eastAsia="en-NZ"/>
              </w:rPr>
              <w:t>Cervical cancer</w:t>
            </w:r>
          </w:p>
        </w:tc>
        <w:tc>
          <w:tcPr>
            <w:tcW w:w="615" w:type="pct"/>
            <w:tcBorders>
              <w:top w:val="nil"/>
            </w:tcBorders>
            <w:shd w:val="clear" w:color="auto" w:fill="auto"/>
            <w:hideMark/>
          </w:tcPr>
          <w:p w14:paraId="760D7C39" w14:textId="77777777" w:rsidR="001B13EC" w:rsidRPr="00181EF3" w:rsidRDefault="001B13EC" w:rsidP="000667F5">
            <w:pPr>
              <w:pStyle w:val="TableText"/>
              <w:keepNext/>
              <w:jc w:val="center"/>
              <w:rPr>
                <w:lang w:eastAsia="en-NZ"/>
              </w:rPr>
            </w:pPr>
            <w:r w:rsidRPr="00181EF3">
              <w:rPr>
                <w:lang w:eastAsia="en-NZ"/>
              </w:rPr>
              <w:t>C53</w:t>
            </w:r>
          </w:p>
        </w:tc>
        <w:tc>
          <w:tcPr>
            <w:tcW w:w="1749" w:type="pct"/>
            <w:tcBorders>
              <w:top w:val="nil"/>
            </w:tcBorders>
            <w:shd w:val="clear" w:color="auto" w:fill="auto"/>
            <w:noWrap/>
            <w:hideMark/>
          </w:tcPr>
          <w:p w14:paraId="7E638AFE" w14:textId="77777777" w:rsidR="001B13EC" w:rsidRPr="00181EF3" w:rsidRDefault="001B13EC" w:rsidP="000667F5">
            <w:pPr>
              <w:pStyle w:val="TableText"/>
              <w:keepNext/>
              <w:rPr>
                <w:lang w:eastAsia="en-NZ"/>
              </w:rPr>
            </w:pPr>
            <w:r w:rsidRPr="00181EF3">
              <w:rPr>
                <w:lang w:eastAsia="en-NZ"/>
              </w:rPr>
              <w:t>Malignant neoplasm of cervix uteri</w:t>
            </w:r>
          </w:p>
        </w:tc>
        <w:tc>
          <w:tcPr>
            <w:tcW w:w="652" w:type="pct"/>
            <w:tcBorders>
              <w:top w:val="nil"/>
            </w:tcBorders>
            <w:shd w:val="clear" w:color="auto" w:fill="auto"/>
            <w:noWrap/>
            <w:hideMark/>
          </w:tcPr>
          <w:p w14:paraId="4BD82EE1" w14:textId="77777777" w:rsidR="001B13EC" w:rsidRPr="00181EF3" w:rsidRDefault="001B13EC" w:rsidP="000667F5">
            <w:pPr>
              <w:pStyle w:val="TableText"/>
              <w:keepNext/>
              <w:jc w:val="center"/>
              <w:rPr>
                <w:lang w:eastAsia="en-NZ"/>
              </w:rPr>
            </w:pPr>
            <w:r w:rsidRPr="00181EF3">
              <w:rPr>
                <w:lang w:eastAsia="en-NZ"/>
              </w:rPr>
              <w:t>15+</w:t>
            </w:r>
          </w:p>
        </w:tc>
        <w:tc>
          <w:tcPr>
            <w:tcW w:w="933" w:type="pct"/>
            <w:tcBorders>
              <w:top w:val="nil"/>
            </w:tcBorders>
            <w:shd w:val="clear" w:color="auto" w:fill="auto"/>
            <w:noWrap/>
            <w:hideMark/>
          </w:tcPr>
          <w:p w14:paraId="3F8B4A46" w14:textId="77777777" w:rsidR="001B13EC" w:rsidRPr="00181EF3" w:rsidRDefault="001B13EC" w:rsidP="000667F5">
            <w:pPr>
              <w:pStyle w:val="TableText"/>
              <w:keepNext/>
              <w:jc w:val="center"/>
              <w:rPr>
                <w:lang w:eastAsia="en-NZ"/>
              </w:rPr>
            </w:pPr>
            <w:r w:rsidRPr="00181EF3">
              <w:rPr>
                <w:lang w:eastAsia="en-NZ"/>
              </w:rPr>
              <w:t>No</w:t>
            </w:r>
          </w:p>
        </w:tc>
      </w:tr>
      <w:tr w:rsidR="001B13EC" w:rsidRPr="00181EF3" w14:paraId="17A809C8" w14:textId="77777777" w:rsidTr="001B13EC">
        <w:trPr>
          <w:cantSplit/>
        </w:trPr>
        <w:tc>
          <w:tcPr>
            <w:tcW w:w="1051" w:type="pct"/>
            <w:vMerge w:val="restart"/>
            <w:shd w:val="clear" w:color="auto" w:fill="auto"/>
            <w:noWrap/>
            <w:hideMark/>
          </w:tcPr>
          <w:p w14:paraId="5B5AE824" w14:textId="77777777" w:rsidR="001B13EC" w:rsidRPr="00181EF3" w:rsidRDefault="001B13EC" w:rsidP="000667F5">
            <w:pPr>
              <w:pStyle w:val="TableText"/>
              <w:keepNext/>
              <w:rPr>
                <w:lang w:eastAsia="en-NZ"/>
              </w:rPr>
            </w:pPr>
            <w:r w:rsidRPr="00181EF3">
              <w:rPr>
                <w:lang w:eastAsia="en-NZ"/>
              </w:rPr>
              <w:t>Diabetes</w:t>
            </w:r>
          </w:p>
        </w:tc>
        <w:tc>
          <w:tcPr>
            <w:tcW w:w="615" w:type="pct"/>
            <w:shd w:val="clear" w:color="auto" w:fill="auto"/>
            <w:hideMark/>
          </w:tcPr>
          <w:p w14:paraId="498888CA" w14:textId="77777777" w:rsidR="001B13EC" w:rsidRPr="00181EF3" w:rsidRDefault="001B13EC" w:rsidP="000667F5">
            <w:pPr>
              <w:pStyle w:val="TableText"/>
              <w:keepNext/>
              <w:jc w:val="center"/>
              <w:rPr>
                <w:lang w:eastAsia="en-NZ"/>
              </w:rPr>
            </w:pPr>
            <w:r w:rsidRPr="00181EF3">
              <w:rPr>
                <w:lang w:eastAsia="en-NZ"/>
              </w:rPr>
              <w:t>E10</w:t>
            </w:r>
          </w:p>
        </w:tc>
        <w:tc>
          <w:tcPr>
            <w:tcW w:w="1749" w:type="pct"/>
            <w:shd w:val="clear" w:color="auto" w:fill="auto"/>
            <w:noWrap/>
            <w:hideMark/>
          </w:tcPr>
          <w:p w14:paraId="15F493D0" w14:textId="77777777" w:rsidR="001B13EC" w:rsidRPr="00181EF3" w:rsidRDefault="001B13EC" w:rsidP="000667F5">
            <w:pPr>
              <w:pStyle w:val="TableText"/>
              <w:keepNext/>
              <w:rPr>
                <w:lang w:eastAsia="en-NZ"/>
              </w:rPr>
            </w:pPr>
            <w:r w:rsidRPr="00181EF3">
              <w:rPr>
                <w:lang w:eastAsia="en-NZ"/>
              </w:rPr>
              <w:t>Type 1 diabetes mellitus</w:t>
            </w:r>
          </w:p>
        </w:tc>
        <w:tc>
          <w:tcPr>
            <w:tcW w:w="652" w:type="pct"/>
            <w:shd w:val="clear" w:color="auto" w:fill="auto"/>
            <w:noWrap/>
            <w:hideMark/>
          </w:tcPr>
          <w:p w14:paraId="62D751A6" w14:textId="77777777" w:rsidR="001B13EC" w:rsidRPr="00181EF3" w:rsidRDefault="001B13EC" w:rsidP="000667F5">
            <w:pPr>
              <w:pStyle w:val="TableText"/>
              <w:keepNext/>
              <w:jc w:val="center"/>
              <w:rPr>
                <w:lang w:eastAsia="en-NZ"/>
              </w:rPr>
            </w:pPr>
            <w:r w:rsidRPr="00181EF3">
              <w:rPr>
                <w:lang w:eastAsia="en-NZ"/>
              </w:rPr>
              <w:t>15+</w:t>
            </w:r>
          </w:p>
        </w:tc>
        <w:tc>
          <w:tcPr>
            <w:tcW w:w="933" w:type="pct"/>
            <w:shd w:val="clear" w:color="auto" w:fill="auto"/>
            <w:noWrap/>
            <w:hideMark/>
          </w:tcPr>
          <w:p w14:paraId="79644B42" w14:textId="77777777" w:rsidR="001B13EC" w:rsidRPr="00181EF3" w:rsidRDefault="001B13EC" w:rsidP="000667F5">
            <w:pPr>
              <w:pStyle w:val="TableText"/>
              <w:keepNext/>
              <w:jc w:val="center"/>
              <w:rPr>
                <w:lang w:eastAsia="en-NZ"/>
              </w:rPr>
            </w:pPr>
            <w:r w:rsidRPr="00181EF3">
              <w:rPr>
                <w:lang w:eastAsia="en-NZ"/>
              </w:rPr>
              <w:t>No</w:t>
            </w:r>
          </w:p>
        </w:tc>
      </w:tr>
      <w:tr w:rsidR="001B13EC" w:rsidRPr="00181EF3" w14:paraId="0A3F6361" w14:textId="77777777" w:rsidTr="001B13EC">
        <w:trPr>
          <w:cantSplit/>
        </w:trPr>
        <w:tc>
          <w:tcPr>
            <w:tcW w:w="1051" w:type="pct"/>
            <w:vMerge/>
            <w:shd w:val="clear" w:color="auto" w:fill="auto"/>
            <w:noWrap/>
          </w:tcPr>
          <w:p w14:paraId="248BF93A" w14:textId="77777777" w:rsidR="001B13EC" w:rsidRPr="00181EF3" w:rsidRDefault="001B13EC" w:rsidP="000667F5">
            <w:pPr>
              <w:pStyle w:val="TableText"/>
              <w:keepNext/>
              <w:rPr>
                <w:lang w:eastAsia="en-NZ"/>
              </w:rPr>
            </w:pPr>
          </w:p>
        </w:tc>
        <w:tc>
          <w:tcPr>
            <w:tcW w:w="615" w:type="pct"/>
            <w:shd w:val="clear" w:color="auto" w:fill="auto"/>
            <w:hideMark/>
          </w:tcPr>
          <w:p w14:paraId="28E4E90F" w14:textId="77777777" w:rsidR="001B13EC" w:rsidRPr="00181EF3" w:rsidRDefault="001B13EC" w:rsidP="000667F5">
            <w:pPr>
              <w:pStyle w:val="TableText"/>
              <w:keepNext/>
              <w:jc w:val="center"/>
              <w:rPr>
                <w:lang w:eastAsia="en-NZ"/>
              </w:rPr>
            </w:pPr>
            <w:r w:rsidRPr="00181EF3">
              <w:rPr>
                <w:lang w:eastAsia="en-NZ"/>
              </w:rPr>
              <w:t>E11</w:t>
            </w:r>
          </w:p>
        </w:tc>
        <w:tc>
          <w:tcPr>
            <w:tcW w:w="1749" w:type="pct"/>
            <w:shd w:val="clear" w:color="auto" w:fill="auto"/>
            <w:noWrap/>
            <w:hideMark/>
          </w:tcPr>
          <w:p w14:paraId="70CDA6C2" w14:textId="77777777" w:rsidR="001B13EC" w:rsidRPr="00181EF3" w:rsidRDefault="001B13EC" w:rsidP="000667F5">
            <w:pPr>
              <w:pStyle w:val="TableText"/>
              <w:keepNext/>
              <w:rPr>
                <w:lang w:eastAsia="en-NZ"/>
              </w:rPr>
            </w:pPr>
            <w:r w:rsidRPr="00181EF3">
              <w:rPr>
                <w:lang w:eastAsia="en-NZ"/>
              </w:rPr>
              <w:t>Type 2 diabetes mellitus</w:t>
            </w:r>
          </w:p>
        </w:tc>
        <w:tc>
          <w:tcPr>
            <w:tcW w:w="652" w:type="pct"/>
            <w:shd w:val="clear" w:color="auto" w:fill="auto"/>
            <w:noWrap/>
            <w:hideMark/>
          </w:tcPr>
          <w:p w14:paraId="1C83572A" w14:textId="77777777" w:rsidR="001B13EC" w:rsidRPr="00181EF3" w:rsidRDefault="001B13EC" w:rsidP="000667F5">
            <w:pPr>
              <w:pStyle w:val="TableText"/>
              <w:keepNext/>
              <w:jc w:val="center"/>
              <w:rPr>
                <w:lang w:eastAsia="en-NZ"/>
              </w:rPr>
            </w:pPr>
            <w:r w:rsidRPr="00181EF3">
              <w:rPr>
                <w:lang w:eastAsia="en-NZ"/>
              </w:rPr>
              <w:t>15+</w:t>
            </w:r>
          </w:p>
        </w:tc>
        <w:tc>
          <w:tcPr>
            <w:tcW w:w="933" w:type="pct"/>
            <w:shd w:val="clear" w:color="auto" w:fill="auto"/>
            <w:noWrap/>
            <w:hideMark/>
          </w:tcPr>
          <w:p w14:paraId="75B3B54E" w14:textId="77777777" w:rsidR="001B13EC" w:rsidRPr="00181EF3" w:rsidRDefault="001B13EC" w:rsidP="000667F5">
            <w:pPr>
              <w:pStyle w:val="TableText"/>
              <w:keepNext/>
              <w:jc w:val="center"/>
              <w:rPr>
                <w:lang w:eastAsia="en-NZ"/>
              </w:rPr>
            </w:pPr>
            <w:r w:rsidRPr="00181EF3">
              <w:rPr>
                <w:lang w:eastAsia="en-NZ"/>
              </w:rPr>
              <w:t>No</w:t>
            </w:r>
          </w:p>
        </w:tc>
      </w:tr>
      <w:tr w:rsidR="001B13EC" w:rsidRPr="00181EF3" w14:paraId="5F71E757" w14:textId="77777777" w:rsidTr="001B13EC">
        <w:trPr>
          <w:cantSplit/>
        </w:trPr>
        <w:tc>
          <w:tcPr>
            <w:tcW w:w="1051" w:type="pct"/>
            <w:vMerge/>
            <w:shd w:val="clear" w:color="auto" w:fill="auto"/>
            <w:noWrap/>
          </w:tcPr>
          <w:p w14:paraId="3CD44566" w14:textId="77777777" w:rsidR="001B13EC" w:rsidRPr="00181EF3" w:rsidRDefault="001B13EC" w:rsidP="000667F5">
            <w:pPr>
              <w:pStyle w:val="TableText"/>
              <w:keepNext/>
              <w:rPr>
                <w:lang w:eastAsia="en-NZ"/>
              </w:rPr>
            </w:pPr>
          </w:p>
        </w:tc>
        <w:tc>
          <w:tcPr>
            <w:tcW w:w="615" w:type="pct"/>
            <w:shd w:val="clear" w:color="auto" w:fill="auto"/>
            <w:hideMark/>
          </w:tcPr>
          <w:p w14:paraId="367726A2" w14:textId="77777777" w:rsidR="001B13EC" w:rsidRPr="00181EF3" w:rsidRDefault="001B13EC" w:rsidP="000667F5">
            <w:pPr>
              <w:pStyle w:val="TableText"/>
              <w:keepNext/>
              <w:jc w:val="center"/>
              <w:rPr>
                <w:lang w:eastAsia="en-NZ"/>
              </w:rPr>
            </w:pPr>
            <w:r w:rsidRPr="00181EF3">
              <w:rPr>
                <w:lang w:eastAsia="en-NZ"/>
              </w:rPr>
              <w:t>E13</w:t>
            </w:r>
          </w:p>
        </w:tc>
        <w:tc>
          <w:tcPr>
            <w:tcW w:w="1749" w:type="pct"/>
            <w:shd w:val="clear" w:color="auto" w:fill="auto"/>
            <w:noWrap/>
            <w:hideMark/>
          </w:tcPr>
          <w:p w14:paraId="1411E0C2" w14:textId="77777777" w:rsidR="001B13EC" w:rsidRPr="00181EF3" w:rsidRDefault="001B13EC" w:rsidP="000667F5">
            <w:pPr>
              <w:pStyle w:val="TableText"/>
              <w:keepNext/>
              <w:rPr>
                <w:lang w:eastAsia="en-NZ"/>
              </w:rPr>
            </w:pPr>
            <w:r w:rsidRPr="00181EF3">
              <w:rPr>
                <w:lang w:eastAsia="en-NZ"/>
              </w:rPr>
              <w:t>Other specified diabetes mellitus</w:t>
            </w:r>
          </w:p>
        </w:tc>
        <w:tc>
          <w:tcPr>
            <w:tcW w:w="652" w:type="pct"/>
            <w:shd w:val="clear" w:color="auto" w:fill="auto"/>
            <w:noWrap/>
            <w:hideMark/>
          </w:tcPr>
          <w:p w14:paraId="0CE82608" w14:textId="77777777" w:rsidR="001B13EC" w:rsidRPr="00181EF3" w:rsidRDefault="001B13EC" w:rsidP="000667F5">
            <w:pPr>
              <w:pStyle w:val="TableText"/>
              <w:keepNext/>
              <w:jc w:val="center"/>
              <w:rPr>
                <w:lang w:eastAsia="en-NZ"/>
              </w:rPr>
            </w:pPr>
            <w:r w:rsidRPr="00181EF3">
              <w:rPr>
                <w:lang w:eastAsia="en-NZ"/>
              </w:rPr>
              <w:t>15+</w:t>
            </w:r>
          </w:p>
        </w:tc>
        <w:tc>
          <w:tcPr>
            <w:tcW w:w="933" w:type="pct"/>
            <w:shd w:val="clear" w:color="auto" w:fill="auto"/>
            <w:noWrap/>
            <w:hideMark/>
          </w:tcPr>
          <w:p w14:paraId="4107B32F" w14:textId="77777777" w:rsidR="001B13EC" w:rsidRPr="00181EF3" w:rsidRDefault="001B13EC" w:rsidP="000667F5">
            <w:pPr>
              <w:pStyle w:val="TableText"/>
              <w:keepNext/>
              <w:jc w:val="center"/>
              <w:rPr>
                <w:lang w:eastAsia="en-NZ"/>
              </w:rPr>
            </w:pPr>
            <w:r w:rsidRPr="00181EF3">
              <w:rPr>
                <w:lang w:eastAsia="en-NZ"/>
              </w:rPr>
              <w:t>No</w:t>
            </w:r>
          </w:p>
        </w:tc>
      </w:tr>
      <w:tr w:rsidR="001B13EC" w:rsidRPr="00181EF3" w14:paraId="424168AD" w14:textId="77777777" w:rsidTr="001B13EC">
        <w:trPr>
          <w:cantSplit/>
        </w:trPr>
        <w:tc>
          <w:tcPr>
            <w:tcW w:w="1051" w:type="pct"/>
            <w:vMerge/>
            <w:shd w:val="clear" w:color="auto" w:fill="auto"/>
            <w:noWrap/>
          </w:tcPr>
          <w:p w14:paraId="2FC4E992" w14:textId="77777777" w:rsidR="001B13EC" w:rsidRPr="00181EF3" w:rsidRDefault="001B13EC" w:rsidP="001B13EC">
            <w:pPr>
              <w:pStyle w:val="TableText"/>
              <w:rPr>
                <w:lang w:eastAsia="en-NZ"/>
              </w:rPr>
            </w:pPr>
          </w:p>
        </w:tc>
        <w:tc>
          <w:tcPr>
            <w:tcW w:w="615" w:type="pct"/>
            <w:shd w:val="clear" w:color="auto" w:fill="auto"/>
            <w:hideMark/>
          </w:tcPr>
          <w:p w14:paraId="30414E45" w14:textId="77777777" w:rsidR="001B13EC" w:rsidRPr="00181EF3" w:rsidRDefault="001B13EC" w:rsidP="001B13EC">
            <w:pPr>
              <w:pStyle w:val="TableText"/>
              <w:jc w:val="center"/>
              <w:rPr>
                <w:lang w:eastAsia="en-NZ"/>
              </w:rPr>
            </w:pPr>
            <w:r w:rsidRPr="00181EF3">
              <w:rPr>
                <w:lang w:eastAsia="en-NZ"/>
              </w:rPr>
              <w:t>E14</w:t>
            </w:r>
          </w:p>
        </w:tc>
        <w:tc>
          <w:tcPr>
            <w:tcW w:w="1749" w:type="pct"/>
            <w:shd w:val="clear" w:color="auto" w:fill="auto"/>
            <w:noWrap/>
            <w:hideMark/>
          </w:tcPr>
          <w:p w14:paraId="54648ACD" w14:textId="77777777" w:rsidR="001B13EC" w:rsidRPr="00181EF3" w:rsidRDefault="001B13EC" w:rsidP="001B13EC">
            <w:pPr>
              <w:pStyle w:val="TableText"/>
              <w:rPr>
                <w:lang w:eastAsia="en-NZ"/>
              </w:rPr>
            </w:pPr>
            <w:r w:rsidRPr="00181EF3">
              <w:rPr>
                <w:lang w:eastAsia="en-NZ"/>
              </w:rPr>
              <w:t>Unspecified diabetes mellitus</w:t>
            </w:r>
          </w:p>
        </w:tc>
        <w:tc>
          <w:tcPr>
            <w:tcW w:w="652" w:type="pct"/>
            <w:shd w:val="clear" w:color="auto" w:fill="auto"/>
            <w:noWrap/>
            <w:hideMark/>
          </w:tcPr>
          <w:p w14:paraId="302DBD3B" w14:textId="77777777" w:rsidR="001B13EC" w:rsidRPr="00181EF3" w:rsidRDefault="001B13EC" w:rsidP="001B13EC">
            <w:pPr>
              <w:pStyle w:val="TableText"/>
              <w:jc w:val="center"/>
              <w:rPr>
                <w:lang w:eastAsia="en-NZ"/>
              </w:rPr>
            </w:pPr>
            <w:r w:rsidRPr="00181EF3">
              <w:rPr>
                <w:lang w:eastAsia="en-NZ"/>
              </w:rPr>
              <w:t>15+</w:t>
            </w:r>
          </w:p>
        </w:tc>
        <w:tc>
          <w:tcPr>
            <w:tcW w:w="933" w:type="pct"/>
            <w:shd w:val="clear" w:color="auto" w:fill="auto"/>
            <w:noWrap/>
            <w:hideMark/>
          </w:tcPr>
          <w:p w14:paraId="65C14358"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7DEB7CAD" w14:textId="77777777" w:rsidTr="001B13EC">
        <w:trPr>
          <w:cantSplit/>
        </w:trPr>
        <w:tc>
          <w:tcPr>
            <w:tcW w:w="1051" w:type="pct"/>
            <w:vMerge/>
            <w:shd w:val="clear" w:color="auto" w:fill="auto"/>
            <w:noWrap/>
          </w:tcPr>
          <w:p w14:paraId="6259894A" w14:textId="77777777" w:rsidR="001B13EC" w:rsidRPr="00181EF3" w:rsidRDefault="001B13EC" w:rsidP="001B13EC">
            <w:pPr>
              <w:pStyle w:val="TableText"/>
              <w:rPr>
                <w:lang w:eastAsia="en-NZ"/>
              </w:rPr>
            </w:pPr>
          </w:p>
        </w:tc>
        <w:tc>
          <w:tcPr>
            <w:tcW w:w="615" w:type="pct"/>
            <w:shd w:val="clear" w:color="auto" w:fill="auto"/>
            <w:hideMark/>
          </w:tcPr>
          <w:p w14:paraId="1FF4D0EC" w14:textId="77777777" w:rsidR="001B13EC" w:rsidRPr="00181EF3" w:rsidRDefault="001B13EC" w:rsidP="001B13EC">
            <w:pPr>
              <w:pStyle w:val="TableText"/>
              <w:jc w:val="center"/>
              <w:rPr>
                <w:lang w:eastAsia="en-NZ"/>
              </w:rPr>
            </w:pPr>
            <w:r w:rsidRPr="00181EF3">
              <w:rPr>
                <w:lang w:eastAsia="en-NZ"/>
              </w:rPr>
              <w:t>E16</w:t>
            </w:r>
            <w:r>
              <w:rPr>
                <w:lang w:eastAsia="en-NZ"/>
              </w:rPr>
              <w:t>.</w:t>
            </w:r>
            <w:r w:rsidRPr="00181EF3">
              <w:rPr>
                <w:lang w:eastAsia="en-NZ"/>
              </w:rPr>
              <w:t>2</w:t>
            </w:r>
          </w:p>
        </w:tc>
        <w:tc>
          <w:tcPr>
            <w:tcW w:w="1749" w:type="pct"/>
            <w:shd w:val="clear" w:color="auto" w:fill="auto"/>
            <w:noWrap/>
            <w:hideMark/>
          </w:tcPr>
          <w:p w14:paraId="0DFFBCF0" w14:textId="77777777" w:rsidR="001B13EC" w:rsidRPr="00181EF3" w:rsidRDefault="001B13EC" w:rsidP="001B13EC">
            <w:pPr>
              <w:pStyle w:val="TableText"/>
              <w:rPr>
                <w:lang w:eastAsia="en-NZ"/>
              </w:rPr>
            </w:pPr>
            <w:r w:rsidRPr="00181EF3">
              <w:rPr>
                <w:lang w:eastAsia="en-NZ"/>
              </w:rPr>
              <w:t>Hypoglycaemia, unspecified</w:t>
            </w:r>
          </w:p>
        </w:tc>
        <w:tc>
          <w:tcPr>
            <w:tcW w:w="652" w:type="pct"/>
            <w:shd w:val="clear" w:color="auto" w:fill="auto"/>
            <w:noWrap/>
            <w:hideMark/>
          </w:tcPr>
          <w:p w14:paraId="26FFF671" w14:textId="77777777" w:rsidR="001B13EC" w:rsidRPr="00181EF3" w:rsidRDefault="001B13EC" w:rsidP="001B13EC">
            <w:pPr>
              <w:pStyle w:val="TableText"/>
              <w:jc w:val="center"/>
              <w:rPr>
                <w:lang w:eastAsia="en-NZ"/>
              </w:rPr>
            </w:pPr>
            <w:r w:rsidRPr="00181EF3">
              <w:rPr>
                <w:lang w:eastAsia="en-NZ"/>
              </w:rPr>
              <w:t>15+</w:t>
            </w:r>
          </w:p>
        </w:tc>
        <w:tc>
          <w:tcPr>
            <w:tcW w:w="933" w:type="pct"/>
            <w:shd w:val="clear" w:color="auto" w:fill="auto"/>
            <w:noWrap/>
            <w:hideMark/>
          </w:tcPr>
          <w:p w14:paraId="449E09D1"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01C87B51" w14:textId="77777777" w:rsidTr="001B13EC">
        <w:trPr>
          <w:cantSplit/>
        </w:trPr>
        <w:tc>
          <w:tcPr>
            <w:tcW w:w="1051" w:type="pct"/>
            <w:vMerge w:val="restart"/>
            <w:shd w:val="clear" w:color="auto" w:fill="auto"/>
            <w:noWrap/>
            <w:hideMark/>
          </w:tcPr>
          <w:p w14:paraId="4E1AEC50" w14:textId="77777777" w:rsidR="001B13EC" w:rsidRPr="00181EF3" w:rsidRDefault="001B13EC" w:rsidP="001B13EC">
            <w:pPr>
              <w:pStyle w:val="TableText"/>
              <w:rPr>
                <w:lang w:eastAsia="en-NZ"/>
              </w:rPr>
            </w:pPr>
            <w:r w:rsidRPr="00181EF3">
              <w:rPr>
                <w:lang w:eastAsia="en-NZ"/>
              </w:rPr>
              <w:t>Epilepsy</w:t>
            </w:r>
          </w:p>
        </w:tc>
        <w:tc>
          <w:tcPr>
            <w:tcW w:w="615" w:type="pct"/>
            <w:shd w:val="clear" w:color="auto" w:fill="auto"/>
            <w:hideMark/>
          </w:tcPr>
          <w:p w14:paraId="79E88F74" w14:textId="77777777" w:rsidR="001B13EC" w:rsidRPr="00181EF3" w:rsidRDefault="001B13EC" w:rsidP="001B13EC">
            <w:pPr>
              <w:pStyle w:val="TableText"/>
              <w:jc w:val="center"/>
              <w:rPr>
                <w:lang w:eastAsia="en-NZ"/>
              </w:rPr>
            </w:pPr>
            <w:r w:rsidRPr="00181EF3">
              <w:rPr>
                <w:lang w:eastAsia="en-NZ"/>
              </w:rPr>
              <w:t>G40</w:t>
            </w:r>
          </w:p>
        </w:tc>
        <w:tc>
          <w:tcPr>
            <w:tcW w:w="1749" w:type="pct"/>
            <w:shd w:val="clear" w:color="auto" w:fill="auto"/>
            <w:noWrap/>
            <w:hideMark/>
          </w:tcPr>
          <w:p w14:paraId="69D43F89" w14:textId="77777777" w:rsidR="001B13EC" w:rsidRPr="00181EF3" w:rsidRDefault="001B13EC" w:rsidP="001B13EC">
            <w:pPr>
              <w:pStyle w:val="TableText"/>
              <w:rPr>
                <w:lang w:eastAsia="en-NZ"/>
              </w:rPr>
            </w:pPr>
            <w:r w:rsidRPr="00181EF3">
              <w:rPr>
                <w:lang w:eastAsia="en-NZ"/>
              </w:rPr>
              <w:t>Epilepsy</w:t>
            </w:r>
          </w:p>
        </w:tc>
        <w:tc>
          <w:tcPr>
            <w:tcW w:w="652" w:type="pct"/>
            <w:shd w:val="clear" w:color="auto" w:fill="auto"/>
            <w:noWrap/>
            <w:hideMark/>
          </w:tcPr>
          <w:p w14:paraId="0E966847" w14:textId="77777777" w:rsidR="001B13EC" w:rsidRPr="00181EF3" w:rsidRDefault="001B13EC" w:rsidP="001B13EC">
            <w:pPr>
              <w:pStyle w:val="TableText"/>
              <w:jc w:val="center"/>
              <w:rPr>
                <w:lang w:eastAsia="en-NZ"/>
              </w:rPr>
            </w:pPr>
            <w:r w:rsidRPr="00181EF3">
              <w:rPr>
                <w:lang w:eastAsia="en-NZ"/>
              </w:rPr>
              <w:t>15+</w:t>
            </w:r>
          </w:p>
        </w:tc>
        <w:tc>
          <w:tcPr>
            <w:tcW w:w="933" w:type="pct"/>
            <w:shd w:val="clear" w:color="auto" w:fill="auto"/>
            <w:noWrap/>
            <w:hideMark/>
          </w:tcPr>
          <w:p w14:paraId="3B2B28C9"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670907AF" w14:textId="77777777" w:rsidTr="001B13EC">
        <w:trPr>
          <w:cantSplit/>
        </w:trPr>
        <w:tc>
          <w:tcPr>
            <w:tcW w:w="1051" w:type="pct"/>
            <w:vMerge/>
            <w:shd w:val="clear" w:color="auto" w:fill="auto"/>
            <w:noWrap/>
          </w:tcPr>
          <w:p w14:paraId="032F932B" w14:textId="77777777" w:rsidR="001B13EC" w:rsidRPr="00181EF3" w:rsidRDefault="001B13EC" w:rsidP="001B13EC">
            <w:pPr>
              <w:pStyle w:val="TableText"/>
              <w:rPr>
                <w:lang w:eastAsia="en-NZ"/>
              </w:rPr>
            </w:pPr>
          </w:p>
        </w:tc>
        <w:tc>
          <w:tcPr>
            <w:tcW w:w="615" w:type="pct"/>
            <w:shd w:val="clear" w:color="auto" w:fill="auto"/>
            <w:hideMark/>
          </w:tcPr>
          <w:p w14:paraId="532D89B3" w14:textId="77777777" w:rsidR="001B13EC" w:rsidRPr="00181EF3" w:rsidRDefault="001B13EC" w:rsidP="001B13EC">
            <w:pPr>
              <w:pStyle w:val="TableText"/>
              <w:jc w:val="center"/>
              <w:rPr>
                <w:lang w:eastAsia="en-NZ"/>
              </w:rPr>
            </w:pPr>
            <w:r w:rsidRPr="00181EF3">
              <w:rPr>
                <w:lang w:eastAsia="en-NZ"/>
              </w:rPr>
              <w:t>G41</w:t>
            </w:r>
          </w:p>
        </w:tc>
        <w:tc>
          <w:tcPr>
            <w:tcW w:w="1749" w:type="pct"/>
            <w:shd w:val="clear" w:color="auto" w:fill="auto"/>
            <w:noWrap/>
            <w:hideMark/>
          </w:tcPr>
          <w:p w14:paraId="150887E5" w14:textId="77777777" w:rsidR="001B13EC" w:rsidRPr="00181EF3" w:rsidRDefault="001B13EC" w:rsidP="001B13EC">
            <w:pPr>
              <w:pStyle w:val="TableText"/>
              <w:rPr>
                <w:lang w:eastAsia="en-NZ"/>
              </w:rPr>
            </w:pPr>
            <w:r w:rsidRPr="00181EF3">
              <w:rPr>
                <w:lang w:eastAsia="en-NZ"/>
              </w:rPr>
              <w:t>Status epilepticus</w:t>
            </w:r>
          </w:p>
        </w:tc>
        <w:tc>
          <w:tcPr>
            <w:tcW w:w="652" w:type="pct"/>
            <w:shd w:val="clear" w:color="auto" w:fill="auto"/>
            <w:noWrap/>
            <w:hideMark/>
          </w:tcPr>
          <w:p w14:paraId="03520F4C" w14:textId="77777777" w:rsidR="001B13EC" w:rsidRPr="00181EF3" w:rsidRDefault="001B13EC" w:rsidP="001B13EC">
            <w:pPr>
              <w:pStyle w:val="TableText"/>
              <w:jc w:val="center"/>
              <w:rPr>
                <w:lang w:eastAsia="en-NZ"/>
              </w:rPr>
            </w:pPr>
            <w:r w:rsidRPr="00181EF3">
              <w:rPr>
                <w:lang w:eastAsia="en-NZ"/>
              </w:rPr>
              <w:t>15+</w:t>
            </w:r>
          </w:p>
        </w:tc>
        <w:tc>
          <w:tcPr>
            <w:tcW w:w="933" w:type="pct"/>
            <w:shd w:val="clear" w:color="auto" w:fill="auto"/>
            <w:noWrap/>
            <w:hideMark/>
          </w:tcPr>
          <w:p w14:paraId="7E218570"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0A89E92A" w14:textId="77777777" w:rsidTr="001B13EC">
        <w:trPr>
          <w:cantSplit/>
        </w:trPr>
        <w:tc>
          <w:tcPr>
            <w:tcW w:w="1051" w:type="pct"/>
            <w:vMerge/>
            <w:shd w:val="clear" w:color="auto" w:fill="auto"/>
            <w:noWrap/>
          </w:tcPr>
          <w:p w14:paraId="6078A801" w14:textId="77777777" w:rsidR="001B13EC" w:rsidRPr="00181EF3" w:rsidRDefault="001B13EC" w:rsidP="001B13EC">
            <w:pPr>
              <w:pStyle w:val="TableText"/>
              <w:rPr>
                <w:lang w:eastAsia="en-NZ"/>
              </w:rPr>
            </w:pPr>
          </w:p>
        </w:tc>
        <w:tc>
          <w:tcPr>
            <w:tcW w:w="615" w:type="pct"/>
            <w:shd w:val="clear" w:color="auto" w:fill="auto"/>
            <w:hideMark/>
          </w:tcPr>
          <w:p w14:paraId="0FD209A1" w14:textId="77777777" w:rsidR="001B13EC" w:rsidRPr="00181EF3" w:rsidRDefault="001B13EC" w:rsidP="001B13EC">
            <w:pPr>
              <w:pStyle w:val="TableText"/>
              <w:jc w:val="center"/>
              <w:rPr>
                <w:lang w:eastAsia="en-NZ"/>
              </w:rPr>
            </w:pPr>
            <w:r w:rsidRPr="00181EF3">
              <w:rPr>
                <w:lang w:eastAsia="en-NZ"/>
              </w:rPr>
              <w:t>O15</w:t>
            </w:r>
          </w:p>
        </w:tc>
        <w:tc>
          <w:tcPr>
            <w:tcW w:w="1749" w:type="pct"/>
            <w:shd w:val="clear" w:color="auto" w:fill="auto"/>
            <w:noWrap/>
            <w:hideMark/>
          </w:tcPr>
          <w:p w14:paraId="07C8221C" w14:textId="77777777" w:rsidR="001B13EC" w:rsidRPr="00181EF3" w:rsidRDefault="001B13EC" w:rsidP="001B13EC">
            <w:pPr>
              <w:pStyle w:val="TableText"/>
              <w:rPr>
                <w:lang w:eastAsia="en-NZ"/>
              </w:rPr>
            </w:pPr>
            <w:r w:rsidRPr="00181EF3">
              <w:rPr>
                <w:lang w:eastAsia="en-NZ"/>
              </w:rPr>
              <w:t>Eclampsia</w:t>
            </w:r>
          </w:p>
        </w:tc>
        <w:tc>
          <w:tcPr>
            <w:tcW w:w="652" w:type="pct"/>
            <w:shd w:val="clear" w:color="auto" w:fill="auto"/>
            <w:noWrap/>
            <w:hideMark/>
          </w:tcPr>
          <w:p w14:paraId="23D13DA0" w14:textId="77777777" w:rsidR="001B13EC" w:rsidRPr="00181EF3" w:rsidRDefault="001B13EC" w:rsidP="001B13EC">
            <w:pPr>
              <w:pStyle w:val="TableText"/>
              <w:jc w:val="center"/>
              <w:rPr>
                <w:lang w:eastAsia="en-NZ"/>
              </w:rPr>
            </w:pPr>
            <w:r w:rsidRPr="00181EF3">
              <w:rPr>
                <w:lang w:eastAsia="en-NZ"/>
              </w:rPr>
              <w:t>15+</w:t>
            </w:r>
          </w:p>
        </w:tc>
        <w:tc>
          <w:tcPr>
            <w:tcW w:w="933" w:type="pct"/>
            <w:shd w:val="clear" w:color="auto" w:fill="auto"/>
            <w:noWrap/>
            <w:hideMark/>
          </w:tcPr>
          <w:p w14:paraId="2D35F878"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2B475F06" w14:textId="77777777" w:rsidTr="001B13EC">
        <w:trPr>
          <w:cantSplit/>
        </w:trPr>
        <w:tc>
          <w:tcPr>
            <w:tcW w:w="1051" w:type="pct"/>
            <w:vMerge/>
            <w:shd w:val="clear" w:color="auto" w:fill="auto"/>
            <w:noWrap/>
          </w:tcPr>
          <w:p w14:paraId="67C2B45E" w14:textId="77777777" w:rsidR="001B13EC" w:rsidRPr="00181EF3" w:rsidRDefault="001B13EC" w:rsidP="001B13EC">
            <w:pPr>
              <w:pStyle w:val="TableText"/>
              <w:rPr>
                <w:lang w:eastAsia="en-NZ"/>
              </w:rPr>
            </w:pPr>
          </w:p>
        </w:tc>
        <w:tc>
          <w:tcPr>
            <w:tcW w:w="615" w:type="pct"/>
            <w:shd w:val="clear" w:color="auto" w:fill="auto"/>
            <w:noWrap/>
            <w:hideMark/>
          </w:tcPr>
          <w:p w14:paraId="338E5842" w14:textId="77777777" w:rsidR="001B13EC" w:rsidRPr="00181EF3" w:rsidRDefault="001B13EC" w:rsidP="001B13EC">
            <w:pPr>
              <w:pStyle w:val="TableText"/>
              <w:jc w:val="center"/>
              <w:rPr>
                <w:lang w:eastAsia="en-NZ"/>
              </w:rPr>
            </w:pPr>
            <w:r w:rsidRPr="00181EF3">
              <w:rPr>
                <w:lang w:eastAsia="en-NZ"/>
              </w:rPr>
              <w:t>R56</w:t>
            </w:r>
            <w:r>
              <w:rPr>
                <w:lang w:eastAsia="en-NZ"/>
              </w:rPr>
              <w:t>.</w:t>
            </w:r>
            <w:r w:rsidRPr="00181EF3">
              <w:rPr>
                <w:lang w:eastAsia="en-NZ"/>
              </w:rPr>
              <w:t>0</w:t>
            </w:r>
          </w:p>
        </w:tc>
        <w:tc>
          <w:tcPr>
            <w:tcW w:w="1749" w:type="pct"/>
            <w:shd w:val="clear" w:color="auto" w:fill="auto"/>
            <w:noWrap/>
            <w:hideMark/>
          </w:tcPr>
          <w:p w14:paraId="76DCBB35" w14:textId="77777777" w:rsidR="001B13EC" w:rsidRPr="00181EF3" w:rsidRDefault="001B13EC" w:rsidP="001B13EC">
            <w:pPr>
              <w:pStyle w:val="TableText"/>
              <w:rPr>
                <w:lang w:eastAsia="en-NZ"/>
              </w:rPr>
            </w:pPr>
            <w:r w:rsidRPr="00181EF3">
              <w:rPr>
                <w:lang w:eastAsia="en-NZ"/>
              </w:rPr>
              <w:t>Febrile convulsions</w:t>
            </w:r>
          </w:p>
        </w:tc>
        <w:tc>
          <w:tcPr>
            <w:tcW w:w="652" w:type="pct"/>
            <w:shd w:val="clear" w:color="auto" w:fill="auto"/>
            <w:noWrap/>
            <w:hideMark/>
          </w:tcPr>
          <w:p w14:paraId="0D06DB4A" w14:textId="77777777" w:rsidR="001B13EC" w:rsidRPr="00181EF3" w:rsidRDefault="001B13EC" w:rsidP="001B13EC">
            <w:pPr>
              <w:pStyle w:val="TableText"/>
              <w:jc w:val="center"/>
              <w:rPr>
                <w:lang w:eastAsia="en-NZ"/>
              </w:rPr>
            </w:pPr>
            <w:r w:rsidRPr="00181EF3">
              <w:rPr>
                <w:lang w:eastAsia="en-NZ"/>
              </w:rPr>
              <w:t>15+</w:t>
            </w:r>
          </w:p>
        </w:tc>
        <w:tc>
          <w:tcPr>
            <w:tcW w:w="933" w:type="pct"/>
            <w:shd w:val="clear" w:color="auto" w:fill="auto"/>
            <w:noWrap/>
            <w:hideMark/>
          </w:tcPr>
          <w:p w14:paraId="5B17633F"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25830FCE" w14:textId="77777777" w:rsidTr="001B13EC">
        <w:trPr>
          <w:cantSplit/>
        </w:trPr>
        <w:tc>
          <w:tcPr>
            <w:tcW w:w="1051" w:type="pct"/>
            <w:vMerge/>
            <w:shd w:val="clear" w:color="auto" w:fill="auto"/>
            <w:noWrap/>
          </w:tcPr>
          <w:p w14:paraId="6C153BAC" w14:textId="77777777" w:rsidR="001B13EC" w:rsidRPr="00181EF3" w:rsidRDefault="001B13EC" w:rsidP="001B13EC">
            <w:pPr>
              <w:pStyle w:val="TableText"/>
              <w:rPr>
                <w:lang w:eastAsia="en-NZ"/>
              </w:rPr>
            </w:pPr>
          </w:p>
        </w:tc>
        <w:tc>
          <w:tcPr>
            <w:tcW w:w="615" w:type="pct"/>
            <w:shd w:val="clear" w:color="auto" w:fill="auto"/>
            <w:hideMark/>
          </w:tcPr>
          <w:p w14:paraId="059F352B" w14:textId="77777777" w:rsidR="001B13EC" w:rsidRPr="00181EF3" w:rsidRDefault="001B13EC" w:rsidP="001B13EC">
            <w:pPr>
              <w:pStyle w:val="TableText"/>
              <w:jc w:val="center"/>
              <w:rPr>
                <w:lang w:eastAsia="en-NZ"/>
              </w:rPr>
            </w:pPr>
            <w:r w:rsidRPr="00181EF3">
              <w:rPr>
                <w:lang w:eastAsia="en-NZ"/>
              </w:rPr>
              <w:t>R56</w:t>
            </w:r>
            <w:r>
              <w:rPr>
                <w:lang w:eastAsia="en-NZ"/>
              </w:rPr>
              <w:t>.</w:t>
            </w:r>
            <w:r w:rsidRPr="00181EF3">
              <w:rPr>
                <w:lang w:eastAsia="en-NZ"/>
              </w:rPr>
              <w:t>8</w:t>
            </w:r>
          </w:p>
        </w:tc>
        <w:tc>
          <w:tcPr>
            <w:tcW w:w="1749" w:type="pct"/>
            <w:shd w:val="clear" w:color="auto" w:fill="auto"/>
            <w:noWrap/>
            <w:hideMark/>
          </w:tcPr>
          <w:p w14:paraId="47C75384" w14:textId="77777777" w:rsidR="001B13EC" w:rsidRPr="00181EF3" w:rsidRDefault="001B13EC" w:rsidP="001B13EC">
            <w:pPr>
              <w:pStyle w:val="TableText"/>
              <w:rPr>
                <w:lang w:eastAsia="en-NZ"/>
              </w:rPr>
            </w:pPr>
            <w:r w:rsidRPr="00181EF3">
              <w:rPr>
                <w:lang w:eastAsia="en-NZ"/>
              </w:rPr>
              <w:t>Other and unspecified convulsions</w:t>
            </w:r>
          </w:p>
        </w:tc>
        <w:tc>
          <w:tcPr>
            <w:tcW w:w="652" w:type="pct"/>
            <w:shd w:val="clear" w:color="auto" w:fill="auto"/>
            <w:noWrap/>
            <w:hideMark/>
          </w:tcPr>
          <w:p w14:paraId="44DBBED4" w14:textId="77777777" w:rsidR="001B13EC" w:rsidRPr="00181EF3" w:rsidRDefault="001B13EC" w:rsidP="001B13EC">
            <w:pPr>
              <w:pStyle w:val="TableText"/>
              <w:jc w:val="center"/>
              <w:rPr>
                <w:lang w:eastAsia="en-NZ"/>
              </w:rPr>
            </w:pPr>
            <w:r w:rsidRPr="00181EF3">
              <w:rPr>
                <w:lang w:eastAsia="en-NZ"/>
              </w:rPr>
              <w:t>15+</w:t>
            </w:r>
          </w:p>
        </w:tc>
        <w:tc>
          <w:tcPr>
            <w:tcW w:w="933" w:type="pct"/>
            <w:shd w:val="clear" w:color="auto" w:fill="auto"/>
            <w:noWrap/>
            <w:hideMark/>
          </w:tcPr>
          <w:p w14:paraId="3D34969E"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68FEF0FB" w14:textId="77777777" w:rsidTr="001B13EC">
        <w:trPr>
          <w:cantSplit/>
        </w:trPr>
        <w:tc>
          <w:tcPr>
            <w:tcW w:w="1051" w:type="pct"/>
            <w:vMerge w:val="restart"/>
            <w:shd w:val="clear" w:color="auto" w:fill="auto"/>
            <w:noWrap/>
            <w:hideMark/>
          </w:tcPr>
          <w:p w14:paraId="30021499" w14:textId="77777777" w:rsidR="001B13EC" w:rsidRPr="00181EF3" w:rsidRDefault="001B13EC" w:rsidP="001B13EC">
            <w:pPr>
              <w:pStyle w:val="TableText"/>
              <w:rPr>
                <w:lang w:eastAsia="en-NZ"/>
              </w:rPr>
            </w:pPr>
            <w:r w:rsidRPr="00181EF3">
              <w:rPr>
                <w:lang w:eastAsia="en-NZ"/>
              </w:rPr>
              <w:t>Kidney/urinary infection</w:t>
            </w:r>
          </w:p>
        </w:tc>
        <w:tc>
          <w:tcPr>
            <w:tcW w:w="615" w:type="pct"/>
            <w:shd w:val="clear" w:color="auto" w:fill="auto"/>
            <w:hideMark/>
          </w:tcPr>
          <w:p w14:paraId="5ADD055A" w14:textId="77777777" w:rsidR="001B13EC" w:rsidRPr="00181EF3" w:rsidRDefault="001B13EC" w:rsidP="001B13EC">
            <w:pPr>
              <w:pStyle w:val="TableText"/>
              <w:jc w:val="center"/>
              <w:rPr>
                <w:lang w:eastAsia="en-NZ"/>
              </w:rPr>
            </w:pPr>
            <w:r w:rsidRPr="00181EF3">
              <w:rPr>
                <w:lang w:eastAsia="en-NZ"/>
              </w:rPr>
              <w:t>N10</w:t>
            </w:r>
          </w:p>
        </w:tc>
        <w:tc>
          <w:tcPr>
            <w:tcW w:w="1749" w:type="pct"/>
            <w:shd w:val="clear" w:color="auto" w:fill="auto"/>
            <w:noWrap/>
            <w:hideMark/>
          </w:tcPr>
          <w:p w14:paraId="6C232A61" w14:textId="77777777" w:rsidR="001B13EC" w:rsidRPr="00181EF3" w:rsidRDefault="001B13EC" w:rsidP="001B13EC">
            <w:pPr>
              <w:pStyle w:val="TableText"/>
              <w:rPr>
                <w:lang w:eastAsia="en-NZ"/>
              </w:rPr>
            </w:pPr>
            <w:r w:rsidRPr="00181EF3">
              <w:rPr>
                <w:lang w:eastAsia="en-NZ"/>
              </w:rPr>
              <w:t>Acute tubulo-interstitial nephritis</w:t>
            </w:r>
          </w:p>
        </w:tc>
        <w:tc>
          <w:tcPr>
            <w:tcW w:w="652" w:type="pct"/>
            <w:shd w:val="clear" w:color="auto" w:fill="auto"/>
            <w:noWrap/>
            <w:hideMark/>
          </w:tcPr>
          <w:p w14:paraId="1C1DBF88" w14:textId="77777777" w:rsidR="001B13EC" w:rsidRPr="00181EF3" w:rsidRDefault="001B13EC" w:rsidP="001B13EC">
            <w:pPr>
              <w:pStyle w:val="TableText"/>
              <w:jc w:val="center"/>
              <w:rPr>
                <w:lang w:eastAsia="en-NZ"/>
              </w:rPr>
            </w:pPr>
            <w:r w:rsidRPr="00181EF3">
              <w:rPr>
                <w:lang w:eastAsia="en-NZ"/>
              </w:rPr>
              <w:t>5+</w:t>
            </w:r>
          </w:p>
        </w:tc>
        <w:tc>
          <w:tcPr>
            <w:tcW w:w="933" w:type="pct"/>
            <w:shd w:val="clear" w:color="auto" w:fill="auto"/>
            <w:noWrap/>
            <w:hideMark/>
          </w:tcPr>
          <w:p w14:paraId="3C497449"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080554B7" w14:textId="77777777" w:rsidTr="001B13EC">
        <w:trPr>
          <w:cantSplit/>
        </w:trPr>
        <w:tc>
          <w:tcPr>
            <w:tcW w:w="1051" w:type="pct"/>
            <w:vMerge/>
            <w:shd w:val="clear" w:color="auto" w:fill="auto"/>
            <w:noWrap/>
          </w:tcPr>
          <w:p w14:paraId="176FAC92" w14:textId="77777777" w:rsidR="001B13EC" w:rsidRPr="00181EF3" w:rsidRDefault="001B13EC" w:rsidP="001B13EC">
            <w:pPr>
              <w:pStyle w:val="TableText"/>
              <w:rPr>
                <w:lang w:eastAsia="en-NZ"/>
              </w:rPr>
            </w:pPr>
          </w:p>
        </w:tc>
        <w:tc>
          <w:tcPr>
            <w:tcW w:w="615" w:type="pct"/>
            <w:shd w:val="clear" w:color="auto" w:fill="auto"/>
            <w:hideMark/>
          </w:tcPr>
          <w:p w14:paraId="323C1948" w14:textId="77777777" w:rsidR="001B13EC" w:rsidRPr="00181EF3" w:rsidRDefault="001B13EC" w:rsidP="001B13EC">
            <w:pPr>
              <w:pStyle w:val="TableText"/>
              <w:jc w:val="center"/>
              <w:rPr>
                <w:lang w:eastAsia="en-NZ"/>
              </w:rPr>
            </w:pPr>
            <w:r w:rsidRPr="00181EF3">
              <w:rPr>
                <w:lang w:eastAsia="en-NZ"/>
              </w:rPr>
              <w:t>N12</w:t>
            </w:r>
          </w:p>
        </w:tc>
        <w:tc>
          <w:tcPr>
            <w:tcW w:w="1749" w:type="pct"/>
            <w:shd w:val="clear" w:color="auto" w:fill="auto"/>
            <w:noWrap/>
            <w:hideMark/>
          </w:tcPr>
          <w:p w14:paraId="46A2BA7E" w14:textId="77777777" w:rsidR="001B13EC" w:rsidRPr="00181EF3" w:rsidRDefault="001B13EC" w:rsidP="001B13EC">
            <w:pPr>
              <w:pStyle w:val="TableText"/>
              <w:rPr>
                <w:lang w:eastAsia="en-NZ"/>
              </w:rPr>
            </w:pPr>
            <w:r w:rsidRPr="00181EF3">
              <w:rPr>
                <w:lang w:eastAsia="en-NZ"/>
              </w:rPr>
              <w:t>Tubulo-interstitial nephritis, not specified as acute or chronic</w:t>
            </w:r>
          </w:p>
        </w:tc>
        <w:tc>
          <w:tcPr>
            <w:tcW w:w="652" w:type="pct"/>
            <w:shd w:val="clear" w:color="auto" w:fill="auto"/>
            <w:noWrap/>
            <w:hideMark/>
          </w:tcPr>
          <w:p w14:paraId="6BD95DB8" w14:textId="77777777" w:rsidR="001B13EC" w:rsidRPr="00181EF3" w:rsidRDefault="001B13EC" w:rsidP="001B13EC">
            <w:pPr>
              <w:pStyle w:val="TableText"/>
              <w:jc w:val="center"/>
              <w:rPr>
                <w:lang w:eastAsia="en-NZ"/>
              </w:rPr>
            </w:pPr>
            <w:r w:rsidRPr="00181EF3">
              <w:rPr>
                <w:lang w:eastAsia="en-NZ"/>
              </w:rPr>
              <w:t>5+</w:t>
            </w:r>
          </w:p>
        </w:tc>
        <w:tc>
          <w:tcPr>
            <w:tcW w:w="933" w:type="pct"/>
            <w:shd w:val="clear" w:color="auto" w:fill="auto"/>
            <w:noWrap/>
            <w:hideMark/>
          </w:tcPr>
          <w:p w14:paraId="0CED55E8"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0ADFCADB" w14:textId="77777777" w:rsidTr="001B13EC">
        <w:trPr>
          <w:cantSplit/>
        </w:trPr>
        <w:tc>
          <w:tcPr>
            <w:tcW w:w="1051" w:type="pct"/>
            <w:vMerge/>
            <w:shd w:val="clear" w:color="auto" w:fill="auto"/>
            <w:noWrap/>
          </w:tcPr>
          <w:p w14:paraId="4F8FA322" w14:textId="77777777" w:rsidR="001B13EC" w:rsidRPr="00181EF3" w:rsidRDefault="001B13EC" w:rsidP="001B13EC">
            <w:pPr>
              <w:pStyle w:val="TableText"/>
              <w:rPr>
                <w:lang w:eastAsia="en-NZ"/>
              </w:rPr>
            </w:pPr>
          </w:p>
        </w:tc>
        <w:tc>
          <w:tcPr>
            <w:tcW w:w="615" w:type="pct"/>
            <w:shd w:val="clear" w:color="auto" w:fill="auto"/>
            <w:hideMark/>
          </w:tcPr>
          <w:p w14:paraId="54722119" w14:textId="77777777" w:rsidR="001B13EC" w:rsidRPr="00181EF3" w:rsidRDefault="001B13EC" w:rsidP="001B13EC">
            <w:pPr>
              <w:pStyle w:val="TableText"/>
              <w:jc w:val="center"/>
              <w:rPr>
                <w:lang w:eastAsia="en-NZ"/>
              </w:rPr>
            </w:pPr>
            <w:r w:rsidRPr="00181EF3">
              <w:rPr>
                <w:lang w:eastAsia="en-NZ"/>
              </w:rPr>
              <w:t>N13</w:t>
            </w:r>
            <w:r>
              <w:rPr>
                <w:lang w:eastAsia="en-NZ"/>
              </w:rPr>
              <w:t>.</w:t>
            </w:r>
            <w:r w:rsidRPr="00181EF3">
              <w:rPr>
                <w:lang w:eastAsia="en-NZ"/>
              </w:rPr>
              <w:t>6</w:t>
            </w:r>
          </w:p>
        </w:tc>
        <w:tc>
          <w:tcPr>
            <w:tcW w:w="1749" w:type="pct"/>
            <w:shd w:val="clear" w:color="auto" w:fill="auto"/>
            <w:noWrap/>
            <w:hideMark/>
          </w:tcPr>
          <w:p w14:paraId="396C9C71" w14:textId="77777777" w:rsidR="001B13EC" w:rsidRPr="00181EF3" w:rsidRDefault="001B13EC" w:rsidP="001B13EC">
            <w:pPr>
              <w:pStyle w:val="TableText"/>
              <w:rPr>
                <w:lang w:eastAsia="en-NZ"/>
              </w:rPr>
            </w:pPr>
            <w:r w:rsidRPr="00181EF3">
              <w:rPr>
                <w:lang w:eastAsia="en-NZ"/>
              </w:rPr>
              <w:t>Pyonephrosis</w:t>
            </w:r>
          </w:p>
        </w:tc>
        <w:tc>
          <w:tcPr>
            <w:tcW w:w="652" w:type="pct"/>
            <w:shd w:val="clear" w:color="auto" w:fill="auto"/>
            <w:noWrap/>
            <w:hideMark/>
          </w:tcPr>
          <w:p w14:paraId="16BA6528" w14:textId="77777777" w:rsidR="001B13EC" w:rsidRPr="00181EF3" w:rsidRDefault="001B13EC" w:rsidP="001B13EC">
            <w:pPr>
              <w:pStyle w:val="TableText"/>
              <w:jc w:val="center"/>
              <w:rPr>
                <w:lang w:eastAsia="en-NZ"/>
              </w:rPr>
            </w:pPr>
            <w:r w:rsidRPr="00181EF3">
              <w:rPr>
                <w:lang w:eastAsia="en-NZ"/>
              </w:rPr>
              <w:t>5+</w:t>
            </w:r>
          </w:p>
        </w:tc>
        <w:tc>
          <w:tcPr>
            <w:tcW w:w="933" w:type="pct"/>
            <w:shd w:val="clear" w:color="auto" w:fill="auto"/>
            <w:noWrap/>
            <w:hideMark/>
          </w:tcPr>
          <w:p w14:paraId="07C77BAA"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4EFE2645" w14:textId="77777777" w:rsidTr="001B13EC">
        <w:trPr>
          <w:cantSplit/>
        </w:trPr>
        <w:tc>
          <w:tcPr>
            <w:tcW w:w="1051" w:type="pct"/>
            <w:vMerge/>
            <w:shd w:val="clear" w:color="auto" w:fill="auto"/>
            <w:noWrap/>
          </w:tcPr>
          <w:p w14:paraId="4675D979" w14:textId="77777777" w:rsidR="001B13EC" w:rsidRPr="00181EF3" w:rsidRDefault="001B13EC" w:rsidP="001B13EC">
            <w:pPr>
              <w:pStyle w:val="TableText"/>
              <w:rPr>
                <w:lang w:eastAsia="en-NZ"/>
              </w:rPr>
            </w:pPr>
          </w:p>
        </w:tc>
        <w:tc>
          <w:tcPr>
            <w:tcW w:w="615" w:type="pct"/>
            <w:shd w:val="clear" w:color="auto" w:fill="auto"/>
            <w:hideMark/>
          </w:tcPr>
          <w:p w14:paraId="3224CD5A" w14:textId="77777777" w:rsidR="001B13EC" w:rsidRPr="00181EF3" w:rsidRDefault="001B13EC" w:rsidP="001B13EC">
            <w:pPr>
              <w:pStyle w:val="TableText"/>
              <w:jc w:val="center"/>
              <w:rPr>
                <w:lang w:eastAsia="en-NZ"/>
              </w:rPr>
            </w:pPr>
            <w:r w:rsidRPr="00181EF3">
              <w:rPr>
                <w:lang w:eastAsia="en-NZ"/>
              </w:rPr>
              <w:t>N30</w:t>
            </w:r>
            <w:r>
              <w:rPr>
                <w:lang w:eastAsia="en-NZ"/>
              </w:rPr>
              <w:t>.</w:t>
            </w:r>
            <w:r w:rsidRPr="00181EF3">
              <w:rPr>
                <w:lang w:eastAsia="en-NZ"/>
              </w:rPr>
              <w:t>9</w:t>
            </w:r>
          </w:p>
        </w:tc>
        <w:tc>
          <w:tcPr>
            <w:tcW w:w="1749" w:type="pct"/>
            <w:shd w:val="clear" w:color="auto" w:fill="auto"/>
            <w:noWrap/>
            <w:hideMark/>
          </w:tcPr>
          <w:p w14:paraId="48E6B9BB" w14:textId="77777777" w:rsidR="001B13EC" w:rsidRPr="00181EF3" w:rsidRDefault="001B13EC" w:rsidP="001B13EC">
            <w:pPr>
              <w:pStyle w:val="TableText"/>
              <w:rPr>
                <w:lang w:eastAsia="en-NZ"/>
              </w:rPr>
            </w:pPr>
            <w:r w:rsidRPr="00181EF3">
              <w:rPr>
                <w:lang w:eastAsia="en-NZ"/>
              </w:rPr>
              <w:t>Cystitis, unspecified</w:t>
            </w:r>
          </w:p>
        </w:tc>
        <w:tc>
          <w:tcPr>
            <w:tcW w:w="652" w:type="pct"/>
            <w:shd w:val="clear" w:color="auto" w:fill="auto"/>
            <w:noWrap/>
            <w:hideMark/>
          </w:tcPr>
          <w:p w14:paraId="56701213" w14:textId="77777777" w:rsidR="001B13EC" w:rsidRPr="00181EF3" w:rsidRDefault="001B13EC" w:rsidP="001B13EC">
            <w:pPr>
              <w:pStyle w:val="TableText"/>
              <w:jc w:val="center"/>
              <w:rPr>
                <w:lang w:eastAsia="en-NZ"/>
              </w:rPr>
            </w:pPr>
            <w:r w:rsidRPr="00181EF3">
              <w:rPr>
                <w:lang w:eastAsia="en-NZ"/>
              </w:rPr>
              <w:t>5+</w:t>
            </w:r>
          </w:p>
        </w:tc>
        <w:tc>
          <w:tcPr>
            <w:tcW w:w="933" w:type="pct"/>
            <w:shd w:val="clear" w:color="auto" w:fill="auto"/>
            <w:noWrap/>
            <w:hideMark/>
          </w:tcPr>
          <w:p w14:paraId="24724642"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21D4943A" w14:textId="77777777" w:rsidTr="001B13EC">
        <w:trPr>
          <w:cantSplit/>
        </w:trPr>
        <w:tc>
          <w:tcPr>
            <w:tcW w:w="1051" w:type="pct"/>
            <w:vMerge/>
            <w:shd w:val="clear" w:color="auto" w:fill="auto"/>
            <w:noWrap/>
          </w:tcPr>
          <w:p w14:paraId="070F0C2C" w14:textId="77777777" w:rsidR="001B13EC" w:rsidRPr="00181EF3" w:rsidRDefault="001B13EC" w:rsidP="001B13EC">
            <w:pPr>
              <w:pStyle w:val="TableText"/>
              <w:rPr>
                <w:lang w:eastAsia="en-NZ"/>
              </w:rPr>
            </w:pPr>
          </w:p>
        </w:tc>
        <w:tc>
          <w:tcPr>
            <w:tcW w:w="615" w:type="pct"/>
            <w:shd w:val="clear" w:color="auto" w:fill="auto"/>
            <w:noWrap/>
            <w:hideMark/>
          </w:tcPr>
          <w:p w14:paraId="6752A50F" w14:textId="77777777" w:rsidR="001B13EC" w:rsidRPr="00181EF3" w:rsidRDefault="001B13EC" w:rsidP="001B13EC">
            <w:pPr>
              <w:pStyle w:val="TableText"/>
              <w:jc w:val="center"/>
              <w:rPr>
                <w:lang w:eastAsia="en-NZ"/>
              </w:rPr>
            </w:pPr>
            <w:r w:rsidRPr="00181EF3">
              <w:rPr>
                <w:lang w:eastAsia="en-NZ"/>
              </w:rPr>
              <w:t>N39</w:t>
            </w:r>
            <w:r>
              <w:rPr>
                <w:lang w:eastAsia="en-NZ"/>
              </w:rPr>
              <w:t>.</w:t>
            </w:r>
            <w:r w:rsidRPr="00181EF3">
              <w:rPr>
                <w:lang w:eastAsia="en-NZ"/>
              </w:rPr>
              <w:t>0</w:t>
            </w:r>
          </w:p>
        </w:tc>
        <w:tc>
          <w:tcPr>
            <w:tcW w:w="1749" w:type="pct"/>
            <w:shd w:val="clear" w:color="auto" w:fill="auto"/>
            <w:noWrap/>
            <w:hideMark/>
          </w:tcPr>
          <w:p w14:paraId="68932FAD" w14:textId="77777777" w:rsidR="001B13EC" w:rsidRPr="00181EF3" w:rsidRDefault="001B13EC" w:rsidP="001B13EC">
            <w:pPr>
              <w:pStyle w:val="TableText"/>
              <w:rPr>
                <w:lang w:eastAsia="en-NZ"/>
              </w:rPr>
            </w:pPr>
            <w:r w:rsidRPr="00181EF3">
              <w:rPr>
                <w:lang w:eastAsia="en-NZ"/>
              </w:rPr>
              <w:t>Urinary tract infection, site not specified</w:t>
            </w:r>
          </w:p>
        </w:tc>
        <w:tc>
          <w:tcPr>
            <w:tcW w:w="652" w:type="pct"/>
            <w:shd w:val="clear" w:color="auto" w:fill="auto"/>
            <w:noWrap/>
            <w:hideMark/>
          </w:tcPr>
          <w:p w14:paraId="7198EA05" w14:textId="77777777" w:rsidR="001B13EC" w:rsidRPr="00181EF3" w:rsidRDefault="001B13EC" w:rsidP="001B13EC">
            <w:pPr>
              <w:pStyle w:val="TableText"/>
              <w:jc w:val="center"/>
              <w:rPr>
                <w:lang w:eastAsia="en-NZ"/>
              </w:rPr>
            </w:pPr>
            <w:r w:rsidRPr="00181EF3">
              <w:rPr>
                <w:lang w:eastAsia="en-NZ"/>
              </w:rPr>
              <w:t>5+</w:t>
            </w:r>
          </w:p>
        </w:tc>
        <w:tc>
          <w:tcPr>
            <w:tcW w:w="933" w:type="pct"/>
            <w:shd w:val="clear" w:color="auto" w:fill="auto"/>
            <w:noWrap/>
            <w:hideMark/>
          </w:tcPr>
          <w:p w14:paraId="1256AA6B"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17702C3E" w14:textId="77777777" w:rsidTr="001B13EC">
        <w:trPr>
          <w:cantSplit/>
        </w:trPr>
        <w:tc>
          <w:tcPr>
            <w:tcW w:w="1051" w:type="pct"/>
            <w:vMerge w:val="restart"/>
            <w:shd w:val="clear" w:color="auto" w:fill="auto"/>
            <w:noWrap/>
            <w:hideMark/>
          </w:tcPr>
          <w:p w14:paraId="7347483D" w14:textId="77777777" w:rsidR="001B13EC" w:rsidRPr="00181EF3" w:rsidRDefault="001B13EC" w:rsidP="001B13EC">
            <w:pPr>
              <w:pStyle w:val="TableText"/>
              <w:rPr>
                <w:lang w:eastAsia="en-NZ"/>
              </w:rPr>
            </w:pPr>
            <w:r w:rsidRPr="00181EF3">
              <w:rPr>
                <w:lang w:eastAsia="en-NZ"/>
              </w:rPr>
              <w:t>Sexually transmitted infections</w:t>
            </w:r>
          </w:p>
        </w:tc>
        <w:tc>
          <w:tcPr>
            <w:tcW w:w="615" w:type="pct"/>
            <w:shd w:val="clear" w:color="auto" w:fill="auto"/>
            <w:noWrap/>
            <w:hideMark/>
          </w:tcPr>
          <w:p w14:paraId="10AB3DD4" w14:textId="77777777" w:rsidR="001B13EC" w:rsidRPr="00181EF3" w:rsidRDefault="001B13EC" w:rsidP="001B13EC">
            <w:pPr>
              <w:pStyle w:val="TableText"/>
              <w:jc w:val="center"/>
              <w:rPr>
                <w:lang w:eastAsia="en-NZ"/>
              </w:rPr>
            </w:pPr>
            <w:r w:rsidRPr="00181EF3">
              <w:rPr>
                <w:lang w:eastAsia="en-NZ"/>
              </w:rPr>
              <w:t>A50</w:t>
            </w:r>
          </w:p>
        </w:tc>
        <w:tc>
          <w:tcPr>
            <w:tcW w:w="1749" w:type="pct"/>
            <w:shd w:val="clear" w:color="auto" w:fill="auto"/>
            <w:noWrap/>
            <w:hideMark/>
          </w:tcPr>
          <w:p w14:paraId="146FB6A0" w14:textId="77777777" w:rsidR="001B13EC" w:rsidRPr="00181EF3" w:rsidRDefault="001B13EC" w:rsidP="001B13EC">
            <w:pPr>
              <w:pStyle w:val="TableText"/>
              <w:rPr>
                <w:lang w:eastAsia="en-NZ"/>
              </w:rPr>
            </w:pPr>
            <w:r w:rsidRPr="00181EF3">
              <w:rPr>
                <w:lang w:eastAsia="en-NZ"/>
              </w:rPr>
              <w:t>Congenital syphilis</w:t>
            </w:r>
          </w:p>
        </w:tc>
        <w:tc>
          <w:tcPr>
            <w:tcW w:w="652" w:type="pct"/>
            <w:shd w:val="clear" w:color="auto" w:fill="auto"/>
            <w:noWrap/>
            <w:hideMark/>
          </w:tcPr>
          <w:p w14:paraId="1CBDCBFA" w14:textId="77777777" w:rsidR="001B13EC" w:rsidRPr="00181EF3" w:rsidRDefault="001B13EC" w:rsidP="001B13EC">
            <w:pPr>
              <w:pStyle w:val="TableText"/>
              <w:jc w:val="center"/>
              <w:rPr>
                <w:lang w:eastAsia="en-NZ"/>
              </w:rPr>
            </w:pPr>
            <w:r w:rsidRPr="00181EF3">
              <w:rPr>
                <w:lang w:eastAsia="en-NZ"/>
              </w:rPr>
              <w:t>15+</w:t>
            </w:r>
          </w:p>
        </w:tc>
        <w:tc>
          <w:tcPr>
            <w:tcW w:w="933" w:type="pct"/>
            <w:shd w:val="clear" w:color="auto" w:fill="auto"/>
            <w:noWrap/>
            <w:hideMark/>
          </w:tcPr>
          <w:p w14:paraId="384703F9"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0D8C3D45" w14:textId="77777777" w:rsidTr="001B13EC">
        <w:trPr>
          <w:cantSplit/>
        </w:trPr>
        <w:tc>
          <w:tcPr>
            <w:tcW w:w="1051" w:type="pct"/>
            <w:vMerge/>
            <w:shd w:val="clear" w:color="auto" w:fill="auto"/>
            <w:noWrap/>
          </w:tcPr>
          <w:p w14:paraId="455E169F" w14:textId="77777777" w:rsidR="001B13EC" w:rsidRPr="00181EF3" w:rsidRDefault="001B13EC" w:rsidP="001B13EC">
            <w:pPr>
              <w:pStyle w:val="TableText"/>
              <w:rPr>
                <w:lang w:eastAsia="en-NZ"/>
              </w:rPr>
            </w:pPr>
          </w:p>
        </w:tc>
        <w:tc>
          <w:tcPr>
            <w:tcW w:w="615" w:type="pct"/>
            <w:shd w:val="clear" w:color="auto" w:fill="auto"/>
            <w:noWrap/>
            <w:hideMark/>
          </w:tcPr>
          <w:p w14:paraId="4596B245" w14:textId="77777777" w:rsidR="001B13EC" w:rsidRPr="00181EF3" w:rsidRDefault="001B13EC" w:rsidP="001B13EC">
            <w:pPr>
              <w:pStyle w:val="TableText"/>
              <w:jc w:val="center"/>
              <w:rPr>
                <w:lang w:eastAsia="en-NZ"/>
              </w:rPr>
            </w:pPr>
            <w:r w:rsidRPr="00181EF3">
              <w:rPr>
                <w:lang w:eastAsia="en-NZ"/>
              </w:rPr>
              <w:t>A51</w:t>
            </w:r>
          </w:p>
        </w:tc>
        <w:tc>
          <w:tcPr>
            <w:tcW w:w="1749" w:type="pct"/>
            <w:shd w:val="clear" w:color="auto" w:fill="auto"/>
            <w:noWrap/>
            <w:hideMark/>
          </w:tcPr>
          <w:p w14:paraId="4141D91B" w14:textId="77777777" w:rsidR="001B13EC" w:rsidRPr="00181EF3" w:rsidRDefault="001B13EC" w:rsidP="001B13EC">
            <w:pPr>
              <w:pStyle w:val="TableText"/>
              <w:rPr>
                <w:lang w:eastAsia="en-NZ"/>
              </w:rPr>
            </w:pPr>
            <w:r w:rsidRPr="00181EF3">
              <w:rPr>
                <w:lang w:eastAsia="en-NZ"/>
              </w:rPr>
              <w:t>Early syphilis</w:t>
            </w:r>
          </w:p>
        </w:tc>
        <w:tc>
          <w:tcPr>
            <w:tcW w:w="652" w:type="pct"/>
            <w:shd w:val="clear" w:color="auto" w:fill="auto"/>
            <w:noWrap/>
            <w:hideMark/>
          </w:tcPr>
          <w:p w14:paraId="1632CB0F" w14:textId="77777777" w:rsidR="001B13EC" w:rsidRPr="00181EF3" w:rsidRDefault="001B13EC" w:rsidP="001B13EC">
            <w:pPr>
              <w:pStyle w:val="TableText"/>
              <w:jc w:val="center"/>
              <w:rPr>
                <w:lang w:eastAsia="en-NZ"/>
              </w:rPr>
            </w:pPr>
            <w:r w:rsidRPr="00181EF3">
              <w:rPr>
                <w:lang w:eastAsia="en-NZ"/>
              </w:rPr>
              <w:t>15+</w:t>
            </w:r>
          </w:p>
        </w:tc>
        <w:tc>
          <w:tcPr>
            <w:tcW w:w="933" w:type="pct"/>
            <w:shd w:val="clear" w:color="auto" w:fill="auto"/>
            <w:noWrap/>
            <w:hideMark/>
          </w:tcPr>
          <w:p w14:paraId="35A4C7A8"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069CCC8D" w14:textId="77777777" w:rsidTr="001B13EC">
        <w:trPr>
          <w:cantSplit/>
        </w:trPr>
        <w:tc>
          <w:tcPr>
            <w:tcW w:w="1051" w:type="pct"/>
            <w:vMerge/>
            <w:shd w:val="clear" w:color="auto" w:fill="auto"/>
            <w:noWrap/>
          </w:tcPr>
          <w:p w14:paraId="58172D3F" w14:textId="77777777" w:rsidR="001B13EC" w:rsidRPr="00181EF3" w:rsidRDefault="001B13EC" w:rsidP="001B13EC">
            <w:pPr>
              <w:pStyle w:val="TableText"/>
              <w:rPr>
                <w:lang w:eastAsia="en-NZ"/>
              </w:rPr>
            </w:pPr>
          </w:p>
        </w:tc>
        <w:tc>
          <w:tcPr>
            <w:tcW w:w="615" w:type="pct"/>
            <w:shd w:val="clear" w:color="auto" w:fill="auto"/>
            <w:noWrap/>
            <w:hideMark/>
          </w:tcPr>
          <w:p w14:paraId="0C2FB809" w14:textId="77777777" w:rsidR="001B13EC" w:rsidRPr="00181EF3" w:rsidRDefault="001B13EC" w:rsidP="001B13EC">
            <w:pPr>
              <w:pStyle w:val="TableText"/>
              <w:jc w:val="center"/>
              <w:rPr>
                <w:lang w:eastAsia="en-NZ"/>
              </w:rPr>
            </w:pPr>
            <w:r w:rsidRPr="00181EF3">
              <w:rPr>
                <w:lang w:eastAsia="en-NZ"/>
              </w:rPr>
              <w:t>A52</w:t>
            </w:r>
          </w:p>
        </w:tc>
        <w:tc>
          <w:tcPr>
            <w:tcW w:w="1749" w:type="pct"/>
            <w:shd w:val="clear" w:color="auto" w:fill="auto"/>
            <w:noWrap/>
            <w:hideMark/>
          </w:tcPr>
          <w:p w14:paraId="1DB3E532" w14:textId="77777777" w:rsidR="001B13EC" w:rsidRPr="00181EF3" w:rsidRDefault="001B13EC" w:rsidP="001B13EC">
            <w:pPr>
              <w:pStyle w:val="TableText"/>
              <w:rPr>
                <w:lang w:eastAsia="en-NZ"/>
              </w:rPr>
            </w:pPr>
            <w:r w:rsidRPr="00181EF3">
              <w:rPr>
                <w:lang w:eastAsia="en-NZ"/>
              </w:rPr>
              <w:t>Late syphilis</w:t>
            </w:r>
          </w:p>
        </w:tc>
        <w:tc>
          <w:tcPr>
            <w:tcW w:w="652" w:type="pct"/>
            <w:shd w:val="clear" w:color="auto" w:fill="auto"/>
            <w:noWrap/>
            <w:hideMark/>
          </w:tcPr>
          <w:p w14:paraId="196C8449" w14:textId="77777777" w:rsidR="001B13EC" w:rsidRPr="00181EF3" w:rsidRDefault="001B13EC" w:rsidP="001B13EC">
            <w:pPr>
              <w:pStyle w:val="TableText"/>
              <w:jc w:val="center"/>
              <w:rPr>
                <w:lang w:eastAsia="en-NZ"/>
              </w:rPr>
            </w:pPr>
            <w:r w:rsidRPr="00181EF3">
              <w:rPr>
                <w:lang w:eastAsia="en-NZ"/>
              </w:rPr>
              <w:t>15+</w:t>
            </w:r>
          </w:p>
        </w:tc>
        <w:tc>
          <w:tcPr>
            <w:tcW w:w="933" w:type="pct"/>
            <w:shd w:val="clear" w:color="auto" w:fill="auto"/>
            <w:noWrap/>
            <w:hideMark/>
          </w:tcPr>
          <w:p w14:paraId="731BA52E"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512EBE9A" w14:textId="77777777" w:rsidTr="001B13EC">
        <w:trPr>
          <w:cantSplit/>
        </w:trPr>
        <w:tc>
          <w:tcPr>
            <w:tcW w:w="1051" w:type="pct"/>
            <w:vMerge/>
            <w:shd w:val="clear" w:color="auto" w:fill="auto"/>
            <w:noWrap/>
          </w:tcPr>
          <w:p w14:paraId="485FF3FF" w14:textId="77777777" w:rsidR="001B13EC" w:rsidRPr="00181EF3" w:rsidRDefault="001B13EC" w:rsidP="001B13EC">
            <w:pPr>
              <w:pStyle w:val="TableText"/>
              <w:rPr>
                <w:lang w:eastAsia="en-NZ"/>
              </w:rPr>
            </w:pPr>
          </w:p>
        </w:tc>
        <w:tc>
          <w:tcPr>
            <w:tcW w:w="615" w:type="pct"/>
            <w:shd w:val="clear" w:color="auto" w:fill="auto"/>
            <w:noWrap/>
            <w:hideMark/>
          </w:tcPr>
          <w:p w14:paraId="24204F03" w14:textId="77777777" w:rsidR="001B13EC" w:rsidRPr="00181EF3" w:rsidRDefault="001B13EC" w:rsidP="001B13EC">
            <w:pPr>
              <w:pStyle w:val="TableText"/>
              <w:jc w:val="center"/>
              <w:rPr>
                <w:lang w:eastAsia="en-NZ"/>
              </w:rPr>
            </w:pPr>
            <w:r w:rsidRPr="00181EF3">
              <w:rPr>
                <w:lang w:eastAsia="en-NZ"/>
              </w:rPr>
              <w:t>A53</w:t>
            </w:r>
          </w:p>
        </w:tc>
        <w:tc>
          <w:tcPr>
            <w:tcW w:w="1749" w:type="pct"/>
            <w:shd w:val="clear" w:color="auto" w:fill="auto"/>
            <w:noWrap/>
            <w:hideMark/>
          </w:tcPr>
          <w:p w14:paraId="0683E39C" w14:textId="77777777" w:rsidR="001B13EC" w:rsidRPr="00181EF3" w:rsidRDefault="001B13EC" w:rsidP="001B13EC">
            <w:pPr>
              <w:pStyle w:val="TableText"/>
              <w:rPr>
                <w:lang w:eastAsia="en-NZ"/>
              </w:rPr>
            </w:pPr>
            <w:r w:rsidRPr="00181EF3">
              <w:rPr>
                <w:lang w:eastAsia="en-NZ"/>
              </w:rPr>
              <w:t>Other and unspecified syphilis</w:t>
            </w:r>
          </w:p>
        </w:tc>
        <w:tc>
          <w:tcPr>
            <w:tcW w:w="652" w:type="pct"/>
            <w:shd w:val="clear" w:color="auto" w:fill="auto"/>
            <w:noWrap/>
            <w:hideMark/>
          </w:tcPr>
          <w:p w14:paraId="0CBF9005" w14:textId="77777777" w:rsidR="001B13EC" w:rsidRPr="00181EF3" w:rsidRDefault="001B13EC" w:rsidP="001B13EC">
            <w:pPr>
              <w:pStyle w:val="TableText"/>
              <w:jc w:val="center"/>
              <w:rPr>
                <w:lang w:eastAsia="en-NZ"/>
              </w:rPr>
            </w:pPr>
            <w:r w:rsidRPr="00181EF3">
              <w:rPr>
                <w:lang w:eastAsia="en-NZ"/>
              </w:rPr>
              <w:t>15+</w:t>
            </w:r>
          </w:p>
        </w:tc>
        <w:tc>
          <w:tcPr>
            <w:tcW w:w="933" w:type="pct"/>
            <w:shd w:val="clear" w:color="auto" w:fill="auto"/>
            <w:noWrap/>
            <w:hideMark/>
          </w:tcPr>
          <w:p w14:paraId="2C04DA12"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39BB6FEC" w14:textId="77777777" w:rsidTr="001B13EC">
        <w:trPr>
          <w:cantSplit/>
        </w:trPr>
        <w:tc>
          <w:tcPr>
            <w:tcW w:w="1051" w:type="pct"/>
            <w:vMerge/>
            <w:shd w:val="clear" w:color="auto" w:fill="auto"/>
            <w:noWrap/>
          </w:tcPr>
          <w:p w14:paraId="09530087" w14:textId="77777777" w:rsidR="001B13EC" w:rsidRPr="00181EF3" w:rsidRDefault="001B13EC" w:rsidP="001B13EC">
            <w:pPr>
              <w:pStyle w:val="TableText"/>
              <w:rPr>
                <w:lang w:eastAsia="en-NZ"/>
              </w:rPr>
            </w:pPr>
          </w:p>
        </w:tc>
        <w:tc>
          <w:tcPr>
            <w:tcW w:w="615" w:type="pct"/>
            <w:shd w:val="clear" w:color="auto" w:fill="auto"/>
            <w:noWrap/>
            <w:hideMark/>
          </w:tcPr>
          <w:p w14:paraId="5047E1B5" w14:textId="77777777" w:rsidR="001B13EC" w:rsidRPr="00181EF3" w:rsidRDefault="001B13EC" w:rsidP="001B13EC">
            <w:pPr>
              <w:pStyle w:val="TableText"/>
              <w:jc w:val="center"/>
              <w:rPr>
                <w:lang w:eastAsia="en-NZ"/>
              </w:rPr>
            </w:pPr>
            <w:r w:rsidRPr="00181EF3">
              <w:rPr>
                <w:lang w:eastAsia="en-NZ"/>
              </w:rPr>
              <w:t>A54</w:t>
            </w:r>
          </w:p>
        </w:tc>
        <w:tc>
          <w:tcPr>
            <w:tcW w:w="1749" w:type="pct"/>
            <w:shd w:val="clear" w:color="auto" w:fill="auto"/>
            <w:noWrap/>
            <w:hideMark/>
          </w:tcPr>
          <w:p w14:paraId="70AAAC1A" w14:textId="77777777" w:rsidR="001B13EC" w:rsidRPr="00181EF3" w:rsidRDefault="001B13EC" w:rsidP="001B13EC">
            <w:pPr>
              <w:pStyle w:val="TableText"/>
              <w:rPr>
                <w:lang w:eastAsia="en-NZ"/>
              </w:rPr>
            </w:pPr>
            <w:r w:rsidRPr="00181EF3">
              <w:rPr>
                <w:lang w:eastAsia="en-NZ"/>
              </w:rPr>
              <w:t>Gonococcal infection</w:t>
            </w:r>
          </w:p>
        </w:tc>
        <w:tc>
          <w:tcPr>
            <w:tcW w:w="652" w:type="pct"/>
            <w:shd w:val="clear" w:color="auto" w:fill="auto"/>
            <w:noWrap/>
            <w:hideMark/>
          </w:tcPr>
          <w:p w14:paraId="5E9948FF" w14:textId="77777777" w:rsidR="001B13EC" w:rsidRPr="00181EF3" w:rsidRDefault="001B13EC" w:rsidP="001B13EC">
            <w:pPr>
              <w:pStyle w:val="TableText"/>
              <w:jc w:val="center"/>
              <w:rPr>
                <w:lang w:eastAsia="en-NZ"/>
              </w:rPr>
            </w:pPr>
            <w:r w:rsidRPr="00181EF3">
              <w:rPr>
                <w:lang w:eastAsia="en-NZ"/>
              </w:rPr>
              <w:t>15+</w:t>
            </w:r>
          </w:p>
        </w:tc>
        <w:tc>
          <w:tcPr>
            <w:tcW w:w="933" w:type="pct"/>
            <w:shd w:val="clear" w:color="auto" w:fill="auto"/>
            <w:noWrap/>
            <w:hideMark/>
          </w:tcPr>
          <w:p w14:paraId="399239AD"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2A574443" w14:textId="77777777" w:rsidTr="001B13EC">
        <w:trPr>
          <w:cantSplit/>
        </w:trPr>
        <w:tc>
          <w:tcPr>
            <w:tcW w:w="1051" w:type="pct"/>
            <w:vMerge/>
            <w:shd w:val="clear" w:color="auto" w:fill="auto"/>
            <w:noWrap/>
          </w:tcPr>
          <w:p w14:paraId="66C194E9" w14:textId="77777777" w:rsidR="001B13EC" w:rsidRPr="00181EF3" w:rsidRDefault="001B13EC" w:rsidP="001B13EC">
            <w:pPr>
              <w:pStyle w:val="TableText"/>
              <w:rPr>
                <w:lang w:eastAsia="en-NZ"/>
              </w:rPr>
            </w:pPr>
          </w:p>
        </w:tc>
        <w:tc>
          <w:tcPr>
            <w:tcW w:w="615" w:type="pct"/>
            <w:shd w:val="clear" w:color="auto" w:fill="auto"/>
            <w:noWrap/>
            <w:hideMark/>
          </w:tcPr>
          <w:p w14:paraId="2B7AA93B" w14:textId="77777777" w:rsidR="001B13EC" w:rsidRPr="00181EF3" w:rsidRDefault="001B13EC" w:rsidP="001B13EC">
            <w:pPr>
              <w:pStyle w:val="TableText"/>
              <w:jc w:val="center"/>
              <w:rPr>
                <w:lang w:eastAsia="en-NZ"/>
              </w:rPr>
            </w:pPr>
            <w:r w:rsidRPr="00181EF3">
              <w:rPr>
                <w:lang w:eastAsia="en-NZ"/>
              </w:rPr>
              <w:t>A55</w:t>
            </w:r>
          </w:p>
        </w:tc>
        <w:tc>
          <w:tcPr>
            <w:tcW w:w="1749" w:type="pct"/>
            <w:shd w:val="clear" w:color="auto" w:fill="auto"/>
            <w:noWrap/>
            <w:hideMark/>
          </w:tcPr>
          <w:p w14:paraId="1BBAF635" w14:textId="77777777" w:rsidR="001B13EC" w:rsidRPr="00181EF3" w:rsidRDefault="001B13EC" w:rsidP="001B13EC">
            <w:pPr>
              <w:pStyle w:val="TableText"/>
              <w:rPr>
                <w:lang w:eastAsia="en-NZ"/>
              </w:rPr>
            </w:pPr>
            <w:r w:rsidRPr="00181EF3">
              <w:rPr>
                <w:lang w:eastAsia="en-NZ"/>
              </w:rPr>
              <w:t>Chlamydial lymphogranuloma (venereum)</w:t>
            </w:r>
          </w:p>
        </w:tc>
        <w:tc>
          <w:tcPr>
            <w:tcW w:w="652" w:type="pct"/>
            <w:shd w:val="clear" w:color="auto" w:fill="auto"/>
            <w:noWrap/>
            <w:hideMark/>
          </w:tcPr>
          <w:p w14:paraId="6E840473" w14:textId="77777777" w:rsidR="001B13EC" w:rsidRPr="00181EF3" w:rsidRDefault="001B13EC" w:rsidP="001B13EC">
            <w:pPr>
              <w:pStyle w:val="TableText"/>
              <w:jc w:val="center"/>
              <w:rPr>
                <w:lang w:eastAsia="en-NZ"/>
              </w:rPr>
            </w:pPr>
            <w:r w:rsidRPr="00181EF3">
              <w:rPr>
                <w:lang w:eastAsia="en-NZ"/>
              </w:rPr>
              <w:t>15+</w:t>
            </w:r>
          </w:p>
        </w:tc>
        <w:tc>
          <w:tcPr>
            <w:tcW w:w="933" w:type="pct"/>
            <w:shd w:val="clear" w:color="auto" w:fill="auto"/>
            <w:noWrap/>
            <w:hideMark/>
          </w:tcPr>
          <w:p w14:paraId="59ABAEA1"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1820B97B" w14:textId="77777777" w:rsidTr="001B13EC">
        <w:trPr>
          <w:cantSplit/>
        </w:trPr>
        <w:tc>
          <w:tcPr>
            <w:tcW w:w="1051" w:type="pct"/>
            <w:vMerge/>
            <w:shd w:val="clear" w:color="auto" w:fill="auto"/>
            <w:noWrap/>
          </w:tcPr>
          <w:p w14:paraId="70E275C9" w14:textId="77777777" w:rsidR="001B13EC" w:rsidRPr="00181EF3" w:rsidRDefault="001B13EC" w:rsidP="001B13EC">
            <w:pPr>
              <w:pStyle w:val="TableText"/>
              <w:rPr>
                <w:lang w:eastAsia="en-NZ"/>
              </w:rPr>
            </w:pPr>
          </w:p>
        </w:tc>
        <w:tc>
          <w:tcPr>
            <w:tcW w:w="615" w:type="pct"/>
            <w:shd w:val="clear" w:color="auto" w:fill="auto"/>
            <w:noWrap/>
            <w:hideMark/>
          </w:tcPr>
          <w:p w14:paraId="3ACD89BE" w14:textId="77777777" w:rsidR="001B13EC" w:rsidRPr="00181EF3" w:rsidRDefault="001B13EC" w:rsidP="001B13EC">
            <w:pPr>
              <w:pStyle w:val="TableText"/>
              <w:jc w:val="center"/>
              <w:rPr>
                <w:lang w:eastAsia="en-NZ"/>
              </w:rPr>
            </w:pPr>
            <w:r w:rsidRPr="00181EF3">
              <w:rPr>
                <w:lang w:eastAsia="en-NZ"/>
              </w:rPr>
              <w:t>A56</w:t>
            </w:r>
          </w:p>
        </w:tc>
        <w:tc>
          <w:tcPr>
            <w:tcW w:w="1749" w:type="pct"/>
            <w:shd w:val="clear" w:color="auto" w:fill="auto"/>
            <w:noWrap/>
            <w:hideMark/>
          </w:tcPr>
          <w:p w14:paraId="7A2A2340" w14:textId="77777777" w:rsidR="001B13EC" w:rsidRPr="00181EF3" w:rsidRDefault="001B13EC" w:rsidP="001B13EC">
            <w:pPr>
              <w:pStyle w:val="TableText"/>
              <w:rPr>
                <w:lang w:eastAsia="en-NZ"/>
              </w:rPr>
            </w:pPr>
            <w:r w:rsidRPr="00181EF3">
              <w:rPr>
                <w:lang w:eastAsia="en-NZ"/>
              </w:rPr>
              <w:t>Other sexually transmitted chlamydial diseases</w:t>
            </w:r>
          </w:p>
        </w:tc>
        <w:tc>
          <w:tcPr>
            <w:tcW w:w="652" w:type="pct"/>
            <w:shd w:val="clear" w:color="auto" w:fill="auto"/>
            <w:noWrap/>
            <w:hideMark/>
          </w:tcPr>
          <w:p w14:paraId="3D97374D" w14:textId="77777777" w:rsidR="001B13EC" w:rsidRPr="00181EF3" w:rsidRDefault="001B13EC" w:rsidP="001B13EC">
            <w:pPr>
              <w:pStyle w:val="TableText"/>
              <w:jc w:val="center"/>
              <w:rPr>
                <w:lang w:eastAsia="en-NZ"/>
              </w:rPr>
            </w:pPr>
            <w:r w:rsidRPr="00181EF3">
              <w:rPr>
                <w:lang w:eastAsia="en-NZ"/>
              </w:rPr>
              <w:t>15+</w:t>
            </w:r>
          </w:p>
        </w:tc>
        <w:tc>
          <w:tcPr>
            <w:tcW w:w="933" w:type="pct"/>
            <w:shd w:val="clear" w:color="auto" w:fill="auto"/>
            <w:noWrap/>
            <w:hideMark/>
          </w:tcPr>
          <w:p w14:paraId="6D3151EC"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65837B81" w14:textId="77777777" w:rsidTr="001B13EC">
        <w:trPr>
          <w:cantSplit/>
        </w:trPr>
        <w:tc>
          <w:tcPr>
            <w:tcW w:w="1051" w:type="pct"/>
            <w:vMerge/>
            <w:shd w:val="clear" w:color="auto" w:fill="auto"/>
            <w:noWrap/>
          </w:tcPr>
          <w:p w14:paraId="3A786925" w14:textId="77777777" w:rsidR="001B13EC" w:rsidRPr="00181EF3" w:rsidRDefault="001B13EC" w:rsidP="001B13EC">
            <w:pPr>
              <w:pStyle w:val="TableText"/>
              <w:rPr>
                <w:lang w:eastAsia="en-NZ"/>
              </w:rPr>
            </w:pPr>
          </w:p>
        </w:tc>
        <w:tc>
          <w:tcPr>
            <w:tcW w:w="615" w:type="pct"/>
            <w:shd w:val="clear" w:color="auto" w:fill="auto"/>
            <w:noWrap/>
            <w:hideMark/>
          </w:tcPr>
          <w:p w14:paraId="38667287" w14:textId="77777777" w:rsidR="001B13EC" w:rsidRPr="00181EF3" w:rsidRDefault="001B13EC" w:rsidP="001B13EC">
            <w:pPr>
              <w:pStyle w:val="TableText"/>
              <w:jc w:val="center"/>
              <w:rPr>
                <w:lang w:eastAsia="en-NZ"/>
              </w:rPr>
            </w:pPr>
            <w:r w:rsidRPr="00181EF3">
              <w:rPr>
                <w:lang w:eastAsia="en-NZ"/>
              </w:rPr>
              <w:t>A57</w:t>
            </w:r>
          </w:p>
        </w:tc>
        <w:tc>
          <w:tcPr>
            <w:tcW w:w="1749" w:type="pct"/>
            <w:shd w:val="clear" w:color="auto" w:fill="auto"/>
            <w:noWrap/>
            <w:hideMark/>
          </w:tcPr>
          <w:p w14:paraId="4D4486D3" w14:textId="77777777" w:rsidR="001B13EC" w:rsidRPr="00181EF3" w:rsidRDefault="001B13EC" w:rsidP="001B13EC">
            <w:pPr>
              <w:pStyle w:val="TableText"/>
              <w:rPr>
                <w:lang w:eastAsia="en-NZ"/>
              </w:rPr>
            </w:pPr>
            <w:r w:rsidRPr="00181EF3">
              <w:rPr>
                <w:lang w:eastAsia="en-NZ"/>
              </w:rPr>
              <w:t>Chancroid</w:t>
            </w:r>
          </w:p>
        </w:tc>
        <w:tc>
          <w:tcPr>
            <w:tcW w:w="652" w:type="pct"/>
            <w:shd w:val="clear" w:color="auto" w:fill="auto"/>
            <w:noWrap/>
            <w:hideMark/>
          </w:tcPr>
          <w:p w14:paraId="58F52810" w14:textId="77777777" w:rsidR="001B13EC" w:rsidRPr="00181EF3" w:rsidRDefault="001B13EC" w:rsidP="001B13EC">
            <w:pPr>
              <w:pStyle w:val="TableText"/>
              <w:jc w:val="center"/>
              <w:rPr>
                <w:lang w:eastAsia="en-NZ"/>
              </w:rPr>
            </w:pPr>
            <w:r w:rsidRPr="00181EF3">
              <w:rPr>
                <w:lang w:eastAsia="en-NZ"/>
              </w:rPr>
              <w:t>15+</w:t>
            </w:r>
          </w:p>
        </w:tc>
        <w:tc>
          <w:tcPr>
            <w:tcW w:w="933" w:type="pct"/>
            <w:shd w:val="clear" w:color="auto" w:fill="auto"/>
            <w:noWrap/>
            <w:hideMark/>
          </w:tcPr>
          <w:p w14:paraId="500EDEBB"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10EE8E6E" w14:textId="77777777" w:rsidTr="001B13EC">
        <w:trPr>
          <w:cantSplit/>
        </w:trPr>
        <w:tc>
          <w:tcPr>
            <w:tcW w:w="1051" w:type="pct"/>
            <w:vMerge/>
            <w:shd w:val="clear" w:color="auto" w:fill="auto"/>
            <w:noWrap/>
          </w:tcPr>
          <w:p w14:paraId="00260053" w14:textId="77777777" w:rsidR="001B13EC" w:rsidRPr="00181EF3" w:rsidRDefault="001B13EC" w:rsidP="001B13EC">
            <w:pPr>
              <w:pStyle w:val="TableText"/>
              <w:rPr>
                <w:lang w:eastAsia="en-NZ"/>
              </w:rPr>
            </w:pPr>
          </w:p>
        </w:tc>
        <w:tc>
          <w:tcPr>
            <w:tcW w:w="615" w:type="pct"/>
            <w:shd w:val="clear" w:color="auto" w:fill="auto"/>
            <w:noWrap/>
            <w:hideMark/>
          </w:tcPr>
          <w:p w14:paraId="4CE71850" w14:textId="77777777" w:rsidR="001B13EC" w:rsidRPr="00181EF3" w:rsidRDefault="001B13EC" w:rsidP="001B13EC">
            <w:pPr>
              <w:pStyle w:val="TableText"/>
              <w:jc w:val="center"/>
              <w:rPr>
                <w:lang w:eastAsia="en-NZ"/>
              </w:rPr>
            </w:pPr>
            <w:r w:rsidRPr="00181EF3">
              <w:rPr>
                <w:lang w:eastAsia="en-NZ"/>
              </w:rPr>
              <w:t>A58</w:t>
            </w:r>
          </w:p>
        </w:tc>
        <w:tc>
          <w:tcPr>
            <w:tcW w:w="1749" w:type="pct"/>
            <w:shd w:val="clear" w:color="auto" w:fill="auto"/>
            <w:noWrap/>
            <w:hideMark/>
          </w:tcPr>
          <w:p w14:paraId="589C9CB0" w14:textId="77777777" w:rsidR="001B13EC" w:rsidRPr="00181EF3" w:rsidRDefault="001B13EC" w:rsidP="001B13EC">
            <w:pPr>
              <w:pStyle w:val="TableText"/>
              <w:rPr>
                <w:lang w:eastAsia="en-NZ"/>
              </w:rPr>
            </w:pPr>
            <w:r w:rsidRPr="00181EF3">
              <w:rPr>
                <w:lang w:eastAsia="en-NZ"/>
              </w:rPr>
              <w:t>Granuloma inguinale</w:t>
            </w:r>
          </w:p>
        </w:tc>
        <w:tc>
          <w:tcPr>
            <w:tcW w:w="652" w:type="pct"/>
            <w:shd w:val="clear" w:color="auto" w:fill="auto"/>
            <w:noWrap/>
            <w:hideMark/>
          </w:tcPr>
          <w:p w14:paraId="0B33FC2F" w14:textId="77777777" w:rsidR="001B13EC" w:rsidRPr="00181EF3" w:rsidRDefault="001B13EC" w:rsidP="001B13EC">
            <w:pPr>
              <w:pStyle w:val="TableText"/>
              <w:jc w:val="center"/>
              <w:rPr>
                <w:lang w:eastAsia="en-NZ"/>
              </w:rPr>
            </w:pPr>
            <w:r w:rsidRPr="00181EF3">
              <w:rPr>
                <w:lang w:eastAsia="en-NZ"/>
              </w:rPr>
              <w:t>15+</w:t>
            </w:r>
          </w:p>
        </w:tc>
        <w:tc>
          <w:tcPr>
            <w:tcW w:w="933" w:type="pct"/>
            <w:shd w:val="clear" w:color="auto" w:fill="auto"/>
            <w:noWrap/>
            <w:hideMark/>
          </w:tcPr>
          <w:p w14:paraId="645E4E4B"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333D9421" w14:textId="77777777" w:rsidTr="001B13EC">
        <w:trPr>
          <w:cantSplit/>
        </w:trPr>
        <w:tc>
          <w:tcPr>
            <w:tcW w:w="1051" w:type="pct"/>
            <w:vMerge/>
            <w:shd w:val="clear" w:color="auto" w:fill="auto"/>
            <w:noWrap/>
          </w:tcPr>
          <w:p w14:paraId="2ADADD1E" w14:textId="77777777" w:rsidR="001B13EC" w:rsidRPr="00181EF3" w:rsidRDefault="001B13EC" w:rsidP="001B13EC">
            <w:pPr>
              <w:pStyle w:val="TableText"/>
              <w:rPr>
                <w:lang w:eastAsia="en-NZ"/>
              </w:rPr>
            </w:pPr>
          </w:p>
        </w:tc>
        <w:tc>
          <w:tcPr>
            <w:tcW w:w="615" w:type="pct"/>
            <w:shd w:val="clear" w:color="auto" w:fill="auto"/>
            <w:noWrap/>
            <w:hideMark/>
          </w:tcPr>
          <w:p w14:paraId="2961827E" w14:textId="77777777" w:rsidR="001B13EC" w:rsidRPr="00181EF3" w:rsidRDefault="001B13EC" w:rsidP="001B13EC">
            <w:pPr>
              <w:pStyle w:val="TableText"/>
              <w:jc w:val="center"/>
              <w:rPr>
                <w:lang w:eastAsia="en-NZ"/>
              </w:rPr>
            </w:pPr>
            <w:r w:rsidRPr="00181EF3">
              <w:rPr>
                <w:lang w:eastAsia="en-NZ"/>
              </w:rPr>
              <w:t>A59</w:t>
            </w:r>
          </w:p>
        </w:tc>
        <w:tc>
          <w:tcPr>
            <w:tcW w:w="1749" w:type="pct"/>
            <w:shd w:val="clear" w:color="auto" w:fill="auto"/>
            <w:noWrap/>
            <w:hideMark/>
          </w:tcPr>
          <w:p w14:paraId="1CD7F743" w14:textId="77777777" w:rsidR="001B13EC" w:rsidRPr="00181EF3" w:rsidRDefault="001B13EC" w:rsidP="001B13EC">
            <w:pPr>
              <w:pStyle w:val="TableText"/>
              <w:rPr>
                <w:lang w:eastAsia="en-NZ"/>
              </w:rPr>
            </w:pPr>
            <w:r w:rsidRPr="00181EF3">
              <w:rPr>
                <w:lang w:eastAsia="en-NZ"/>
              </w:rPr>
              <w:t>Trichomoniasis</w:t>
            </w:r>
          </w:p>
        </w:tc>
        <w:tc>
          <w:tcPr>
            <w:tcW w:w="652" w:type="pct"/>
            <w:shd w:val="clear" w:color="auto" w:fill="auto"/>
            <w:noWrap/>
            <w:hideMark/>
          </w:tcPr>
          <w:p w14:paraId="243596DD" w14:textId="77777777" w:rsidR="001B13EC" w:rsidRPr="00181EF3" w:rsidRDefault="001B13EC" w:rsidP="001B13EC">
            <w:pPr>
              <w:pStyle w:val="TableText"/>
              <w:jc w:val="center"/>
              <w:rPr>
                <w:lang w:eastAsia="en-NZ"/>
              </w:rPr>
            </w:pPr>
            <w:r w:rsidRPr="00181EF3">
              <w:rPr>
                <w:lang w:eastAsia="en-NZ"/>
              </w:rPr>
              <w:t>15+</w:t>
            </w:r>
          </w:p>
        </w:tc>
        <w:tc>
          <w:tcPr>
            <w:tcW w:w="933" w:type="pct"/>
            <w:shd w:val="clear" w:color="auto" w:fill="auto"/>
            <w:noWrap/>
            <w:hideMark/>
          </w:tcPr>
          <w:p w14:paraId="36E967BD"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4AC90CCB" w14:textId="77777777" w:rsidTr="001B13EC">
        <w:trPr>
          <w:cantSplit/>
        </w:trPr>
        <w:tc>
          <w:tcPr>
            <w:tcW w:w="1051" w:type="pct"/>
            <w:vMerge/>
            <w:shd w:val="clear" w:color="auto" w:fill="auto"/>
            <w:noWrap/>
          </w:tcPr>
          <w:p w14:paraId="5C6880FD" w14:textId="77777777" w:rsidR="001B13EC" w:rsidRPr="00181EF3" w:rsidRDefault="001B13EC" w:rsidP="001B13EC">
            <w:pPr>
              <w:pStyle w:val="TableText"/>
              <w:rPr>
                <w:lang w:eastAsia="en-NZ"/>
              </w:rPr>
            </w:pPr>
          </w:p>
        </w:tc>
        <w:tc>
          <w:tcPr>
            <w:tcW w:w="615" w:type="pct"/>
            <w:shd w:val="clear" w:color="auto" w:fill="auto"/>
            <w:noWrap/>
            <w:hideMark/>
          </w:tcPr>
          <w:p w14:paraId="3029634C" w14:textId="77777777" w:rsidR="001B13EC" w:rsidRPr="00181EF3" w:rsidRDefault="001B13EC" w:rsidP="001B13EC">
            <w:pPr>
              <w:pStyle w:val="TableText"/>
              <w:jc w:val="center"/>
              <w:rPr>
                <w:lang w:eastAsia="en-NZ"/>
              </w:rPr>
            </w:pPr>
            <w:r w:rsidRPr="00181EF3">
              <w:rPr>
                <w:lang w:eastAsia="en-NZ"/>
              </w:rPr>
              <w:t>A60</w:t>
            </w:r>
          </w:p>
        </w:tc>
        <w:tc>
          <w:tcPr>
            <w:tcW w:w="1749" w:type="pct"/>
            <w:shd w:val="clear" w:color="auto" w:fill="auto"/>
            <w:noWrap/>
            <w:hideMark/>
          </w:tcPr>
          <w:p w14:paraId="3ED317FA" w14:textId="77777777" w:rsidR="001B13EC" w:rsidRPr="00181EF3" w:rsidRDefault="001B13EC" w:rsidP="001B13EC">
            <w:pPr>
              <w:pStyle w:val="TableText"/>
              <w:rPr>
                <w:lang w:eastAsia="en-NZ"/>
              </w:rPr>
            </w:pPr>
            <w:r w:rsidRPr="00181EF3">
              <w:rPr>
                <w:lang w:eastAsia="en-NZ"/>
              </w:rPr>
              <w:t>Anogenital herpesviral [herpes simplex] infection</w:t>
            </w:r>
          </w:p>
        </w:tc>
        <w:tc>
          <w:tcPr>
            <w:tcW w:w="652" w:type="pct"/>
            <w:shd w:val="clear" w:color="auto" w:fill="auto"/>
            <w:noWrap/>
            <w:hideMark/>
          </w:tcPr>
          <w:p w14:paraId="434BA298" w14:textId="77777777" w:rsidR="001B13EC" w:rsidRPr="00181EF3" w:rsidRDefault="001B13EC" w:rsidP="001B13EC">
            <w:pPr>
              <w:pStyle w:val="TableText"/>
              <w:jc w:val="center"/>
              <w:rPr>
                <w:lang w:eastAsia="en-NZ"/>
              </w:rPr>
            </w:pPr>
            <w:r w:rsidRPr="00181EF3">
              <w:rPr>
                <w:lang w:eastAsia="en-NZ"/>
              </w:rPr>
              <w:t>15+</w:t>
            </w:r>
          </w:p>
        </w:tc>
        <w:tc>
          <w:tcPr>
            <w:tcW w:w="933" w:type="pct"/>
            <w:shd w:val="clear" w:color="auto" w:fill="auto"/>
            <w:noWrap/>
            <w:hideMark/>
          </w:tcPr>
          <w:p w14:paraId="47A973B7"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3DC32C78" w14:textId="77777777" w:rsidTr="001B13EC">
        <w:trPr>
          <w:cantSplit/>
        </w:trPr>
        <w:tc>
          <w:tcPr>
            <w:tcW w:w="1051" w:type="pct"/>
            <w:vMerge/>
            <w:shd w:val="clear" w:color="auto" w:fill="auto"/>
            <w:noWrap/>
            <w:hideMark/>
          </w:tcPr>
          <w:p w14:paraId="1DFCB55E" w14:textId="77777777" w:rsidR="001B13EC" w:rsidRPr="00181EF3" w:rsidRDefault="001B13EC" w:rsidP="001B13EC">
            <w:pPr>
              <w:pStyle w:val="TableText"/>
              <w:rPr>
                <w:lang w:eastAsia="en-NZ"/>
              </w:rPr>
            </w:pPr>
          </w:p>
        </w:tc>
        <w:tc>
          <w:tcPr>
            <w:tcW w:w="615" w:type="pct"/>
            <w:shd w:val="clear" w:color="auto" w:fill="auto"/>
            <w:hideMark/>
          </w:tcPr>
          <w:p w14:paraId="02C6A707" w14:textId="77777777" w:rsidR="001B13EC" w:rsidRPr="00181EF3" w:rsidRDefault="001B13EC" w:rsidP="001B13EC">
            <w:pPr>
              <w:pStyle w:val="TableText"/>
              <w:jc w:val="center"/>
              <w:rPr>
                <w:lang w:eastAsia="en-NZ"/>
              </w:rPr>
            </w:pPr>
            <w:r w:rsidRPr="00181EF3">
              <w:rPr>
                <w:lang w:eastAsia="en-NZ"/>
              </w:rPr>
              <w:t>A63</w:t>
            </w:r>
          </w:p>
        </w:tc>
        <w:tc>
          <w:tcPr>
            <w:tcW w:w="1749" w:type="pct"/>
            <w:shd w:val="clear" w:color="auto" w:fill="auto"/>
            <w:noWrap/>
            <w:hideMark/>
          </w:tcPr>
          <w:p w14:paraId="1A025CC9" w14:textId="77777777" w:rsidR="001B13EC" w:rsidRPr="00181EF3" w:rsidRDefault="001B13EC" w:rsidP="001B13EC">
            <w:pPr>
              <w:pStyle w:val="TableText"/>
              <w:rPr>
                <w:lang w:eastAsia="en-NZ"/>
              </w:rPr>
            </w:pPr>
            <w:r w:rsidRPr="00181EF3">
              <w:rPr>
                <w:lang w:eastAsia="en-NZ"/>
              </w:rPr>
              <w:t>Other predominantly sexually transmitted diseases, not elsewhere classified</w:t>
            </w:r>
          </w:p>
        </w:tc>
        <w:tc>
          <w:tcPr>
            <w:tcW w:w="652" w:type="pct"/>
            <w:shd w:val="clear" w:color="auto" w:fill="auto"/>
            <w:noWrap/>
            <w:hideMark/>
          </w:tcPr>
          <w:p w14:paraId="67AE490F" w14:textId="77777777" w:rsidR="001B13EC" w:rsidRPr="00181EF3" w:rsidRDefault="001B13EC" w:rsidP="001B13EC">
            <w:pPr>
              <w:pStyle w:val="TableText"/>
              <w:jc w:val="center"/>
              <w:rPr>
                <w:lang w:eastAsia="en-NZ"/>
              </w:rPr>
            </w:pPr>
            <w:r w:rsidRPr="00181EF3">
              <w:rPr>
                <w:lang w:eastAsia="en-NZ"/>
              </w:rPr>
              <w:t>15+</w:t>
            </w:r>
          </w:p>
        </w:tc>
        <w:tc>
          <w:tcPr>
            <w:tcW w:w="933" w:type="pct"/>
            <w:shd w:val="clear" w:color="auto" w:fill="auto"/>
            <w:noWrap/>
            <w:hideMark/>
          </w:tcPr>
          <w:p w14:paraId="2435C494"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0E05FEF7" w14:textId="77777777" w:rsidTr="001B13EC">
        <w:trPr>
          <w:cantSplit/>
        </w:trPr>
        <w:tc>
          <w:tcPr>
            <w:tcW w:w="1051" w:type="pct"/>
            <w:vMerge/>
            <w:shd w:val="clear" w:color="auto" w:fill="auto"/>
            <w:noWrap/>
          </w:tcPr>
          <w:p w14:paraId="038DD51C" w14:textId="77777777" w:rsidR="001B13EC" w:rsidRPr="00181EF3" w:rsidRDefault="001B13EC" w:rsidP="001B13EC">
            <w:pPr>
              <w:pStyle w:val="TableText"/>
              <w:rPr>
                <w:lang w:eastAsia="en-NZ"/>
              </w:rPr>
            </w:pPr>
          </w:p>
        </w:tc>
        <w:tc>
          <w:tcPr>
            <w:tcW w:w="615" w:type="pct"/>
            <w:shd w:val="clear" w:color="auto" w:fill="auto"/>
            <w:hideMark/>
          </w:tcPr>
          <w:p w14:paraId="73353AA8" w14:textId="77777777" w:rsidR="001B13EC" w:rsidRPr="00181EF3" w:rsidRDefault="001B13EC" w:rsidP="001B13EC">
            <w:pPr>
              <w:pStyle w:val="TableText"/>
              <w:jc w:val="center"/>
              <w:rPr>
                <w:lang w:eastAsia="en-NZ"/>
              </w:rPr>
            </w:pPr>
            <w:r w:rsidRPr="00181EF3">
              <w:rPr>
                <w:lang w:eastAsia="en-NZ"/>
              </w:rPr>
              <w:t>A64</w:t>
            </w:r>
          </w:p>
        </w:tc>
        <w:tc>
          <w:tcPr>
            <w:tcW w:w="1749" w:type="pct"/>
            <w:shd w:val="clear" w:color="auto" w:fill="auto"/>
            <w:noWrap/>
            <w:hideMark/>
          </w:tcPr>
          <w:p w14:paraId="5C1834AB" w14:textId="77777777" w:rsidR="001B13EC" w:rsidRPr="00181EF3" w:rsidRDefault="001B13EC" w:rsidP="001B13EC">
            <w:pPr>
              <w:pStyle w:val="TableText"/>
              <w:rPr>
                <w:lang w:eastAsia="en-NZ"/>
              </w:rPr>
            </w:pPr>
            <w:r w:rsidRPr="00181EF3">
              <w:rPr>
                <w:lang w:eastAsia="en-NZ"/>
              </w:rPr>
              <w:t>Unspecified sexually transmitted disease</w:t>
            </w:r>
          </w:p>
        </w:tc>
        <w:tc>
          <w:tcPr>
            <w:tcW w:w="652" w:type="pct"/>
            <w:shd w:val="clear" w:color="auto" w:fill="auto"/>
            <w:noWrap/>
            <w:hideMark/>
          </w:tcPr>
          <w:p w14:paraId="27A964DB" w14:textId="77777777" w:rsidR="001B13EC" w:rsidRPr="00181EF3" w:rsidRDefault="001B13EC" w:rsidP="001B13EC">
            <w:pPr>
              <w:pStyle w:val="TableText"/>
              <w:jc w:val="center"/>
              <w:rPr>
                <w:lang w:eastAsia="en-NZ"/>
              </w:rPr>
            </w:pPr>
            <w:r w:rsidRPr="00181EF3">
              <w:rPr>
                <w:lang w:eastAsia="en-NZ"/>
              </w:rPr>
              <w:t>15+</w:t>
            </w:r>
          </w:p>
        </w:tc>
        <w:tc>
          <w:tcPr>
            <w:tcW w:w="933" w:type="pct"/>
            <w:shd w:val="clear" w:color="auto" w:fill="auto"/>
            <w:noWrap/>
            <w:hideMark/>
          </w:tcPr>
          <w:p w14:paraId="288EEC25"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7CBF0188" w14:textId="77777777" w:rsidTr="001B13EC">
        <w:trPr>
          <w:cantSplit/>
        </w:trPr>
        <w:tc>
          <w:tcPr>
            <w:tcW w:w="1051" w:type="pct"/>
            <w:vMerge w:val="restart"/>
            <w:shd w:val="clear" w:color="auto" w:fill="auto"/>
            <w:noWrap/>
          </w:tcPr>
          <w:p w14:paraId="17131410" w14:textId="77777777" w:rsidR="001B13EC" w:rsidRPr="00181EF3" w:rsidRDefault="001B13EC" w:rsidP="001B13EC">
            <w:pPr>
              <w:pStyle w:val="TableText"/>
              <w:rPr>
                <w:lang w:eastAsia="en-NZ"/>
              </w:rPr>
            </w:pPr>
            <w:r w:rsidRPr="00181EF3">
              <w:rPr>
                <w:lang w:eastAsia="en-NZ"/>
              </w:rPr>
              <w:lastRenderedPageBreak/>
              <w:t>Sexually transmitted infections (continued)</w:t>
            </w:r>
          </w:p>
        </w:tc>
        <w:tc>
          <w:tcPr>
            <w:tcW w:w="615" w:type="pct"/>
            <w:shd w:val="clear" w:color="auto" w:fill="auto"/>
            <w:hideMark/>
          </w:tcPr>
          <w:p w14:paraId="51F5647B" w14:textId="77777777" w:rsidR="001B13EC" w:rsidRPr="00181EF3" w:rsidRDefault="001B13EC" w:rsidP="001B13EC">
            <w:pPr>
              <w:pStyle w:val="TableText"/>
              <w:jc w:val="center"/>
              <w:rPr>
                <w:lang w:eastAsia="en-NZ"/>
              </w:rPr>
            </w:pPr>
            <w:r w:rsidRPr="00181EF3">
              <w:rPr>
                <w:lang w:eastAsia="en-NZ"/>
              </w:rPr>
              <w:t>M02</w:t>
            </w:r>
            <w:r>
              <w:rPr>
                <w:lang w:eastAsia="en-NZ"/>
              </w:rPr>
              <w:t>.</w:t>
            </w:r>
            <w:r w:rsidRPr="00181EF3">
              <w:rPr>
                <w:lang w:eastAsia="en-NZ"/>
              </w:rPr>
              <w:t>3</w:t>
            </w:r>
          </w:p>
        </w:tc>
        <w:tc>
          <w:tcPr>
            <w:tcW w:w="1749" w:type="pct"/>
            <w:shd w:val="clear" w:color="auto" w:fill="auto"/>
            <w:noWrap/>
            <w:hideMark/>
          </w:tcPr>
          <w:p w14:paraId="4E1CA524" w14:textId="77777777" w:rsidR="001B13EC" w:rsidRPr="00181EF3" w:rsidRDefault="001B13EC" w:rsidP="001B13EC">
            <w:pPr>
              <w:pStyle w:val="TableText"/>
              <w:rPr>
                <w:lang w:eastAsia="en-NZ"/>
              </w:rPr>
            </w:pPr>
            <w:r w:rsidRPr="00181EF3">
              <w:rPr>
                <w:lang w:eastAsia="en-NZ"/>
              </w:rPr>
              <w:t>Reiter’s disease</w:t>
            </w:r>
          </w:p>
        </w:tc>
        <w:tc>
          <w:tcPr>
            <w:tcW w:w="652" w:type="pct"/>
            <w:shd w:val="clear" w:color="auto" w:fill="auto"/>
            <w:noWrap/>
            <w:hideMark/>
          </w:tcPr>
          <w:p w14:paraId="3BF8237B" w14:textId="77777777" w:rsidR="001B13EC" w:rsidRPr="00181EF3" w:rsidRDefault="001B13EC" w:rsidP="001B13EC">
            <w:pPr>
              <w:pStyle w:val="TableText"/>
              <w:jc w:val="center"/>
              <w:rPr>
                <w:lang w:eastAsia="en-NZ"/>
              </w:rPr>
            </w:pPr>
            <w:r w:rsidRPr="00181EF3">
              <w:rPr>
                <w:lang w:eastAsia="en-NZ"/>
              </w:rPr>
              <w:t>15+</w:t>
            </w:r>
          </w:p>
        </w:tc>
        <w:tc>
          <w:tcPr>
            <w:tcW w:w="933" w:type="pct"/>
            <w:shd w:val="clear" w:color="auto" w:fill="auto"/>
            <w:noWrap/>
            <w:hideMark/>
          </w:tcPr>
          <w:p w14:paraId="3975F183"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6C49BB62" w14:textId="77777777" w:rsidTr="001B13EC">
        <w:trPr>
          <w:cantSplit/>
        </w:trPr>
        <w:tc>
          <w:tcPr>
            <w:tcW w:w="1051" w:type="pct"/>
            <w:vMerge/>
            <w:shd w:val="clear" w:color="auto" w:fill="auto"/>
            <w:noWrap/>
          </w:tcPr>
          <w:p w14:paraId="46AAC188" w14:textId="77777777" w:rsidR="001B13EC" w:rsidRPr="00181EF3" w:rsidRDefault="001B13EC" w:rsidP="001B13EC">
            <w:pPr>
              <w:pStyle w:val="TableText"/>
              <w:rPr>
                <w:lang w:eastAsia="en-NZ"/>
              </w:rPr>
            </w:pPr>
          </w:p>
        </w:tc>
        <w:tc>
          <w:tcPr>
            <w:tcW w:w="615" w:type="pct"/>
            <w:shd w:val="clear" w:color="auto" w:fill="auto"/>
            <w:noWrap/>
            <w:hideMark/>
          </w:tcPr>
          <w:p w14:paraId="1FCF5374" w14:textId="77777777" w:rsidR="001B13EC" w:rsidRPr="00181EF3" w:rsidRDefault="001B13EC" w:rsidP="001B13EC">
            <w:pPr>
              <w:pStyle w:val="TableText"/>
              <w:jc w:val="center"/>
              <w:rPr>
                <w:lang w:eastAsia="en-NZ"/>
              </w:rPr>
            </w:pPr>
            <w:r w:rsidRPr="00181EF3">
              <w:rPr>
                <w:lang w:eastAsia="en-NZ"/>
              </w:rPr>
              <w:t>N34</w:t>
            </w:r>
            <w:r>
              <w:rPr>
                <w:lang w:eastAsia="en-NZ"/>
              </w:rPr>
              <w:t>.</w:t>
            </w:r>
            <w:r w:rsidRPr="00181EF3">
              <w:rPr>
                <w:lang w:eastAsia="en-NZ"/>
              </w:rPr>
              <w:t>1</w:t>
            </w:r>
          </w:p>
        </w:tc>
        <w:tc>
          <w:tcPr>
            <w:tcW w:w="1749" w:type="pct"/>
            <w:shd w:val="clear" w:color="auto" w:fill="auto"/>
            <w:noWrap/>
            <w:hideMark/>
          </w:tcPr>
          <w:p w14:paraId="6FC142D5" w14:textId="77777777" w:rsidR="001B13EC" w:rsidRPr="00181EF3" w:rsidRDefault="001B13EC" w:rsidP="001B13EC">
            <w:pPr>
              <w:pStyle w:val="TableText"/>
              <w:rPr>
                <w:lang w:eastAsia="en-NZ"/>
              </w:rPr>
            </w:pPr>
            <w:r w:rsidRPr="00181EF3">
              <w:rPr>
                <w:lang w:eastAsia="en-NZ"/>
              </w:rPr>
              <w:t>Nonspecific urethritis</w:t>
            </w:r>
          </w:p>
        </w:tc>
        <w:tc>
          <w:tcPr>
            <w:tcW w:w="652" w:type="pct"/>
            <w:shd w:val="clear" w:color="auto" w:fill="auto"/>
            <w:noWrap/>
            <w:hideMark/>
          </w:tcPr>
          <w:p w14:paraId="642DE056" w14:textId="77777777" w:rsidR="001B13EC" w:rsidRPr="00181EF3" w:rsidRDefault="001B13EC" w:rsidP="001B13EC">
            <w:pPr>
              <w:pStyle w:val="TableText"/>
              <w:jc w:val="center"/>
              <w:rPr>
                <w:lang w:eastAsia="en-NZ"/>
              </w:rPr>
            </w:pPr>
            <w:r w:rsidRPr="00181EF3">
              <w:rPr>
                <w:lang w:eastAsia="en-NZ"/>
              </w:rPr>
              <w:t>15+</w:t>
            </w:r>
          </w:p>
        </w:tc>
        <w:tc>
          <w:tcPr>
            <w:tcW w:w="933" w:type="pct"/>
            <w:shd w:val="clear" w:color="auto" w:fill="auto"/>
            <w:noWrap/>
            <w:hideMark/>
          </w:tcPr>
          <w:p w14:paraId="4F041FEE"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2CB76D73" w14:textId="77777777" w:rsidTr="001B13EC">
        <w:trPr>
          <w:cantSplit/>
        </w:trPr>
        <w:tc>
          <w:tcPr>
            <w:tcW w:w="1051" w:type="pct"/>
            <w:vMerge w:val="restart"/>
            <w:shd w:val="clear" w:color="auto" w:fill="auto"/>
            <w:noWrap/>
            <w:hideMark/>
          </w:tcPr>
          <w:p w14:paraId="63A69B35" w14:textId="77777777" w:rsidR="001B13EC" w:rsidRPr="00181EF3" w:rsidRDefault="001B13EC" w:rsidP="001B13EC">
            <w:pPr>
              <w:pStyle w:val="TableText"/>
              <w:rPr>
                <w:lang w:eastAsia="en-NZ"/>
              </w:rPr>
            </w:pPr>
            <w:r w:rsidRPr="00181EF3">
              <w:rPr>
                <w:lang w:eastAsia="en-NZ"/>
              </w:rPr>
              <w:t>Stroke</w:t>
            </w:r>
          </w:p>
        </w:tc>
        <w:tc>
          <w:tcPr>
            <w:tcW w:w="615" w:type="pct"/>
            <w:shd w:val="clear" w:color="auto" w:fill="auto"/>
            <w:hideMark/>
          </w:tcPr>
          <w:p w14:paraId="099D1CCB" w14:textId="77777777" w:rsidR="001B13EC" w:rsidRPr="00181EF3" w:rsidRDefault="001B13EC" w:rsidP="001B13EC">
            <w:pPr>
              <w:pStyle w:val="TableText"/>
              <w:jc w:val="center"/>
              <w:rPr>
                <w:lang w:eastAsia="en-NZ"/>
              </w:rPr>
            </w:pPr>
            <w:r w:rsidRPr="00181EF3">
              <w:rPr>
                <w:lang w:eastAsia="en-NZ"/>
              </w:rPr>
              <w:t>I61</w:t>
            </w:r>
          </w:p>
        </w:tc>
        <w:tc>
          <w:tcPr>
            <w:tcW w:w="1749" w:type="pct"/>
            <w:shd w:val="clear" w:color="auto" w:fill="auto"/>
            <w:noWrap/>
            <w:hideMark/>
          </w:tcPr>
          <w:p w14:paraId="6B6657BC" w14:textId="77777777" w:rsidR="001B13EC" w:rsidRPr="00181EF3" w:rsidRDefault="001B13EC" w:rsidP="001B13EC">
            <w:pPr>
              <w:pStyle w:val="TableText"/>
              <w:rPr>
                <w:lang w:eastAsia="en-NZ"/>
              </w:rPr>
            </w:pPr>
            <w:r w:rsidRPr="00181EF3">
              <w:rPr>
                <w:lang w:eastAsia="en-NZ"/>
              </w:rPr>
              <w:t>Intracerebral haemorrhage</w:t>
            </w:r>
          </w:p>
        </w:tc>
        <w:tc>
          <w:tcPr>
            <w:tcW w:w="652" w:type="pct"/>
            <w:shd w:val="clear" w:color="auto" w:fill="auto"/>
            <w:noWrap/>
            <w:hideMark/>
          </w:tcPr>
          <w:p w14:paraId="5040A5C8" w14:textId="77777777" w:rsidR="001B13EC" w:rsidRPr="00181EF3" w:rsidRDefault="001B13EC" w:rsidP="001B13EC">
            <w:pPr>
              <w:pStyle w:val="TableText"/>
              <w:jc w:val="center"/>
              <w:rPr>
                <w:lang w:eastAsia="en-NZ"/>
              </w:rPr>
            </w:pPr>
            <w:r w:rsidRPr="00181EF3">
              <w:rPr>
                <w:lang w:eastAsia="en-NZ"/>
              </w:rPr>
              <w:t>15+</w:t>
            </w:r>
          </w:p>
        </w:tc>
        <w:tc>
          <w:tcPr>
            <w:tcW w:w="933" w:type="pct"/>
            <w:shd w:val="clear" w:color="auto" w:fill="auto"/>
            <w:noWrap/>
            <w:hideMark/>
          </w:tcPr>
          <w:p w14:paraId="5B24C571"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625FF7D3" w14:textId="77777777" w:rsidTr="001B13EC">
        <w:trPr>
          <w:cantSplit/>
        </w:trPr>
        <w:tc>
          <w:tcPr>
            <w:tcW w:w="1051" w:type="pct"/>
            <w:vMerge/>
            <w:shd w:val="clear" w:color="auto" w:fill="auto"/>
            <w:noWrap/>
          </w:tcPr>
          <w:p w14:paraId="13EE8FC0" w14:textId="77777777" w:rsidR="001B13EC" w:rsidRPr="00181EF3" w:rsidRDefault="001B13EC" w:rsidP="001B13EC">
            <w:pPr>
              <w:pStyle w:val="TableText"/>
              <w:rPr>
                <w:lang w:eastAsia="en-NZ"/>
              </w:rPr>
            </w:pPr>
          </w:p>
        </w:tc>
        <w:tc>
          <w:tcPr>
            <w:tcW w:w="615" w:type="pct"/>
            <w:shd w:val="clear" w:color="auto" w:fill="auto"/>
            <w:hideMark/>
          </w:tcPr>
          <w:p w14:paraId="420D6A5A" w14:textId="77777777" w:rsidR="001B13EC" w:rsidRPr="00181EF3" w:rsidRDefault="001B13EC" w:rsidP="001B13EC">
            <w:pPr>
              <w:pStyle w:val="TableText"/>
              <w:jc w:val="center"/>
              <w:rPr>
                <w:lang w:eastAsia="en-NZ"/>
              </w:rPr>
            </w:pPr>
            <w:r w:rsidRPr="00181EF3">
              <w:rPr>
                <w:lang w:eastAsia="en-NZ"/>
              </w:rPr>
              <w:t>I63</w:t>
            </w:r>
          </w:p>
        </w:tc>
        <w:tc>
          <w:tcPr>
            <w:tcW w:w="1749" w:type="pct"/>
            <w:shd w:val="clear" w:color="auto" w:fill="auto"/>
            <w:noWrap/>
            <w:hideMark/>
          </w:tcPr>
          <w:p w14:paraId="17B5E1FA" w14:textId="77777777" w:rsidR="001B13EC" w:rsidRPr="00181EF3" w:rsidRDefault="001B13EC" w:rsidP="001B13EC">
            <w:pPr>
              <w:pStyle w:val="TableText"/>
              <w:rPr>
                <w:lang w:eastAsia="en-NZ"/>
              </w:rPr>
            </w:pPr>
            <w:r w:rsidRPr="00181EF3">
              <w:rPr>
                <w:lang w:eastAsia="en-NZ"/>
              </w:rPr>
              <w:t>Cerebral infarction</w:t>
            </w:r>
          </w:p>
        </w:tc>
        <w:tc>
          <w:tcPr>
            <w:tcW w:w="652" w:type="pct"/>
            <w:shd w:val="clear" w:color="auto" w:fill="auto"/>
            <w:noWrap/>
            <w:hideMark/>
          </w:tcPr>
          <w:p w14:paraId="37AB0126" w14:textId="77777777" w:rsidR="001B13EC" w:rsidRPr="00181EF3" w:rsidRDefault="001B13EC" w:rsidP="001B13EC">
            <w:pPr>
              <w:pStyle w:val="TableText"/>
              <w:jc w:val="center"/>
              <w:rPr>
                <w:lang w:eastAsia="en-NZ"/>
              </w:rPr>
            </w:pPr>
            <w:r w:rsidRPr="00181EF3">
              <w:rPr>
                <w:lang w:eastAsia="en-NZ"/>
              </w:rPr>
              <w:t>15+</w:t>
            </w:r>
          </w:p>
        </w:tc>
        <w:tc>
          <w:tcPr>
            <w:tcW w:w="933" w:type="pct"/>
            <w:shd w:val="clear" w:color="auto" w:fill="auto"/>
            <w:noWrap/>
            <w:hideMark/>
          </w:tcPr>
          <w:p w14:paraId="3657D3AA"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0495553D" w14:textId="77777777" w:rsidTr="001B13EC">
        <w:trPr>
          <w:cantSplit/>
        </w:trPr>
        <w:tc>
          <w:tcPr>
            <w:tcW w:w="1051" w:type="pct"/>
            <w:vMerge/>
            <w:shd w:val="clear" w:color="auto" w:fill="auto"/>
            <w:noWrap/>
          </w:tcPr>
          <w:p w14:paraId="16B3360B" w14:textId="77777777" w:rsidR="001B13EC" w:rsidRPr="00181EF3" w:rsidRDefault="001B13EC" w:rsidP="001B13EC">
            <w:pPr>
              <w:pStyle w:val="TableText"/>
              <w:rPr>
                <w:lang w:eastAsia="en-NZ"/>
              </w:rPr>
            </w:pPr>
          </w:p>
        </w:tc>
        <w:tc>
          <w:tcPr>
            <w:tcW w:w="615" w:type="pct"/>
            <w:shd w:val="clear" w:color="auto" w:fill="auto"/>
            <w:hideMark/>
          </w:tcPr>
          <w:p w14:paraId="742CF60C" w14:textId="77777777" w:rsidR="001B13EC" w:rsidRPr="00181EF3" w:rsidRDefault="001B13EC" w:rsidP="001B13EC">
            <w:pPr>
              <w:pStyle w:val="TableText"/>
              <w:jc w:val="center"/>
              <w:rPr>
                <w:lang w:eastAsia="en-NZ"/>
              </w:rPr>
            </w:pPr>
            <w:r w:rsidRPr="00181EF3">
              <w:rPr>
                <w:lang w:eastAsia="en-NZ"/>
              </w:rPr>
              <w:t>I64</w:t>
            </w:r>
          </w:p>
        </w:tc>
        <w:tc>
          <w:tcPr>
            <w:tcW w:w="1749" w:type="pct"/>
            <w:shd w:val="clear" w:color="auto" w:fill="auto"/>
            <w:noWrap/>
            <w:hideMark/>
          </w:tcPr>
          <w:p w14:paraId="7BE81115" w14:textId="77777777" w:rsidR="001B13EC" w:rsidRPr="00181EF3" w:rsidRDefault="001B13EC" w:rsidP="001B13EC">
            <w:pPr>
              <w:pStyle w:val="TableText"/>
              <w:rPr>
                <w:lang w:eastAsia="en-NZ"/>
              </w:rPr>
            </w:pPr>
            <w:r w:rsidRPr="00181EF3">
              <w:rPr>
                <w:lang w:eastAsia="en-NZ"/>
              </w:rPr>
              <w:t>Stroke, not specified as haemorrhage or infarction</w:t>
            </w:r>
          </w:p>
        </w:tc>
        <w:tc>
          <w:tcPr>
            <w:tcW w:w="652" w:type="pct"/>
            <w:shd w:val="clear" w:color="auto" w:fill="auto"/>
            <w:noWrap/>
            <w:hideMark/>
          </w:tcPr>
          <w:p w14:paraId="10E45409" w14:textId="77777777" w:rsidR="001B13EC" w:rsidRPr="00181EF3" w:rsidRDefault="001B13EC" w:rsidP="001B13EC">
            <w:pPr>
              <w:pStyle w:val="TableText"/>
              <w:jc w:val="center"/>
              <w:rPr>
                <w:lang w:eastAsia="en-NZ"/>
              </w:rPr>
            </w:pPr>
            <w:r w:rsidRPr="00181EF3">
              <w:rPr>
                <w:lang w:eastAsia="en-NZ"/>
              </w:rPr>
              <w:t>15+</w:t>
            </w:r>
          </w:p>
        </w:tc>
        <w:tc>
          <w:tcPr>
            <w:tcW w:w="933" w:type="pct"/>
            <w:shd w:val="clear" w:color="auto" w:fill="auto"/>
            <w:noWrap/>
            <w:hideMark/>
          </w:tcPr>
          <w:p w14:paraId="2278850F"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09B807F7" w14:textId="77777777" w:rsidTr="001B13EC">
        <w:trPr>
          <w:cantSplit/>
        </w:trPr>
        <w:tc>
          <w:tcPr>
            <w:tcW w:w="1051" w:type="pct"/>
            <w:vMerge/>
            <w:shd w:val="clear" w:color="auto" w:fill="auto"/>
            <w:noWrap/>
          </w:tcPr>
          <w:p w14:paraId="6FF3AEE5" w14:textId="77777777" w:rsidR="001B13EC" w:rsidRPr="00181EF3" w:rsidRDefault="001B13EC" w:rsidP="001B13EC">
            <w:pPr>
              <w:pStyle w:val="TableText"/>
              <w:rPr>
                <w:lang w:eastAsia="en-NZ"/>
              </w:rPr>
            </w:pPr>
          </w:p>
        </w:tc>
        <w:tc>
          <w:tcPr>
            <w:tcW w:w="615" w:type="pct"/>
            <w:shd w:val="clear" w:color="auto" w:fill="auto"/>
            <w:hideMark/>
          </w:tcPr>
          <w:p w14:paraId="728967B2" w14:textId="77777777" w:rsidR="001B13EC" w:rsidRPr="00181EF3" w:rsidRDefault="001B13EC" w:rsidP="001B13EC">
            <w:pPr>
              <w:pStyle w:val="TableText"/>
              <w:jc w:val="center"/>
              <w:rPr>
                <w:lang w:eastAsia="en-NZ"/>
              </w:rPr>
            </w:pPr>
            <w:r w:rsidRPr="00181EF3">
              <w:rPr>
                <w:lang w:eastAsia="en-NZ"/>
              </w:rPr>
              <w:t>I65</w:t>
            </w:r>
          </w:p>
        </w:tc>
        <w:tc>
          <w:tcPr>
            <w:tcW w:w="1749" w:type="pct"/>
            <w:shd w:val="clear" w:color="auto" w:fill="auto"/>
            <w:noWrap/>
            <w:hideMark/>
          </w:tcPr>
          <w:p w14:paraId="1C5C1612" w14:textId="77777777" w:rsidR="001B13EC" w:rsidRPr="00181EF3" w:rsidRDefault="001B13EC" w:rsidP="001B13EC">
            <w:pPr>
              <w:pStyle w:val="TableText"/>
              <w:rPr>
                <w:lang w:eastAsia="en-NZ"/>
              </w:rPr>
            </w:pPr>
            <w:r w:rsidRPr="00181EF3">
              <w:rPr>
                <w:lang w:eastAsia="en-NZ"/>
              </w:rPr>
              <w:t>Occlusion and stenosis of precerebral arteries, not resulting in cerebral infarction</w:t>
            </w:r>
          </w:p>
        </w:tc>
        <w:tc>
          <w:tcPr>
            <w:tcW w:w="652" w:type="pct"/>
            <w:shd w:val="clear" w:color="auto" w:fill="auto"/>
            <w:noWrap/>
            <w:hideMark/>
          </w:tcPr>
          <w:p w14:paraId="13C77481" w14:textId="77777777" w:rsidR="001B13EC" w:rsidRPr="00181EF3" w:rsidRDefault="001B13EC" w:rsidP="001B13EC">
            <w:pPr>
              <w:pStyle w:val="TableText"/>
              <w:jc w:val="center"/>
              <w:rPr>
                <w:lang w:eastAsia="en-NZ"/>
              </w:rPr>
            </w:pPr>
            <w:r w:rsidRPr="00181EF3">
              <w:rPr>
                <w:lang w:eastAsia="en-NZ"/>
              </w:rPr>
              <w:t>15+</w:t>
            </w:r>
          </w:p>
        </w:tc>
        <w:tc>
          <w:tcPr>
            <w:tcW w:w="933" w:type="pct"/>
            <w:shd w:val="clear" w:color="auto" w:fill="auto"/>
            <w:noWrap/>
            <w:hideMark/>
          </w:tcPr>
          <w:p w14:paraId="65CD22AC" w14:textId="77777777" w:rsidR="001B13EC" w:rsidRPr="00181EF3" w:rsidRDefault="001B13EC" w:rsidP="001B13EC">
            <w:pPr>
              <w:pStyle w:val="TableText"/>
              <w:jc w:val="center"/>
              <w:rPr>
                <w:lang w:eastAsia="en-NZ"/>
              </w:rPr>
            </w:pPr>
            <w:r w:rsidRPr="00181EF3">
              <w:rPr>
                <w:lang w:eastAsia="en-NZ"/>
              </w:rPr>
              <w:t>No</w:t>
            </w:r>
          </w:p>
        </w:tc>
      </w:tr>
      <w:tr w:rsidR="001B13EC" w:rsidRPr="00181EF3" w14:paraId="4F59D6AA" w14:textId="77777777" w:rsidTr="001B13EC">
        <w:trPr>
          <w:cantSplit/>
        </w:trPr>
        <w:tc>
          <w:tcPr>
            <w:tcW w:w="1051" w:type="pct"/>
            <w:vMerge/>
            <w:shd w:val="clear" w:color="auto" w:fill="auto"/>
            <w:noWrap/>
          </w:tcPr>
          <w:p w14:paraId="74163C49" w14:textId="77777777" w:rsidR="001B13EC" w:rsidRPr="00181EF3" w:rsidRDefault="001B13EC" w:rsidP="001B13EC">
            <w:pPr>
              <w:pStyle w:val="TableText"/>
              <w:rPr>
                <w:lang w:eastAsia="en-NZ"/>
              </w:rPr>
            </w:pPr>
          </w:p>
        </w:tc>
        <w:tc>
          <w:tcPr>
            <w:tcW w:w="615" w:type="pct"/>
            <w:shd w:val="clear" w:color="auto" w:fill="auto"/>
            <w:hideMark/>
          </w:tcPr>
          <w:p w14:paraId="1413A725" w14:textId="77777777" w:rsidR="001B13EC" w:rsidRPr="00181EF3" w:rsidRDefault="001B13EC" w:rsidP="001B13EC">
            <w:pPr>
              <w:pStyle w:val="TableText"/>
              <w:jc w:val="center"/>
              <w:rPr>
                <w:lang w:eastAsia="en-NZ"/>
              </w:rPr>
            </w:pPr>
            <w:r w:rsidRPr="00181EF3">
              <w:rPr>
                <w:lang w:eastAsia="en-NZ"/>
              </w:rPr>
              <w:t>I66</w:t>
            </w:r>
          </w:p>
        </w:tc>
        <w:tc>
          <w:tcPr>
            <w:tcW w:w="1749" w:type="pct"/>
            <w:shd w:val="clear" w:color="auto" w:fill="auto"/>
            <w:noWrap/>
            <w:hideMark/>
          </w:tcPr>
          <w:p w14:paraId="50FFFC33" w14:textId="77777777" w:rsidR="001B13EC" w:rsidRPr="00181EF3" w:rsidRDefault="001B13EC" w:rsidP="001B13EC">
            <w:pPr>
              <w:pStyle w:val="TableText"/>
              <w:rPr>
                <w:lang w:eastAsia="en-NZ"/>
              </w:rPr>
            </w:pPr>
            <w:r w:rsidRPr="00181EF3">
              <w:rPr>
                <w:lang w:eastAsia="en-NZ"/>
              </w:rPr>
              <w:t>Occlusion and stenosis of cerebral arteries, not resulting in cerebral infarction</w:t>
            </w:r>
          </w:p>
        </w:tc>
        <w:tc>
          <w:tcPr>
            <w:tcW w:w="652" w:type="pct"/>
            <w:shd w:val="clear" w:color="auto" w:fill="auto"/>
            <w:noWrap/>
            <w:hideMark/>
          </w:tcPr>
          <w:p w14:paraId="077B0E7E" w14:textId="77777777" w:rsidR="001B13EC" w:rsidRPr="00181EF3" w:rsidRDefault="001B13EC" w:rsidP="001B13EC">
            <w:pPr>
              <w:pStyle w:val="TableText"/>
              <w:jc w:val="center"/>
              <w:rPr>
                <w:lang w:eastAsia="en-NZ"/>
              </w:rPr>
            </w:pPr>
            <w:r w:rsidRPr="00181EF3">
              <w:rPr>
                <w:lang w:eastAsia="en-NZ"/>
              </w:rPr>
              <w:t>15+</w:t>
            </w:r>
          </w:p>
        </w:tc>
        <w:tc>
          <w:tcPr>
            <w:tcW w:w="933" w:type="pct"/>
            <w:shd w:val="clear" w:color="auto" w:fill="auto"/>
            <w:noWrap/>
            <w:hideMark/>
          </w:tcPr>
          <w:p w14:paraId="16E7A2B6" w14:textId="77777777" w:rsidR="001B13EC" w:rsidRPr="00181EF3" w:rsidRDefault="001B13EC" w:rsidP="001B13EC">
            <w:pPr>
              <w:pStyle w:val="TableText"/>
              <w:jc w:val="center"/>
              <w:rPr>
                <w:lang w:eastAsia="en-NZ"/>
              </w:rPr>
            </w:pPr>
            <w:r w:rsidRPr="00181EF3">
              <w:rPr>
                <w:lang w:eastAsia="en-NZ"/>
              </w:rPr>
              <w:t>No</w:t>
            </w:r>
          </w:p>
        </w:tc>
      </w:tr>
    </w:tbl>
    <w:p w14:paraId="448D1A97" w14:textId="77777777" w:rsidR="001B13EC" w:rsidRPr="00181EF3" w:rsidRDefault="001B13EC" w:rsidP="000667F5">
      <w:pPr>
        <w:pStyle w:val="Note"/>
        <w:ind w:left="0" w:firstLine="0"/>
        <w:rPr>
          <w:lang w:eastAsia="en-NZ"/>
        </w:rPr>
      </w:pPr>
      <w:bookmarkStart w:id="580" w:name="_Toc258933389"/>
      <w:bookmarkStart w:id="581" w:name="_Toc258933952"/>
      <w:bookmarkStart w:id="582" w:name="_Toc282783013"/>
      <w:bookmarkStart w:id="583" w:name="_Toc426451534"/>
      <w:bookmarkStart w:id="584" w:name="_Toc427306822"/>
      <w:r w:rsidRPr="00181EF3">
        <w:rPr>
          <w:lang w:eastAsia="en-NZ"/>
        </w:rPr>
        <w:t>Exclusions: Non-casemix events, neonates (ie, patients less than 29 days old at admission), events with an overseas or unknown DHB domicile.</w:t>
      </w:r>
    </w:p>
    <w:p w14:paraId="7441DCBB" w14:textId="77777777" w:rsidR="001B13EC" w:rsidRPr="00181EF3" w:rsidRDefault="001B13EC" w:rsidP="000667F5">
      <w:pPr>
        <w:pStyle w:val="Note"/>
        <w:ind w:left="0" w:firstLine="0"/>
        <w:rPr>
          <w:lang w:eastAsia="en-NZ"/>
        </w:rPr>
      </w:pPr>
      <w:r w:rsidRPr="00181EF3">
        <w:rPr>
          <w:lang w:eastAsia="en-NZ"/>
        </w:rPr>
        <w:t>Notes: Acute is defined as having one of the following admission type codes: AA, AC, ZA, WU, RL, or ZC. Elective is defined as having one of the following admission type codes: AP, WN, WP, or ZW. Age is calculated at admission.</w:t>
      </w:r>
    </w:p>
    <w:p w14:paraId="1DBDF5E2" w14:textId="77777777" w:rsidR="001B13EC" w:rsidRPr="00181EF3" w:rsidRDefault="001B13EC" w:rsidP="001B13EC"/>
    <w:p w14:paraId="1B8EB3FF" w14:textId="23D13FCB" w:rsidR="001B13EC" w:rsidRPr="00181EF3" w:rsidRDefault="001B13EC" w:rsidP="001B13EC">
      <w:pPr>
        <w:pStyle w:val="Table"/>
      </w:pPr>
      <w:bookmarkStart w:id="585" w:name="_Toc18594797"/>
      <w:r w:rsidRPr="00181EF3">
        <w:lastRenderedPageBreak/>
        <w:t>Table A</w:t>
      </w:r>
      <w:r>
        <w:t>2</w:t>
      </w:r>
      <w:r w:rsidRPr="00181EF3">
        <w:t>.4: ICD codes used in th</w:t>
      </w:r>
      <w:bookmarkEnd w:id="580"/>
      <w:bookmarkEnd w:id="581"/>
      <w:bookmarkEnd w:id="582"/>
      <w:bookmarkEnd w:id="583"/>
      <w:bookmarkEnd w:id="584"/>
      <w:r w:rsidR="004D5318">
        <w:t>i</w:t>
      </w:r>
      <w:r w:rsidRPr="00181EF3">
        <w:t>s</w:t>
      </w:r>
      <w:r w:rsidR="004D5318">
        <w:t xml:space="preserve"> report</w:t>
      </w:r>
      <w:bookmarkEnd w:id="585"/>
    </w:p>
    <w:tbl>
      <w:tblPr>
        <w:tblW w:w="4931" w:type="pct"/>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2097"/>
        <w:gridCol w:w="1678"/>
        <w:gridCol w:w="4193"/>
      </w:tblGrid>
      <w:tr w:rsidR="001B13EC" w:rsidRPr="00181EF3" w14:paraId="056ABC1A" w14:textId="77777777" w:rsidTr="001B13EC">
        <w:trPr>
          <w:cantSplit/>
          <w:tblHeader/>
        </w:trPr>
        <w:tc>
          <w:tcPr>
            <w:tcW w:w="1316" w:type="pct"/>
            <w:tcBorders>
              <w:top w:val="nil"/>
              <w:bottom w:val="nil"/>
            </w:tcBorders>
            <w:shd w:val="clear" w:color="auto" w:fill="D9D9D9" w:themeFill="background1" w:themeFillShade="D9"/>
            <w:noWrap/>
            <w:hideMark/>
          </w:tcPr>
          <w:p w14:paraId="4C9C0FC2" w14:textId="77777777" w:rsidR="001B13EC" w:rsidRPr="00181EF3" w:rsidRDefault="001B13EC" w:rsidP="001B13EC">
            <w:pPr>
              <w:pStyle w:val="TableText"/>
              <w:keepNext/>
              <w:rPr>
                <w:b/>
                <w:lang w:eastAsia="en-NZ"/>
              </w:rPr>
            </w:pPr>
            <w:r w:rsidRPr="00181EF3">
              <w:rPr>
                <w:b/>
                <w:lang w:eastAsia="en-NZ"/>
              </w:rPr>
              <w:t>Condition</w:t>
            </w:r>
          </w:p>
        </w:tc>
        <w:tc>
          <w:tcPr>
            <w:tcW w:w="1053" w:type="pct"/>
            <w:tcBorders>
              <w:top w:val="nil"/>
              <w:bottom w:val="nil"/>
            </w:tcBorders>
            <w:shd w:val="clear" w:color="auto" w:fill="D9D9D9" w:themeFill="background1" w:themeFillShade="D9"/>
            <w:noWrap/>
            <w:hideMark/>
          </w:tcPr>
          <w:p w14:paraId="1A156251" w14:textId="77777777" w:rsidR="001B13EC" w:rsidRPr="00181EF3" w:rsidRDefault="001B13EC" w:rsidP="001B13EC">
            <w:pPr>
              <w:pStyle w:val="TableText"/>
              <w:rPr>
                <w:b/>
                <w:lang w:eastAsia="en-NZ"/>
              </w:rPr>
            </w:pPr>
            <w:r w:rsidRPr="00181EF3">
              <w:rPr>
                <w:b/>
                <w:lang w:eastAsia="en-NZ"/>
              </w:rPr>
              <w:t>ICD-9-CMA</w:t>
            </w:r>
          </w:p>
        </w:tc>
        <w:tc>
          <w:tcPr>
            <w:tcW w:w="2631" w:type="pct"/>
            <w:tcBorders>
              <w:top w:val="nil"/>
              <w:bottom w:val="nil"/>
            </w:tcBorders>
            <w:shd w:val="clear" w:color="auto" w:fill="D9D9D9" w:themeFill="background1" w:themeFillShade="D9"/>
            <w:noWrap/>
            <w:hideMark/>
          </w:tcPr>
          <w:p w14:paraId="416972ED" w14:textId="77777777" w:rsidR="001B13EC" w:rsidRPr="00181EF3" w:rsidRDefault="001B13EC" w:rsidP="001B13EC">
            <w:pPr>
              <w:pStyle w:val="TableText"/>
              <w:rPr>
                <w:b/>
                <w:lang w:eastAsia="en-NZ"/>
              </w:rPr>
            </w:pPr>
            <w:r w:rsidRPr="00181EF3">
              <w:rPr>
                <w:b/>
                <w:lang w:eastAsia="en-NZ"/>
              </w:rPr>
              <w:t>ICD-10-AM</w:t>
            </w:r>
          </w:p>
        </w:tc>
      </w:tr>
      <w:tr w:rsidR="001B13EC" w:rsidRPr="00181EF3" w14:paraId="61AE2D55" w14:textId="77777777" w:rsidTr="001B13EC">
        <w:trPr>
          <w:cantSplit/>
        </w:trPr>
        <w:tc>
          <w:tcPr>
            <w:tcW w:w="1316" w:type="pct"/>
            <w:tcBorders>
              <w:top w:val="nil"/>
            </w:tcBorders>
            <w:shd w:val="clear" w:color="auto" w:fill="auto"/>
            <w:noWrap/>
          </w:tcPr>
          <w:p w14:paraId="6ABEE84A" w14:textId="77777777" w:rsidR="001B13EC" w:rsidRPr="00181EF3" w:rsidRDefault="001B13EC" w:rsidP="001B13EC">
            <w:pPr>
              <w:pStyle w:val="TableText"/>
              <w:keepNext/>
              <w:rPr>
                <w:szCs w:val="22"/>
                <w:lang w:eastAsia="en-NZ"/>
              </w:rPr>
            </w:pPr>
            <w:r w:rsidRPr="00181EF3">
              <w:rPr>
                <w:szCs w:val="22"/>
              </w:rPr>
              <w:t>Total cancer</w:t>
            </w:r>
          </w:p>
        </w:tc>
        <w:tc>
          <w:tcPr>
            <w:tcW w:w="1053" w:type="pct"/>
            <w:tcBorders>
              <w:top w:val="nil"/>
            </w:tcBorders>
            <w:shd w:val="clear" w:color="auto" w:fill="auto"/>
            <w:noWrap/>
          </w:tcPr>
          <w:p w14:paraId="38E25D96" w14:textId="77777777" w:rsidR="001B13EC" w:rsidRPr="00181EF3" w:rsidRDefault="001B13EC" w:rsidP="001B13EC">
            <w:pPr>
              <w:pStyle w:val="TableText"/>
              <w:rPr>
                <w:szCs w:val="22"/>
              </w:rPr>
            </w:pPr>
            <w:r w:rsidRPr="00181EF3">
              <w:rPr>
                <w:szCs w:val="22"/>
              </w:rPr>
              <w:t>140–208</w:t>
            </w:r>
          </w:p>
        </w:tc>
        <w:tc>
          <w:tcPr>
            <w:tcW w:w="2631" w:type="pct"/>
            <w:tcBorders>
              <w:top w:val="nil"/>
            </w:tcBorders>
            <w:shd w:val="clear" w:color="auto" w:fill="auto"/>
            <w:noWrap/>
          </w:tcPr>
          <w:p w14:paraId="5F2D2340" w14:textId="77777777" w:rsidR="001B13EC" w:rsidRPr="00181EF3" w:rsidRDefault="001B13EC" w:rsidP="001B13EC">
            <w:pPr>
              <w:pStyle w:val="TableText"/>
              <w:rPr>
                <w:szCs w:val="22"/>
              </w:rPr>
            </w:pPr>
            <w:r w:rsidRPr="00181EF3">
              <w:rPr>
                <w:szCs w:val="22"/>
              </w:rPr>
              <w:t>C00–C96, D45–D47</w:t>
            </w:r>
          </w:p>
        </w:tc>
      </w:tr>
      <w:tr w:rsidR="001B13EC" w:rsidRPr="00181EF3" w14:paraId="78020E2C" w14:textId="77777777" w:rsidTr="001B13EC">
        <w:trPr>
          <w:cantSplit/>
        </w:trPr>
        <w:tc>
          <w:tcPr>
            <w:tcW w:w="1316" w:type="pct"/>
            <w:shd w:val="clear" w:color="auto" w:fill="auto"/>
            <w:noWrap/>
          </w:tcPr>
          <w:p w14:paraId="720E02F9" w14:textId="77777777" w:rsidR="001B13EC" w:rsidRPr="00181EF3" w:rsidRDefault="001B13EC" w:rsidP="001B13EC">
            <w:pPr>
              <w:pStyle w:val="TableText"/>
              <w:keepNext/>
              <w:rPr>
                <w:szCs w:val="22"/>
              </w:rPr>
            </w:pPr>
            <w:r w:rsidRPr="00181EF3">
              <w:rPr>
                <w:szCs w:val="22"/>
              </w:rPr>
              <w:t>Stomach cancer</w:t>
            </w:r>
          </w:p>
        </w:tc>
        <w:tc>
          <w:tcPr>
            <w:tcW w:w="1053" w:type="pct"/>
            <w:shd w:val="clear" w:color="auto" w:fill="auto"/>
            <w:noWrap/>
          </w:tcPr>
          <w:p w14:paraId="1E94F648" w14:textId="77777777" w:rsidR="001B13EC" w:rsidRPr="00181EF3" w:rsidRDefault="001B13EC" w:rsidP="001B13EC">
            <w:pPr>
              <w:pStyle w:val="TableText"/>
              <w:rPr>
                <w:szCs w:val="22"/>
              </w:rPr>
            </w:pPr>
            <w:r w:rsidRPr="00181EF3">
              <w:rPr>
                <w:szCs w:val="22"/>
              </w:rPr>
              <w:t>151</w:t>
            </w:r>
          </w:p>
        </w:tc>
        <w:tc>
          <w:tcPr>
            <w:tcW w:w="2631" w:type="pct"/>
            <w:shd w:val="clear" w:color="auto" w:fill="auto"/>
            <w:noWrap/>
          </w:tcPr>
          <w:p w14:paraId="53B8EA51" w14:textId="77777777" w:rsidR="001B13EC" w:rsidRPr="00181EF3" w:rsidRDefault="001B13EC" w:rsidP="001B13EC">
            <w:pPr>
              <w:pStyle w:val="TableText"/>
              <w:rPr>
                <w:szCs w:val="22"/>
              </w:rPr>
            </w:pPr>
            <w:r w:rsidRPr="00181EF3">
              <w:rPr>
                <w:szCs w:val="22"/>
              </w:rPr>
              <w:t>C16</w:t>
            </w:r>
          </w:p>
        </w:tc>
      </w:tr>
      <w:tr w:rsidR="001B13EC" w:rsidRPr="00181EF3" w14:paraId="6777FC87" w14:textId="77777777" w:rsidTr="001B13EC">
        <w:trPr>
          <w:cantSplit/>
        </w:trPr>
        <w:tc>
          <w:tcPr>
            <w:tcW w:w="1316" w:type="pct"/>
            <w:shd w:val="clear" w:color="auto" w:fill="auto"/>
            <w:noWrap/>
          </w:tcPr>
          <w:p w14:paraId="01E6ABA5" w14:textId="77777777" w:rsidR="001B13EC" w:rsidRPr="00181EF3" w:rsidRDefault="001B13EC" w:rsidP="001B13EC">
            <w:pPr>
              <w:pStyle w:val="TableText"/>
              <w:keepNext/>
              <w:rPr>
                <w:szCs w:val="22"/>
              </w:rPr>
            </w:pPr>
            <w:r w:rsidRPr="00181EF3">
              <w:rPr>
                <w:szCs w:val="22"/>
              </w:rPr>
              <w:t>Colorectal cancer</w:t>
            </w:r>
          </w:p>
        </w:tc>
        <w:tc>
          <w:tcPr>
            <w:tcW w:w="1053" w:type="pct"/>
            <w:shd w:val="clear" w:color="auto" w:fill="auto"/>
            <w:noWrap/>
          </w:tcPr>
          <w:p w14:paraId="09537D96" w14:textId="77777777" w:rsidR="001B13EC" w:rsidRPr="00181EF3" w:rsidRDefault="001B13EC" w:rsidP="001B13EC">
            <w:pPr>
              <w:pStyle w:val="TableText"/>
              <w:rPr>
                <w:szCs w:val="22"/>
              </w:rPr>
            </w:pPr>
            <w:r w:rsidRPr="00181EF3">
              <w:rPr>
                <w:szCs w:val="22"/>
              </w:rPr>
              <w:t>153–154</w:t>
            </w:r>
          </w:p>
        </w:tc>
        <w:tc>
          <w:tcPr>
            <w:tcW w:w="2631" w:type="pct"/>
            <w:shd w:val="clear" w:color="auto" w:fill="auto"/>
            <w:noWrap/>
          </w:tcPr>
          <w:p w14:paraId="63059026" w14:textId="77777777" w:rsidR="001B13EC" w:rsidRPr="00181EF3" w:rsidRDefault="001B13EC" w:rsidP="001B13EC">
            <w:pPr>
              <w:pStyle w:val="TableText"/>
              <w:rPr>
                <w:szCs w:val="22"/>
              </w:rPr>
            </w:pPr>
            <w:r w:rsidRPr="00181EF3">
              <w:rPr>
                <w:szCs w:val="22"/>
              </w:rPr>
              <w:t>C18–C21</w:t>
            </w:r>
          </w:p>
        </w:tc>
      </w:tr>
      <w:tr w:rsidR="001B13EC" w:rsidRPr="00181EF3" w14:paraId="1D6EA8DD" w14:textId="77777777" w:rsidTr="001B13EC">
        <w:trPr>
          <w:cantSplit/>
        </w:trPr>
        <w:tc>
          <w:tcPr>
            <w:tcW w:w="1316" w:type="pct"/>
            <w:shd w:val="clear" w:color="auto" w:fill="auto"/>
            <w:noWrap/>
          </w:tcPr>
          <w:p w14:paraId="011FA5D5" w14:textId="77777777" w:rsidR="001B13EC" w:rsidRPr="00181EF3" w:rsidRDefault="001B13EC" w:rsidP="001B13EC">
            <w:pPr>
              <w:pStyle w:val="TableText"/>
              <w:keepNext/>
              <w:rPr>
                <w:szCs w:val="22"/>
              </w:rPr>
            </w:pPr>
            <w:r w:rsidRPr="00181EF3">
              <w:rPr>
                <w:szCs w:val="22"/>
              </w:rPr>
              <w:t>Liver cancer</w:t>
            </w:r>
          </w:p>
        </w:tc>
        <w:tc>
          <w:tcPr>
            <w:tcW w:w="1053" w:type="pct"/>
            <w:shd w:val="clear" w:color="auto" w:fill="auto"/>
            <w:noWrap/>
          </w:tcPr>
          <w:p w14:paraId="3629873D" w14:textId="77777777" w:rsidR="001B13EC" w:rsidRPr="00181EF3" w:rsidRDefault="001B13EC" w:rsidP="001B13EC">
            <w:pPr>
              <w:pStyle w:val="TableText"/>
              <w:rPr>
                <w:szCs w:val="22"/>
              </w:rPr>
            </w:pPr>
            <w:r w:rsidRPr="00181EF3">
              <w:rPr>
                <w:szCs w:val="22"/>
              </w:rPr>
              <w:t>155</w:t>
            </w:r>
          </w:p>
        </w:tc>
        <w:tc>
          <w:tcPr>
            <w:tcW w:w="2631" w:type="pct"/>
            <w:shd w:val="clear" w:color="auto" w:fill="auto"/>
            <w:noWrap/>
          </w:tcPr>
          <w:p w14:paraId="7236051A" w14:textId="77777777" w:rsidR="001B13EC" w:rsidRPr="00181EF3" w:rsidRDefault="001B13EC" w:rsidP="001B13EC">
            <w:pPr>
              <w:pStyle w:val="TableText"/>
              <w:rPr>
                <w:szCs w:val="22"/>
              </w:rPr>
            </w:pPr>
            <w:r w:rsidRPr="00181EF3">
              <w:rPr>
                <w:szCs w:val="22"/>
              </w:rPr>
              <w:t>C22</w:t>
            </w:r>
          </w:p>
        </w:tc>
      </w:tr>
      <w:tr w:rsidR="001B13EC" w:rsidRPr="00181EF3" w14:paraId="2AA5BA9B" w14:textId="77777777" w:rsidTr="001B13EC">
        <w:trPr>
          <w:cantSplit/>
        </w:trPr>
        <w:tc>
          <w:tcPr>
            <w:tcW w:w="1316" w:type="pct"/>
            <w:shd w:val="clear" w:color="auto" w:fill="auto"/>
            <w:noWrap/>
          </w:tcPr>
          <w:p w14:paraId="3950E7D9" w14:textId="77777777" w:rsidR="001B13EC" w:rsidRPr="00181EF3" w:rsidRDefault="001B13EC" w:rsidP="001B13EC">
            <w:pPr>
              <w:pStyle w:val="TableText"/>
              <w:keepNext/>
              <w:rPr>
                <w:szCs w:val="22"/>
              </w:rPr>
            </w:pPr>
            <w:r w:rsidRPr="00181EF3">
              <w:rPr>
                <w:szCs w:val="22"/>
              </w:rPr>
              <w:t>Lung cancer</w:t>
            </w:r>
          </w:p>
        </w:tc>
        <w:tc>
          <w:tcPr>
            <w:tcW w:w="1053" w:type="pct"/>
            <w:shd w:val="clear" w:color="auto" w:fill="auto"/>
            <w:noWrap/>
          </w:tcPr>
          <w:p w14:paraId="6FDB4732" w14:textId="77777777" w:rsidR="001B13EC" w:rsidRPr="00181EF3" w:rsidRDefault="001B13EC" w:rsidP="001B13EC">
            <w:pPr>
              <w:pStyle w:val="TableText"/>
              <w:rPr>
                <w:szCs w:val="22"/>
              </w:rPr>
            </w:pPr>
            <w:r w:rsidRPr="00181EF3">
              <w:rPr>
                <w:szCs w:val="22"/>
              </w:rPr>
              <w:t>162</w:t>
            </w:r>
          </w:p>
        </w:tc>
        <w:tc>
          <w:tcPr>
            <w:tcW w:w="2631" w:type="pct"/>
            <w:shd w:val="clear" w:color="auto" w:fill="auto"/>
            <w:noWrap/>
          </w:tcPr>
          <w:p w14:paraId="4A47416C" w14:textId="77777777" w:rsidR="001B13EC" w:rsidRPr="00181EF3" w:rsidRDefault="001B13EC" w:rsidP="001B13EC">
            <w:pPr>
              <w:pStyle w:val="TableText"/>
              <w:rPr>
                <w:szCs w:val="22"/>
              </w:rPr>
            </w:pPr>
            <w:r w:rsidRPr="00181EF3">
              <w:rPr>
                <w:szCs w:val="22"/>
              </w:rPr>
              <w:t>C33–C34</w:t>
            </w:r>
          </w:p>
        </w:tc>
      </w:tr>
      <w:tr w:rsidR="001B13EC" w:rsidRPr="00181EF3" w14:paraId="43690C77" w14:textId="77777777" w:rsidTr="001B13EC">
        <w:trPr>
          <w:cantSplit/>
        </w:trPr>
        <w:tc>
          <w:tcPr>
            <w:tcW w:w="1316" w:type="pct"/>
            <w:shd w:val="clear" w:color="auto" w:fill="auto"/>
            <w:noWrap/>
          </w:tcPr>
          <w:p w14:paraId="32F49524" w14:textId="77777777" w:rsidR="001B13EC" w:rsidRPr="00181EF3" w:rsidRDefault="001B13EC" w:rsidP="001B13EC">
            <w:pPr>
              <w:pStyle w:val="TableText"/>
              <w:keepNext/>
              <w:rPr>
                <w:szCs w:val="22"/>
              </w:rPr>
            </w:pPr>
            <w:r w:rsidRPr="00181EF3">
              <w:rPr>
                <w:szCs w:val="22"/>
              </w:rPr>
              <w:t>Melanoma</w:t>
            </w:r>
          </w:p>
        </w:tc>
        <w:tc>
          <w:tcPr>
            <w:tcW w:w="1053" w:type="pct"/>
            <w:shd w:val="clear" w:color="auto" w:fill="auto"/>
            <w:noWrap/>
          </w:tcPr>
          <w:p w14:paraId="6C0A4ED5" w14:textId="77777777" w:rsidR="001B13EC" w:rsidRPr="00181EF3" w:rsidRDefault="001B13EC" w:rsidP="001B13EC">
            <w:pPr>
              <w:pStyle w:val="TableText"/>
              <w:rPr>
                <w:szCs w:val="22"/>
              </w:rPr>
            </w:pPr>
            <w:r w:rsidRPr="00181EF3">
              <w:rPr>
                <w:szCs w:val="22"/>
              </w:rPr>
              <w:t>172, 184.1, 184.2, 184.4, 187.1, 187.4, 187.7, 187.9</w:t>
            </w:r>
          </w:p>
        </w:tc>
        <w:tc>
          <w:tcPr>
            <w:tcW w:w="2631" w:type="pct"/>
            <w:shd w:val="clear" w:color="auto" w:fill="auto"/>
            <w:noWrap/>
          </w:tcPr>
          <w:p w14:paraId="627F2987" w14:textId="77777777" w:rsidR="001B13EC" w:rsidRPr="00181EF3" w:rsidRDefault="001B13EC" w:rsidP="001B13EC">
            <w:pPr>
              <w:pStyle w:val="TableText"/>
              <w:rPr>
                <w:szCs w:val="22"/>
              </w:rPr>
            </w:pPr>
            <w:r w:rsidRPr="00181EF3">
              <w:rPr>
                <w:szCs w:val="22"/>
              </w:rPr>
              <w:t>C43, C51.0, C51.1, C51.9, C60.0, C60.9, C63.2, C63.9</w:t>
            </w:r>
          </w:p>
        </w:tc>
      </w:tr>
      <w:tr w:rsidR="001B13EC" w:rsidRPr="00181EF3" w14:paraId="2EA2E1B8" w14:textId="77777777" w:rsidTr="001B13EC">
        <w:trPr>
          <w:cantSplit/>
        </w:trPr>
        <w:tc>
          <w:tcPr>
            <w:tcW w:w="1316" w:type="pct"/>
            <w:shd w:val="clear" w:color="auto" w:fill="auto"/>
            <w:noWrap/>
          </w:tcPr>
          <w:p w14:paraId="301004B4" w14:textId="77777777" w:rsidR="001B13EC" w:rsidRPr="00181EF3" w:rsidRDefault="001B13EC" w:rsidP="001B13EC">
            <w:pPr>
              <w:pStyle w:val="TableText"/>
              <w:keepNext/>
              <w:rPr>
                <w:szCs w:val="22"/>
                <w:lang w:eastAsia="en-NZ"/>
              </w:rPr>
            </w:pPr>
            <w:r w:rsidRPr="00181EF3">
              <w:rPr>
                <w:szCs w:val="22"/>
              </w:rPr>
              <w:t>Breast cancer</w:t>
            </w:r>
          </w:p>
        </w:tc>
        <w:tc>
          <w:tcPr>
            <w:tcW w:w="1053" w:type="pct"/>
            <w:shd w:val="clear" w:color="auto" w:fill="auto"/>
            <w:noWrap/>
          </w:tcPr>
          <w:p w14:paraId="71912E33" w14:textId="77777777" w:rsidR="001B13EC" w:rsidRPr="00181EF3" w:rsidRDefault="001B13EC" w:rsidP="001B13EC">
            <w:pPr>
              <w:pStyle w:val="TableText"/>
              <w:rPr>
                <w:szCs w:val="22"/>
              </w:rPr>
            </w:pPr>
            <w:r w:rsidRPr="00181EF3">
              <w:rPr>
                <w:szCs w:val="22"/>
              </w:rPr>
              <w:t>174</w:t>
            </w:r>
          </w:p>
        </w:tc>
        <w:tc>
          <w:tcPr>
            <w:tcW w:w="2631" w:type="pct"/>
            <w:shd w:val="clear" w:color="auto" w:fill="auto"/>
            <w:noWrap/>
          </w:tcPr>
          <w:p w14:paraId="69A65F4C" w14:textId="77777777" w:rsidR="001B13EC" w:rsidRPr="00181EF3" w:rsidRDefault="001B13EC" w:rsidP="001B13EC">
            <w:pPr>
              <w:pStyle w:val="TableText"/>
              <w:rPr>
                <w:szCs w:val="22"/>
              </w:rPr>
            </w:pPr>
            <w:r w:rsidRPr="00181EF3">
              <w:rPr>
                <w:szCs w:val="22"/>
              </w:rPr>
              <w:t>C50</w:t>
            </w:r>
          </w:p>
        </w:tc>
      </w:tr>
      <w:tr w:rsidR="001B13EC" w:rsidRPr="00181EF3" w14:paraId="3D77396B" w14:textId="77777777" w:rsidTr="001B13EC">
        <w:trPr>
          <w:cantSplit/>
        </w:trPr>
        <w:tc>
          <w:tcPr>
            <w:tcW w:w="1316" w:type="pct"/>
            <w:shd w:val="clear" w:color="auto" w:fill="auto"/>
            <w:noWrap/>
          </w:tcPr>
          <w:p w14:paraId="39BA1407" w14:textId="77777777" w:rsidR="001B13EC" w:rsidRPr="00181EF3" w:rsidRDefault="001B13EC" w:rsidP="001B13EC">
            <w:pPr>
              <w:pStyle w:val="TableText"/>
              <w:keepNext/>
              <w:rPr>
                <w:szCs w:val="22"/>
              </w:rPr>
            </w:pPr>
            <w:r w:rsidRPr="00181EF3">
              <w:rPr>
                <w:szCs w:val="22"/>
              </w:rPr>
              <w:t>Uterine cancer</w:t>
            </w:r>
          </w:p>
        </w:tc>
        <w:tc>
          <w:tcPr>
            <w:tcW w:w="1053" w:type="pct"/>
            <w:shd w:val="clear" w:color="auto" w:fill="auto"/>
            <w:noWrap/>
          </w:tcPr>
          <w:p w14:paraId="329F359F" w14:textId="77777777" w:rsidR="001B13EC" w:rsidRPr="00181EF3" w:rsidRDefault="001B13EC" w:rsidP="001B13EC">
            <w:pPr>
              <w:pStyle w:val="TableText"/>
              <w:rPr>
                <w:szCs w:val="22"/>
              </w:rPr>
            </w:pPr>
            <w:r w:rsidRPr="00181EF3">
              <w:rPr>
                <w:szCs w:val="22"/>
              </w:rPr>
              <w:t>179, 182</w:t>
            </w:r>
          </w:p>
        </w:tc>
        <w:tc>
          <w:tcPr>
            <w:tcW w:w="2631" w:type="pct"/>
            <w:shd w:val="clear" w:color="auto" w:fill="auto"/>
            <w:noWrap/>
          </w:tcPr>
          <w:p w14:paraId="20D8EFE0" w14:textId="77777777" w:rsidR="001B13EC" w:rsidRPr="00181EF3" w:rsidRDefault="001B13EC" w:rsidP="001B13EC">
            <w:pPr>
              <w:pStyle w:val="TableText"/>
              <w:rPr>
                <w:szCs w:val="22"/>
              </w:rPr>
            </w:pPr>
            <w:r w:rsidRPr="00181EF3">
              <w:rPr>
                <w:szCs w:val="22"/>
              </w:rPr>
              <w:t>C54–C55</w:t>
            </w:r>
          </w:p>
        </w:tc>
      </w:tr>
      <w:tr w:rsidR="001B13EC" w:rsidRPr="00181EF3" w14:paraId="2AE062FC" w14:textId="77777777" w:rsidTr="001B13EC">
        <w:trPr>
          <w:cantSplit/>
        </w:trPr>
        <w:tc>
          <w:tcPr>
            <w:tcW w:w="1316" w:type="pct"/>
            <w:shd w:val="clear" w:color="auto" w:fill="auto"/>
            <w:noWrap/>
          </w:tcPr>
          <w:p w14:paraId="21E29DEE" w14:textId="77777777" w:rsidR="001B13EC" w:rsidRPr="00181EF3" w:rsidRDefault="001B13EC" w:rsidP="001B13EC">
            <w:pPr>
              <w:pStyle w:val="TableText"/>
              <w:keepNext/>
              <w:rPr>
                <w:szCs w:val="22"/>
                <w:lang w:eastAsia="en-NZ"/>
              </w:rPr>
            </w:pPr>
            <w:r w:rsidRPr="00181EF3">
              <w:rPr>
                <w:szCs w:val="22"/>
              </w:rPr>
              <w:t>Cervical cancer</w:t>
            </w:r>
          </w:p>
        </w:tc>
        <w:tc>
          <w:tcPr>
            <w:tcW w:w="1053" w:type="pct"/>
            <w:shd w:val="clear" w:color="auto" w:fill="auto"/>
            <w:noWrap/>
          </w:tcPr>
          <w:p w14:paraId="0DD1880F" w14:textId="77777777" w:rsidR="001B13EC" w:rsidRPr="00181EF3" w:rsidRDefault="001B13EC" w:rsidP="001B13EC">
            <w:pPr>
              <w:pStyle w:val="TableText"/>
              <w:rPr>
                <w:szCs w:val="22"/>
              </w:rPr>
            </w:pPr>
            <w:r w:rsidRPr="00181EF3">
              <w:rPr>
                <w:szCs w:val="22"/>
              </w:rPr>
              <w:t>180</w:t>
            </w:r>
          </w:p>
        </w:tc>
        <w:tc>
          <w:tcPr>
            <w:tcW w:w="2631" w:type="pct"/>
            <w:shd w:val="clear" w:color="auto" w:fill="auto"/>
            <w:noWrap/>
          </w:tcPr>
          <w:p w14:paraId="3A5D5DB3" w14:textId="77777777" w:rsidR="001B13EC" w:rsidRPr="00181EF3" w:rsidRDefault="001B13EC" w:rsidP="001B13EC">
            <w:pPr>
              <w:pStyle w:val="TableText"/>
              <w:rPr>
                <w:szCs w:val="22"/>
              </w:rPr>
            </w:pPr>
            <w:r w:rsidRPr="00181EF3">
              <w:rPr>
                <w:szCs w:val="22"/>
              </w:rPr>
              <w:t>C53</w:t>
            </w:r>
          </w:p>
        </w:tc>
      </w:tr>
      <w:tr w:rsidR="001B13EC" w:rsidRPr="00181EF3" w14:paraId="656FB9E6" w14:textId="77777777" w:rsidTr="001B13EC">
        <w:trPr>
          <w:cantSplit/>
        </w:trPr>
        <w:tc>
          <w:tcPr>
            <w:tcW w:w="1316" w:type="pct"/>
            <w:shd w:val="clear" w:color="auto" w:fill="auto"/>
            <w:noWrap/>
          </w:tcPr>
          <w:p w14:paraId="7D4237E8" w14:textId="77777777" w:rsidR="001B13EC" w:rsidRPr="00181EF3" w:rsidRDefault="001B13EC" w:rsidP="001B13EC">
            <w:pPr>
              <w:pStyle w:val="TableText"/>
              <w:keepNext/>
              <w:rPr>
                <w:szCs w:val="22"/>
              </w:rPr>
            </w:pPr>
            <w:r w:rsidRPr="00181EF3">
              <w:rPr>
                <w:szCs w:val="22"/>
              </w:rPr>
              <w:t>Prostate cancer</w:t>
            </w:r>
          </w:p>
        </w:tc>
        <w:tc>
          <w:tcPr>
            <w:tcW w:w="1053" w:type="pct"/>
            <w:shd w:val="clear" w:color="auto" w:fill="auto"/>
            <w:noWrap/>
          </w:tcPr>
          <w:p w14:paraId="7067C1BB" w14:textId="77777777" w:rsidR="001B13EC" w:rsidRPr="00181EF3" w:rsidRDefault="001B13EC" w:rsidP="001B13EC">
            <w:pPr>
              <w:pStyle w:val="TableText"/>
              <w:rPr>
                <w:szCs w:val="22"/>
              </w:rPr>
            </w:pPr>
            <w:r w:rsidRPr="00181EF3">
              <w:rPr>
                <w:szCs w:val="22"/>
              </w:rPr>
              <w:t>185</w:t>
            </w:r>
          </w:p>
        </w:tc>
        <w:tc>
          <w:tcPr>
            <w:tcW w:w="2631" w:type="pct"/>
            <w:shd w:val="clear" w:color="auto" w:fill="auto"/>
            <w:noWrap/>
          </w:tcPr>
          <w:p w14:paraId="578005EA" w14:textId="77777777" w:rsidR="001B13EC" w:rsidRPr="00181EF3" w:rsidRDefault="001B13EC" w:rsidP="001B13EC">
            <w:pPr>
              <w:pStyle w:val="TableText"/>
              <w:rPr>
                <w:szCs w:val="22"/>
              </w:rPr>
            </w:pPr>
            <w:r w:rsidRPr="00181EF3">
              <w:rPr>
                <w:szCs w:val="22"/>
              </w:rPr>
              <w:t>C61</w:t>
            </w:r>
          </w:p>
        </w:tc>
      </w:tr>
      <w:tr w:rsidR="001B13EC" w:rsidRPr="00181EF3" w14:paraId="786B1A43" w14:textId="77777777" w:rsidTr="001B13EC">
        <w:trPr>
          <w:cantSplit/>
        </w:trPr>
        <w:tc>
          <w:tcPr>
            <w:tcW w:w="1316" w:type="pct"/>
            <w:shd w:val="clear" w:color="auto" w:fill="auto"/>
            <w:noWrap/>
          </w:tcPr>
          <w:p w14:paraId="0A3B88DF" w14:textId="77777777" w:rsidR="001B13EC" w:rsidRPr="00181EF3" w:rsidRDefault="001B13EC" w:rsidP="001B13EC">
            <w:pPr>
              <w:pStyle w:val="TableText"/>
              <w:keepNext/>
              <w:rPr>
                <w:szCs w:val="22"/>
                <w:lang w:eastAsia="en-NZ"/>
              </w:rPr>
            </w:pPr>
            <w:r w:rsidRPr="00181EF3">
              <w:rPr>
                <w:szCs w:val="22"/>
              </w:rPr>
              <w:t>Testicular cancer</w:t>
            </w:r>
          </w:p>
        </w:tc>
        <w:tc>
          <w:tcPr>
            <w:tcW w:w="1053" w:type="pct"/>
            <w:shd w:val="clear" w:color="auto" w:fill="auto"/>
            <w:noWrap/>
          </w:tcPr>
          <w:p w14:paraId="28FE7E19" w14:textId="77777777" w:rsidR="001B13EC" w:rsidRPr="00181EF3" w:rsidRDefault="001B13EC" w:rsidP="001B13EC">
            <w:pPr>
              <w:pStyle w:val="TableText"/>
              <w:rPr>
                <w:szCs w:val="22"/>
              </w:rPr>
            </w:pPr>
            <w:r w:rsidRPr="00181EF3">
              <w:rPr>
                <w:szCs w:val="22"/>
              </w:rPr>
              <w:t>186</w:t>
            </w:r>
          </w:p>
        </w:tc>
        <w:tc>
          <w:tcPr>
            <w:tcW w:w="2631" w:type="pct"/>
            <w:shd w:val="clear" w:color="auto" w:fill="auto"/>
            <w:noWrap/>
          </w:tcPr>
          <w:p w14:paraId="46384991" w14:textId="77777777" w:rsidR="001B13EC" w:rsidRPr="00181EF3" w:rsidRDefault="001B13EC" w:rsidP="001B13EC">
            <w:pPr>
              <w:pStyle w:val="TableText"/>
              <w:rPr>
                <w:szCs w:val="22"/>
              </w:rPr>
            </w:pPr>
            <w:r w:rsidRPr="00181EF3">
              <w:rPr>
                <w:szCs w:val="22"/>
              </w:rPr>
              <w:t>C62</w:t>
            </w:r>
          </w:p>
        </w:tc>
      </w:tr>
      <w:tr w:rsidR="001B13EC" w:rsidRPr="00181EF3" w14:paraId="1BD0A928" w14:textId="77777777" w:rsidTr="001B13EC">
        <w:trPr>
          <w:cantSplit/>
        </w:trPr>
        <w:tc>
          <w:tcPr>
            <w:tcW w:w="1316" w:type="pct"/>
            <w:shd w:val="clear" w:color="auto" w:fill="auto"/>
            <w:noWrap/>
          </w:tcPr>
          <w:p w14:paraId="3FDB6D55" w14:textId="77777777" w:rsidR="001B13EC" w:rsidRPr="00181EF3" w:rsidRDefault="001B13EC" w:rsidP="001B13EC">
            <w:pPr>
              <w:pStyle w:val="TableText"/>
              <w:keepNext/>
              <w:rPr>
                <w:szCs w:val="22"/>
                <w:lang w:eastAsia="en-NZ"/>
              </w:rPr>
            </w:pPr>
            <w:r w:rsidRPr="00181EF3">
              <w:rPr>
                <w:szCs w:val="22"/>
              </w:rPr>
              <w:t>Thyroid cancer</w:t>
            </w:r>
          </w:p>
        </w:tc>
        <w:tc>
          <w:tcPr>
            <w:tcW w:w="1053" w:type="pct"/>
            <w:shd w:val="clear" w:color="auto" w:fill="auto"/>
            <w:noWrap/>
          </w:tcPr>
          <w:p w14:paraId="5FFE2C6B" w14:textId="77777777" w:rsidR="001B13EC" w:rsidRPr="00181EF3" w:rsidRDefault="001B13EC" w:rsidP="001B13EC">
            <w:pPr>
              <w:pStyle w:val="TableText"/>
              <w:rPr>
                <w:szCs w:val="22"/>
              </w:rPr>
            </w:pPr>
            <w:r w:rsidRPr="00181EF3">
              <w:rPr>
                <w:szCs w:val="22"/>
              </w:rPr>
              <w:t>193</w:t>
            </w:r>
          </w:p>
        </w:tc>
        <w:tc>
          <w:tcPr>
            <w:tcW w:w="2631" w:type="pct"/>
            <w:shd w:val="clear" w:color="auto" w:fill="auto"/>
            <w:noWrap/>
          </w:tcPr>
          <w:p w14:paraId="34FAFD35" w14:textId="77777777" w:rsidR="001B13EC" w:rsidRPr="00181EF3" w:rsidRDefault="001B13EC" w:rsidP="001B13EC">
            <w:pPr>
              <w:pStyle w:val="TableText"/>
              <w:rPr>
                <w:szCs w:val="22"/>
              </w:rPr>
            </w:pPr>
            <w:r w:rsidRPr="00181EF3">
              <w:rPr>
                <w:szCs w:val="22"/>
              </w:rPr>
              <w:t>C73</w:t>
            </w:r>
          </w:p>
        </w:tc>
      </w:tr>
      <w:tr w:rsidR="001B13EC" w:rsidRPr="00181EF3" w14:paraId="55722A6B" w14:textId="77777777" w:rsidTr="001B13EC">
        <w:trPr>
          <w:cantSplit/>
        </w:trPr>
        <w:tc>
          <w:tcPr>
            <w:tcW w:w="1316" w:type="pct"/>
            <w:shd w:val="clear" w:color="auto" w:fill="auto"/>
            <w:noWrap/>
          </w:tcPr>
          <w:p w14:paraId="2EF62146" w14:textId="77777777" w:rsidR="001B13EC" w:rsidRPr="00181EF3" w:rsidRDefault="001B13EC" w:rsidP="001B13EC">
            <w:pPr>
              <w:pStyle w:val="TableText"/>
              <w:keepNext/>
              <w:rPr>
                <w:szCs w:val="22"/>
                <w:lang w:eastAsia="en-NZ"/>
              </w:rPr>
            </w:pPr>
            <w:r w:rsidRPr="00181EF3">
              <w:rPr>
                <w:szCs w:val="22"/>
              </w:rPr>
              <w:t>Diabetes</w:t>
            </w:r>
          </w:p>
        </w:tc>
        <w:tc>
          <w:tcPr>
            <w:tcW w:w="1053" w:type="pct"/>
            <w:shd w:val="clear" w:color="auto" w:fill="auto"/>
            <w:noWrap/>
          </w:tcPr>
          <w:p w14:paraId="336747AF" w14:textId="77777777" w:rsidR="001B13EC" w:rsidRPr="00181EF3" w:rsidRDefault="001B13EC" w:rsidP="001B13EC">
            <w:pPr>
              <w:pStyle w:val="TableText"/>
              <w:rPr>
                <w:szCs w:val="22"/>
              </w:rPr>
            </w:pPr>
            <w:r w:rsidRPr="00181EF3">
              <w:rPr>
                <w:szCs w:val="22"/>
              </w:rPr>
              <w:t>250</w:t>
            </w:r>
          </w:p>
        </w:tc>
        <w:tc>
          <w:tcPr>
            <w:tcW w:w="2631" w:type="pct"/>
            <w:shd w:val="clear" w:color="auto" w:fill="auto"/>
            <w:noWrap/>
          </w:tcPr>
          <w:p w14:paraId="1C35C278" w14:textId="77777777" w:rsidR="001B13EC" w:rsidRPr="00181EF3" w:rsidRDefault="001B13EC" w:rsidP="001B13EC">
            <w:pPr>
              <w:pStyle w:val="TableText"/>
              <w:rPr>
                <w:szCs w:val="22"/>
              </w:rPr>
            </w:pPr>
            <w:r w:rsidRPr="00181EF3">
              <w:rPr>
                <w:szCs w:val="22"/>
              </w:rPr>
              <w:t>E10–E14</w:t>
            </w:r>
          </w:p>
        </w:tc>
      </w:tr>
      <w:tr w:rsidR="001B13EC" w:rsidRPr="00181EF3" w14:paraId="239D3930" w14:textId="77777777" w:rsidTr="001B13EC">
        <w:trPr>
          <w:cantSplit/>
        </w:trPr>
        <w:tc>
          <w:tcPr>
            <w:tcW w:w="1316" w:type="pct"/>
            <w:shd w:val="clear" w:color="auto" w:fill="auto"/>
            <w:noWrap/>
          </w:tcPr>
          <w:p w14:paraId="17D226E3" w14:textId="77777777" w:rsidR="001B13EC" w:rsidRPr="00181EF3" w:rsidRDefault="001B13EC" w:rsidP="001B13EC">
            <w:pPr>
              <w:pStyle w:val="TableText"/>
              <w:keepNext/>
              <w:rPr>
                <w:szCs w:val="22"/>
                <w:lang w:eastAsia="en-NZ"/>
              </w:rPr>
            </w:pPr>
            <w:r w:rsidRPr="00181EF3">
              <w:rPr>
                <w:szCs w:val="22"/>
              </w:rPr>
              <w:t>Diabetes complications – renal failure with concurrent diabetes</w:t>
            </w:r>
          </w:p>
        </w:tc>
        <w:tc>
          <w:tcPr>
            <w:tcW w:w="1053" w:type="pct"/>
            <w:shd w:val="clear" w:color="auto" w:fill="auto"/>
            <w:noWrap/>
          </w:tcPr>
          <w:p w14:paraId="742A8809" w14:textId="77777777" w:rsidR="001B13EC" w:rsidRPr="00181EF3" w:rsidRDefault="001B13EC" w:rsidP="001B13EC">
            <w:pPr>
              <w:pStyle w:val="TableText"/>
              <w:rPr>
                <w:szCs w:val="22"/>
              </w:rPr>
            </w:pPr>
            <w:r w:rsidRPr="00181EF3">
              <w:rPr>
                <w:szCs w:val="22"/>
              </w:rPr>
              <w:t>250.4</w:t>
            </w:r>
          </w:p>
        </w:tc>
        <w:tc>
          <w:tcPr>
            <w:tcW w:w="2631" w:type="pct"/>
            <w:shd w:val="clear" w:color="auto" w:fill="auto"/>
            <w:noWrap/>
          </w:tcPr>
          <w:p w14:paraId="1EB1BC9B" w14:textId="77777777" w:rsidR="001B13EC" w:rsidRPr="00181EF3" w:rsidRDefault="001B13EC" w:rsidP="001B13EC">
            <w:pPr>
              <w:pStyle w:val="TableText"/>
              <w:rPr>
                <w:szCs w:val="22"/>
              </w:rPr>
            </w:pPr>
            <w:r w:rsidRPr="00181EF3">
              <w:rPr>
                <w:szCs w:val="22"/>
              </w:rPr>
              <w:t>E10.2, E11.2, E12.2, E13.2, E14.2</w:t>
            </w:r>
          </w:p>
        </w:tc>
      </w:tr>
      <w:tr w:rsidR="001B13EC" w:rsidRPr="00181EF3" w14:paraId="36899FD8" w14:textId="77777777" w:rsidTr="001B13EC">
        <w:trPr>
          <w:cantSplit/>
        </w:trPr>
        <w:tc>
          <w:tcPr>
            <w:tcW w:w="1316" w:type="pct"/>
            <w:shd w:val="clear" w:color="auto" w:fill="auto"/>
            <w:noWrap/>
          </w:tcPr>
          <w:p w14:paraId="61A7A6B9" w14:textId="77777777" w:rsidR="001B13EC" w:rsidRPr="00181EF3" w:rsidRDefault="001B13EC" w:rsidP="000667F5">
            <w:pPr>
              <w:pStyle w:val="TableText"/>
              <w:keepNext/>
              <w:rPr>
                <w:szCs w:val="22"/>
              </w:rPr>
            </w:pPr>
            <w:r w:rsidRPr="00181EF3">
              <w:rPr>
                <w:szCs w:val="22"/>
              </w:rPr>
              <w:t>Diabetes complications – lower limb amputation with concurrent diabetes</w:t>
            </w:r>
          </w:p>
        </w:tc>
        <w:tc>
          <w:tcPr>
            <w:tcW w:w="1053" w:type="pct"/>
            <w:shd w:val="clear" w:color="auto" w:fill="auto"/>
            <w:noWrap/>
          </w:tcPr>
          <w:p w14:paraId="77B40190" w14:textId="77777777" w:rsidR="001B13EC" w:rsidRPr="00181EF3" w:rsidRDefault="001B13EC" w:rsidP="000667F5">
            <w:pPr>
              <w:pStyle w:val="TableText"/>
              <w:keepNext/>
              <w:rPr>
                <w:szCs w:val="22"/>
              </w:rPr>
            </w:pPr>
            <w:r>
              <w:rPr>
                <w:szCs w:val="22"/>
              </w:rPr>
              <w:t>250 together with 841</w:t>
            </w:r>
          </w:p>
        </w:tc>
        <w:tc>
          <w:tcPr>
            <w:tcW w:w="2631" w:type="pct"/>
            <w:shd w:val="clear" w:color="auto" w:fill="auto"/>
            <w:noWrap/>
          </w:tcPr>
          <w:p w14:paraId="4FACE2E7" w14:textId="77777777" w:rsidR="001B13EC" w:rsidRPr="00181EF3" w:rsidRDefault="001B13EC" w:rsidP="000667F5">
            <w:pPr>
              <w:pStyle w:val="TableText"/>
              <w:keepNext/>
              <w:rPr>
                <w:szCs w:val="22"/>
              </w:rPr>
            </w:pPr>
            <w:r w:rsidRPr="00181EF3">
              <w:rPr>
                <w:szCs w:val="22"/>
              </w:rPr>
              <w:t>E10–E14 together with 4433800, 4435800, 9055700, 4436100, 4436400, 4436401, 4436101, 4436700, 4437000, 4437300, 5023600, 5203300, 5023602, 4436701, 4436702</w:t>
            </w:r>
          </w:p>
        </w:tc>
      </w:tr>
      <w:tr w:rsidR="001B13EC" w:rsidRPr="00181EF3" w14:paraId="27A78574" w14:textId="77777777" w:rsidTr="001B13EC">
        <w:trPr>
          <w:cantSplit/>
        </w:trPr>
        <w:tc>
          <w:tcPr>
            <w:tcW w:w="1316" w:type="pct"/>
            <w:shd w:val="clear" w:color="auto" w:fill="auto"/>
            <w:noWrap/>
          </w:tcPr>
          <w:p w14:paraId="58C5F8D5" w14:textId="77777777" w:rsidR="001B13EC" w:rsidRPr="00181EF3" w:rsidRDefault="001B13EC" w:rsidP="001B13EC">
            <w:pPr>
              <w:pStyle w:val="TableText"/>
              <w:rPr>
                <w:szCs w:val="22"/>
                <w:lang w:eastAsia="en-NZ"/>
              </w:rPr>
            </w:pPr>
            <w:r w:rsidRPr="00181EF3">
              <w:rPr>
                <w:szCs w:val="22"/>
              </w:rPr>
              <w:t>Dementia including Alzheimer’s Disease</w:t>
            </w:r>
          </w:p>
        </w:tc>
        <w:tc>
          <w:tcPr>
            <w:tcW w:w="1053" w:type="pct"/>
            <w:shd w:val="clear" w:color="auto" w:fill="auto"/>
            <w:noWrap/>
          </w:tcPr>
          <w:p w14:paraId="3DE7FBA4" w14:textId="77777777" w:rsidR="001B13EC" w:rsidRPr="00181EF3" w:rsidRDefault="001B13EC" w:rsidP="001B13EC">
            <w:pPr>
              <w:pStyle w:val="TableText"/>
              <w:rPr>
                <w:szCs w:val="22"/>
              </w:rPr>
            </w:pPr>
            <w:r w:rsidRPr="00181EF3">
              <w:rPr>
                <w:szCs w:val="22"/>
              </w:rPr>
              <w:t>290–294, 331.0</w:t>
            </w:r>
          </w:p>
        </w:tc>
        <w:tc>
          <w:tcPr>
            <w:tcW w:w="2631" w:type="pct"/>
            <w:shd w:val="clear" w:color="auto" w:fill="auto"/>
            <w:noWrap/>
          </w:tcPr>
          <w:p w14:paraId="07AD8A83" w14:textId="77777777" w:rsidR="001B13EC" w:rsidRPr="00181EF3" w:rsidRDefault="001B13EC" w:rsidP="001B13EC">
            <w:pPr>
              <w:pStyle w:val="TableText"/>
              <w:rPr>
                <w:szCs w:val="22"/>
              </w:rPr>
            </w:pPr>
            <w:r w:rsidRPr="00181EF3">
              <w:rPr>
                <w:szCs w:val="22"/>
              </w:rPr>
              <w:t>F00–F07, F20–F28, G30</w:t>
            </w:r>
          </w:p>
        </w:tc>
      </w:tr>
      <w:tr w:rsidR="001B13EC" w:rsidRPr="00181EF3" w14:paraId="5C35E16C" w14:textId="77777777" w:rsidTr="001B13EC">
        <w:trPr>
          <w:cantSplit/>
        </w:trPr>
        <w:tc>
          <w:tcPr>
            <w:tcW w:w="1316" w:type="pct"/>
            <w:shd w:val="clear" w:color="auto" w:fill="auto"/>
            <w:hideMark/>
          </w:tcPr>
          <w:p w14:paraId="60B78004" w14:textId="77777777" w:rsidR="001B13EC" w:rsidRPr="00181EF3" w:rsidRDefault="001B13EC" w:rsidP="001B13EC">
            <w:pPr>
              <w:pStyle w:val="TableText"/>
              <w:rPr>
                <w:lang w:eastAsia="en-NZ"/>
              </w:rPr>
            </w:pPr>
            <w:r w:rsidRPr="00181EF3">
              <w:rPr>
                <w:lang w:eastAsia="en-NZ"/>
              </w:rPr>
              <w:t>Total cardiovascular disease</w:t>
            </w:r>
          </w:p>
        </w:tc>
        <w:tc>
          <w:tcPr>
            <w:tcW w:w="1053" w:type="pct"/>
            <w:shd w:val="clear" w:color="auto" w:fill="auto"/>
            <w:hideMark/>
          </w:tcPr>
          <w:p w14:paraId="7AB7013A" w14:textId="77777777" w:rsidR="001B13EC" w:rsidRPr="00181EF3" w:rsidRDefault="001B13EC" w:rsidP="001B13EC">
            <w:pPr>
              <w:pStyle w:val="TableText"/>
              <w:rPr>
                <w:lang w:eastAsia="en-NZ"/>
              </w:rPr>
            </w:pPr>
            <w:r w:rsidRPr="00181EF3">
              <w:rPr>
                <w:lang w:eastAsia="en-NZ"/>
              </w:rPr>
              <w:t>390–459</w:t>
            </w:r>
          </w:p>
        </w:tc>
        <w:tc>
          <w:tcPr>
            <w:tcW w:w="2631" w:type="pct"/>
            <w:shd w:val="clear" w:color="auto" w:fill="auto"/>
            <w:hideMark/>
          </w:tcPr>
          <w:p w14:paraId="59B6FDDD" w14:textId="77777777" w:rsidR="001B13EC" w:rsidRPr="00181EF3" w:rsidRDefault="001B13EC" w:rsidP="001B13EC">
            <w:pPr>
              <w:pStyle w:val="TableText"/>
              <w:rPr>
                <w:lang w:eastAsia="en-NZ"/>
              </w:rPr>
            </w:pPr>
            <w:r w:rsidRPr="00181EF3">
              <w:rPr>
                <w:lang w:eastAsia="en-NZ"/>
              </w:rPr>
              <w:t>I00–I99</w:t>
            </w:r>
          </w:p>
        </w:tc>
      </w:tr>
      <w:tr w:rsidR="001B13EC" w:rsidRPr="00181EF3" w14:paraId="6468574C" w14:textId="77777777" w:rsidTr="001B13EC">
        <w:trPr>
          <w:cantSplit/>
        </w:trPr>
        <w:tc>
          <w:tcPr>
            <w:tcW w:w="1316" w:type="pct"/>
            <w:shd w:val="clear" w:color="auto" w:fill="auto"/>
            <w:hideMark/>
          </w:tcPr>
          <w:p w14:paraId="1A15D9C8" w14:textId="77777777" w:rsidR="001B13EC" w:rsidRPr="00181EF3" w:rsidRDefault="001B13EC" w:rsidP="001B13EC">
            <w:pPr>
              <w:pStyle w:val="TableText"/>
              <w:rPr>
                <w:lang w:eastAsia="en-NZ"/>
              </w:rPr>
            </w:pPr>
            <w:r w:rsidRPr="00181EF3">
              <w:rPr>
                <w:lang w:eastAsia="en-NZ"/>
              </w:rPr>
              <w:t>Chronic rheumatic heart disease</w:t>
            </w:r>
          </w:p>
        </w:tc>
        <w:tc>
          <w:tcPr>
            <w:tcW w:w="1053" w:type="pct"/>
            <w:shd w:val="clear" w:color="auto" w:fill="auto"/>
            <w:hideMark/>
          </w:tcPr>
          <w:p w14:paraId="53509690" w14:textId="77777777" w:rsidR="001B13EC" w:rsidRPr="00181EF3" w:rsidRDefault="001B13EC" w:rsidP="001B13EC">
            <w:pPr>
              <w:pStyle w:val="TableText"/>
              <w:rPr>
                <w:lang w:eastAsia="en-NZ"/>
              </w:rPr>
            </w:pPr>
            <w:r w:rsidRPr="00181EF3">
              <w:rPr>
                <w:lang w:eastAsia="en-NZ"/>
              </w:rPr>
              <w:t>393–398</w:t>
            </w:r>
          </w:p>
        </w:tc>
        <w:tc>
          <w:tcPr>
            <w:tcW w:w="2631" w:type="pct"/>
            <w:shd w:val="clear" w:color="auto" w:fill="auto"/>
            <w:hideMark/>
          </w:tcPr>
          <w:p w14:paraId="55ACE209" w14:textId="77777777" w:rsidR="001B13EC" w:rsidRPr="00181EF3" w:rsidRDefault="001B13EC" w:rsidP="001B13EC">
            <w:pPr>
              <w:pStyle w:val="TableText"/>
              <w:rPr>
                <w:lang w:eastAsia="en-NZ"/>
              </w:rPr>
            </w:pPr>
            <w:r w:rsidRPr="00181EF3">
              <w:rPr>
                <w:lang w:eastAsia="en-NZ"/>
              </w:rPr>
              <w:t>I05–I09</w:t>
            </w:r>
          </w:p>
        </w:tc>
      </w:tr>
      <w:tr w:rsidR="001B13EC" w:rsidRPr="00181EF3" w14:paraId="6773F0BD" w14:textId="77777777" w:rsidTr="001B13EC">
        <w:trPr>
          <w:cantSplit/>
        </w:trPr>
        <w:tc>
          <w:tcPr>
            <w:tcW w:w="1316" w:type="pct"/>
            <w:shd w:val="clear" w:color="auto" w:fill="auto"/>
            <w:hideMark/>
          </w:tcPr>
          <w:p w14:paraId="11E9EB42" w14:textId="77777777" w:rsidR="001B13EC" w:rsidRPr="00181EF3" w:rsidRDefault="001B13EC" w:rsidP="001B13EC">
            <w:pPr>
              <w:pStyle w:val="TableText"/>
              <w:rPr>
                <w:lang w:eastAsia="en-NZ"/>
              </w:rPr>
            </w:pPr>
            <w:r w:rsidRPr="00181EF3">
              <w:rPr>
                <w:lang w:eastAsia="en-NZ"/>
              </w:rPr>
              <w:t>Ischaemic heart disease</w:t>
            </w:r>
          </w:p>
        </w:tc>
        <w:tc>
          <w:tcPr>
            <w:tcW w:w="1053" w:type="pct"/>
            <w:shd w:val="clear" w:color="auto" w:fill="auto"/>
            <w:hideMark/>
          </w:tcPr>
          <w:p w14:paraId="55F304FD" w14:textId="77777777" w:rsidR="001B13EC" w:rsidRPr="00181EF3" w:rsidRDefault="001B13EC" w:rsidP="001B13EC">
            <w:pPr>
              <w:pStyle w:val="TableText"/>
              <w:rPr>
                <w:lang w:eastAsia="en-NZ"/>
              </w:rPr>
            </w:pPr>
            <w:r w:rsidRPr="00181EF3">
              <w:rPr>
                <w:lang w:eastAsia="en-NZ"/>
              </w:rPr>
              <w:t>410–414</w:t>
            </w:r>
          </w:p>
        </w:tc>
        <w:tc>
          <w:tcPr>
            <w:tcW w:w="2631" w:type="pct"/>
            <w:shd w:val="clear" w:color="auto" w:fill="auto"/>
            <w:hideMark/>
          </w:tcPr>
          <w:p w14:paraId="671338B9" w14:textId="77777777" w:rsidR="001B13EC" w:rsidRPr="00181EF3" w:rsidRDefault="001B13EC" w:rsidP="001B13EC">
            <w:pPr>
              <w:pStyle w:val="TableText"/>
              <w:rPr>
                <w:lang w:eastAsia="en-NZ"/>
              </w:rPr>
            </w:pPr>
            <w:r w:rsidRPr="00181EF3">
              <w:rPr>
                <w:lang w:eastAsia="en-NZ"/>
              </w:rPr>
              <w:t>I20–I25</w:t>
            </w:r>
          </w:p>
        </w:tc>
      </w:tr>
      <w:tr w:rsidR="001B13EC" w:rsidRPr="00181EF3" w14:paraId="38C8F78A" w14:textId="77777777" w:rsidTr="001B13EC">
        <w:trPr>
          <w:cantSplit/>
        </w:trPr>
        <w:tc>
          <w:tcPr>
            <w:tcW w:w="1316" w:type="pct"/>
            <w:shd w:val="clear" w:color="auto" w:fill="auto"/>
          </w:tcPr>
          <w:p w14:paraId="65E77333" w14:textId="77777777" w:rsidR="001B13EC" w:rsidRPr="00181EF3" w:rsidRDefault="001B13EC" w:rsidP="001B13EC">
            <w:pPr>
              <w:pStyle w:val="TableText"/>
              <w:rPr>
                <w:szCs w:val="22"/>
                <w:lang w:eastAsia="en-NZ"/>
              </w:rPr>
            </w:pPr>
            <w:r w:rsidRPr="00181EF3">
              <w:rPr>
                <w:szCs w:val="22"/>
              </w:rPr>
              <w:t>Other forms of heart disease</w:t>
            </w:r>
          </w:p>
        </w:tc>
        <w:tc>
          <w:tcPr>
            <w:tcW w:w="1053" w:type="pct"/>
            <w:shd w:val="clear" w:color="auto" w:fill="auto"/>
          </w:tcPr>
          <w:p w14:paraId="7B3B64FC" w14:textId="77777777" w:rsidR="001B13EC" w:rsidRPr="00181EF3" w:rsidRDefault="001B13EC" w:rsidP="001B13EC">
            <w:pPr>
              <w:pStyle w:val="TableText"/>
              <w:rPr>
                <w:szCs w:val="22"/>
              </w:rPr>
            </w:pPr>
            <w:r w:rsidRPr="00181EF3">
              <w:rPr>
                <w:szCs w:val="22"/>
              </w:rPr>
              <w:t>420–429</w:t>
            </w:r>
          </w:p>
        </w:tc>
        <w:tc>
          <w:tcPr>
            <w:tcW w:w="2631" w:type="pct"/>
            <w:shd w:val="clear" w:color="auto" w:fill="auto"/>
          </w:tcPr>
          <w:p w14:paraId="309E023F" w14:textId="77777777" w:rsidR="001B13EC" w:rsidRPr="00181EF3" w:rsidRDefault="001B13EC" w:rsidP="001B13EC">
            <w:pPr>
              <w:pStyle w:val="TableText"/>
              <w:rPr>
                <w:szCs w:val="22"/>
              </w:rPr>
            </w:pPr>
            <w:r w:rsidRPr="00181EF3">
              <w:rPr>
                <w:szCs w:val="22"/>
              </w:rPr>
              <w:t>I30–I52</w:t>
            </w:r>
          </w:p>
        </w:tc>
      </w:tr>
      <w:tr w:rsidR="001B13EC" w:rsidRPr="00181EF3" w14:paraId="3303EF9B" w14:textId="77777777" w:rsidTr="001B13EC">
        <w:trPr>
          <w:cantSplit/>
        </w:trPr>
        <w:tc>
          <w:tcPr>
            <w:tcW w:w="1316" w:type="pct"/>
            <w:shd w:val="clear" w:color="auto" w:fill="auto"/>
            <w:hideMark/>
          </w:tcPr>
          <w:p w14:paraId="10CD3C02" w14:textId="77777777" w:rsidR="001B13EC" w:rsidRPr="00181EF3" w:rsidRDefault="001B13EC" w:rsidP="001B13EC">
            <w:pPr>
              <w:pStyle w:val="TableText"/>
              <w:rPr>
                <w:lang w:eastAsia="en-NZ"/>
              </w:rPr>
            </w:pPr>
            <w:r w:rsidRPr="00181EF3">
              <w:rPr>
                <w:lang w:eastAsia="en-NZ"/>
              </w:rPr>
              <w:t>Heart failure</w:t>
            </w:r>
          </w:p>
        </w:tc>
        <w:tc>
          <w:tcPr>
            <w:tcW w:w="1053" w:type="pct"/>
            <w:shd w:val="clear" w:color="auto" w:fill="auto"/>
            <w:hideMark/>
          </w:tcPr>
          <w:p w14:paraId="2C83C828" w14:textId="77777777" w:rsidR="001B13EC" w:rsidRPr="00181EF3" w:rsidRDefault="001B13EC" w:rsidP="001B13EC">
            <w:pPr>
              <w:pStyle w:val="TableText"/>
              <w:rPr>
                <w:lang w:eastAsia="en-NZ"/>
              </w:rPr>
            </w:pPr>
            <w:r w:rsidRPr="00181EF3">
              <w:rPr>
                <w:lang w:eastAsia="en-NZ"/>
              </w:rPr>
              <w:t>428</w:t>
            </w:r>
          </w:p>
        </w:tc>
        <w:tc>
          <w:tcPr>
            <w:tcW w:w="2631" w:type="pct"/>
            <w:shd w:val="clear" w:color="auto" w:fill="auto"/>
            <w:hideMark/>
          </w:tcPr>
          <w:p w14:paraId="56A27F8C" w14:textId="77777777" w:rsidR="001B13EC" w:rsidRPr="00181EF3" w:rsidRDefault="001B13EC" w:rsidP="001B13EC">
            <w:pPr>
              <w:pStyle w:val="TableText"/>
              <w:rPr>
                <w:lang w:eastAsia="en-NZ"/>
              </w:rPr>
            </w:pPr>
            <w:r w:rsidRPr="00181EF3">
              <w:rPr>
                <w:lang w:eastAsia="en-NZ"/>
              </w:rPr>
              <w:t>I50</w:t>
            </w:r>
          </w:p>
        </w:tc>
      </w:tr>
      <w:tr w:rsidR="001B13EC" w:rsidRPr="00181EF3" w14:paraId="2B3FB0FC" w14:textId="77777777" w:rsidTr="001B13EC">
        <w:trPr>
          <w:cantSplit/>
        </w:trPr>
        <w:tc>
          <w:tcPr>
            <w:tcW w:w="1316" w:type="pct"/>
            <w:shd w:val="clear" w:color="auto" w:fill="auto"/>
            <w:hideMark/>
          </w:tcPr>
          <w:p w14:paraId="390BEDAB" w14:textId="77777777" w:rsidR="001B13EC" w:rsidRPr="00181EF3" w:rsidRDefault="001B13EC" w:rsidP="001B13EC">
            <w:pPr>
              <w:pStyle w:val="TableText"/>
              <w:rPr>
                <w:lang w:eastAsia="en-NZ"/>
              </w:rPr>
            </w:pPr>
            <w:r w:rsidRPr="00181EF3">
              <w:rPr>
                <w:lang w:eastAsia="en-NZ"/>
              </w:rPr>
              <w:t>Cerebrovascular diseases (stroke)</w:t>
            </w:r>
          </w:p>
        </w:tc>
        <w:tc>
          <w:tcPr>
            <w:tcW w:w="1053" w:type="pct"/>
            <w:shd w:val="clear" w:color="auto" w:fill="auto"/>
            <w:hideMark/>
          </w:tcPr>
          <w:p w14:paraId="19A9833A" w14:textId="77777777" w:rsidR="001B13EC" w:rsidRPr="00181EF3" w:rsidRDefault="001B13EC" w:rsidP="001B13EC">
            <w:pPr>
              <w:pStyle w:val="TableText"/>
              <w:rPr>
                <w:lang w:eastAsia="en-NZ"/>
              </w:rPr>
            </w:pPr>
            <w:r w:rsidRPr="00181EF3">
              <w:rPr>
                <w:lang w:eastAsia="en-NZ"/>
              </w:rPr>
              <w:t>430–438</w:t>
            </w:r>
          </w:p>
        </w:tc>
        <w:tc>
          <w:tcPr>
            <w:tcW w:w="2631" w:type="pct"/>
            <w:shd w:val="clear" w:color="auto" w:fill="auto"/>
            <w:hideMark/>
          </w:tcPr>
          <w:p w14:paraId="171C1433" w14:textId="77777777" w:rsidR="001B13EC" w:rsidRPr="00181EF3" w:rsidRDefault="001B13EC" w:rsidP="001B13EC">
            <w:pPr>
              <w:pStyle w:val="TableText"/>
              <w:rPr>
                <w:lang w:eastAsia="en-NZ"/>
              </w:rPr>
            </w:pPr>
            <w:r w:rsidRPr="00181EF3">
              <w:rPr>
                <w:lang w:eastAsia="en-NZ"/>
              </w:rPr>
              <w:t>I60–I69</w:t>
            </w:r>
          </w:p>
        </w:tc>
      </w:tr>
      <w:tr w:rsidR="001B13EC" w:rsidRPr="00181EF3" w14:paraId="5F92A1D5" w14:textId="77777777" w:rsidTr="001B13EC">
        <w:trPr>
          <w:cantSplit/>
        </w:trPr>
        <w:tc>
          <w:tcPr>
            <w:tcW w:w="1316" w:type="pct"/>
            <w:shd w:val="clear" w:color="auto" w:fill="auto"/>
          </w:tcPr>
          <w:p w14:paraId="45757FD3" w14:textId="77777777" w:rsidR="001B13EC" w:rsidRPr="00181EF3" w:rsidRDefault="001B13EC" w:rsidP="001B13EC">
            <w:pPr>
              <w:pStyle w:val="TableText"/>
              <w:rPr>
                <w:szCs w:val="22"/>
                <w:lang w:eastAsia="en-NZ"/>
              </w:rPr>
            </w:pPr>
            <w:r w:rsidRPr="00181EF3">
              <w:rPr>
                <w:szCs w:val="22"/>
              </w:rPr>
              <w:t>All revascularisation (coronary artery bypass graft (CABG) and angioplasty) heart disease procedures</w:t>
            </w:r>
          </w:p>
        </w:tc>
        <w:tc>
          <w:tcPr>
            <w:tcW w:w="1053" w:type="pct"/>
            <w:shd w:val="clear" w:color="auto" w:fill="auto"/>
          </w:tcPr>
          <w:p w14:paraId="47B5980B" w14:textId="77777777" w:rsidR="001B13EC" w:rsidRPr="00181EF3" w:rsidRDefault="001B13EC" w:rsidP="001B13EC">
            <w:pPr>
              <w:pStyle w:val="TableText"/>
              <w:rPr>
                <w:szCs w:val="22"/>
              </w:rPr>
            </w:pPr>
            <w:r w:rsidRPr="00181EF3">
              <w:rPr>
                <w:szCs w:val="22"/>
              </w:rPr>
              <w:t>procedure code 3601, 3602, 3605, 3606, 3607, 3609, 3610, 3611, 3612, 3613, 3614, 3615, 3616, 3619</w:t>
            </w:r>
          </w:p>
        </w:tc>
        <w:tc>
          <w:tcPr>
            <w:tcW w:w="2631" w:type="pct"/>
            <w:shd w:val="clear" w:color="auto" w:fill="auto"/>
          </w:tcPr>
          <w:p w14:paraId="1C96C866" w14:textId="77777777" w:rsidR="001B13EC" w:rsidRPr="00181EF3" w:rsidRDefault="001B13EC" w:rsidP="001B13EC">
            <w:pPr>
              <w:pStyle w:val="TableText"/>
              <w:rPr>
                <w:szCs w:val="22"/>
              </w:rPr>
            </w:pPr>
            <w:r w:rsidRPr="00181EF3">
              <w:rPr>
                <w:szCs w:val="22"/>
              </w:rPr>
              <w:t>procedure code blocks 669, 670, 671, 672, 673, 674, 675, 676, 678, 679, 3530400, 3530500, 3531000, 3531001, 3531002, 3849700, 3849701, 3849702, 3849703, 3849704, 3849705, 3849706, 3849707, 3850000, 3850300, 3850001, 3850301, 3850002, 3850302, 3850003, 3850303, 3850004, 3850304, 9020100, 9020101, 9020102, 9020103</w:t>
            </w:r>
          </w:p>
        </w:tc>
      </w:tr>
      <w:tr w:rsidR="001B13EC" w:rsidRPr="00181EF3" w14:paraId="4DA11072" w14:textId="77777777" w:rsidTr="001B13EC">
        <w:trPr>
          <w:cantSplit/>
        </w:trPr>
        <w:tc>
          <w:tcPr>
            <w:tcW w:w="1316" w:type="pct"/>
            <w:shd w:val="clear" w:color="auto" w:fill="auto"/>
          </w:tcPr>
          <w:p w14:paraId="17574BBD" w14:textId="77777777" w:rsidR="001B13EC" w:rsidRPr="00181EF3" w:rsidRDefault="001B13EC" w:rsidP="001B13EC">
            <w:pPr>
              <w:pStyle w:val="TableText"/>
              <w:rPr>
                <w:szCs w:val="22"/>
              </w:rPr>
            </w:pPr>
            <w:r w:rsidRPr="00181EF3">
              <w:rPr>
                <w:szCs w:val="22"/>
              </w:rPr>
              <w:lastRenderedPageBreak/>
              <w:t>Coronary angioplasty procedures (percutaneous) [Open angioplasties and open coronary endarterectomy not included]</w:t>
            </w:r>
          </w:p>
        </w:tc>
        <w:tc>
          <w:tcPr>
            <w:tcW w:w="1053" w:type="pct"/>
            <w:shd w:val="clear" w:color="auto" w:fill="auto"/>
          </w:tcPr>
          <w:p w14:paraId="0B013F98" w14:textId="77777777" w:rsidR="001B13EC" w:rsidRPr="00181EF3" w:rsidRDefault="001B13EC" w:rsidP="001B13EC">
            <w:pPr>
              <w:pStyle w:val="TableText"/>
              <w:rPr>
                <w:szCs w:val="22"/>
              </w:rPr>
            </w:pPr>
            <w:r w:rsidRPr="00181EF3">
              <w:rPr>
                <w:szCs w:val="22"/>
              </w:rPr>
              <w:t>procedure code 3601, 3602, 3605, 3606, 3607, 3609</w:t>
            </w:r>
          </w:p>
        </w:tc>
        <w:tc>
          <w:tcPr>
            <w:tcW w:w="2631" w:type="pct"/>
            <w:shd w:val="clear" w:color="auto" w:fill="auto"/>
          </w:tcPr>
          <w:p w14:paraId="49F16AF5" w14:textId="77777777" w:rsidR="001B13EC" w:rsidRPr="00181EF3" w:rsidRDefault="001B13EC" w:rsidP="001B13EC">
            <w:pPr>
              <w:pStyle w:val="TableText"/>
              <w:rPr>
                <w:szCs w:val="22"/>
              </w:rPr>
            </w:pPr>
            <w:r w:rsidRPr="00181EF3">
              <w:rPr>
                <w:szCs w:val="22"/>
              </w:rPr>
              <w:t>procedure code blocks 669, 670, 671, 3530400, 3530500, 3531000, 3531001, 3531002</w:t>
            </w:r>
          </w:p>
        </w:tc>
      </w:tr>
      <w:tr w:rsidR="001B13EC" w:rsidRPr="00181EF3" w14:paraId="024EAD3D" w14:textId="77777777" w:rsidTr="001B13EC">
        <w:trPr>
          <w:cantSplit/>
        </w:trPr>
        <w:tc>
          <w:tcPr>
            <w:tcW w:w="1316" w:type="pct"/>
            <w:shd w:val="clear" w:color="auto" w:fill="auto"/>
          </w:tcPr>
          <w:p w14:paraId="3700BE48" w14:textId="77777777" w:rsidR="001B13EC" w:rsidRPr="00181EF3" w:rsidRDefault="001B13EC" w:rsidP="001B13EC">
            <w:pPr>
              <w:pStyle w:val="TableText"/>
              <w:rPr>
                <w:szCs w:val="22"/>
                <w:lang w:eastAsia="en-NZ"/>
              </w:rPr>
            </w:pPr>
            <w:r w:rsidRPr="00181EF3">
              <w:rPr>
                <w:szCs w:val="22"/>
              </w:rPr>
              <w:t>Pneumonia</w:t>
            </w:r>
          </w:p>
        </w:tc>
        <w:tc>
          <w:tcPr>
            <w:tcW w:w="1053" w:type="pct"/>
            <w:shd w:val="clear" w:color="auto" w:fill="auto"/>
          </w:tcPr>
          <w:p w14:paraId="329093F8" w14:textId="77777777" w:rsidR="001B13EC" w:rsidRPr="00181EF3" w:rsidRDefault="001B13EC" w:rsidP="001B13EC">
            <w:pPr>
              <w:pStyle w:val="TableText"/>
              <w:rPr>
                <w:szCs w:val="22"/>
              </w:rPr>
            </w:pPr>
            <w:r w:rsidRPr="00181EF3">
              <w:rPr>
                <w:szCs w:val="22"/>
              </w:rPr>
              <w:t>480–486</w:t>
            </w:r>
          </w:p>
        </w:tc>
        <w:tc>
          <w:tcPr>
            <w:tcW w:w="2631" w:type="pct"/>
            <w:shd w:val="clear" w:color="auto" w:fill="auto"/>
          </w:tcPr>
          <w:p w14:paraId="6F895354" w14:textId="77777777" w:rsidR="001B13EC" w:rsidRPr="00181EF3" w:rsidRDefault="001B13EC" w:rsidP="001B13EC">
            <w:pPr>
              <w:pStyle w:val="TableText"/>
              <w:rPr>
                <w:szCs w:val="22"/>
              </w:rPr>
            </w:pPr>
            <w:r w:rsidRPr="00181EF3">
              <w:rPr>
                <w:szCs w:val="22"/>
              </w:rPr>
              <w:t>J12–J18</w:t>
            </w:r>
          </w:p>
        </w:tc>
      </w:tr>
      <w:tr w:rsidR="001B13EC" w:rsidRPr="00181EF3" w14:paraId="5877ED3C" w14:textId="77777777" w:rsidTr="001B13EC">
        <w:trPr>
          <w:cantSplit/>
        </w:trPr>
        <w:tc>
          <w:tcPr>
            <w:tcW w:w="1316" w:type="pct"/>
            <w:shd w:val="clear" w:color="auto" w:fill="auto"/>
          </w:tcPr>
          <w:p w14:paraId="1F58AA0B" w14:textId="77777777" w:rsidR="001B13EC" w:rsidRPr="00181EF3" w:rsidRDefault="001B13EC" w:rsidP="001B13EC">
            <w:pPr>
              <w:pStyle w:val="TableText"/>
              <w:rPr>
                <w:szCs w:val="22"/>
                <w:lang w:eastAsia="en-NZ"/>
              </w:rPr>
            </w:pPr>
            <w:r w:rsidRPr="00181EF3">
              <w:rPr>
                <w:szCs w:val="22"/>
              </w:rPr>
              <w:t>Bronchiolitis (acute, excludes chronic)</w:t>
            </w:r>
          </w:p>
        </w:tc>
        <w:tc>
          <w:tcPr>
            <w:tcW w:w="1053" w:type="pct"/>
            <w:shd w:val="clear" w:color="auto" w:fill="auto"/>
          </w:tcPr>
          <w:p w14:paraId="27803A46" w14:textId="77777777" w:rsidR="001B13EC" w:rsidRPr="00181EF3" w:rsidRDefault="001B13EC" w:rsidP="001B13EC">
            <w:pPr>
              <w:pStyle w:val="TableText"/>
              <w:rPr>
                <w:szCs w:val="22"/>
              </w:rPr>
            </w:pPr>
            <w:r w:rsidRPr="00181EF3">
              <w:rPr>
                <w:szCs w:val="22"/>
              </w:rPr>
              <w:t>466.1</w:t>
            </w:r>
          </w:p>
        </w:tc>
        <w:tc>
          <w:tcPr>
            <w:tcW w:w="2631" w:type="pct"/>
            <w:shd w:val="clear" w:color="auto" w:fill="auto"/>
          </w:tcPr>
          <w:p w14:paraId="7D48447A" w14:textId="77777777" w:rsidR="001B13EC" w:rsidRPr="00181EF3" w:rsidRDefault="001B13EC" w:rsidP="001B13EC">
            <w:pPr>
              <w:pStyle w:val="TableText"/>
              <w:rPr>
                <w:szCs w:val="22"/>
              </w:rPr>
            </w:pPr>
            <w:r w:rsidRPr="00181EF3">
              <w:rPr>
                <w:szCs w:val="22"/>
              </w:rPr>
              <w:t>J21</w:t>
            </w:r>
          </w:p>
        </w:tc>
      </w:tr>
      <w:tr w:rsidR="001B13EC" w:rsidRPr="00181EF3" w14:paraId="3FC41306" w14:textId="77777777" w:rsidTr="001B13EC">
        <w:trPr>
          <w:cantSplit/>
        </w:trPr>
        <w:tc>
          <w:tcPr>
            <w:tcW w:w="1316" w:type="pct"/>
            <w:shd w:val="clear" w:color="auto" w:fill="auto"/>
          </w:tcPr>
          <w:p w14:paraId="0BD50CD0" w14:textId="77777777" w:rsidR="001B13EC" w:rsidRPr="00181EF3" w:rsidRDefault="001B13EC" w:rsidP="001B13EC">
            <w:pPr>
              <w:pStyle w:val="TableText"/>
              <w:rPr>
                <w:szCs w:val="22"/>
              </w:rPr>
            </w:pPr>
            <w:r w:rsidRPr="00181EF3">
              <w:rPr>
                <w:szCs w:val="22"/>
              </w:rPr>
              <w:t>Chronic obstructive pulmonary disease (COPD)</w:t>
            </w:r>
          </w:p>
        </w:tc>
        <w:tc>
          <w:tcPr>
            <w:tcW w:w="1053" w:type="pct"/>
            <w:shd w:val="clear" w:color="auto" w:fill="auto"/>
          </w:tcPr>
          <w:p w14:paraId="07593E44" w14:textId="77777777" w:rsidR="001B13EC" w:rsidRPr="00181EF3" w:rsidRDefault="001B13EC" w:rsidP="001B13EC">
            <w:pPr>
              <w:pStyle w:val="TableText"/>
              <w:rPr>
                <w:szCs w:val="22"/>
              </w:rPr>
            </w:pPr>
            <w:r w:rsidRPr="00181EF3">
              <w:rPr>
                <w:szCs w:val="22"/>
              </w:rPr>
              <w:t>491.2, 496, 493.2</w:t>
            </w:r>
          </w:p>
        </w:tc>
        <w:tc>
          <w:tcPr>
            <w:tcW w:w="2631" w:type="pct"/>
            <w:shd w:val="clear" w:color="auto" w:fill="auto"/>
          </w:tcPr>
          <w:p w14:paraId="05B65ABF" w14:textId="77777777" w:rsidR="001B13EC" w:rsidRPr="00181EF3" w:rsidRDefault="001B13EC" w:rsidP="001B13EC">
            <w:pPr>
              <w:pStyle w:val="TableText"/>
              <w:rPr>
                <w:szCs w:val="22"/>
              </w:rPr>
            </w:pPr>
            <w:r w:rsidRPr="00181EF3">
              <w:rPr>
                <w:szCs w:val="22"/>
              </w:rPr>
              <w:t>J44</w:t>
            </w:r>
          </w:p>
        </w:tc>
      </w:tr>
      <w:tr w:rsidR="001B13EC" w:rsidRPr="00181EF3" w14:paraId="343032F1" w14:textId="77777777" w:rsidTr="001B13EC">
        <w:trPr>
          <w:cantSplit/>
        </w:trPr>
        <w:tc>
          <w:tcPr>
            <w:tcW w:w="1316" w:type="pct"/>
            <w:shd w:val="clear" w:color="auto" w:fill="auto"/>
          </w:tcPr>
          <w:p w14:paraId="601AAB83" w14:textId="77777777" w:rsidR="001B13EC" w:rsidRPr="00181EF3" w:rsidRDefault="001B13EC" w:rsidP="001B13EC">
            <w:pPr>
              <w:pStyle w:val="TableText"/>
              <w:rPr>
                <w:szCs w:val="22"/>
                <w:lang w:eastAsia="en-NZ"/>
              </w:rPr>
            </w:pPr>
            <w:r w:rsidRPr="00181EF3">
              <w:rPr>
                <w:szCs w:val="22"/>
              </w:rPr>
              <w:t>Asthma</w:t>
            </w:r>
          </w:p>
        </w:tc>
        <w:tc>
          <w:tcPr>
            <w:tcW w:w="1053" w:type="pct"/>
            <w:shd w:val="clear" w:color="auto" w:fill="auto"/>
          </w:tcPr>
          <w:p w14:paraId="7A32B4BA" w14:textId="77777777" w:rsidR="001B13EC" w:rsidRPr="00181EF3" w:rsidRDefault="001B13EC" w:rsidP="001B13EC">
            <w:pPr>
              <w:pStyle w:val="TableText"/>
              <w:rPr>
                <w:szCs w:val="22"/>
              </w:rPr>
            </w:pPr>
            <w:r w:rsidRPr="00181EF3">
              <w:rPr>
                <w:szCs w:val="22"/>
              </w:rPr>
              <w:t>493</w:t>
            </w:r>
          </w:p>
        </w:tc>
        <w:tc>
          <w:tcPr>
            <w:tcW w:w="2631" w:type="pct"/>
            <w:shd w:val="clear" w:color="auto" w:fill="auto"/>
          </w:tcPr>
          <w:p w14:paraId="064C323E" w14:textId="77777777" w:rsidR="001B13EC" w:rsidRPr="00181EF3" w:rsidRDefault="001B13EC" w:rsidP="001B13EC">
            <w:pPr>
              <w:pStyle w:val="TableText"/>
              <w:rPr>
                <w:szCs w:val="22"/>
              </w:rPr>
            </w:pPr>
            <w:r w:rsidRPr="00181EF3">
              <w:rPr>
                <w:szCs w:val="22"/>
              </w:rPr>
              <w:t>J45–J46</w:t>
            </w:r>
          </w:p>
        </w:tc>
      </w:tr>
      <w:tr w:rsidR="001B13EC" w:rsidRPr="00181EF3" w14:paraId="6377CA92" w14:textId="77777777" w:rsidTr="001B13EC">
        <w:trPr>
          <w:cantSplit/>
        </w:trPr>
        <w:tc>
          <w:tcPr>
            <w:tcW w:w="1316" w:type="pct"/>
            <w:shd w:val="clear" w:color="auto" w:fill="auto"/>
          </w:tcPr>
          <w:p w14:paraId="381F06CB" w14:textId="77777777" w:rsidR="001B13EC" w:rsidRPr="00181EF3" w:rsidRDefault="001B13EC" w:rsidP="001B13EC">
            <w:pPr>
              <w:pStyle w:val="TableText"/>
              <w:rPr>
                <w:szCs w:val="22"/>
              </w:rPr>
            </w:pPr>
            <w:r w:rsidRPr="00181EF3">
              <w:rPr>
                <w:szCs w:val="22"/>
              </w:rPr>
              <w:t>Bronchiectasis (excludes congenital)</w:t>
            </w:r>
          </w:p>
        </w:tc>
        <w:tc>
          <w:tcPr>
            <w:tcW w:w="1053" w:type="pct"/>
            <w:shd w:val="clear" w:color="auto" w:fill="auto"/>
          </w:tcPr>
          <w:p w14:paraId="195458EA" w14:textId="77777777" w:rsidR="001B13EC" w:rsidRPr="00181EF3" w:rsidRDefault="001B13EC" w:rsidP="001B13EC">
            <w:pPr>
              <w:pStyle w:val="TableText"/>
              <w:rPr>
                <w:szCs w:val="22"/>
              </w:rPr>
            </w:pPr>
            <w:r w:rsidRPr="00181EF3">
              <w:rPr>
                <w:szCs w:val="22"/>
              </w:rPr>
              <w:t>494</w:t>
            </w:r>
          </w:p>
        </w:tc>
        <w:tc>
          <w:tcPr>
            <w:tcW w:w="2631" w:type="pct"/>
            <w:shd w:val="clear" w:color="auto" w:fill="auto"/>
          </w:tcPr>
          <w:p w14:paraId="53E3C134" w14:textId="77777777" w:rsidR="001B13EC" w:rsidRPr="00181EF3" w:rsidRDefault="001B13EC" w:rsidP="001B13EC">
            <w:pPr>
              <w:pStyle w:val="TableText"/>
              <w:rPr>
                <w:szCs w:val="22"/>
              </w:rPr>
            </w:pPr>
            <w:r w:rsidRPr="00181EF3">
              <w:rPr>
                <w:szCs w:val="22"/>
              </w:rPr>
              <w:t>J47</w:t>
            </w:r>
          </w:p>
        </w:tc>
      </w:tr>
      <w:tr w:rsidR="001B13EC" w:rsidRPr="00181EF3" w14:paraId="2F0EFAE9" w14:textId="77777777" w:rsidTr="001B13EC">
        <w:trPr>
          <w:cantSplit/>
        </w:trPr>
        <w:tc>
          <w:tcPr>
            <w:tcW w:w="1316" w:type="pct"/>
            <w:shd w:val="clear" w:color="auto" w:fill="auto"/>
          </w:tcPr>
          <w:p w14:paraId="05A32559" w14:textId="77777777" w:rsidR="001B13EC" w:rsidRPr="00181EF3" w:rsidRDefault="001B13EC" w:rsidP="001B13EC">
            <w:pPr>
              <w:pStyle w:val="TableText"/>
              <w:rPr>
                <w:szCs w:val="22"/>
                <w:lang w:eastAsia="en-NZ"/>
              </w:rPr>
            </w:pPr>
            <w:r w:rsidRPr="00181EF3">
              <w:rPr>
                <w:szCs w:val="22"/>
              </w:rPr>
              <w:t>Congenital anomalies: CVS</w:t>
            </w:r>
          </w:p>
        </w:tc>
        <w:tc>
          <w:tcPr>
            <w:tcW w:w="1053" w:type="pct"/>
            <w:shd w:val="clear" w:color="auto" w:fill="auto"/>
          </w:tcPr>
          <w:p w14:paraId="5EDC86CB" w14:textId="77777777" w:rsidR="001B13EC" w:rsidRPr="00181EF3" w:rsidRDefault="001B13EC" w:rsidP="001B13EC">
            <w:pPr>
              <w:pStyle w:val="TableText"/>
              <w:rPr>
                <w:szCs w:val="22"/>
              </w:rPr>
            </w:pPr>
            <w:r w:rsidRPr="00181EF3">
              <w:rPr>
                <w:szCs w:val="22"/>
              </w:rPr>
              <w:t>745–747</w:t>
            </w:r>
          </w:p>
        </w:tc>
        <w:tc>
          <w:tcPr>
            <w:tcW w:w="2631" w:type="pct"/>
            <w:shd w:val="clear" w:color="auto" w:fill="auto"/>
          </w:tcPr>
          <w:p w14:paraId="4D2C142E" w14:textId="77777777" w:rsidR="001B13EC" w:rsidRPr="00181EF3" w:rsidRDefault="001B13EC" w:rsidP="001B13EC">
            <w:pPr>
              <w:pStyle w:val="TableText"/>
              <w:rPr>
                <w:szCs w:val="22"/>
              </w:rPr>
            </w:pPr>
            <w:r w:rsidRPr="00181EF3">
              <w:rPr>
                <w:szCs w:val="22"/>
              </w:rPr>
              <w:t>Q20–Q28</w:t>
            </w:r>
          </w:p>
        </w:tc>
      </w:tr>
      <w:tr w:rsidR="001B13EC" w:rsidRPr="00181EF3" w14:paraId="41A92F0B" w14:textId="77777777" w:rsidTr="001B13EC">
        <w:trPr>
          <w:cantSplit/>
        </w:trPr>
        <w:tc>
          <w:tcPr>
            <w:tcW w:w="1316" w:type="pct"/>
            <w:shd w:val="clear" w:color="auto" w:fill="auto"/>
          </w:tcPr>
          <w:p w14:paraId="6CBC7A15" w14:textId="77777777" w:rsidR="001B13EC" w:rsidRPr="00181EF3" w:rsidRDefault="001B13EC" w:rsidP="001B13EC">
            <w:pPr>
              <w:pStyle w:val="TableText"/>
              <w:rPr>
                <w:szCs w:val="22"/>
              </w:rPr>
            </w:pPr>
            <w:r w:rsidRPr="00181EF3">
              <w:rPr>
                <w:szCs w:val="22"/>
              </w:rPr>
              <w:t>Congenital anomalies: Other</w:t>
            </w:r>
          </w:p>
        </w:tc>
        <w:tc>
          <w:tcPr>
            <w:tcW w:w="1053" w:type="pct"/>
            <w:shd w:val="clear" w:color="auto" w:fill="auto"/>
          </w:tcPr>
          <w:p w14:paraId="15A475BC" w14:textId="77777777" w:rsidR="001B13EC" w:rsidRPr="00181EF3" w:rsidRDefault="001B13EC" w:rsidP="001B13EC">
            <w:pPr>
              <w:pStyle w:val="TableText"/>
              <w:rPr>
                <w:szCs w:val="22"/>
              </w:rPr>
            </w:pPr>
            <w:r w:rsidRPr="00181EF3">
              <w:rPr>
                <w:szCs w:val="22"/>
              </w:rPr>
              <w:t xml:space="preserve">743–744, 748–757, 759 </w:t>
            </w:r>
          </w:p>
        </w:tc>
        <w:tc>
          <w:tcPr>
            <w:tcW w:w="2631" w:type="pct"/>
            <w:shd w:val="clear" w:color="auto" w:fill="auto"/>
          </w:tcPr>
          <w:p w14:paraId="61457BBF" w14:textId="77777777" w:rsidR="001B13EC" w:rsidRPr="00181EF3" w:rsidRDefault="001B13EC" w:rsidP="001B13EC">
            <w:pPr>
              <w:pStyle w:val="TableText"/>
              <w:rPr>
                <w:szCs w:val="22"/>
              </w:rPr>
            </w:pPr>
            <w:r w:rsidRPr="00181EF3">
              <w:rPr>
                <w:szCs w:val="22"/>
              </w:rPr>
              <w:t xml:space="preserve">Q08–Q19, Q29–Q89 </w:t>
            </w:r>
          </w:p>
        </w:tc>
      </w:tr>
      <w:tr w:rsidR="001B13EC" w:rsidRPr="00181EF3" w14:paraId="3A0A0AA1" w14:textId="77777777" w:rsidTr="001B13EC">
        <w:trPr>
          <w:cantSplit/>
        </w:trPr>
        <w:tc>
          <w:tcPr>
            <w:tcW w:w="1316" w:type="pct"/>
            <w:shd w:val="clear" w:color="auto" w:fill="auto"/>
          </w:tcPr>
          <w:p w14:paraId="127E9EFA" w14:textId="77777777" w:rsidR="001B13EC" w:rsidRPr="00181EF3" w:rsidRDefault="001B13EC" w:rsidP="001B13EC">
            <w:pPr>
              <w:pStyle w:val="TableText"/>
              <w:rPr>
                <w:szCs w:val="22"/>
                <w:lang w:eastAsia="en-NZ"/>
              </w:rPr>
            </w:pPr>
            <w:r w:rsidRPr="00181EF3">
              <w:rPr>
                <w:szCs w:val="22"/>
              </w:rPr>
              <w:t>Extreme prematurity</w:t>
            </w:r>
          </w:p>
        </w:tc>
        <w:tc>
          <w:tcPr>
            <w:tcW w:w="1053" w:type="pct"/>
            <w:shd w:val="clear" w:color="auto" w:fill="auto"/>
          </w:tcPr>
          <w:p w14:paraId="1EA59877" w14:textId="77777777" w:rsidR="001B13EC" w:rsidRPr="00181EF3" w:rsidRDefault="001B13EC" w:rsidP="001B13EC">
            <w:pPr>
              <w:pStyle w:val="TableText"/>
              <w:rPr>
                <w:szCs w:val="22"/>
              </w:rPr>
            </w:pPr>
            <w:r w:rsidRPr="00181EF3">
              <w:rPr>
                <w:szCs w:val="22"/>
              </w:rPr>
              <w:t>765</w:t>
            </w:r>
          </w:p>
        </w:tc>
        <w:tc>
          <w:tcPr>
            <w:tcW w:w="2631" w:type="pct"/>
            <w:shd w:val="clear" w:color="auto" w:fill="auto"/>
          </w:tcPr>
          <w:p w14:paraId="51D6D72F" w14:textId="77777777" w:rsidR="001B13EC" w:rsidRPr="00181EF3" w:rsidRDefault="001B13EC" w:rsidP="001B13EC">
            <w:pPr>
              <w:pStyle w:val="TableText"/>
              <w:rPr>
                <w:szCs w:val="22"/>
              </w:rPr>
            </w:pPr>
            <w:r w:rsidRPr="00181EF3">
              <w:rPr>
                <w:szCs w:val="22"/>
              </w:rPr>
              <w:t>P07.2</w:t>
            </w:r>
          </w:p>
        </w:tc>
      </w:tr>
      <w:tr w:rsidR="001B13EC" w:rsidRPr="00181EF3" w14:paraId="1E8DB081" w14:textId="77777777" w:rsidTr="001B13EC">
        <w:trPr>
          <w:cantSplit/>
        </w:trPr>
        <w:tc>
          <w:tcPr>
            <w:tcW w:w="1316" w:type="pct"/>
            <w:shd w:val="clear" w:color="auto" w:fill="auto"/>
          </w:tcPr>
          <w:p w14:paraId="2E469330" w14:textId="77777777" w:rsidR="001B13EC" w:rsidRPr="00181EF3" w:rsidRDefault="001B13EC" w:rsidP="001B13EC">
            <w:pPr>
              <w:pStyle w:val="TableText"/>
              <w:rPr>
                <w:szCs w:val="22"/>
                <w:lang w:eastAsia="en-NZ"/>
              </w:rPr>
            </w:pPr>
            <w:r w:rsidRPr="00181EF3">
              <w:rPr>
                <w:szCs w:val="22"/>
              </w:rPr>
              <w:t>Other perinatal conditions</w:t>
            </w:r>
          </w:p>
        </w:tc>
        <w:tc>
          <w:tcPr>
            <w:tcW w:w="1053" w:type="pct"/>
            <w:shd w:val="clear" w:color="auto" w:fill="auto"/>
          </w:tcPr>
          <w:p w14:paraId="648963F7" w14:textId="77777777" w:rsidR="001B13EC" w:rsidRPr="00181EF3" w:rsidRDefault="001B13EC" w:rsidP="001B13EC">
            <w:pPr>
              <w:pStyle w:val="TableText"/>
              <w:rPr>
                <w:szCs w:val="22"/>
              </w:rPr>
            </w:pPr>
            <w:r w:rsidRPr="00181EF3">
              <w:rPr>
                <w:szCs w:val="22"/>
              </w:rPr>
              <w:t>764, 766–767,</w:t>
            </w:r>
            <w:r w:rsidRPr="00181EF3">
              <w:rPr>
                <w:szCs w:val="22"/>
              </w:rPr>
              <w:br/>
              <w:t>770–779</w:t>
            </w:r>
          </w:p>
        </w:tc>
        <w:tc>
          <w:tcPr>
            <w:tcW w:w="2631" w:type="pct"/>
            <w:shd w:val="clear" w:color="auto" w:fill="auto"/>
          </w:tcPr>
          <w:p w14:paraId="05CCD82C" w14:textId="77777777" w:rsidR="001B13EC" w:rsidRPr="00181EF3" w:rsidRDefault="001B13EC" w:rsidP="001B13EC">
            <w:pPr>
              <w:pStyle w:val="TableText"/>
              <w:rPr>
                <w:szCs w:val="22"/>
              </w:rPr>
            </w:pPr>
            <w:r w:rsidRPr="00181EF3">
              <w:rPr>
                <w:szCs w:val="22"/>
              </w:rPr>
              <w:t>P05–P19, P23–P96</w:t>
            </w:r>
          </w:p>
        </w:tc>
      </w:tr>
      <w:tr w:rsidR="001B13EC" w:rsidRPr="00181EF3" w14:paraId="488083AD" w14:textId="77777777" w:rsidTr="001B13EC">
        <w:trPr>
          <w:cantSplit/>
        </w:trPr>
        <w:tc>
          <w:tcPr>
            <w:tcW w:w="1316" w:type="pct"/>
            <w:shd w:val="clear" w:color="auto" w:fill="auto"/>
          </w:tcPr>
          <w:p w14:paraId="3CB91842" w14:textId="77777777" w:rsidR="001B13EC" w:rsidRPr="00181EF3" w:rsidRDefault="001B13EC" w:rsidP="001B13EC">
            <w:pPr>
              <w:pStyle w:val="TableText"/>
              <w:rPr>
                <w:szCs w:val="22"/>
                <w:lang w:eastAsia="en-NZ"/>
              </w:rPr>
            </w:pPr>
            <w:r w:rsidRPr="00181EF3">
              <w:rPr>
                <w:szCs w:val="22"/>
              </w:rPr>
              <w:t>Sudden unexpected death in infancy (SUDI)</w:t>
            </w:r>
          </w:p>
        </w:tc>
        <w:tc>
          <w:tcPr>
            <w:tcW w:w="1053" w:type="pct"/>
            <w:shd w:val="clear" w:color="auto" w:fill="auto"/>
          </w:tcPr>
          <w:p w14:paraId="23E47C30" w14:textId="77777777" w:rsidR="001B13EC" w:rsidRPr="00181EF3" w:rsidRDefault="001B13EC" w:rsidP="001B13EC">
            <w:pPr>
              <w:pStyle w:val="TableText"/>
              <w:rPr>
                <w:szCs w:val="22"/>
              </w:rPr>
            </w:pPr>
            <w:r w:rsidRPr="00181EF3">
              <w:rPr>
                <w:szCs w:val="22"/>
              </w:rPr>
              <w:t>798, 798.1, 798.2, 798.9, E911, E913.0</w:t>
            </w:r>
          </w:p>
        </w:tc>
        <w:tc>
          <w:tcPr>
            <w:tcW w:w="2631" w:type="pct"/>
            <w:shd w:val="clear" w:color="auto" w:fill="auto"/>
          </w:tcPr>
          <w:p w14:paraId="0F7CF99C" w14:textId="77777777" w:rsidR="001B13EC" w:rsidRPr="00181EF3" w:rsidRDefault="001B13EC" w:rsidP="001B13EC">
            <w:pPr>
              <w:pStyle w:val="TableText"/>
              <w:rPr>
                <w:szCs w:val="22"/>
              </w:rPr>
            </w:pPr>
            <w:r w:rsidRPr="00181EF3">
              <w:rPr>
                <w:szCs w:val="22"/>
              </w:rPr>
              <w:t>R95–R96, R98–R99, W75, W78–W79</w:t>
            </w:r>
          </w:p>
        </w:tc>
      </w:tr>
      <w:tr w:rsidR="001B13EC" w:rsidRPr="00181EF3" w14:paraId="6C5526C8" w14:textId="77777777" w:rsidTr="001B13EC">
        <w:trPr>
          <w:cantSplit/>
        </w:trPr>
        <w:tc>
          <w:tcPr>
            <w:tcW w:w="1316" w:type="pct"/>
            <w:shd w:val="clear" w:color="auto" w:fill="auto"/>
          </w:tcPr>
          <w:p w14:paraId="054871EC" w14:textId="77777777" w:rsidR="001B13EC" w:rsidRPr="00181EF3" w:rsidRDefault="001B13EC" w:rsidP="001B13EC">
            <w:pPr>
              <w:pStyle w:val="TableText"/>
              <w:rPr>
                <w:szCs w:val="22"/>
              </w:rPr>
            </w:pPr>
            <w:r w:rsidRPr="00181EF3">
              <w:rPr>
                <w:szCs w:val="22"/>
              </w:rPr>
              <w:t>Sudden infant death syndrome (SIDS)</w:t>
            </w:r>
          </w:p>
        </w:tc>
        <w:tc>
          <w:tcPr>
            <w:tcW w:w="1053" w:type="pct"/>
            <w:shd w:val="clear" w:color="auto" w:fill="auto"/>
          </w:tcPr>
          <w:p w14:paraId="474717B1" w14:textId="77777777" w:rsidR="001B13EC" w:rsidRPr="00181EF3" w:rsidRDefault="001B13EC" w:rsidP="001B13EC">
            <w:pPr>
              <w:pStyle w:val="TableText"/>
              <w:rPr>
                <w:szCs w:val="22"/>
              </w:rPr>
            </w:pPr>
            <w:r w:rsidRPr="00181EF3">
              <w:rPr>
                <w:szCs w:val="22"/>
              </w:rPr>
              <w:t>798</w:t>
            </w:r>
          </w:p>
        </w:tc>
        <w:tc>
          <w:tcPr>
            <w:tcW w:w="2631" w:type="pct"/>
            <w:shd w:val="clear" w:color="auto" w:fill="auto"/>
          </w:tcPr>
          <w:p w14:paraId="0D64BA8B" w14:textId="77777777" w:rsidR="001B13EC" w:rsidRPr="00181EF3" w:rsidRDefault="001B13EC" w:rsidP="001B13EC">
            <w:pPr>
              <w:pStyle w:val="TableText"/>
              <w:rPr>
                <w:szCs w:val="22"/>
              </w:rPr>
            </w:pPr>
            <w:r w:rsidRPr="00181EF3">
              <w:rPr>
                <w:szCs w:val="22"/>
              </w:rPr>
              <w:t>R95</w:t>
            </w:r>
          </w:p>
        </w:tc>
      </w:tr>
      <w:tr w:rsidR="001B13EC" w:rsidRPr="00181EF3" w14:paraId="3E97F7F9" w14:textId="77777777" w:rsidTr="001B13EC">
        <w:trPr>
          <w:cantSplit/>
        </w:trPr>
        <w:tc>
          <w:tcPr>
            <w:tcW w:w="1316" w:type="pct"/>
            <w:shd w:val="clear" w:color="auto" w:fill="auto"/>
          </w:tcPr>
          <w:p w14:paraId="19BDC104" w14:textId="77777777" w:rsidR="001B13EC" w:rsidRPr="00181EF3" w:rsidRDefault="001B13EC" w:rsidP="001B13EC">
            <w:pPr>
              <w:pStyle w:val="TableText"/>
              <w:rPr>
                <w:szCs w:val="22"/>
                <w:lang w:eastAsia="en-NZ"/>
              </w:rPr>
            </w:pPr>
            <w:r w:rsidRPr="00181EF3">
              <w:rPr>
                <w:szCs w:val="22"/>
              </w:rPr>
              <w:t>All unintentional injury</w:t>
            </w:r>
          </w:p>
        </w:tc>
        <w:tc>
          <w:tcPr>
            <w:tcW w:w="1053" w:type="pct"/>
            <w:shd w:val="clear" w:color="auto" w:fill="auto"/>
          </w:tcPr>
          <w:p w14:paraId="1FA281C2" w14:textId="77777777" w:rsidR="001B13EC" w:rsidRPr="00181EF3" w:rsidRDefault="001B13EC" w:rsidP="001B13EC">
            <w:pPr>
              <w:pStyle w:val="TableText"/>
              <w:rPr>
                <w:szCs w:val="22"/>
              </w:rPr>
            </w:pPr>
            <w:r w:rsidRPr="00181EF3">
              <w:rPr>
                <w:szCs w:val="22"/>
              </w:rPr>
              <w:t>E800–E848,</w:t>
            </w:r>
            <w:r w:rsidRPr="00181EF3">
              <w:rPr>
                <w:szCs w:val="22"/>
              </w:rPr>
              <w:br/>
              <w:t>E850–E869,</w:t>
            </w:r>
            <w:r w:rsidRPr="00181EF3">
              <w:rPr>
                <w:szCs w:val="22"/>
              </w:rPr>
              <w:br/>
              <w:t>E880–E888</w:t>
            </w:r>
            <w:r>
              <w:rPr>
                <w:szCs w:val="22"/>
              </w:rPr>
              <w:t>,</w:t>
            </w:r>
            <w:r w:rsidRPr="00181EF3">
              <w:rPr>
                <w:szCs w:val="22"/>
              </w:rPr>
              <w:br/>
              <w:t>E890–E928</w:t>
            </w:r>
          </w:p>
        </w:tc>
        <w:tc>
          <w:tcPr>
            <w:tcW w:w="2631" w:type="pct"/>
            <w:shd w:val="clear" w:color="auto" w:fill="auto"/>
          </w:tcPr>
          <w:p w14:paraId="3858B802" w14:textId="77777777" w:rsidR="001B13EC" w:rsidRPr="00181EF3" w:rsidRDefault="001B13EC" w:rsidP="001B13EC">
            <w:pPr>
              <w:pStyle w:val="TableText"/>
              <w:rPr>
                <w:szCs w:val="22"/>
              </w:rPr>
            </w:pPr>
            <w:r w:rsidRPr="00181EF3">
              <w:rPr>
                <w:szCs w:val="22"/>
              </w:rPr>
              <w:t>V00–X59</w:t>
            </w:r>
          </w:p>
        </w:tc>
      </w:tr>
      <w:tr w:rsidR="001B13EC" w:rsidRPr="00181EF3" w14:paraId="4D2D719B" w14:textId="77777777" w:rsidTr="001B13EC">
        <w:trPr>
          <w:cantSplit/>
        </w:trPr>
        <w:tc>
          <w:tcPr>
            <w:tcW w:w="1316" w:type="pct"/>
            <w:shd w:val="clear" w:color="auto" w:fill="auto"/>
          </w:tcPr>
          <w:p w14:paraId="6710DDBA" w14:textId="77777777" w:rsidR="001B13EC" w:rsidRPr="00181EF3" w:rsidRDefault="001B13EC" w:rsidP="001B13EC">
            <w:pPr>
              <w:pStyle w:val="TableText"/>
              <w:rPr>
                <w:szCs w:val="22"/>
                <w:lang w:eastAsia="en-NZ"/>
              </w:rPr>
            </w:pPr>
            <w:r w:rsidRPr="00181EF3">
              <w:rPr>
                <w:szCs w:val="22"/>
              </w:rPr>
              <w:t>Motor vehicle accidents</w:t>
            </w:r>
          </w:p>
        </w:tc>
        <w:tc>
          <w:tcPr>
            <w:tcW w:w="1053" w:type="pct"/>
            <w:shd w:val="clear" w:color="auto" w:fill="auto"/>
          </w:tcPr>
          <w:p w14:paraId="0D171359" w14:textId="77777777" w:rsidR="001B13EC" w:rsidRPr="00181EF3" w:rsidRDefault="001B13EC" w:rsidP="001B13EC">
            <w:pPr>
              <w:pStyle w:val="TableText"/>
              <w:rPr>
                <w:szCs w:val="22"/>
              </w:rPr>
            </w:pPr>
            <w:r w:rsidRPr="00181EF3">
              <w:rPr>
                <w:szCs w:val="22"/>
              </w:rPr>
              <w:t>E810–E819,</w:t>
            </w:r>
            <w:r w:rsidRPr="00181EF3">
              <w:rPr>
                <w:szCs w:val="22"/>
              </w:rPr>
              <w:br/>
              <w:t>E820–E825, E826</w:t>
            </w:r>
          </w:p>
        </w:tc>
        <w:tc>
          <w:tcPr>
            <w:tcW w:w="2631" w:type="pct"/>
            <w:shd w:val="clear" w:color="auto" w:fill="auto"/>
          </w:tcPr>
          <w:p w14:paraId="494DEA97" w14:textId="77777777" w:rsidR="001B13EC" w:rsidRPr="00181EF3" w:rsidRDefault="001B13EC" w:rsidP="001B13EC">
            <w:pPr>
              <w:pStyle w:val="TableText"/>
              <w:rPr>
                <w:szCs w:val="22"/>
              </w:rPr>
            </w:pPr>
            <w:r w:rsidRPr="00181EF3">
              <w:rPr>
                <w:szCs w:val="22"/>
              </w:rPr>
              <w:t>V02–V04, V09.0–V09.3, V12–V14, V19.0–V19.6,</w:t>
            </w:r>
            <w:r w:rsidRPr="00181EF3">
              <w:rPr>
                <w:szCs w:val="22"/>
              </w:rPr>
              <w:br/>
              <w:t>V20–V79, V80.3–V80.5, V81.0–V81.1, V82.0–V82.1, V83.0–V83.3, V84.0–V84.3, V85.0–V85.3,</w:t>
            </w:r>
            <w:r w:rsidRPr="00181EF3">
              <w:rPr>
                <w:szCs w:val="22"/>
              </w:rPr>
              <w:br/>
              <w:t>V86.0–V87.8, V88.0–V88.8, V89.0, V89.2, V89.9</w:t>
            </w:r>
          </w:p>
        </w:tc>
      </w:tr>
      <w:tr w:rsidR="001B13EC" w:rsidRPr="00181EF3" w14:paraId="39E63768" w14:textId="77777777" w:rsidTr="001B13EC">
        <w:trPr>
          <w:cantSplit/>
        </w:trPr>
        <w:tc>
          <w:tcPr>
            <w:tcW w:w="1316" w:type="pct"/>
            <w:shd w:val="clear" w:color="auto" w:fill="auto"/>
          </w:tcPr>
          <w:p w14:paraId="636C1D79" w14:textId="77777777" w:rsidR="001B13EC" w:rsidRPr="00181EF3" w:rsidRDefault="001B13EC" w:rsidP="001B13EC">
            <w:pPr>
              <w:pStyle w:val="TableText"/>
              <w:rPr>
                <w:szCs w:val="22"/>
                <w:lang w:eastAsia="en-NZ"/>
              </w:rPr>
            </w:pPr>
            <w:r w:rsidRPr="00181EF3">
              <w:rPr>
                <w:szCs w:val="22"/>
              </w:rPr>
              <w:t>Suicide / Intentional self</w:t>
            </w:r>
            <w:r>
              <w:rPr>
                <w:szCs w:val="22"/>
              </w:rPr>
              <w:noBreakHyphen/>
            </w:r>
            <w:r w:rsidRPr="00181EF3">
              <w:rPr>
                <w:szCs w:val="22"/>
              </w:rPr>
              <w:t>harm</w:t>
            </w:r>
          </w:p>
        </w:tc>
        <w:tc>
          <w:tcPr>
            <w:tcW w:w="1053" w:type="pct"/>
            <w:shd w:val="clear" w:color="auto" w:fill="auto"/>
          </w:tcPr>
          <w:p w14:paraId="45B3A6D0" w14:textId="77777777" w:rsidR="001B13EC" w:rsidRPr="00181EF3" w:rsidRDefault="001B13EC" w:rsidP="001B13EC">
            <w:pPr>
              <w:pStyle w:val="TableText"/>
              <w:rPr>
                <w:szCs w:val="22"/>
              </w:rPr>
            </w:pPr>
            <w:r w:rsidRPr="00181EF3">
              <w:rPr>
                <w:szCs w:val="22"/>
              </w:rPr>
              <w:t>E950–E958</w:t>
            </w:r>
          </w:p>
        </w:tc>
        <w:tc>
          <w:tcPr>
            <w:tcW w:w="2631" w:type="pct"/>
            <w:shd w:val="clear" w:color="auto" w:fill="auto"/>
          </w:tcPr>
          <w:p w14:paraId="18135D12" w14:textId="77777777" w:rsidR="001B13EC" w:rsidRPr="00181EF3" w:rsidRDefault="001B13EC" w:rsidP="001B13EC">
            <w:pPr>
              <w:pStyle w:val="TableText"/>
              <w:rPr>
                <w:szCs w:val="22"/>
              </w:rPr>
            </w:pPr>
            <w:r w:rsidRPr="00181EF3">
              <w:rPr>
                <w:szCs w:val="22"/>
              </w:rPr>
              <w:t>X60–X84</w:t>
            </w:r>
          </w:p>
        </w:tc>
      </w:tr>
      <w:tr w:rsidR="001B13EC" w:rsidRPr="00181EF3" w14:paraId="2B09864B" w14:textId="77777777" w:rsidTr="001B13EC">
        <w:trPr>
          <w:cantSplit/>
        </w:trPr>
        <w:tc>
          <w:tcPr>
            <w:tcW w:w="1316" w:type="pct"/>
            <w:shd w:val="clear" w:color="auto" w:fill="auto"/>
          </w:tcPr>
          <w:p w14:paraId="4FE86FA4" w14:textId="77777777" w:rsidR="001B13EC" w:rsidRPr="00181EF3" w:rsidRDefault="001B13EC" w:rsidP="001B13EC">
            <w:pPr>
              <w:pStyle w:val="TableText"/>
              <w:rPr>
                <w:szCs w:val="22"/>
                <w:lang w:eastAsia="en-NZ"/>
              </w:rPr>
            </w:pPr>
            <w:r w:rsidRPr="00181EF3">
              <w:rPr>
                <w:szCs w:val="22"/>
              </w:rPr>
              <w:t>Assault and homicide</w:t>
            </w:r>
          </w:p>
        </w:tc>
        <w:tc>
          <w:tcPr>
            <w:tcW w:w="1053" w:type="pct"/>
            <w:shd w:val="clear" w:color="auto" w:fill="auto"/>
          </w:tcPr>
          <w:p w14:paraId="230FBEC5" w14:textId="77777777" w:rsidR="001B13EC" w:rsidRPr="00181EF3" w:rsidRDefault="001B13EC" w:rsidP="001B13EC">
            <w:pPr>
              <w:pStyle w:val="TableText"/>
              <w:rPr>
                <w:szCs w:val="22"/>
              </w:rPr>
            </w:pPr>
            <w:r w:rsidRPr="00181EF3">
              <w:rPr>
                <w:szCs w:val="22"/>
              </w:rPr>
              <w:t>E960–E968</w:t>
            </w:r>
          </w:p>
        </w:tc>
        <w:tc>
          <w:tcPr>
            <w:tcW w:w="2631" w:type="pct"/>
            <w:shd w:val="clear" w:color="auto" w:fill="auto"/>
          </w:tcPr>
          <w:p w14:paraId="2E165D64" w14:textId="77777777" w:rsidR="001B13EC" w:rsidRPr="00181EF3" w:rsidRDefault="001B13EC" w:rsidP="001B13EC">
            <w:pPr>
              <w:pStyle w:val="TableText"/>
              <w:rPr>
                <w:szCs w:val="22"/>
              </w:rPr>
            </w:pPr>
            <w:r w:rsidRPr="00181EF3">
              <w:rPr>
                <w:szCs w:val="22"/>
              </w:rPr>
              <w:t>X85–Y09</w:t>
            </w:r>
          </w:p>
        </w:tc>
      </w:tr>
    </w:tbl>
    <w:p w14:paraId="4FA8F0EF" w14:textId="77777777" w:rsidR="001B13EC" w:rsidRPr="001B13EC" w:rsidRDefault="001B13EC" w:rsidP="001B13EC"/>
    <w:p w14:paraId="1F2FEC20" w14:textId="77777777" w:rsidR="004A7F24" w:rsidRPr="007D0BAC" w:rsidRDefault="004A7F24" w:rsidP="00023FCA">
      <w:pPr>
        <w:pStyle w:val="Heading2"/>
        <w:pageBreakBefore/>
        <w:spacing w:before="0"/>
      </w:pPr>
      <w:bookmarkStart w:id="586" w:name="_Toc397424541"/>
      <w:bookmarkStart w:id="587" w:name="_Toc495071624"/>
      <w:bookmarkStart w:id="588" w:name="_Toc6498088"/>
      <w:bookmarkStart w:id="589" w:name="_Toc19102519"/>
      <w:bookmarkStart w:id="590" w:name="_Toc315979830"/>
      <w:bookmarkEnd w:id="568"/>
      <w:r w:rsidRPr="007D0BAC">
        <w:lastRenderedPageBreak/>
        <w:t xml:space="preserve">Appendix 3: </w:t>
      </w:r>
      <w:bookmarkEnd w:id="586"/>
      <w:bookmarkEnd w:id="587"/>
      <w:bookmarkEnd w:id="588"/>
      <w:r w:rsidR="00E24433">
        <w:t>2001 Census total Māori population</w:t>
      </w:r>
      <w:bookmarkEnd w:id="589"/>
    </w:p>
    <w:p w14:paraId="0C823F4D" w14:textId="77777777" w:rsidR="00E24433" w:rsidRPr="00181EF3" w:rsidRDefault="00E24433" w:rsidP="00E24433">
      <w:pPr>
        <w:pStyle w:val="Table"/>
      </w:pPr>
      <w:bookmarkStart w:id="591" w:name="_Toc258933390"/>
      <w:bookmarkStart w:id="592" w:name="_Toc426451535"/>
      <w:bookmarkStart w:id="593" w:name="_Toc427306823"/>
      <w:bookmarkStart w:id="594" w:name="_Toc18594798"/>
      <w:bookmarkEnd w:id="590"/>
      <w:r w:rsidRPr="00181EF3">
        <w:t>Table A3.1: 2001 Census total Māori population</w:t>
      </w:r>
      <w:bookmarkEnd w:id="591"/>
      <w:bookmarkEnd w:id="592"/>
      <w:bookmarkEnd w:id="593"/>
      <w:bookmarkEnd w:id="594"/>
    </w:p>
    <w:tbl>
      <w:tblPr>
        <w:tblW w:w="0" w:type="auto"/>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00" w:firstRow="0" w:lastRow="0" w:firstColumn="0" w:lastColumn="0" w:noHBand="0" w:noVBand="0"/>
      </w:tblPr>
      <w:tblGrid>
        <w:gridCol w:w="1560"/>
        <w:gridCol w:w="3620"/>
        <w:gridCol w:w="1294"/>
      </w:tblGrid>
      <w:tr w:rsidR="00E24433" w:rsidRPr="00181EF3" w14:paraId="0FE00176" w14:textId="77777777" w:rsidTr="002A5AD4">
        <w:trPr>
          <w:cantSplit/>
        </w:trPr>
        <w:tc>
          <w:tcPr>
            <w:tcW w:w="1560" w:type="dxa"/>
            <w:tcBorders>
              <w:top w:val="nil"/>
              <w:bottom w:val="nil"/>
            </w:tcBorders>
            <w:shd w:val="clear" w:color="auto" w:fill="D9D9D9" w:themeFill="background1" w:themeFillShade="D9"/>
          </w:tcPr>
          <w:p w14:paraId="7BC31EDF" w14:textId="77777777" w:rsidR="00E24433" w:rsidRPr="00181EF3" w:rsidRDefault="00E24433" w:rsidP="002A5AD4">
            <w:pPr>
              <w:pStyle w:val="TableText"/>
              <w:rPr>
                <w:b/>
              </w:rPr>
            </w:pPr>
            <w:r w:rsidRPr="00181EF3">
              <w:rPr>
                <w:b/>
              </w:rPr>
              <w:t>Age group</w:t>
            </w:r>
            <w:r w:rsidRPr="00181EF3">
              <w:rPr>
                <w:b/>
              </w:rPr>
              <w:br/>
              <w:t>(years)</w:t>
            </w:r>
          </w:p>
        </w:tc>
        <w:tc>
          <w:tcPr>
            <w:tcW w:w="3620" w:type="dxa"/>
            <w:tcBorders>
              <w:top w:val="nil"/>
              <w:bottom w:val="nil"/>
            </w:tcBorders>
            <w:shd w:val="clear" w:color="auto" w:fill="D9D9D9" w:themeFill="background1" w:themeFillShade="D9"/>
          </w:tcPr>
          <w:p w14:paraId="0784502B" w14:textId="77777777" w:rsidR="00E24433" w:rsidRPr="00181EF3" w:rsidRDefault="00E24433" w:rsidP="002A5AD4">
            <w:pPr>
              <w:pStyle w:val="TableText"/>
              <w:jc w:val="center"/>
              <w:rPr>
                <w:b/>
              </w:rPr>
            </w:pPr>
            <w:r w:rsidRPr="00181EF3">
              <w:rPr>
                <w:b/>
              </w:rPr>
              <w:t>2001 Census total</w:t>
            </w:r>
            <w:r w:rsidRPr="00181EF3">
              <w:rPr>
                <w:b/>
              </w:rPr>
              <w:br/>
              <w:t>Māori population</w:t>
            </w:r>
          </w:p>
        </w:tc>
        <w:tc>
          <w:tcPr>
            <w:tcW w:w="1294" w:type="dxa"/>
            <w:tcBorders>
              <w:top w:val="nil"/>
              <w:bottom w:val="nil"/>
            </w:tcBorders>
            <w:shd w:val="clear" w:color="auto" w:fill="D9D9D9" w:themeFill="background1" w:themeFillShade="D9"/>
          </w:tcPr>
          <w:p w14:paraId="7A043E89" w14:textId="77777777" w:rsidR="00E24433" w:rsidRPr="00181EF3" w:rsidRDefault="00E24433" w:rsidP="002A5AD4">
            <w:pPr>
              <w:pStyle w:val="TableText"/>
              <w:jc w:val="center"/>
              <w:rPr>
                <w:b/>
              </w:rPr>
            </w:pPr>
            <w:r w:rsidRPr="00181EF3">
              <w:rPr>
                <w:b/>
              </w:rPr>
              <w:t>Weighting</w:t>
            </w:r>
          </w:p>
        </w:tc>
      </w:tr>
      <w:tr w:rsidR="00E24433" w:rsidRPr="00181EF3" w14:paraId="7C92675B" w14:textId="77777777" w:rsidTr="002A5AD4">
        <w:trPr>
          <w:cantSplit/>
        </w:trPr>
        <w:tc>
          <w:tcPr>
            <w:tcW w:w="1560" w:type="dxa"/>
            <w:tcBorders>
              <w:top w:val="nil"/>
            </w:tcBorders>
            <w:shd w:val="clear" w:color="auto" w:fill="auto"/>
          </w:tcPr>
          <w:p w14:paraId="1FA4D0BB" w14:textId="77777777" w:rsidR="00E24433" w:rsidRPr="00181EF3" w:rsidRDefault="00E24433" w:rsidP="002A5AD4">
            <w:pPr>
              <w:pStyle w:val="TableText"/>
              <w:rPr>
                <w:rFonts w:eastAsia="Arial Unicode MS"/>
              </w:rPr>
            </w:pPr>
            <w:r w:rsidRPr="00181EF3">
              <w:t>0–4</w:t>
            </w:r>
          </w:p>
        </w:tc>
        <w:tc>
          <w:tcPr>
            <w:tcW w:w="3620" w:type="dxa"/>
            <w:tcBorders>
              <w:top w:val="nil"/>
            </w:tcBorders>
            <w:shd w:val="clear" w:color="auto" w:fill="auto"/>
          </w:tcPr>
          <w:p w14:paraId="10E846A4" w14:textId="77777777" w:rsidR="00E24433" w:rsidRPr="00181EF3" w:rsidRDefault="00E24433" w:rsidP="002A5AD4">
            <w:pPr>
              <w:pStyle w:val="TableText"/>
              <w:tabs>
                <w:tab w:val="decimal" w:pos="1927"/>
              </w:tabs>
            </w:pPr>
            <w:r w:rsidRPr="00181EF3">
              <w:t>67,404</w:t>
            </w:r>
          </w:p>
        </w:tc>
        <w:tc>
          <w:tcPr>
            <w:tcW w:w="1294" w:type="dxa"/>
            <w:tcBorders>
              <w:top w:val="nil"/>
            </w:tcBorders>
            <w:shd w:val="clear" w:color="auto" w:fill="auto"/>
          </w:tcPr>
          <w:p w14:paraId="39EAB79A" w14:textId="77777777" w:rsidR="00E24433" w:rsidRPr="00181EF3" w:rsidRDefault="00E24433" w:rsidP="002A5AD4">
            <w:pPr>
              <w:pStyle w:val="TableText"/>
              <w:tabs>
                <w:tab w:val="decimal" w:pos="575"/>
              </w:tabs>
            </w:pPr>
            <w:r w:rsidRPr="00181EF3">
              <w:t>12.81</w:t>
            </w:r>
          </w:p>
        </w:tc>
      </w:tr>
      <w:tr w:rsidR="00E24433" w:rsidRPr="00181EF3" w14:paraId="01FB27AE" w14:textId="77777777" w:rsidTr="002A5AD4">
        <w:trPr>
          <w:cantSplit/>
        </w:trPr>
        <w:tc>
          <w:tcPr>
            <w:tcW w:w="1560" w:type="dxa"/>
            <w:shd w:val="clear" w:color="auto" w:fill="auto"/>
          </w:tcPr>
          <w:p w14:paraId="17941B27" w14:textId="77777777" w:rsidR="00E24433" w:rsidRPr="00181EF3" w:rsidRDefault="00E24433" w:rsidP="002A5AD4">
            <w:pPr>
              <w:pStyle w:val="TableText"/>
            </w:pPr>
            <w:r w:rsidRPr="00181EF3">
              <w:t>5–9</w:t>
            </w:r>
          </w:p>
        </w:tc>
        <w:tc>
          <w:tcPr>
            <w:tcW w:w="3620" w:type="dxa"/>
            <w:shd w:val="clear" w:color="auto" w:fill="auto"/>
          </w:tcPr>
          <w:p w14:paraId="27E25BD8" w14:textId="77777777" w:rsidR="00E24433" w:rsidRPr="00181EF3" w:rsidRDefault="00E24433" w:rsidP="002A5AD4">
            <w:pPr>
              <w:pStyle w:val="TableText"/>
              <w:tabs>
                <w:tab w:val="decimal" w:pos="1927"/>
              </w:tabs>
              <w:rPr>
                <w:rFonts w:eastAsia="Arial Unicode MS"/>
              </w:rPr>
            </w:pPr>
            <w:r w:rsidRPr="00181EF3">
              <w:t>66,186</w:t>
            </w:r>
          </w:p>
        </w:tc>
        <w:tc>
          <w:tcPr>
            <w:tcW w:w="1294" w:type="dxa"/>
            <w:shd w:val="clear" w:color="auto" w:fill="auto"/>
          </w:tcPr>
          <w:p w14:paraId="31EA3B8C" w14:textId="77777777" w:rsidR="00E24433" w:rsidRPr="00181EF3" w:rsidRDefault="00E24433" w:rsidP="002A5AD4">
            <w:pPr>
              <w:pStyle w:val="TableText"/>
              <w:tabs>
                <w:tab w:val="decimal" w:pos="575"/>
              </w:tabs>
              <w:rPr>
                <w:rFonts w:eastAsia="Arial Unicode MS"/>
              </w:rPr>
            </w:pPr>
            <w:r w:rsidRPr="00181EF3">
              <w:t>12.58</w:t>
            </w:r>
          </w:p>
        </w:tc>
      </w:tr>
      <w:tr w:rsidR="00E24433" w:rsidRPr="00181EF3" w14:paraId="430B6D21" w14:textId="77777777" w:rsidTr="002A5AD4">
        <w:trPr>
          <w:cantSplit/>
        </w:trPr>
        <w:tc>
          <w:tcPr>
            <w:tcW w:w="1560" w:type="dxa"/>
            <w:shd w:val="clear" w:color="auto" w:fill="auto"/>
          </w:tcPr>
          <w:p w14:paraId="1B2DEC12" w14:textId="77777777" w:rsidR="00E24433" w:rsidRPr="00181EF3" w:rsidRDefault="00E24433" w:rsidP="002A5AD4">
            <w:pPr>
              <w:pStyle w:val="TableText"/>
            </w:pPr>
            <w:r w:rsidRPr="00181EF3">
              <w:t>10–14</w:t>
            </w:r>
          </w:p>
        </w:tc>
        <w:tc>
          <w:tcPr>
            <w:tcW w:w="3620" w:type="dxa"/>
            <w:shd w:val="clear" w:color="auto" w:fill="auto"/>
          </w:tcPr>
          <w:p w14:paraId="4BC62850" w14:textId="77777777" w:rsidR="00E24433" w:rsidRPr="00181EF3" w:rsidRDefault="00E24433" w:rsidP="002A5AD4">
            <w:pPr>
              <w:pStyle w:val="TableText"/>
              <w:tabs>
                <w:tab w:val="decimal" w:pos="1927"/>
              </w:tabs>
              <w:rPr>
                <w:rFonts w:eastAsia="Arial Unicode MS"/>
              </w:rPr>
            </w:pPr>
            <w:r w:rsidRPr="00181EF3">
              <w:t>62,838</w:t>
            </w:r>
          </w:p>
        </w:tc>
        <w:tc>
          <w:tcPr>
            <w:tcW w:w="1294" w:type="dxa"/>
            <w:shd w:val="clear" w:color="auto" w:fill="auto"/>
          </w:tcPr>
          <w:p w14:paraId="0C055145" w14:textId="77777777" w:rsidR="00E24433" w:rsidRPr="00181EF3" w:rsidRDefault="00E24433" w:rsidP="002A5AD4">
            <w:pPr>
              <w:pStyle w:val="TableText"/>
              <w:tabs>
                <w:tab w:val="decimal" w:pos="575"/>
              </w:tabs>
              <w:rPr>
                <w:rFonts w:eastAsia="Arial Unicode MS"/>
              </w:rPr>
            </w:pPr>
            <w:r w:rsidRPr="00181EF3">
              <w:t>11.94</w:t>
            </w:r>
          </w:p>
        </w:tc>
      </w:tr>
      <w:tr w:rsidR="00E24433" w:rsidRPr="00181EF3" w14:paraId="1F54E3F7" w14:textId="77777777" w:rsidTr="002A5AD4">
        <w:trPr>
          <w:cantSplit/>
        </w:trPr>
        <w:tc>
          <w:tcPr>
            <w:tcW w:w="1560" w:type="dxa"/>
            <w:shd w:val="clear" w:color="auto" w:fill="auto"/>
          </w:tcPr>
          <w:p w14:paraId="28665325" w14:textId="77777777" w:rsidR="00E24433" w:rsidRPr="00181EF3" w:rsidRDefault="00E24433" w:rsidP="002A5AD4">
            <w:pPr>
              <w:pStyle w:val="TableText"/>
            </w:pPr>
            <w:r w:rsidRPr="00181EF3">
              <w:t>15–19</w:t>
            </w:r>
          </w:p>
        </w:tc>
        <w:tc>
          <w:tcPr>
            <w:tcW w:w="3620" w:type="dxa"/>
            <w:shd w:val="clear" w:color="auto" w:fill="auto"/>
          </w:tcPr>
          <w:p w14:paraId="78908935" w14:textId="77777777" w:rsidR="00E24433" w:rsidRPr="00181EF3" w:rsidRDefault="00E24433" w:rsidP="002A5AD4">
            <w:pPr>
              <w:pStyle w:val="TableText"/>
              <w:tabs>
                <w:tab w:val="decimal" w:pos="1927"/>
              </w:tabs>
              <w:rPr>
                <w:rFonts w:eastAsia="Arial Unicode MS"/>
              </w:rPr>
            </w:pPr>
            <w:r w:rsidRPr="00181EF3">
              <w:t>49,587</w:t>
            </w:r>
          </w:p>
        </w:tc>
        <w:tc>
          <w:tcPr>
            <w:tcW w:w="1294" w:type="dxa"/>
            <w:shd w:val="clear" w:color="auto" w:fill="auto"/>
          </w:tcPr>
          <w:p w14:paraId="5BEC9D21" w14:textId="77777777" w:rsidR="00E24433" w:rsidRPr="00181EF3" w:rsidRDefault="00E24433" w:rsidP="002A5AD4">
            <w:pPr>
              <w:pStyle w:val="TableText"/>
              <w:tabs>
                <w:tab w:val="decimal" w:pos="575"/>
              </w:tabs>
              <w:rPr>
                <w:rFonts w:eastAsia="Arial Unicode MS"/>
              </w:rPr>
            </w:pPr>
            <w:r w:rsidRPr="00181EF3">
              <w:t>9.42</w:t>
            </w:r>
          </w:p>
        </w:tc>
      </w:tr>
      <w:tr w:rsidR="00E24433" w:rsidRPr="00181EF3" w14:paraId="75A14C50" w14:textId="77777777" w:rsidTr="002A5AD4">
        <w:trPr>
          <w:cantSplit/>
        </w:trPr>
        <w:tc>
          <w:tcPr>
            <w:tcW w:w="1560" w:type="dxa"/>
            <w:shd w:val="clear" w:color="auto" w:fill="auto"/>
          </w:tcPr>
          <w:p w14:paraId="16BA4091" w14:textId="77777777" w:rsidR="00E24433" w:rsidRPr="00181EF3" w:rsidRDefault="00E24433" w:rsidP="002A5AD4">
            <w:pPr>
              <w:pStyle w:val="TableText"/>
            </w:pPr>
            <w:r w:rsidRPr="00181EF3">
              <w:t>20–24</w:t>
            </w:r>
          </w:p>
        </w:tc>
        <w:tc>
          <w:tcPr>
            <w:tcW w:w="3620" w:type="dxa"/>
            <w:shd w:val="clear" w:color="auto" w:fill="auto"/>
          </w:tcPr>
          <w:p w14:paraId="024BB93F" w14:textId="77777777" w:rsidR="00E24433" w:rsidRPr="00181EF3" w:rsidRDefault="00E24433" w:rsidP="002A5AD4">
            <w:pPr>
              <w:pStyle w:val="TableText"/>
              <w:tabs>
                <w:tab w:val="decimal" w:pos="1927"/>
              </w:tabs>
              <w:rPr>
                <w:rFonts w:eastAsia="Arial Unicode MS"/>
              </w:rPr>
            </w:pPr>
            <w:r w:rsidRPr="00181EF3">
              <w:t>42,153</w:t>
            </w:r>
          </w:p>
        </w:tc>
        <w:tc>
          <w:tcPr>
            <w:tcW w:w="1294" w:type="dxa"/>
            <w:shd w:val="clear" w:color="auto" w:fill="auto"/>
          </w:tcPr>
          <w:p w14:paraId="2E0E4CB3" w14:textId="77777777" w:rsidR="00E24433" w:rsidRPr="00181EF3" w:rsidRDefault="00E24433" w:rsidP="002A5AD4">
            <w:pPr>
              <w:pStyle w:val="TableText"/>
              <w:tabs>
                <w:tab w:val="decimal" w:pos="575"/>
              </w:tabs>
              <w:rPr>
                <w:rFonts w:eastAsia="Arial Unicode MS"/>
              </w:rPr>
            </w:pPr>
            <w:r w:rsidRPr="00181EF3">
              <w:t>8.01</w:t>
            </w:r>
          </w:p>
        </w:tc>
      </w:tr>
      <w:tr w:rsidR="00E24433" w:rsidRPr="00181EF3" w14:paraId="7BC3690D" w14:textId="77777777" w:rsidTr="002A5AD4">
        <w:trPr>
          <w:cantSplit/>
        </w:trPr>
        <w:tc>
          <w:tcPr>
            <w:tcW w:w="1560" w:type="dxa"/>
            <w:shd w:val="clear" w:color="auto" w:fill="auto"/>
          </w:tcPr>
          <w:p w14:paraId="47F98F60" w14:textId="77777777" w:rsidR="00E24433" w:rsidRPr="00181EF3" w:rsidRDefault="00E24433" w:rsidP="002A5AD4">
            <w:pPr>
              <w:pStyle w:val="TableText"/>
            </w:pPr>
            <w:r w:rsidRPr="00181EF3">
              <w:t>25–29</w:t>
            </w:r>
          </w:p>
        </w:tc>
        <w:tc>
          <w:tcPr>
            <w:tcW w:w="3620" w:type="dxa"/>
            <w:shd w:val="clear" w:color="auto" w:fill="auto"/>
          </w:tcPr>
          <w:p w14:paraId="4BFE2885" w14:textId="77777777" w:rsidR="00E24433" w:rsidRPr="00181EF3" w:rsidRDefault="00E24433" w:rsidP="002A5AD4">
            <w:pPr>
              <w:pStyle w:val="TableText"/>
              <w:tabs>
                <w:tab w:val="decimal" w:pos="1927"/>
              </w:tabs>
              <w:rPr>
                <w:rFonts w:eastAsia="Arial Unicode MS"/>
              </w:rPr>
            </w:pPr>
            <w:r w:rsidRPr="00181EF3">
              <w:t>40,218</w:t>
            </w:r>
          </w:p>
        </w:tc>
        <w:tc>
          <w:tcPr>
            <w:tcW w:w="1294" w:type="dxa"/>
            <w:shd w:val="clear" w:color="auto" w:fill="auto"/>
          </w:tcPr>
          <w:p w14:paraId="70655D91" w14:textId="77777777" w:rsidR="00E24433" w:rsidRPr="00181EF3" w:rsidRDefault="00E24433" w:rsidP="002A5AD4">
            <w:pPr>
              <w:pStyle w:val="TableText"/>
              <w:tabs>
                <w:tab w:val="decimal" w:pos="575"/>
              </w:tabs>
              <w:rPr>
                <w:rFonts w:eastAsia="Arial Unicode MS"/>
              </w:rPr>
            </w:pPr>
            <w:r w:rsidRPr="00181EF3">
              <w:t>7.64</w:t>
            </w:r>
          </w:p>
        </w:tc>
      </w:tr>
      <w:tr w:rsidR="00E24433" w:rsidRPr="00181EF3" w14:paraId="06480C63" w14:textId="77777777" w:rsidTr="002A5AD4">
        <w:trPr>
          <w:cantSplit/>
        </w:trPr>
        <w:tc>
          <w:tcPr>
            <w:tcW w:w="1560" w:type="dxa"/>
            <w:shd w:val="clear" w:color="auto" w:fill="auto"/>
          </w:tcPr>
          <w:p w14:paraId="12A20EC9" w14:textId="77777777" w:rsidR="00E24433" w:rsidRPr="00181EF3" w:rsidRDefault="00E24433" w:rsidP="002A5AD4">
            <w:pPr>
              <w:pStyle w:val="TableText"/>
            </w:pPr>
            <w:r w:rsidRPr="00181EF3">
              <w:t>30–34</w:t>
            </w:r>
          </w:p>
        </w:tc>
        <w:tc>
          <w:tcPr>
            <w:tcW w:w="3620" w:type="dxa"/>
            <w:shd w:val="clear" w:color="auto" w:fill="auto"/>
          </w:tcPr>
          <w:p w14:paraId="6E1E009F" w14:textId="77777777" w:rsidR="00E24433" w:rsidRPr="00181EF3" w:rsidRDefault="00E24433" w:rsidP="002A5AD4">
            <w:pPr>
              <w:pStyle w:val="TableText"/>
              <w:tabs>
                <w:tab w:val="decimal" w:pos="1927"/>
              </w:tabs>
              <w:rPr>
                <w:rFonts w:eastAsia="Arial Unicode MS"/>
              </w:rPr>
            </w:pPr>
            <w:r w:rsidRPr="00181EF3">
              <w:t>39,231</w:t>
            </w:r>
          </w:p>
        </w:tc>
        <w:tc>
          <w:tcPr>
            <w:tcW w:w="1294" w:type="dxa"/>
            <w:shd w:val="clear" w:color="auto" w:fill="auto"/>
          </w:tcPr>
          <w:p w14:paraId="100AB82B" w14:textId="77777777" w:rsidR="00E24433" w:rsidRPr="00181EF3" w:rsidRDefault="00E24433" w:rsidP="002A5AD4">
            <w:pPr>
              <w:pStyle w:val="TableText"/>
              <w:tabs>
                <w:tab w:val="decimal" w:pos="575"/>
              </w:tabs>
              <w:rPr>
                <w:rFonts w:eastAsia="Arial Unicode MS"/>
              </w:rPr>
            </w:pPr>
            <w:r w:rsidRPr="00181EF3">
              <w:t>7.46</w:t>
            </w:r>
          </w:p>
        </w:tc>
      </w:tr>
      <w:tr w:rsidR="00E24433" w:rsidRPr="00181EF3" w14:paraId="07BA9E63" w14:textId="77777777" w:rsidTr="002A5AD4">
        <w:trPr>
          <w:cantSplit/>
        </w:trPr>
        <w:tc>
          <w:tcPr>
            <w:tcW w:w="1560" w:type="dxa"/>
            <w:shd w:val="clear" w:color="auto" w:fill="auto"/>
          </w:tcPr>
          <w:p w14:paraId="150FDF60" w14:textId="77777777" w:rsidR="00E24433" w:rsidRPr="00181EF3" w:rsidRDefault="00E24433" w:rsidP="002A5AD4">
            <w:pPr>
              <w:pStyle w:val="TableText"/>
            </w:pPr>
            <w:r w:rsidRPr="00181EF3">
              <w:t>35–39</w:t>
            </w:r>
          </w:p>
        </w:tc>
        <w:tc>
          <w:tcPr>
            <w:tcW w:w="3620" w:type="dxa"/>
            <w:shd w:val="clear" w:color="auto" w:fill="auto"/>
          </w:tcPr>
          <w:p w14:paraId="1CF91C33" w14:textId="77777777" w:rsidR="00E24433" w:rsidRPr="00181EF3" w:rsidRDefault="00E24433" w:rsidP="002A5AD4">
            <w:pPr>
              <w:pStyle w:val="TableText"/>
              <w:tabs>
                <w:tab w:val="decimal" w:pos="1927"/>
              </w:tabs>
              <w:rPr>
                <w:rFonts w:eastAsia="Arial Unicode MS"/>
              </w:rPr>
            </w:pPr>
            <w:r w:rsidRPr="00181EF3">
              <w:t>38,412</w:t>
            </w:r>
          </w:p>
        </w:tc>
        <w:tc>
          <w:tcPr>
            <w:tcW w:w="1294" w:type="dxa"/>
            <w:shd w:val="clear" w:color="auto" w:fill="auto"/>
          </w:tcPr>
          <w:p w14:paraId="1BBB9E75" w14:textId="77777777" w:rsidR="00E24433" w:rsidRPr="00181EF3" w:rsidRDefault="00E24433" w:rsidP="002A5AD4">
            <w:pPr>
              <w:pStyle w:val="TableText"/>
              <w:tabs>
                <w:tab w:val="decimal" w:pos="575"/>
              </w:tabs>
              <w:rPr>
                <w:rFonts w:eastAsia="Arial Unicode MS"/>
              </w:rPr>
            </w:pPr>
            <w:r w:rsidRPr="00181EF3">
              <w:t>7.30</w:t>
            </w:r>
          </w:p>
        </w:tc>
      </w:tr>
      <w:tr w:rsidR="00E24433" w:rsidRPr="00181EF3" w14:paraId="0D9627E8" w14:textId="77777777" w:rsidTr="002A5AD4">
        <w:trPr>
          <w:cantSplit/>
        </w:trPr>
        <w:tc>
          <w:tcPr>
            <w:tcW w:w="1560" w:type="dxa"/>
            <w:shd w:val="clear" w:color="auto" w:fill="auto"/>
          </w:tcPr>
          <w:p w14:paraId="1D5AF211" w14:textId="77777777" w:rsidR="00E24433" w:rsidRPr="00181EF3" w:rsidRDefault="00E24433" w:rsidP="002A5AD4">
            <w:pPr>
              <w:pStyle w:val="TableText"/>
            </w:pPr>
            <w:r w:rsidRPr="00181EF3">
              <w:t>40–44</w:t>
            </w:r>
          </w:p>
        </w:tc>
        <w:tc>
          <w:tcPr>
            <w:tcW w:w="3620" w:type="dxa"/>
            <w:shd w:val="clear" w:color="auto" w:fill="auto"/>
          </w:tcPr>
          <w:p w14:paraId="45052F32" w14:textId="77777777" w:rsidR="00E24433" w:rsidRPr="00181EF3" w:rsidRDefault="00E24433" w:rsidP="002A5AD4">
            <w:pPr>
              <w:pStyle w:val="TableText"/>
              <w:tabs>
                <w:tab w:val="decimal" w:pos="1927"/>
              </w:tabs>
              <w:rPr>
                <w:rFonts w:eastAsia="Arial Unicode MS"/>
              </w:rPr>
            </w:pPr>
            <w:r w:rsidRPr="00181EF3">
              <w:t>32,832</w:t>
            </w:r>
          </w:p>
        </w:tc>
        <w:tc>
          <w:tcPr>
            <w:tcW w:w="1294" w:type="dxa"/>
            <w:shd w:val="clear" w:color="auto" w:fill="auto"/>
          </w:tcPr>
          <w:p w14:paraId="72F073C4" w14:textId="77777777" w:rsidR="00E24433" w:rsidRPr="00181EF3" w:rsidRDefault="00E24433" w:rsidP="002A5AD4">
            <w:pPr>
              <w:pStyle w:val="TableText"/>
              <w:tabs>
                <w:tab w:val="decimal" w:pos="575"/>
              </w:tabs>
              <w:rPr>
                <w:rFonts w:eastAsia="Arial Unicode MS"/>
              </w:rPr>
            </w:pPr>
            <w:r w:rsidRPr="00181EF3">
              <w:t>6.24</w:t>
            </w:r>
          </w:p>
        </w:tc>
      </w:tr>
      <w:tr w:rsidR="00E24433" w:rsidRPr="00181EF3" w14:paraId="6A3AA52F" w14:textId="77777777" w:rsidTr="002A5AD4">
        <w:trPr>
          <w:cantSplit/>
        </w:trPr>
        <w:tc>
          <w:tcPr>
            <w:tcW w:w="1560" w:type="dxa"/>
            <w:shd w:val="clear" w:color="auto" w:fill="auto"/>
          </w:tcPr>
          <w:p w14:paraId="5485B2F1" w14:textId="77777777" w:rsidR="00E24433" w:rsidRPr="00181EF3" w:rsidRDefault="00E24433" w:rsidP="002A5AD4">
            <w:pPr>
              <w:pStyle w:val="TableText"/>
            </w:pPr>
            <w:r w:rsidRPr="00181EF3">
              <w:t>45–49</w:t>
            </w:r>
          </w:p>
        </w:tc>
        <w:tc>
          <w:tcPr>
            <w:tcW w:w="3620" w:type="dxa"/>
            <w:shd w:val="clear" w:color="auto" w:fill="auto"/>
          </w:tcPr>
          <w:p w14:paraId="282EA237" w14:textId="77777777" w:rsidR="00E24433" w:rsidRPr="00181EF3" w:rsidRDefault="00E24433" w:rsidP="002A5AD4">
            <w:pPr>
              <w:pStyle w:val="TableText"/>
              <w:tabs>
                <w:tab w:val="decimal" w:pos="1927"/>
              </w:tabs>
              <w:rPr>
                <w:rFonts w:eastAsia="Arial Unicode MS"/>
              </w:rPr>
            </w:pPr>
            <w:r w:rsidRPr="00181EF3">
              <w:t>25,101</w:t>
            </w:r>
          </w:p>
        </w:tc>
        <w:tc>
          <w:tcPr>
            <w:tcW w:w="1294" w:type="dxa"/>
            <w:shd w:val="clear" w:color="auto" w:fill="auto"/>
          </w:tcPr>
          <w:p w14:paraId="2011E994" w14:textId="77777777" w:rsidR="00E24433" w:rsidRPr="00181EF3" w:rsidRDefault="00E24433" w:rsidP="002A5AD4">
            <w:pPr>
              <w:pStyle w:val="TableText"/>
              <w:tabs>
                <w:tab w:val="decimal" w:pos="575"/>
              </w:tabs>
              <w:rPr>
                <w:rFonts w:eastAsia="Arial Unicode MS"/>
              </w:rPr>
            </w:pPr>
            <w:r w:rsidRPr="00181EF3">
              <w:t>4.77</w:t>
            </w:r>
          </w:p>
        </w:tc>
      </w:tr>
      <w:tr w:rsidR="00E24433" w:rsidRPr="00181EF3" w14:paraId="4E5A4CB6" w14:textId="77777777" w:rsidTr="002A5AD4">
        <w:trPr>
          <w:cantSplit/>
        </w:trPr>
        <w:tc>
          <w:tcPr>
            <w:tcW w:w="1560" w:type="dxa"/>
            <w:shd w:val="clear" w:color="auto" w:fill="auto"/>
          </w:tcPr>
          <w:p w14:paraId="66DFF4C8" w14:textId="77777777" w:rsidR="00E24433" w:rsidRPr="00181EF3" w:rsidRDefault="00E24433" w:rsidP="002A5AD4">
            <w:pPr>
              <w:pStyle w:val="TableText"/>
            </w:pPr>
            <w:r w:rsidRPr="00181EF3">
              <w:t>50–54</w:t>
            </w:r>
          </w:p>
        </w:tc>
        <w:tc>
          <w:tcPr>
            <w:tcW w:w="3620" w:type="dxa"/>
            <w:shd w:val="clear" w:color="auto" w:fill="auto"/>
          </w:tcPr>
          <w:p w14:paraId="38BE8E66" w14:textId="77777777" w:rsidR="00E24433" w:rsidRPr="00181EF3" w:rsidRDefault="00E24433" w:rsidP="002A5AD4">
            <w:pPr>
              <w:pStyle w:val="TableText"/>
              <w:tabs>
                <w:tab w:val="decimal" w:pos="1927"/>
              </w:tabs>
              <w:rPr>
                <w:rFonts w:eastAsia="Arial Unicode MS"/>
              </w:rPr>
            </w:pPr>
            <w:r w:rsidRPr="00181EF3">
              <w:t>19,335</w:t>
            </w:r>
          </w:p>
        </w:tc>
        <w:tc>
          <w:tcPr>
            <w:tcW w:w="1294" w:type="dxa"/>
            <w:shd w:val="clear" w:color="auto" w:fill="auto"/>
          </w:tcPr>
          <w:p w14:paraId="0169AE8F" w14:textId="77777777" w:rsidR="00E24433" w:rsidRPr="00181EF3" w:rsidRDefault="00E24433" w:rsidP="002A5AD4">
            <w:pPr>
              <w:pStyle w:val="TableText"/>
              <w:tabs>
                <w:tab w:val="decimal" w:pos="575"/>
              </w:tabs>
              <w:rPr>
                <w:rFonts w:eastAsia="Arial Unicode MS"/>
              </w:rPr>
            </w:pPr>
            <w:r w:rsidRPr="00181EF3">
              <w:t>3.67</w:t>
            </w:r>
          </w:p>
        </w:tc>
      </w:tr>
      <w:tr w:rsidR="00E24433" w:rsidRPr="00181EF3" w14:paraId="01A26511" w14:textId="77777777" w:rsidTr="002A5AD4">
        <w:trPr>
          <w:cantSplit/>
        </w:trPr>
        <w:tc>
          <w:tcPr>
            <w:tcW w:w="1560" w:type="dxa"/>
            <w:shd w:val="clear" w:color="auto" w:fill="auto"/>
          </w:tcPr>
          <w:p w14:paraId="793DB4C3" w14:textId="77777777" w:rsidR="00E24433" w:rsidRPr="00181EF3" w:rsidRDefault="00E24433" w:rsidP="002A5AD4">
            <w:pPr>
              <w:pStyle w:val="TableText"/>
            </w:pPr>
            <w:r w:rsidRPr="00181EF3">
              <w:t>55–59</w:t>
            </w:r>
          </w:p>
        </w:tc>
        <w:tc>
          <w:tcPr>
            <w:tcW w:w="3620" w:type="dxa"/>
            <w:shd w:val="clear" w:color="auto" w:fill="auto"/>
          </w:tcPr>
          <w:p w14:paraId="4F4C8F8E" w14:textId="77777777" w:rsidR="00E24433" w:rsidRPr="00181EF3" w:rsidRDefault="00E24433" w:rsidP="002A5AD4">
            <w:pPr>
              <w:pStyle w:val="TableText"/>
              <w:tabs>
                <w:tab w:val="decimal" w:pos="1927"/>
              </w:tabs>
              <w:rPr>
                <w:rFonts w:eastAsia="Arial Unicode MS"/>
              </w:rPr>
            </w:pPr>
            <w:r w:rsidRPr="00181EF3">
              <w:t>13,740</w:t>
            </w:r>
          </w:p>
        </w:tc>
        <w:tc>
          <w:tcPr>
            <w:tcW w:w="1294" w:type="dxa"/>
            <w:shd w:val="clear" w:color="auto" w:fill="auto"/>
          </w:tcPr>
          <w:p w14:paraId="472C1805" w14:textId="77777777" w:rsidR="00E24433" w:rsidRPr="00181EF3" w:rsidRDefault="00E24433" w:rsidP="002A5AD4">
            <w:pPr>
              <w:pStyle w:val="TableText"/>
              <w:tabs>
                <w:tab w:val="decimal" w:pos="575"/>
              </w:tabs>
              <w:rPr>
                <w:rFonts w:eastAsia="Arial Unicode MS"/>
              </w:rPr>
            </w:pPr>
            <w:r w:rsidRPr="00181EF3">
              <w:t>2.61</w:t>
            </w:r>
          </w:p>
        </w:tc>
      </w:tr>
      <w:tr w:rsidR="00E24433" w:rsidRPr="00181EF3" w14:paraId="442541A3" w14:textId="77777777" w:rsidTr="002A5AD4">
        <w:trPr>
          <w:cantSplit/>
        </w:trPr>
        <w:tc>
          <w:tcPr>
            <w:tcW w:w="1560" w:type="dxa"/>
            <w:shd w:val="clear" w:color="auto" w:fill="auto"/>
          </w:tcPr>
          <w:p w14:paraId="4E0BEA35" w14:textId="77777777" w:rsidR="00E24433" w:rsidRPr="00181EF3" w:rsidRDefault="00E24433" w:rsidP="002A5AD4">
            <w:pPr>
              <w:pStyle w:val="TableText"/>
            </w:pPr>
            <w:r w:rsidRPr="00181EF3">
              <w:t>60–64</w:t>
            </w:r>
          </w:p>
        </w:tc>
        <w:tc>
          <w:tcPr>
            <w:tcW w:w="3620" w:type="dxa"/>
            <w:shd w:val="clear" w:color="auto" w:fill="auto"/>
          </w:tcPr>
          <w:p w14:paraId="3A24D377" w14:textId="77777777" w:rsidR="00E24433" w:rsidRPr="00181EF3" w:rsidRDefault="00E24433" w:rsidP="002A5AD4">
            <w:pPr>
              <w:pStyle w:val="TableText"/>
              <w:tabs>
                <w:tab w:val="decimal" w:pos="1927"/>
              </w:tabs>
              <w:rPr>
                <w:rFonts w:eastAsia="Arial Unicode MS"/>
              </w:rPr>
            </w:pPr>
            <w:r w:rsidRPr="00181EF3">
              <w:t>11,424</w:t>
            </w:r>
          </w:p>
        </w:tc>
        <w:tc>
          <w:tcPr>
            <w:tcW w:w="1294" w:type="dxa"/>
            <w:shd w:val="clear" w:color="auto" w:fill="auto"/>
          </w:tcPr>
          <w:p w14:paraId="31D143DD" w14:textId="77777777" w:rsidR="00E24433" w:rsidRPr="00181EF3" w:rsidRDefault="00E24433" w:rsidP="002A5AD4">
            <w:pPr>
              <w:pStyle w:val="TableText"/>
              <w:tabs>
                <w:tab w:val="decimal" w:pos="575"/>
              </w:tabs>
              <w:rPr>
                <w:rFonts w:eastAsia="Arial Unicode MS"/>
              </w:rPr>
            </w:pPr>
            <w:r w:rsidRPr="00181EF3">
              <w:t>2.17</w:t>
            </w:r>
          </w:p>
        </w:tc>
      </w:tr>
      <w:tr w:rsidR="00E24433" w:rsidRPr="00181EF3" w14:paraId="10885969" w14:textId="77777777" w:rsidTr="002A5AD4">
        <w:trPr>
          <w:cantSplit/>
        </w:trPr>
        <w:tc>
          <w:tcPr>
            <w:tcW w:w="1560" w:type="dxa"/>
            <w:shd w:val="clear" w:color="auto" w:fill="auto"/>
          </w:tcPr>
          <w:p w14:paraId="6453E793" w14:textId="77777777" w:rsidR="00E24433" w:rsidRPr="00181EF3" w:rsidRDefault="00E24433" w:rsidP="002A5AD4">
            <w:pPr>
              <w:pStyle w:val="TableText"/>
            </w:pPr>
            <w:r w:rsidRPr="00181EF3">
              <w:t>65–69</w:t>
            </w:r>
          </w:p>
        </w:tc>
        <w:tc>
          <w:tcPr>
            <w:tcW w:w="3620" w:type="dxa"/>
            <w:shd w:val="clear" w:color="auto" w:fill="auto"/>
          </w:tcPr>
          <w:p w14:paraId="01E7D8AF" w14:textId="77777777" w:rsidR="00E24433" w:rsidRPr="00181EF3" w:rsidRDefault="00E24433" w:rsidP="002A5AD4">
            <w:pPr>
              <w:pStyle w:val="TableText"/>
              <w:tabs>
                <w:tab w:val="decimal" w:pos="1927"/>
              </w:tabs>
              <w:rPr>
                <w:rFonts w:eastAsia="Arial Unicode MS"/>
              </w:rPr>
            </w:pPr>
            <w:r w:rsidRPr="00181EF3">
              <w:t>8,043</w:t>
            </w:r>
          </w:p>
        </w:tc>
        <w:tc>
          <w:tcPr>
            <w:tcW w:w="1294" w:type="dxa"/>
            <w:shd w:val="clear" w:color="auto" w:fill="auto"/>
          </w:tcPr>
          <w:p w14:paraId="367062BA" w14:textId="77777777" w:rsidR="00E24433" w:rsidRPr="00181EF3" w:rsidRDefault="00E24433" w:rsidP="002A5AD4">
            <w:pPr>
              <w:pStyle w:val="TableText"/>
              <w:tabs>
                <w:tab w:val="decimal" w:pos="575"/>
              </w:tabs>
              <w:rPr>
                <w:rFonts w:eastAsia="Arial Unicode MS"/>
              </w:rPr>
            </w:pPr>
            <w:r w:rsidRPr="00181EF3">
              <w:t>1.53</w:t>
            </w:r>
          </w:p>
        </w:tc>
      </w:tr>
      <w:tr w:rsidR="00E24433" w:rsidRPr="00181EF3" w14:paraId="79972230" w14:textId="77777777" w:rsidTr="002A5AD4">
        <w:trPr>
          <w:cantSplit/>
        </w:trPr>
        <w:tc>
          <w:tcPr>
            <w:tcW w:w="1560" w:type="dxa"/>
            <w:shd w:val="clear" w:color="auto" w:fill="auto"/>
          </w:tcPr>
          <w:p w14:paraId="59DAC179" w14:textId="77777777" w:rsidR="00E24433" w:rsidRPr="00181EF3" w:rsidRDefault="00E24433" w:rsidP="002A5AD4">
            <w:pPr>
              <w:pStyle w:val="TableText"/>
            </w:pPr>
            <w:r w:rsidRPr="00181EF3">
              <w:t>70–74</w:t>
            </w:r>
          </w:p>
        </w:tc>
        <w:tc>
          <w:tcPr>
            <w:tcW w:w="3620" w:type="dxa"/>
            <w:shd w:val="clear" w:color="auto" w:fill="auto"/>
          </w:tcPr>
          <w:p w14:paraId="383D1EDE" w14:textId="77777777" w:rsidR="00E24433" w:rsidRPr="00181EF3" w:rsidRDefault="00E24433" w:rsidP="002A5AD4">
            <w:pPr>
              <w:pStyle w:val="TableText"/>
              <w:tabs>
                <w:tab w:val="decimal" w:pos="1927"/>
              </w:tabs>
              <w:rPr>
                <w:rFonts w:eastAsia="Arial Unicode MS"/>
              </w:rPr>
            </w:pPr>
            <w:r w:rsidRPr="00181EF3">
              <w:t>5,046</w:t>
            </w:r>
          </w:p>
        </w:tc>
        <w:tc>
          <w:tcPr>
            <w:tcW w:w="1294" w:type="dxa"/>
            <w:shd w:val="clear" w:color="auto" w:fill="auto"/>
          </w:tcPr>
          <w:p w14:paraId="1BD5F14F" w14:textId="77777777" w:rsidR="00E24433" w:rsidRPr="00181EF3" w:rsidRDefault="00E24433" w:rsidP="002A5AD4">
            <w:pPr>
              <w:pStyle w:val="TableText"/>
              <w:tabs>
                <w:tab w:val="decimal" w:pos="575"/>
              </w:tabs>
              <w:rPr>
                <w:rFonts w:eastAsia="Arial Unicode MS"/>
              </w:rPr>
            </w:pPr>
            <w:r w:rsidRPr="00181EF3">
              <w:t>0.96</w:t>
            </w:r>
          </w:p>
        </w:tc>
      </w:tr>
      <w:tr w:rsidR="00E24433" w:rsidRPr="00181EF3" w14:paraId="1FC36A92" w14:textId="77777777" w:rsidTr="002A5AD4">
        <w:trPr>
          <w:cantSplit/>
        </w:trPr>
        <w:tc>
          <w:tcPr>
            <w:tcW w:w="1560" w:type="dxa"/>
            <w:shd w:val="clear" w:color="auto" w:fill="auto"/>
          </w:tcPr>
          <w:p w14:paraId="36077802" w14:textId="77777777" w:rsidR="00E24433" w:rsidRPr="00181EF3" w:rsidRDefault="00E24433" w:rsidP="002A5AD4">
            <w:pPr>
              <w:pStyle w:val="TableText"/>
            </w:pPr>
            <w:r w:rsidRPr="00181EF3">
              <w:t>75–79</w:t>
            </w:r>
          </w:p>
        </w:tc>
        <w:tc>
          <w:tcPr>
            <w:tcW w:w="3620" w:type="dxa"/>
            <w:shd w:val="clear" w:color="auto" w:fill="auto"/>
          </w:tcPr>
          <w:p w14:paraId="5793C635" w14:textId="77777777" w:rsidR="00E24433" w:rsidRPr="00181EF3" w:rsidRDefault="00E24433" w:rsidP="002A5AD4">
            <w:pPr>
              <w:pStyle w:val="TableText"/>
              <w:tabs>
                <w:tab w:val="decimal" w:pos="1927"/>
              </w:tabs>
              <w:rPr>
                <w:rFonts w:eastAsia="Arial Unicode MS"/>
              </w:rPr>
            </w:pPr>
            <w:r w:rsidRPr="00181EF3">
              <w:t>2,736</w:t>
            </w:r>
          </w:p>
        </w:tc>
        <w:tc>
          <w:tcPr>
            <w:tcW w:w="1294" w:type="dxa"/>
            <w:shd w:val="clear" w:color="auto" w:fill="auto"/>
          </w:tcPr>
          <w:p w14:paraId="5B27C528" w14:textId="77777777" w:rsidR="00E24433" w:rsidRPr="00181EF3" w:rsidRDefault="00E24433" w:rsidP="002A5AD4">
            <w:pPr>
              <w:pStyle w:val="TableText"/>
              <w:tabs>
                <w:tab w:val="decimal" w:pos="575"/>
              </w:tabs>
              <w:rPr>
                <w:rFonts w:eastAsia="Arial Unicode MS"/>
              </w:rPr>
            </w:pPr>
            <w:r w:rsidRPr="00181EF3">
              <w:t>0.52</w:t>
            </w:r>
          </w:p>
        </w:tc>
      </w:tr>
      <w:tr w:rsidR="00E24433" w:rsidRPr="00181EF3" w14:paraId="5BB00429" w14:textId="77777777" w:rsidTr="002A5AD4">
        <w:trPr>
          <w:cantSplit/>
        </w:trPr>
        <w:tc>
          <w:tcPr>
            <w:tcW w:w="1560" w:type="dxa"/>
            <w:shd w:val="clear" w:color="auto" w:fill="auto"/>
          </w:tcPr>
          <w:p w14:paraId="26DC311E" w14:textId="77777777" w:rsidR="00E24433" w:rsidRPr="00181EF3" w:rsidRDefault="00E24433" w:rsidP="002A5AD4">
            <w:pPr>
              <w:pStyle w:val="TableText"/>
            </w:pPr>
            <w:r w:rsidRPr="00181EF3">
              <w:t>80–84</w:t>
            </w:r>
          </w:p>
        </w:tc>
        <w:tc>
          <w:tcPr>
            <w:tcW w:w="3620" w:type="dxa"/>
            <w:shd w:val="clear" w:color="auto" w:fill="auto"/>
          </w:tcPr>
          <w:p w14:paraId="685509B6" w14:textId="77777777" w:rsidR="00E24433" w:rsidRPr="00181EF3" w:rsidRDefault="00E24433" w:rsidP="002A5AD4">
            <w:pPr>
              <w:pStyle w:val="TableText"/>
              <w:tabs>
                <w:tab w:val="decimal" w:pos="1927"/>
              </w:tabs>
              <w:rPr>
                <w:rFonts w:eastAsia="Arial Unicode MS"/>
              </w:rPr>
            </w:pPr>
            <w:r w:rsidRPr="00181EF3">
              <w:t>1,251</w:t>
            </w:r>
          </w:p>
        </w:tc>
        <w:tc>
          <w:tcPr>
            <w:tcW w:w="1294" w:type="dxa"/>
            <w:shd w:val="clear" w:color="auto" w:fill="auto"/>
          </w:tcPr>
          <w:p w14:paraId="216285B4" w14:textId="77777777" w:rsidR="00E24433" w:rsidRPr="00181EF3" w:rsidRDefault="00E24433" w:rsidP="002A5AD4">
            <w:pPr>
              <w:pStyle w:val="TableText"/>
              <w:tabs>
                <w:tab w:val="decimal" w:pos="575"/>
              </w:tabs>
              <w:rPr>
                <w:rFonts w:eastAsia="Arial Unicode MS"/>
              </w:rPr>
            </w:pPr>
            <w:r w:rsidRPr="00181EF3">
              <w:t>0.24</w:t>
            </w:r>
          </w:p>
        </w:tc>
      </w:tr>
      <w:tr w:rsidR="00E24433" w:rsidRPr="00181EF3" w14:paraId="71AD8DEF" w14:textId="77777777" w:rsidTr="002A5AD4">
        <w:trPr>
          <w:cantSplit/>
        </w:trPr>
        <w:tc>
          <w:tcPr>
            <w:tcW w:w="1560" w:type="dxa"/>
            <w:shd w:val="clear" w:color="auto" w:fill="auto"/>
          </w:tcPr>
          <w:p w14:paraId="0A9C7476" w14:textId="77777777" w:rsidR="00E24433" w:rsidRPr="00181EF3" w:rsidRDefault="00E24433" w:rsidP="002A5AD4">
            <w:pPr>
              <w:pStyle w:val="TableText"/>
            </w:pPr>
            <w:r w:rsidRPr="00181EF3">
              <w:t>85+</w:t>
            </w:r>
          </w:p>
        </w:tc>
        <w:tc>
          <w:tcPr>
            <w:tcW w:w="3620" w:type="dxa"/>
            <w:shd w:val="clear" w:color="auto" w:fill="auto"/>
          </w:tcPr>
          <w:p w14:paraId="2F2C84FF" w14:textId="77777777" w:rsidR="00E24433" w:rsidRPr="00181EF3" w:rsidRDefault="00E24433" w:rsidP="002A5AD4">
            <w:pPr>
              <w:pStyle w:val="TableText"/>
              <w:tabs>
                <w:tab w:val="decimal" w:pos="1927"/>
              </w:tabs>
              <w:rPr>
                <w:rFonts w:eastAsia="Arial Unicode MS"/>
              </w:rPr>
            </w:pPr>
            <w:r w:rsidRPr="00181EF3">
              <w:t>699</w:t>
            </w:r>
          </w:p>
        </w:tc>
        <w:tc>
          <w:tcPr>
            <w:tcW w:w="1294" w:type="dxa"/>
            <w:shd w:val="clear" w:color="auto" w:fill="auto"/>
          </w:tcPr>
          <w:p w14:paraId="59F6F1F8" w14:textId="77777777" w:rsidR="00E24433" w:rsidRPr="00181EF3" w:rsidRDefault="00E24433" w:rsidP="002A5AD4">
            <w:pPr>
              <w:pStyle w:val="TableText"/>
              <w:tabs>
                <w:tab w:val="decimal" w:pos="575"/>
              </w:tabs>
              <w:rPr>
                <w:rFonts w:eastAsia="Arial Unicode MS"/>
              </w:rPr>
            </w:pPr>
            <w:r w:rsidRPr="00181EF3">
              <w:t>0.13</w:t>
            </w:r>
          </w:p>
        </w:tc>
      </w:tr>
    </w:tbl>
    <w:p w14:paraId="2A2AF7AC" w14:textId="77777777" w:rsidR="00E24433" w:rsidRDefault="00E24433" w:rsidP="00E24433"/>
    <w:p w14:paraId="4CE1FFE6" w14:textId="77777777" w:rsidR="00654B21" w:rsidRPr="00181EF3" w:rsidRDefault="00654B21" w:rsidP="00654B21">
      <w:pPr>
        <w:pStyle w:val="Heading2"/>
        <w:keepNext w:val="0"/>
        <w:pageBreakBefore/>
        <w:spacing w:before="0"/>
      </w:pPr>
      <w:bookmarkStart w:id="595" w:name="_Toc19102520"/>
      <w:r w:rsidRPr="00181EF3">
        <w:lastRenderedPageBreak/>
        <w:t xml:space="preserve">Appendix </w:t>
      </w:r>
      <w:r>
        <w:t xml:space="preserve">4: </w:t>
      </w:r>
      <w:r w:rsidRPr="00181EF3">
        <w:t xml:space="preserve">Overview of Breast and Cervical Cancer Screening </w:t>
      </w:r>
      <w:r>
        <w:t>P</w:t>
      </w:r>
      <w:r w:rsidRPr="00181EF3">
        <w:t>rogrammes</w:t>
      </w:r>
      <w:bookmarkEnd w:id="595"/>
    </w:p>
    <w:p w14:paraId="1522F7D8" w14:textId="77777777" w:rsidR="00654B21" w:rsidRPr="00181EF3" w:rsidRDefault="00654B21" w:rsidP="00654B21">
      <w:pPr>
        <w:pStyle w:val="Heading3"/>
      </w:pPr>
      <w:bookmarkStart w:id="596" w:name="_Toc19102521"/>
      <w:r w:rsidRPr="00181EF3">
        <w:t>Key points</w:t>
      </w:r>
      <w:bookmarkEnd w:id="596"/>
    </w:p>
    <w:p w14:paraId="798AD269" w14:textId="77777777" w:rsidR="00654B21" w:rsidRPr="00181EF3" w:rsidRDefault="00654B21" w:rsidP="00654B21">
      <w:pPr>
        <w:pStyle w:val="Heading4"/>
      </w:pPr>
      <w:r w:rsidRPr="00181EF3">
        <w:t>BreastScreen Aotearoa</w:t>
      </w:r>
    </w:p>
    <w:p w14:paraId="5DB70825" w14:textId="77777777" w:rsidR="00654B21" w:rsidRPr="00181EF3" w:rsidRDefault="00654B21" w:rsidP="00654B21">
      <w:pPr>
        <w:pStyle w:val="Bullet"/>
      </w:pPr>
      <w:r w:rsidRPr="00181EF3">
        <w:t>Breast cancer is a significant health concern in New Zealand. It is the most common cancer diagnosed in women in New Zealand and the second most common cause of cancer deaths for women. Approximately 3,000 women are diagnosed, and 635 die from breast cancer each year.</w:t>
      </w:r>
    </w:p>
    <w:p w14:paraId="51C052F9" w14:textId="77777777" w:rsidR="00654B21" w:rsidRPr="00181EF3" w:rsidRDefault="00654B21" w:rsidP="00654B21">
      <w:pPr>
        <w:pStyle w:val="Bullet"/>
      </w:pPr>
      <w:r w:rsidRPr="00181EF3">
        <w:t>Screening mammography does not prevent breast cancer but can identify breast cancer before symptoms present thereby improving the probability of a positive outcome.</w:t>
      </w:r>
    </w:p>
    <w:p w14:paraId="5A3C0B00" w14:textId="3E4AB592" w:rsidR="00654B21" w:rsidRPr="00181EF3" w:rsidRDefault="00654B21" w:rsidP="00654B21">
      <w:pPr>
        <w:pStyle w:val="Bullet"/>
      </w:pPr>
      <w:r w:rsidRPr="00181EF3">
        <w:t xml:space="preserve">By providing free mammograms to women aged 45 to 69 every two years, BreastScreen Aotearoa (BSA) have reduced mortality from breast cancer by a third for women who have been screened by BSA, compared </w:t>
      </w:r>
      <w:r w:rsidR="00074A01">
        <w:t>with</w:t>
      </w:r>
      <w:r w:rsidR="00074A01" w:rsidRPr="00181EF3">
        <w:t xml:space="preserve"> </w:t>
      </w:r>
      <w:r w:rsidRPr="00181EF3">
        <w:t>women who have never been screened.</w:t>
      </w:r>
    </w:p>
    <w:p w14:paraId="4C7ED218" w14:textId="77777777" w:rsidR="00654B21" w:rsidRPr="00181EF3" w:rsidRDefault="00654B21" w:rsidP="00654B21">
      <w:pPr>
        <w:pStyle w:val="Bullet"/>
      </w:pPr>
      <w:r w:rsidRPr="00181EF3">
        <w:t>Around 270,000 women aged between 45 and 69 are screened each year in New Zealand through BSA. The breast screening programme is a high-quality programme that maximises the benefits and minimises the potential harms of breast screening.</w:t>
      </w:r>
    </w:p>
    <w:p w14:paraId="384ECD6B" w14:textId="77777777" w:rsidR="00654B21" w:rsidRPr="00181EF3" w:rsidRDefault="00654B21" w:rsidP="00654B21">
      <w:pPr>
        <w:pStyle w:val="Bullet"/>
      </w:pPr>
      <w:r w:rsidRPr="00181EF3">
        <w:t>BSA’s target is to achieve 70 percent coverage (the proportion of eligible women screened within the two-year screening interval). BSA has achieved the coverage target of 70 percent nationally for women overall and for Pacific women. However, coverage for Māori women remains below target at 65.8 percent and in many regions around New Zealand Pacific coverage has not reached the target.</w:t>
      </w:r>
    </w:p>
    <w:p w14:paraId="422B4E86" w14:textId="16E320AD" w:rsidR="00654B21" w:rsidRPr="00181EF3" w:rsidRDefault="00654B21" w:rsidP="00654B21">
      <w:pPr>
        <w:pStyle w:val="Bullet"/>
      </w:pPr>
      <w:r w:rsidRPr="00181EF3">
        <w:t xml:space="preserve">Improving access to screening service for Māori women and Pacific women is a priority focus for BSA. The effect of the equity gap is especially significant because rates of breast cancer are higher for Māori women than for </w:t>
      </w:r>
      <w:r w:rsidR="00EC03A3">
        <w:t>non</w:t>
      </w:r>
      <w:r w:rsidR="00EC03A3">
        <w:noBreakHyphen/>
        <w:t>M</w:t>
      </w:r>
      <w:r w:rsidRPr="00181EF3">
        <w:t xml:space="preserve">āori and more Māori women and Pacific women die from breast cancer than </w:t>
      </w:r>
      <w:r w:rsidR="00EC03A3">
        <w:t>non</w:t>
      </w:r>
      <w:r w:rsidR="00EC03A3">
        <w:noBreakHyphen/>
        <w:t>M</w:t>
      </w:r>
      <w:r w:rsidRPr="00181EF3">
        <w:t xml:space="preserve">āori and </w:t>
      </w:r>
      <w:r w:rsidR="00EC03A3">
        <w:t>non</w:t>
      </w:r>
      <w:r w:rsidR="00EC03A3">
        <w:noBreakHyphen/>
        <w:t>P</w:t>
      </w:r>
      <w:r w:rsidRPr="00181EF3">
        <w:t>acific women.</w:t>
      </w:r>
    </w:p>
    <w:p w14:paraId="12703D8E" w14:textId="77777777" w:rsidR="00654B21" w:rsidRPr="00181EF3" w:rsidRDefault="00654B21" w:rsidP="00654B21"/>
    <w:p w14:paraId="76F62003" w14:textId="77777777" w:rsidR="00654B21" w:rsidRPr="00181EF3" w:rsidRDefault="00654B21" w:rsidP="00654B21">
      <w:pPr>
        <w:pStyle w:val="Heading4"/>
      </w:pPr>
      <w:r w:rsidRPr="00181EF3">
        <w:t>National Cervical Screening Programme</w:t>
      </w:r>
    </w:p>
    <w:p w14:paraId="5B371277" w14:textId="77777777" w:rsidR="00654B21" w:rsidRPr="00181EF3" w:rsidRDefault="00654B21" w:rsidP="000667F5">
      <w:pPr>
        <w:pStyle w:val="Bullet"/>
        <w:keepNext/>
      </w:pPr>
      <w:r w:rsidRPr="00181EF3">
        <w:t xml:space="preserve">In New Zealand around 140 women are diagnosed with cervical cancer and about 55 women die from the disease each year. Cervical cancer is one of the most </w:t>
      </w:r>
      <w:r w:rsidRPr="00181EF3">
        <w:lastRenderedPageBreak/>
        <w:t>preventable forms of cancer and screening programmes have been shown to be effective at significantly reducing cervical cancer rates.</w:t>
      </w:r>
    </w:p>
    <w:p w14:paraId="6ACC5757" w14:textId="77777777" w:rsidR="00654B21" w:rsidRPr="00181EF3" w:rsidRDefault="00654B21" w:rsidP="000667F5">
      <w:pPr>
        <w:pStyle w:val="Bullet"/>
        <w:keepNext/>
      </w:pPr>
      <w:r w:rsidRPr="00181EF3">
        <w:t>The National Cervical Screening Programme (NCSP) aims to identify precancerous cell changes through screening so women can have treatment before they develop cervical cancer.</w:t>
      </w:r>
    </w:p>
    <w:p w14:paraId="3C3F84F7" w14:textId="77777777" w:rsidR="00654B21" w:rsidRPr="00181EF3" w:rsidRDefault="00654B21" w:rsidP="00654B21">
      <w:pPr>
        <w:pStyle w:val="Bullet"/>
      </w:pPr>
      <w:r w:rsidRPr="00181EF3">
        <w:t>Each year around 400,000 women aged 20 to 69 are screened. By providing screening every three years the incidence of cervical cancer in New Zealand has reduced by 60 percent and deaths by 70 percent since the programme began in 1990.</w:t>
      </w:r>
    </w:p>
    <w:p w14:paraId="6BDCC1FB" w14:textId="77777777" w:rsidR="00654B21" w:rsidRPr="00181EF3" w:rsidRDefault="00654B21" w:rsidP="00654B21">
      <w:pPr>
        <w:pStyle w:val="Bullet"/>
      </w:pPr>
      <w:r w:rsidRPr="00181EF3">
        <w:t>Smear taking is performed by a range of health professionals. Women pay for the screening appointment with their health care provider, the cost is the same as a normal appointment. The NCSP funds some free smear tests for priority group women.</w:t>
      </w:r>
    </w:p>
    <w:p w14:paraId="0F0ABA9D" w14:textId="77777777" w:rsidR="00654B21" w:rsidRPr="00181EF3" w:rsidRDefault="00654B21" w:rsidP="00654B21">
      <w:pPr>
        <w:pStyle w:val="Bullet"/>
      </w:pPr>
      <w:r w:rsidRPr="00181EF3">
        <w:t>International evidence shows that Human Papillomavirus (HPV) causes 99 percent of cervical cancers. The HPV immunisation programme was introduced in 2008 and over time 90 percent of cervical cancers will be prevented by HPV immunisation alone. Cervical cancer prevention in New Zealand is now primary prevention through HPV immunisation and secondary prevention through cervical screening.</w:t>
      </w:r>
    </w:p>
    <w:p w14:paraId="29A5D966" w14:textId="77777777" w:rsidR="00654B21" w:rsidRPr="00181EF3" w:rsidRDefault="00654B21" w:rsidP="00654B21">
      <w:pPr>
        <w:pStyle w:val="Bullet"/>
      </w:pPr>
      <w:r w:rsidRPr="00181EF3">
        <w:t>While the screening programme is performing well, the decline in cervical cancer incidence and mortality rates have flattened. There is also an equity gap with screening coverage for Māori women, Pacific and Asian women lower than other women. The rates of cervical cancer among Māori women and Pacific women remains higher.</w:t>
      </w:r>
    </w:p>
    <w:p w14:paraId="5A91F904" w14:textId="77777777" w:rsidR="00654B21" w:rsidRPr="00181EF3" w:rsidRDefault="00654B21" w:rsidP="00654B21"/>
    <w:p w14:paraId="2D0AFBED" w14:textId="77777777" w:rsidR="00654B21" w:rsidRPr="00181EF3" w:rsidRDefault="00654B21" w:rsidP="00654B21">
      <w:pPr>
        <w:pStyle w:val="Heading3"/>
      </w:pPr>
      <w:bookmarkStart w:id="597" w:name="_Toc19102522"/>
      <w:r w:rsidRPr="00181EF3">
        <w:t>Screening programmes</w:t>
      </w:r>
      <w:bookmarkEnd w:id="597"/>
    </w:p>
    <w:p w14:paraId="196F750A" w14:textId="77777777" w:rsidR="00654B21" w:rsidRPr="00181EF3" w:rsidRDefault="00654B21" w:rsidP="00654B21">
      <w:pPr>
        <w:pStyle w:val="Heading4"/>
      </w:pPr>
      <w:r w:rsidRPr="00181EF3">
        <w:t>What is population screening?</w:t>
      </w:r>
    </w:p>
    <w:p w14:paraId="63E9AE1D" w14:textId="77777777" w:rsidR="00654B21" w:rsidRPr="00181EF3" w:rsidRDefault="00654B21" w:rsidP="000667F5">
      <w:r w:rsidRPr="00181EF3">
        <w:t>The National Screening Unit (NSU) uses the New Zealand National Health Committee’s deﬁnition of ‘screening’:</w:t>
      </w:r>
    </w:p>
    <w:p w14:paraId="16C97231" w14:textId="77777777" w:rsidR="00654B21" w:rsidRPr="00181EF3" w:rsidRDefault="00654B21" w:rsidP="000667F5">
      <w:pPr>
        <w:pStyle w:val="Quote"/>
      </w:pPr>
      <w:r w:rsidRPr="00181EF3">
        <w:rPr>
          <w:lang w:eastAsia="en-NZ"/>
        </w:rPr>
        <w:t>Screening is a health service in which members of a defined population, who either do not necessarily perceive they are at risk of, or are already affected by a disease or its complications, are asked a question or offered a test, to identify those individuals who are more likely to be helped than harmed by further tests or treatment to reduce the risk of a disease or its complications</w:t>
      </w:r>
      <w:r w:rsidRPr="00181EF3">
        <w:rPr>
          <w:rFonts w:ascii="Georgia" w:hAnsi="Georgia"/>
          <w:lang w:eastAsia="en-NZ"/>
        </w:rPr>
        <w:t>.</w:t>
      </w:r>
      <w:r w:rsidRPr="00181EF3">
        <w:rPr>
          <w:rStyle w:val="FootnoteReference"/>
        </w:rPr>
        <w:footnoteReference w:id="31"/>
      </w:r>
    </w:p>
    <w:p w14:paraId="492E8B9B" w14:textId="77777777" w:rsidR="00654B21" w:rsidRPr="00181EF3" w:rsidRDefault="00654B21" w:rsidP="00654B21"/>
    <w:p w14:paraId="19AE8FEE" w14:textId="77777777" w:rsidR="00654B21" w:rsidRPr="00181EF3" w:rsidRDefault="00654B21" w:rsidP="000667F5">
      <w:pPr>
        <w:keepLines/>
      </w:pPr>
      <w:r w:rsidRPr="00181EF3">
        <w:t>People who are invited to be screened do not display symptoms of the condition being screened for (asymptomatic). The screening test identifies those who have an increased chance of having the condition (positive screening result) and those who do not have an increased chance of having the condition (negative screening result). People with a positive screening result will be offered further investigation, which will give more information about whether they have the condition for which they were screened. Where the condition is confirmed, people are offered treatment.</w:t>
      </w:r>
    </w:p>
    <w:p w14:paraId="58D45009" w14:textId="77777777" w:rsidR="00654B21" w:rsidRPr="00181EF3" w:rsidRDefault="00654B21" w:rsidP="00654B21"/>
    <w:p w14:paraId="640F5A69" w14:textId="77777777" w:rsidR="00654B21" w:rsidRPr="00181EF3" w:rsidRDefault="00654B21" w:rsidP="00654B21">
      <w:r w:rsidRPr="00181EF3">
        <w:lastRenderedPageBreak/>
        <w:t>Screening programmes can offer regular testing for the condition or may be a once-off test. For example, women are screened regularly for the symptoms of breast or cervical cancer, while newborn babies are screened only once for potential metabolic conditions at birth.</w:t>
      </w:r>
    </w:p>
    <w:p w14:paraId="3C0C52A0" w14:textId="77777777" w:rsidR="00654B21" w:rsidRPr="00181EF3" w:rsidRDefault="00654B21" w:rsidP="00654B21"/>
    <w:p w14:paraId="3FCA8DDB" w14:textId="77777777" w:rsidR="00654B21" w:rsidRPr="00181EF3" w:rsidRDefault="00654B21" w:rsidP="000667F5">
      <w:r w:rsidRPr="00181EF3">
        <w:t>The majority of participants in any screening programme are healthy individuals, and potentially exposing this population to unnecessary harm is always a major consideration. Considerable infrastructure and resource are put in place to ensure the quality of a screening programme is monitored and kept as high as possible. Safety of participants is of paramount importance. Psychological as well as physical harm must be minimised whilst targeting those most at risk.</w:t>
      </w:r>
    </w:p>
    <w:p w14:paraId="58B0DA35" w14:textId="77777777" w:rsidR="00654B21" w:rsidRPr="00181EF3" w:rsidRDefault="00654B21" w:rsidP="00654B21"/>
    <w:p w14:paraId="13B00051" w14:textId="77777777" w:rsidR="00654B21" w:rsidRPr="00181EF3" w:rsidRDefault="00654B21" w:rsidP="00654B21">
      <w:pPr>
        <w:pStyle w:val="Heading4"/>
      </w:pPr>
      <w:r w:rsidRPr="00181EF3">
        <w:t>How screening programmes are managed and operated within the Ministry of Health</w:t>
      </w:r>
    </w:p>
    <w:p w14:paraId="6208EDD4" w14:textId="3FD6D066" w:rsidR="00654B21" w:rsidRPr="00181EF3" w:rsidRDefault="00654B21" w:rsidP="00654B21">
      <w:pPr>
        <w:ind w:right="-142"/>
        <w:rPr>
          <w:spacing w:val="-2"/>
        </w:rPr>
      </w:pPr>
      <w:r w:rsidRPr="00181EF3">
        <w:rPr>
          <w:spacing w:val="-2"/>
        </w:rPr>
        <w:t xml:space="preserve">The </w:t>
      </w:r>
      <w:r w:rsidR="004731AC">
        <w:rPr>
          <w:spacing w:val="-2"/>
        </w:rPr>
        <w:t>National Screening Unit (</w:t>
      </w:r>
      <w:r w:rsidRPr="00181EF3">
        <w:rPr>
          <w:spacing w:val="-2"/>
        </w:rPr>
        <w:t>NSU</w:t>
      </w:r>
      <w:r w:rsidR="004731AC">
        <w:rPr>
          <w:spacing w:val="-2"/>
        </w:rPr>
        <w:t>)</w:t>
      </w:r>
      <w:r w:rsidRPr="00181EF3">
        <w:rPr>
          <w:spacing w:val="-2"/>
        </w:rPr>
        <w:t xml:space="preserve"> is a business unit in the Service Commissioning Directorate within the Ministry of Health. The NSU does not run the screening programmes directly, rather it is responsible for the development, monitoring and oversight of all national population-based screening programmes. The NSU also contracts and funds some screening services.</w:t>
      </w:r>
    </w:p>
    <w:p w14:paraId="0B98C605" w14:textId="77777777" w:rsidR="00654B21" w:rsidRPr="00181EF3" w:rsidRDefault="00654B21" w:rsidP="00654B21"/>
    <w:p w14:paraId="7EF165C9" w14:textId="77777777" w:rsidR="00654B21" w:rsidRPr="00181EF3" w:rsidRDefault="00654B21" w:rsidP="00654B21">
      <w:r w:rsidRPr="00181EF3">
        <w:t xml:space="preserve">There are currently three national </w:t>
      </w:r>
      <w:r w:rsidRPr="00181EF3">
        <w:rPr>
          <w:rFonts w:cs="Arial"/>
        </w:rPr>
        <w:t>population-based</w:t>
      </w:r>
      <w:r w:rsidRPr="00181EF3">
        <w:t xml:space="preserve"> screening programmes for cancer in New Zealand:</w:t>
      </w:r>
    </w:p>
    <w:p w14:paraId="0DDAC429" w14:textId="77777777" w:rsidR="00654B21" w:rsidRPr="00181EF3" w:rsidRDefault="00654B21" w:rsidP="00654B21">
      <w:pPr>
        <w:pStyle w:val="Bullet"/>
      </w:pPr>
      <w:r w:rsidRPr="00181EF3">
        <w:t>BreastScreen Aotearoa</w:t>
      </w:r>
    </w:p>
    <w:p w14:paraId="1CA4215A" w14:textId="77777777" w:rsidR="00654B21" w:rsidRPr="00181EF3" w:rsidRDefault="00654B21" w:rsidP="00654B21">
      <w:pPr>
        <w:pStyle w:val="Bullet"/>
      </w:pPr>
      <w:r w:rsidRPr="00181EF3">
        <w:t>the National Cervical Screening Programme</w:t>
      </w:r>
    </w:p>
    <w:p w14:paraId="5FA045F9" w14:textId="77777777" w:rsidR="00654B21" w:rsidRPr="00181EF3" w:rsidRDefault="00654B21" w:rsidP="00654B21">
      <w:pPr>
        <w:pStyle w:val="Bullet"/>
      </w:pPr>
      <w:r w:rsidRPr="00181EF3">
        <w:t>the National Bowel Screening Programme (currently being rolled out nationally).</w:t>
      </w:r>
    </w:p>
    <w:p w14:paraId="22A937DA" w14:textId="77777777" w:rsidR="00654B21" w:rsidRPr="00181EF3" w:rsidRDefault="00654B21" w:rsidP="00654B21"/>
    <w:p w14:paraId="50D06A3B" w14:textId="77777777" w:rsidR="00654B21" w:rsidRPr="00181EF3" w:rsidRDefault="00654B21" w:rsidP="00654B21">
      <w:r w:rsidRPr="00181EF3">
        <w:t>New Zealand also offers pregnant women antenatal screening for Down syndrome and other conditions. After babies are born they are screened for metabolic conditions (heel prick test) and for hearing loss.</w:t>
      </w:r>
    </w:p>
    <w:p w14:paraId="66883093" w14:textId="77777777" w:rsidR="00654B21" w:rsidRPr="00181EF3" w:rsidRDefault="00654B21" w:rsidP="00654B21"/>
    <w:p w14:paraId="11BC5AC3" w14:textId="77777777" w:rsidR="00654B21" w:rsidRPr="00181EF3" w:rsidRDefault="00654B21" w:rsidP="00654B21">
      <w:r w:rsidRPr="00181EF3">
        <w:t>Providers are contracted by the NSU to provide screening services. Service providers include district health boards (DHBs), private radiology providers, public and private laboratories, general practice and community-based providers.</w:t>
      </w:r>
    </w:p>
    <w:p w14:paraId="01F298C6" w14:textId="77777777" w:rsidR="00654B21" w:rsidRPr="00181EF3" w:rsidRDefault="00654B21" w:rsidP="00654B21"/>
    <w:p w14:paraId="52DBA4AB" w14:textId="793A71BF" w:rsidR="00654B21" w:rsidRPr="00181EF3" w:rsidRDefault="00654B21" w:rsidP="00654B21">
      <w:r w:rsidRPr="00181EF3">
        <w:t>A reduction in mortality at a population level depends on high levels of coverage of the population, along with high</w:t>
      </w:r>
      <w:r w:rsidR="009013E6">
        <w:t>-</w:t>
      </w:r>
      <w:r w:rsidRPr="00181EF3">
        <w:t>quality screening and follow-up services.</w:t>
      </w:r>
      <w:r w:rsidRPr="00181EF3">
        <w:rPr>
          <w:lang w:eastAsia="en-NZ"/>
        </w:rPr>
        <w:t xml:space="preserve"> For these reasons, an organised approach to screening on a national basis has been shown to be more successful than ad hoc screening at reducing the mortality from breast cancer, or incidence and mortality from cervical cancer.</w:t>
      </w:r>
    </w:p>
    <w:p w14:paraId="4F490B90" w14:textId="77777777" w:rsidR="00654B21" w:rsidRPr="00181EF3" w:rsidRDefault="00654B21" w:rsidP="00654B21"/>
    <w:p w14:paraId="404D832E" w14:textId="4AEF65CF" w:rsidR="00654B21" w:rsidRPr="00181EF3" w:rsidRDefault="00654B21" w:rsidP="00654B21">
      <w:pPr>
        <w:rPr>
          <w:rFonts w:eastAsia="MS Mincho"/>
          <w:lang w:eastAsia="en-NZ"/>
        </w:rPr>
      </w:pPr>
      <w:r w:rsidRPr="00181EF3">
        <w:t>The NSU promotes continuous improvement in the quality of the screening services provided. A high</w:t>
      </w:r>
      <w:r w:rsidR="009013E6">
        <w:t>-</w:t>
      </w:r>
      <w:r w:rsidRPr="00181EF3">
        <w:t xml:space="preserve">quality service is evidence-based, regularly monitored and evaluated, people-centred, safe and effective. National services </w:t>
      </w:r>
      <w:r w:rsidRPr="00181EF3">
        <w:rPr>
          <w:rFonts w:eastAsia="MS Mincho"/>
          <w:lang w:eastAsia="en-NZ"/>
        </w:rPr>
        <w:t>provide the opportunity for the same care and health outcomes to all eligible New Zealanders, regardless of their gender, ethnicity, socioeconomic status, or where they live.</w:t>
      </w:r>
    </w:p>
    <w:p w14:paraId="78AE5CD1" w14:textId="77777777" w:rsidR="00654B21" w:rsidRPr="00181EF3" w:rsidRDefault="00654B21" w:rsidP="00654B21">
      <w:pPr>
        <w:rPr>
          <w:rFonts w:eastAsia="MS Mincho"/>
          <w:lang w:eastAsia="en-NZ"/>
        </w:rPr>
      </w:pPr>
    </w:p>
    <w:p w14:paraId="542BA759" w14:textId="77777777" w:rsidR="00654B21" w:rsidRPr="00181EF3" w:rsidRDefault="00654B21" w:rsidP="00654B21">
      <w:pPr>
        <w:rPr>
          <w:rFonts w:eastAsia="MS Mincho"/>
          <w:lang w:eastAsia="en-NZ"/>
        </w:rPr>
      </w:pPr>
      <w:r w:rsidRPr="00181EF3">
        <w:rPr>
          <w:rFonts w:eastAsia="MS Mincho"/>
          <w:lang w:eastAsia="en-NZ"/>
        </w:rPr>
        <w:t xml:space="preserve">Equity is a key priority for all screening programmes and recognises that while screening programmes contribute to keeping New Zealanders well, the health gains </w:t>
      </w:r>
      <w:r w:rsidRPr="00181EF3">
        <w:rPr>
          <w:rFonts w:eastAsia="MS Mincho"/>
          <w:lang w:eastAsia="en-NZ"/>
        </w:rPr>
        <w:lastRenderedPageBreak/>
        <w:t>are currently not equitably distributed. Evidence of this is frequently seen in programme monitoring reports for Māori, Pacific and Asian populations. Equity is a priority focus and the NSU is undertaking several national activities to improve breast and cervical screening rates.</w:t>
      </w:r>
    </w:p>
    <w:p w14:paraId="29BFF10D" w14:textId="77777777" w:rsidR="00654B21" w:rsidRPr="00181EF3" w:rsidRDefault="00654B21" w:rsidP="00654B21">
      <w:pPr>
        <w:pStyle w:val="Bullet"/>
      </w:pPr>
      <w:r w:rsidRPr="00181EF3">
        <w:t>Contracting a range of providers (Iwi, Pacific, DHBs, primary health organisations (PHOs) and a commissioning agency) to provide screening support services. These services provide individualised support to screening appointments (for example transport or support to attend appointments) to women as well as supporting breast screening providers to offer a culturally appropriate service and promoting the benefits of screening in the community.</w:t>
      </w:r>
    </w:p>
    <w:p w14:paraId="438F52E5" w14:textId="77777777" w:rsidR="00654B21" w:rsidRPr="00181EF3" w:rsidRDefault="00654B21" w:rsidP="00654B21">
      <w:pPr>
        <w:pStyle w:val="Bullet"/>
      </w:pPr>
      <w:r w:rsidRPr="00181EF3">
        <w:t>A social media project has been implemented to improve breast and cervical screening rates for priority women. This includes the launch of a consumer-facing website, a dedicated Facebook page to promote national and local initiatives and rebranding of some resources. This approach has been tested with Māori focus groups, discussed with Māori providers and will be evaluated to measure effectiveness.</w:t>
      </w:r>
    </w:p>
    <w:p w14:paraId="6C6BE67E" w14:textId="77777777" w:rsidR="00654B21" w:rsidRPr="00181EF3" w:rsidRDefault="00654B21" w:rsidP="00654B21">
      <w:pPr>
        <w:rPr>
          <w:rFonts w:eastAsia="MS Mincho"/>
          <w:lang w:eastAsia="en-NZ"/>
        </w:rPr>
      </w:pPr>
    </w:p>
    <w:p w14:paraId="02765EAC" w14:textId="77777777" w:rsidR="00654B21" w:rsidRPr="00181EF3" w:rsidRDefault="00654B21" w:rsidP="00654B21">
      <w:pPr>
        <w:rPr>
          <w:rFonts w:eastAsia="MS Mincho"/>
          <w:lang w:eastAsia="en-NZ"/>
        </w:rPr>
      </w:pPr>
      <w:r w:rsidRPr="00181EF3">
        <w:rPr>
          <w:rFonts w:eastAsia="MS Mincho"/>
          <w:lang w:eastAsia="en-NZ"/>
        </w:rPr>
        <w:t>The NSU is supported by a range of advisory groups, including the BSA Advisory Group, the NCSP Advisory Group, the HPV Technical Reference Group, the Māori Monitoring and Equity Group and the National Screening Advisory Committee. These groups draw on clinical, technical and cultural expertise to review progress and advise the NSU on future direction for screening programmes.</w:t>
      </w:r>
    </w:p>
    <w:p w14:paraId="121A995F" w14:textId="77777777" w:rsidR="00654B21" w:rsidRPr="00181EF3" w:rsidRDefault="00654B21" w:rsidP="00654B21"/>
    <w:p w14:paraId="217A7D6D" w14:textId="77777777" w:rsidR="00654B21" w:rsidRPr="00181EF3" w:rsidRDefault="00654B21" w:rsidP="00654B21">
      <w:pPr>
        <w:pStyle w:val="Heading4"/>
      </w:pPr>
      <w:r w:rsidRPr="00181EF3">
        <w:t>BreastScreen Aotearoa</w:t>
      </w:r>
    </w:p>
    <w:p w14:paraId="732A73A5" w14:textId="77777777" w:rsidR="00654B21" w:rsidRPr="00181EF3" w:rsidRDefault="00654B21" w:rsidP="000667F5">
      <w:r w:rsidRPr="00181EF3">
        <w:t>BSA was established nationally in December 1998 to provide biennial screening mammograms for asymptomatic women aged 50 to 64 years. In July 2004, the eligible age range was extended to include women aged 45 to 69 years, effectively doubling the number of women eligible for the programme.</w:t>
      </w:r>
    </w:p>
    <w:p w14:paraId="3EA371DC" w14:textId="77777777" w:rsidR="00654B21" w:rsidRPr="00181EF3" w:rsidRDefault="00654B21" w:rsidP="00654B21"/>
    <w:p w14:paraId="1F53D493" w14:textId="77777777" w:rsidR="00654B21" w:rsidRPr="000667F5" w:rsidRDefault="00654B21" w:rsidP="00654B21">
      <w:pPr>
        <w:rPr>
          <w:spacing w:val="-2"/>
        </w:rPr>
      </w:pPr>
      <w:r w:rsidRPr="000667F5">
        <w:rPr>
          <w:spacing w:val="-2"/>
        </w:rPr>
        <w:t>Each year approximately 3,000 women are diagnosed with breast cancer in New Zealand. Breast cancer is the second most common cause of cancer deaths for women in New Zealand, after lung cancer. Around 635 women die from breast cancer each year.</w:t>
      </w:r>
    </w:p>
    <w:p w14:paraId="6E0EC219" w14:textId="77777777" w:rsidR="00654B21" w:rsidRPr="00181EF3" w:rsidRDefault="00654B21" w:rsidP="00654B21"/>
    <w:p w14:paraId="473929D9" w14:textId="032A11E8" w:rsidR="00654B21" w:rsidRPr="00181EF3" w:rsidRDefault="00654B21" w:rsidP="00654B21">
      <w:r w:rsidRPr="00181EF3">
        <w:t xml:space="preserve">Māori women have a significantly higher breast cancer incidence and mortality compared </w:t>
      </w:r>
      <w:r w:rsidR="00074A01">
        <w:t>with</w:t>
      </w:r>
      <w:r w:rsidR="00074A01" w:rsidRPr="00181EF3">
        <w:t xml:space="preserve"> </w:t>
      </w:r>
      <w:r w:rsidR="00EC03A3">
        <w:t>non</w:t>
      </w:r>
      <w:r w:rsidR="00EC03A3">
        <w:noBreakHyphen/>
        <w:t>M</w:t>
      </w:r>
      <w:r w:rsidRPr="00181EF3">
        <w:t xml:space="preserve">āori and are almost twice as likely to die from breast cancer as </w:t>
      </w:r>
      <w:r w:rsidR="00EC03A3">
        <w:t>non</w:t>
      </w:r>
      <w:r w:rsidR="00EC03A3">
        <w:noBreakHyphen/>
        <w:t>M</w:t>
      </w:r>
      <w:r w:rsidRPr="00181EF3">
        <w:t xml:space="preserve">āori. Pacific women also have higher breast cancer incidence and mortality. </w:t>
      </w:r>
      <w:r w:rsidRPr="00181EF3">
        <w:rPr>
          <w:rFonts w:eastAsia="MS Mincho"/>
          <w:lang w:eastAsia="en-NZ"/>
        </w:rPr>
        <w:t>For this reason, Māori and Pacific women are considered priority groups for the programme. Asian women have lower incidence and mortality rates of breast cancer so are not considered a priority group for breast screening.</w:t>
      </w:r>
    </w:p>
    <w:p w14:paraId="770751E8" w14:textId="77777777" w:rsidR="00654B21" w:rsidRPr="00181EF3" w:rsidRDefault="00654B21" w:rsidP="00654B21"/>
    <w:p w14:paraId="6EDE1695" w14:textId="3AF329ED" w:rsidR="00654B21" w:rsidRPr="00181EF3" w:rsidRDefault="00654B21" w:rsidP="00654B21">
      <w:r w:rsidRPr="00181EF3">
        <w:t xml:space="preserve">Screening mammography cannot prevent breast cancer but international evidence has shown that mammography, when delivered through an organised screening programme, can reduce mortality from breast cancer. In New Zealand, coverage of 70 percent or higher has been shown to result in a reduction in breast cancer mortality of 30 percent or more for all women screened compared </w:t>
      </w:r>
      <w:r w:rsidR="00074A01">
        <w:t>with</w:t>
      </w:r>
      <w:r w:rsidR="00074A01" w:rsidRPr="00181EF3">
        <w:t xml:space="preserve"> </w:t>
      </w:r>
      <w:r w:rsidRPr="00181EF3">
        <w:t xml:space="preserve">women who were not </w:t>
      </w:r>
      <w:r w:rsidRPr="00181EF3">
        <w:lastRenderedPageBreak/>
        <w:t>screened.</w:t>
      </w:r>
      <w:r w:rsidRPr="00181EF3">
        <w:rPr>
          <w:rStyle w:val="FootnoteReference"/>
        </w:rPr>
        <w:footnoteReference w:id="32"/>
      </w:r>
      <w:r w:rsidRPr="00181EF3">
        <w:t xml:space="preserve"> This is in line with what was found through international randomised controlled trials.</w:t>
      </w:r>
    </w:p>
    <w:p w14:paraId="59154225" w14:textId="77777777" w:rsidR="00654B21" w:rsidRPr="00181EF3" w:rsidRDefault="00654B21" w:rsidP="00654B21"/>
    <w:p w14:paraId="1F977490" w14:textId="77777777" w:rsidR="00654B21" w:rsidRPr="00181EF3" w:rsidRDefault="00654B21" w:rsidP="00654B21">
      <w:r w:rsidRPr="00181EF3">
        <w:t>Mammographic screening can identify breast cancer at an early stage, thereby improving the probability of a positive outcome. This is because survival after diagnosis and treatment is directly related to the stage at which the cancer is diagnosed. In addition, early stage small tumours are more amenable to treatment with breast conserving surgery (that is, complete local excision), which is known to have some important psychological and practical advantages over mastectomy.</w:t>
      </w:r>
    </w:p>
    <w:p w14:paraId="105F7A1A" w14:textId="77777777" w:rsidR="00654B21" w:rsidRPr="00181EF3" w:rsidRDefault="00654B21" w:rsidP="00654B21"/>
    <w:p w14:paraId="39DBFD5B" w14:textId="77777777" w:rsidR="00654B21" w:rsidRPr="00181EF3" w:rsidRDefault="00654B21" w:rsidP="00654B21">
      <w:r w:rsidRPr="00181EF3">
        <w:t xml:space="preserve">Currently, BSA offers </w:t>
      </w:r>
      <w:r w:rsidRPr="00181EF3">
        <w:rPr>
          <w:lang w:eastAsia="en-NZ"/>
        </w:rPr>
        <w:t xml:space="preserve">free mammography every two years to women who are aged 45 to 69 years and meet other eligibility criteria. </w:t>
      </w:r>
      <w:r w:rsidRPr="00181EF3">
        <w:t>The BSA age range was determined using international evidence to identify the group of women who would benefit the most from breast screening.</w:t>
      </w:r>
    </w:p>
    <w:p w14:paraId="47935198" w14:textId="77777777" w:rsidR="00654B21" w:rsidRPr="00181EF3" w:rsidRDefault="00654B21" w:rsidP="00654B21"/>
    <w:p w14:paraId="79ADFD45" w14:textId="77777777" w:rsidR="00654B21" w:rsidRPr="00181EF3" w:rsidRDefault="00654B21" w:rsidP="00654B21">
      <w:r w:rsidRPr="00181EF3">
        <w:t>The coalition agreement between the New Zealand Labour Party and New Zealand First includes progressively increasing the age for free breast screening to 74 years. Extending the eligible age range for the programme is a significant change and planning is under way to ensure that the benefits of extending the age range can be realised.</w:t>
      </w:r>
    </w:p>
    <w:p w14:paraId="22DA4418" w14:textId="77777777" w:rsidR="00654B21" w:rsidRPr="00181EF3" w:rsidRDefault="00654B21" w:rsidP="00654B21"/>
    <w:p w14:paraId="2A73024B" w14:textId="77777777" w:rsidR="00654B21" w:rsidRPr="00181EF3" w:rsidRDefault="00654B21" w:rsidP="00654B21">
      <w:pPr>
        <w:pStyle w:val="Heading5"/>
      </w:pPr>
      <w:r w:rsidRPr="00181EF3">
        <w:t>BreastScreen Aotearoa enrolment</w:t>
      </w:r>
    </w:p>
    <w:p w14:paraId="192BCC38" w14:textId="77777777" w:rsidR="00654B21" w:rsidRPr="00181EF3" w:rsidRDefault="00654B21" w:rsidP="00654B21">
      <w:r w:rsidRPr="00181EF3">
        <w:t>Eligible women can self-enrol through the BSA 0800 number, NSU website, Time to Screen website, or if they have given consent, they can be enrolled by their general practitioner. BSA providers work with general practice teams to identify women who are eligible for screening services, but not enrolled, so that the practice can contact the women to invite them to enrol for breast screening. Once enrolled, women are sent an invitation to have a screening appointment every two years. Breast screening and assessment services are free for women and publicly-funded treatment services are provided through DHBs.</w:t>
      </w:r>
    </w:p>
    <w:p w14:paraId="40463312" w14:textId="77777777" w:rsidR="00654B21" w:rsidRPr="00181EF3" w:rsidRDefault="00654B21" w:rsidP="00654B21"/>
    <w:p w14:paraId="60221241" w14:textId="77777777" w:rsidR="00654B21" w:rsidRPr="00181EF3" w:rsidRDefault="00654B21" w:rsidP="00654B21">
      <w:r w:rsidRPr="00181EF3">
        <w:t>Symptomatic women follow a different clinical pathway to those without symptoms and are not eligible for the breast screening programme. Women with symptoms need to have these symptoms investigated without delay. DHBs are funded to provide services for symptomatic women after GP referral to outpatient clinics or radiology departments. These services are separate to BSA.</w:t>
      </w:r>
    </w:p>
    <w:p w14:paraId="162323DA" w14:textId="77777777" w:rsidR="00654B21" w:rsidRPr="00181EF3" w:rsidRDefault="00654B21" w:rsidP="00654B21"/>
    <w:p w14:paraId="5D232CAC" w14:textId="77777777" w:rsidR="00654B21" w:rsidRPr="00181EF3" w:rsidRDefault="00654B21" w:rsidP="00654B21">
      <w:r w:rsidRPr="00181EF3">
        <w:t>Women who are considered at high risk of breast cancer can also access free extra breast imaging services if they are referred by their doctor to the DHB.</w:t>
      </w:r>
    </w:p>
    <w:p w14:paraId="2975B174" w14:textId="77777777" w:rsidR="00654B21" w:rsidRPr="00181EF3" w:rsidRDefault="00654B21" w:rsidP="00654B21"/>
    <w:p w14:paraId="2325895B" w14:textId="77777777" w:rsidR="00654B21" w:rsidRPr="00181EF3" w:rsidRDefault="00654B21" w:rsidP="00654B21">
      <w:pPr>
        <w:pStyle w:val="Heading5"/>
      </w:pPr>
      <w:r w:rsidRPr="00181EF3">
        <w:t>BreastScreen Aotearoa service delivery</w:t>
      </w:r>
    </w:p>
    <w:p w14:paraId="72133635" w14:textId="77777777" w:rsidR="00654B21" w:rsidRPr="00181EF3" w:rsidRDefault="00654B21" w:rsidP="00654B21">
      <w:r w:rsidRPr="00181EF3">
        <w:t>BSA is delivered through eight lead providers (five are based in DHBs and three are private radiology providers). Each</w:t>
      </w:r>
      <w:r w:rsidRPr="00181EF3">
        <w:rPr>
          <w:lang w:eastAsia="en-NZ"/>
        </w:rPr>
        <w:t xml:space="preserve"> lead provider is responsible for providing, either directly or by subcontracting another provider, all services (except those provided by screening support service providers) throughout their region. Services include; health promotion, recruiting women, screening mammograms, sending screening results to </w:t>
      </w:r>
      <w:r w:rsidRPr="00181EF3">
        <w:rPr>
          <w:lang w:eastAsia="en-NZ"/>
        </w:rPr>
        <w:lastRenderedPageBreak/>
        <w:t xml:space="preserve">women and their primary healthcare provider, investigation if an abnormality is seen on the screening mammogram, support and counselling for women, referral to treatment services and quality assurance throughout the screening pathway. </w:t>
      </w:r>
      <w:r w:rsidRPr="00181EF3">
        <w:t>BSA services are provided from about 35 fixed sites and 10 mobile units.</w:t>
      </w:r>
    </w:p>
    <w:p w14:paraId="66137A66" w14:textId="77777777" w:rsidR="00654B21" w:rsidRPr="00181EF3" w:rsidRDefault="00654B21" w:rsidP="00654B21"/>
    <w:p w14:paraId="144B91AB" w14:textId="77777777" w:rsidR="00654B21" w:rsidRPr="00181EF3" w:rsidRDefault="00654B21" w:rsidP="00654B21">
      <w:r w:rsidRPr="00181EF3">
        <w:t>Lead providers must offer timely access to women recalled for further assessment. A</w:t>
      </w:r>
      <w:r w:rsidRPr="00181EF3">
        <w:rPr>
          <w:lang w:eastAsia="en-NZ"/>
        </w:rPr>
        <w:t xml:space="preserve">ssessment can include further mammogram pictures, clinical examination, ultrasound, biopsy and pathology services. </w:t>
      </w:r>
      <w:r w:rsidRPr="00181EF3">
        <w:t>Assessment clinics are usually provided at central locations as they require a multidisciplinary team including on-site radiologists and specialised equipment. Because of this, there are far fewer assessment clinics than screening sites, but assessment clinics still need to be accessible to women.</w:t>
      </w:r>
    </w:p>
    <w:p w14:paraId="32201534" w14:textId="77777777" w:rsidR="00654B21" w:rsidRPr="00181EF3" w:rsidRDefault="00654B21" w:rsidP="00654B21"/>
    <w:p w14:paraId="13DA3BB1" w14:textId="77777777" w:rsidR="00654B21" w:rsidRPr="00181EF3" w:rsidRDefault="00654B21" w:rsidP="00654B21">
      <w:pPr>
        <w:rPr>
          <w:lang w:eastAsia="en-NZ"/>
        </w:rPr>
      </w:pPr>
      <w:r w:rsidRPr="00181EF3">
        <w:t>In addition to the eight lead providers, screening</w:t>
      </w:r>
      <w:r w:rsidRPr="00181EF3">
        <w:rPr>
          <w:lang w:eastAsia="en-NZ"/>
        </w:rPr>
        <w:t xml:space="preserve"> support service providers are contracted by the NSU to provide support services directly to priority women who might otherwise not be able to access services.</w:t>
      </w:r>
    </w:p>
    <w:p w14:paraId="3630B9F0" w14:textId="77777777" w:rsidR="00654B21" w:rsidRPr="00181EF3" w:rsidRDefault="00654B21" w:rsidP="00654B21">
      <w:pPr>
        <w:rPr>
          <w:lang w:eastAsia="en-NZ"/>
        </w:rPr>
      </w:pPr>
    </w:p>
    <w:p w14:paraId="0659EE5A" w14:textId="77777777" w:rsidR="00654B21" w:rsidRPr="00181EF3" w:rsidRDefault="00654B21" w:rsidP="00654B21">
      <w:pPr>
        <w:pStyle w:val="Heading5"/>
      </w:pPr>
      <w:r w:rsidRPr="00181EF3">
        <w:t>Programme performance</w:t>
      </w:r>
    </w:p>
    <w:p w14:paraId="4319B515" w14:textId="77777777" w:rsidR="00654B21" w:rsidRPr="00181EF3" w:rsidRDefault="00654B21" w:rsidP="000667F5">
      <w:r w:rsidRPr="00181EF3">
        <w:t>BSA’s target is to achieve 70 percent coverage (the proportion of eligible women screened within the two-year screening interval). BSA has achieved the coverage target of 70 percent nationally for women overall (71.7 percent) and for Pacific women (72.9 percent). However, coverage for Māori women remains below target at 65.8 percent and in many regions around New Zealand Pacific coverage has not reached the target. The rate of women who return for further screening within recommended timeframes (rescreening rate) is showing a declining trend and is being investigated by the NSU.</w:t>
      </w:r>
    </w:p>
    <w:p w14:paraId="4C44BDEC" w14:textId="77777777" w:rsidR="00654B21" w:rsidRPr="00181EF3" w:rsidRDefault="00654B21" w:rsidP="00654B21">
      <w:pPr>
        <w:rPr>
          <w:rFonts w:eastAsia="MS Mincho"/>
          <w:lang w:eastAsia="en-NZ"/>
        </w:rPr>
      </w:pPr>
    </w:p>
    <w:p w14:paraId="0436D1AB" w14:textId="77777777" w:rsidR="00654B21" w:rsidRPr="00181EF3" w:rsidRDefault="00654B21" w:rsidP="00654B21">
      <w:pPr>
        <w:rPr>
          <w:rFonts w:eastAsia="MS Mincho"/>
          <w:lang w:eastAsia="en-NZ"/>
        </w:rPr>
      </w:pPr>
      <w:r w:rsidRPr="00181EF3">
        <w:rPr>
          <w:rFonts w:eastAsia="MS Mincho"/>
          <w:lang w:eastAsia="en-NZ"/>
        </w:rPr>
        <w:t>Screening coverage is monitored closely and the data is used by the NSU, DHBs, PHOs and providers to monitor coverage by ethnicity, assess what impact activities to increase breast screening coverage have had, and to inform future planning. There is ongoing work by the NSU with providers to support implementation of initiatives to close the equity gap and to share successful initiatives nationally.</w:t>
      </w:r>
    </w:p>
    <w:p w14:paraId="461632CF" w14:textId="77777777" w:rsidR="00654B21" w:rsidRPr="00181EF3" w:rsidRDefault="00654B21" w:rsidP="00654B21"/>
    <w:p w14:paraId="5CA8170C" w14:textId="77777777" w:rsidR="00654B21" w:rsidRPr="00181EF3" w:rsidRDefault="00654B21" w:rsidP="00654B21">
      <w:r w:rsidRPr="00181EF3">
        <w:t>There has been a gradual increase in the number of breast cancers registered each year. Despite this there has been a decline in mortality from breast cancer for women in New Zealand. This is due to a number of factors, including improvements in breast cancer treatment and national breast screening. Unlike cervical and bowel screening, breast screening cannot prevent the development of breast cancer, only detect it at an earlier stage. This is why there has not been a decrease in registrations since the start of the screening programme.</w:t>
      </w:r>
    </w:p>
    <w:p w14:paraId="37891E1F" w14:textId="77777777" w:rsidR="00654B21" w:rsidRPr="00181EF3" w:rsidRDefault="00654B21" w:rsidP="00654B21"/>
    <w:p w14:paraId="22556148" w14:textId="6AD94A3A" w:rsidR="00654B21" w:rsidRPr="00181EF3" w:rsidRDefault="00654B21" w:rsidP="000667F5">
      <w:pPr>
        <w:keepLines/>
      </w:pPr>
      <w:r w:rsidRPr="00181EF3">
        <w:t>As a national population health screening programme, BSA must maintain high</w:t>
      </w:r>
      <w:r w:rsidR="009013E6">
        <w:t>-</w:t>
      </w:r>
      <w:r w:rsidRPr="00181EF3">
        <w:t>quality standards to maximise benefits, minimise harms and maintain public confidence in the programme. The programme has National Policy and Quality Standards (NPQS) and all providers are contractually obliged to meet these standards (lead providers, their subcontractors and independent service providers).</w:t>
      </w:r>
    </w:p>
    <w:p w14:paraId="4081CEB7" w14:textId="77777777" w:rsidR="00654B21" w:rsidRPr="00181EF3" w:rsidRDefault="00654B21" w:rsidP="00654B21"/>
    <w:p w14:paraId="4EE407DD" w14:textId="77777777" w:rsidR="00654B21" w:rsidRPr="00181EF3" w:rsidRDefault="00654B21" w:rsidP="00654B21">
      <w:r w:rsidRPr="00181EF3">
        <w:t xml:space="preserve">The NPQS provides the basis for the NSU’s ongoing programme monitoring and monitoring reports are produced annually. The latest monitoring report shows that the programme is performing well across most indicators, but a number of timeliness indicators are not being met. These timeliness indicators do not signal a clinical risk, </w:t>
      </w:r>
      <w:r w:rsidRPr="00181EF3">
        <w:lastRenderedPageBreak/>
        <w:t>but meeting timeliness targets is a way of reducing potential anxiety while women wait for results or their next appointment. The NSU is working with breast screening providers to address and improve equity and timeliness issues.</w:t>
      </w:r>
    </w:p>
    <w:p w14:paraId="1D0E8AC5" w14:textId="77777777" w:rsidR="00654B21" w:rsidRPr="00181EF3" w:rsidRDefault="00654B21" w:rsidP="00654B21"/>
    <w:p w14:paraId="51EE671B" w14:textId="77777777" w:rsidR="00654B21" w:rsidRPr="00181EF3" w:rsidRDefault="00654B21" w:rsidP="000667F5">
      <w:r w:rsidRPr="00181EF3">
        <w:t>BSA also reviews interval cancer rates. Consistently low interval cancer rates correlate with significant reductions in breast cancer mortality in screened populations.</w:t>
      </w:r>
    </w:p>
    <w:p w14:paraId="41F651D9" w14:textId="77777777" w:rsidR="00654B21" w:rsidRPr="00181EF3" w:rsidRDefault="00654B21" w:rsidP="00654B21"/>
    <w:p w14:paraId="21AEBFE9" w14:textId="77777777" w:rsidR="00654B21" w:rsidRPr="00181EF3" w:rsidRDefault="00654B21" w:rsidP="00654B21">
      <w:r w:rsidRPr="00181EF3">
        <w:t>While treatment services are outside the BSA pathway, outcomes from treatment are monitored by the programme and the Royal Australasian College of Surgeons collate an annual review of breast cancer treatment outcomes in New Zealand. Women diagnosed with breast cancer through BSA tend to be diagnosed at an earlier stage compared with those diagnosed outside the programme. As a result, these women are more likely to have breast-conserving surgery, are less likely to require extensive axillary surgery, and are less likely to require chemotherapy.</w:t>
      </w:r>
      <w:r w:rsidRPr="00181EF3">
        <w:rPr>
          <w:rStyle w:val="FootnoteReference"/>
        </w:rPr>
        <w:footnoteReference w:id="33"/>
      </w:r>
    </w:p>
    <w:p w14:paraId="48050B76" w14:textId="77777777" w:rsidR="00654B21" w:rsidRPr="00181EF3" w:rsidRDefault="00654B21" w:rsidP="00654B21"/>
    <w:p w14:paraId="04958217" w14:textId="77777777" w:rsidR="00654B21" w:rsidRPr="00181EF3" w:rsidRDefault="00654B21" w:rsidP="00654B21">
      <w:pPr>
        <w:pStyle w:val="Heading4"/>
      </w:pPr>
      <w:r w:rsidRPr="00181EF3">
        <w:t>National Cervical Screening Programme</w:t>
      </w:r>
    </w:p>
    <w:p w14:paraId="76AC661F" w14:textId="77777777" w:rsidR="00654B21" w:rsidRPr="00181EF3" w:rsidRDefault="00654B21" w:rsidP="00654B21">
      <w:r w:rsidRPr="00181EF3">
        <w:t>NCSP was introduced in 1990 to reduce the number of women who develop and die from cervical cancer. The 2015 Parliamentary Review Committee noted that the NCSP is one of the most successful screening programmes in the world.</w:t>
      </w:r>
      <w:r w:rsidRPr="00181EF3">
        <w:rPr>
          <w:rStyle w:val="FootnoteReference"/>
        </w:rPr>
        <w:footnoteReference w:id="34"/>
      </w:r>
    </w:p>
    <w:p w14:paraId="4ED6B530" w14:textId="77777777" w:rsidR="00654B21" w:rsidRPr="00181EF3" w:rsidRDefault="00654B21" w:rsidP="00654B21"/>
    <w:p w14:paraId="1DF1CB14" w14:textId="77777777" w:rsidR="00654B21" w:rsidRPr="00181EF3" w:rsidRDefault="00654B21" w:rsidP="00654B21">
      <w:r w:rsidRPr="00181EF3">
        <w:t>Cervical cancer is one of the most preventable forms of cancer and screening can reduce the risk of developing it by up to 90 percent. Cervical cancer is the fifth most common cancer registered for women in New Zealand. Approximately 140 women are diagnosed with cervical cancer</w:t>
      </w:r>
      <w:r w:rsidRPr="00181EF3">
        <w:rPr>
          <w:rFonts w:eastAsia="MS Mincho"/>
        </w:rPr>
        <w:t xml:space="preserve"> and about 55 women die from the disease each year.</w:t>
      </w:r>
    </w:p>
    <w:p w14:paraId="60089388" w14:textId="77777777" w:rsidR="00654B21" w:rsidRPr="00181EF3" w:rsidRDefault="00654B21" w:rsidP="00654B21"/>
    <w:p w14:paraId="4410BD5F" w14:textId="77777777" w:rsidR="00654B21" w:rsidRPr="00181EF3" w:rsidRDefault="00654B21" w:rsidP="00654B21">
      <w:r w:rsidRPr="00181EF3">
        <w:t>The programme was established following recommendations from the Cartwright Enquiry 1987-1988 that investigated alleged malpractice by a gynaecologist at National Women’s Hospital in Auckland. It was the first organised screening programme to be set up in New Zealand and is governed by Part 4A of the Health Act 1956.</w:t>
      </w:r>
    </w:p>
    <w:p w14:paraId="513DADBE" w14:textId="77777777" w:rsidR="00654B21" w:rsidRPr="00181EF3" w:rsidRDefault="00654B21" w:rsidP="00654B21"/>
    <w:p w14:paraId="463F2FC2" w14:textId="77777777" w:rsidR="00654B21" w:rsidRPr="00181EF3" w:rsidRDefault="00654B21" w:rsidP="000667F5">
      <w:pPr>
        <w:keepLines/>
      </w:pPr>
      <w:r w:rsidRPr="00181EF3">
        <w:t>Women aged 20 to 69 years are invited by their primary health care provider to be screened on a three-yearly basis. The aim of the programme is to reduce the incidence and mortality of cervical cancer by detecting cell changes which could progress to cervical cancer.</w:t>
      </w:r>
    </w:p>
    <w:p w14:paraId="0118083C" w14:textId="77777777" w:rsidR="00654B21" w:rsidRPr="00181EF3" w:rsidRDefault="00654B21" w:rsidP="00654B21"/>
    <w:p w14:paraId="1200A8B6" w14:textId="77777777" w:rsidR="00654B21" w:rsidRPr="000667F5" w:rsidRDefault="00654B21" w:rsidP="00654B21">
      <w:pPr>
        <w:rPr>
          <w:spacing w:val="-2"/>
        </w:rPr>
      </w:pPr>
      <w:r w:rsidRPr="000667F5">
        <w:rPr>
          <w:spacing w:val="-2"/>
        </w:rPr>
        <w:t>The NCSP-Register holds cervical screening clinical information. The register provides the critical safety net that monitors women’s recall for cervical screening and referrals to colposcopy. The register is managed by a national provider and supported by local DHB register staff in 16 DHBs who handle enquiries from practices and manage data quality.</w:t>
      </w:r>
    </w:p>
    <w:p w14:paraId="3E550976" w14:textId="77777777" w:rsidR="00654B21" w:rsidRPr="00181EF3" w:rsidRDefault="00654B21" w:rsidP="00654B21">
      <w:pPr>
        <w:rPr>
          <w:iCs/>
        </w:rPr>
      </w:pPr>
    </w:p>
    <w:p w14:paraId="5F58D3D0" w14:textId="77777777" w:rsidR="00654B21" w:rsidRPr="00181EF3" w:rsidRDefault="00654B21" w:rsidP="00654B21">
      <w:pPr>
        <w:rPr>
          <w:rFonts w:eastAsia="MS Mincho"/>
        </w:rPr>
      </w:pPr>
      <w:r w:rsidRPr="00181EF3">
        <w:rPr>
          <w:iCs/>
        </w:rPr>
        <w:t xml:space="preserve">There are </w:t>
      </w:r>
      <w:r w:rsidRPr="00181EF3">
        <w:rPr>
          <w:rFonts w:eastAsia="MS Mincho"/>
          <w:iCs/>
        </w:rPr>
        <w:t>significant equity issues in incidence and mortality of cervical cancer.</w:t>
      </w:r>
      <w:r w:rsidRPr="00181EF3">
        <w:t xml:space="preserve"> Māori women have a higher burden of cervical cancer. While this has narrowed over time, </w:t>
      </w:r>
      <w:r w:rsidRPr="00181EF3">
        <w:lastRenderedPageBreak/>
        <w:t xml:space="preserve">Māori women are still twice as likely to get cervical cancer and to die from it. </w:t>
      </w:r>
      <w:r w:rsidRPr="00181EF3">
        <w:rPr>
          <w:rFonts w:eastAsia="MS Mincho"/>
        </w:rPr>
        <w:t>Pacific women also have higher incidence of cervical cancer than ‘Other’ women.</w:t>
      </w:r>
    </w:p>
    <w:p w14:paraId="6DC2AFEC" w14:textId="77777777" w:rsidR="00654B21" w:rsidRPr="00181EF3" w:rsidRDefault="00654B21" w:rsidP="00654B21"/>
    <w:p w14:paraId="60E3D703" w14:textId="77777777" w:rsidR="00654B21" w:rsidRPr="00181EF3" w:rsidRDefault="00654B21" w:rsidP="000667F5">
      <w:r w:rsidRPr="00181EF3">
        <w:t>In 2008 the free HPV Immunisation Programme was introduced for young girls in New Zealand and in 2017 the programme was extended to include boys. Up to 90 percent of cervical cancers can be prevented with HPV immunisation alone. However, the vaccine does not provide protection against all strains of HPV that can cause cervical cancer. Screening continues to be a vital part of cervical cancer prevention. Over time HPV vaccination will reduce the incidence and mortality of cervical cancer.</w:t>
      </w:r>
    </w:p>
    <w:p w14:paraId="1FBC65AF" w14:textId="77777777" w:rsidR="00654B21" w:rsidRPr="00181EF3" w:rsidRDefault="00654B21" w:rsidP="00654B21"/>
    <w:p w14:paraId="1995AB04" w14:textId="77777777" w:rsidR="00654B21" w:rsidRPr="00181EF3" w:rsidRDefault="00654B21" w:rsidP="00654B21">
      <w:r w:rsidRPr="00181EF3">
        <w:t>In New Zealand HPV immunisation is the primary prevention and cervical screening is the secondary prevention against cervical cancer.</w:t>
      </w:r>
    </w:p>
    <w:p w14:paraId="1DCE7406" w14:textId="77777777" w:rsidR="00654B21" w:rsidRPr="00181EF3" w:rsidRDefault="00654B21" w:rsidP="00654B21">
      <w:pPr>
        <w:rPr>
          <w:i/>
          <w:iCs/>
        </w:rPr>
      </w:pPr>
    </w:p>
    <w:p w14:paraId="1445CD2B" w14:textId="77777777" w:rsidR="00654B21" w:rsidRPr="00181EF3" w:rsidRDefault="00654B21" w:rsidP="00654B21">
      <w:pPr>
        <w:pStyle w:val="Heading5"/>
        <w:rPr>
          <w:i/>
        </w:rPr>
      </w:pPr>
      <w:r w:rsidRPr="00181EF3">
        <w:t>The cervical screening pathway</w:t>
      </w:r>
    </w:p>
    <w:p w14:paraId="54DCACEF" w14:textId="77777777" w:rsidR="00654B21" w:rsidRPr="00181EF3" w:rsidRDefault="00654B21" w:rsidP="00654B21">
      <w:r w:rsidRPr="00181EF3">
        <w:t>The cervical screening pathway includes:</w:t>
      </w:r>
    </w:p>
    <w:p w14:paraId="30E31D26" w14:textId="77777777" w:rsidR="00654B21" w:rsidRPr="00181EF3" w:rsidRDefault="00654B21" w:rsidP="00654B21">
      <w:pPr>
        <w:pStyle w:val="Bullet"/>
      </w:pPr>
      <w:r w:rsidRPr="00181EF3">
        <w:t>screening by primary health care providers</w:t>
      </w:r>
    </w:p>
    <w:p w14:paraId="13E209DB" w14:textId="77777777" w:rsidR="00654B21" w:rsidRPr="00181EF3" w:rsidRDefault="00654B21" w:rsidP="00654B21">
      <w:pPr>
        <w:pStyle w:val="Bullet"/>
      </w:pPr>
      <w:r w:rsidRPr="00181EF3">
        <w:t>analysis of the sample by laboratories</w:t>
      </w:r>
    </w:p>
    <w:p w14:paraId="61A0E23C" w14:textId="77777777" w:rsidR="00654B21" w:rsidRPr="00181EF3" w:rsidRDefault="00654B21" w:rsidP="00654B21">
      <w:pPr>
        <w:pStyle w:val="Bullet"/>
      </w:pPr>
      <w:r w:rsidRPr="00181EF3">
        <w:t>referral to colposcopy for assessment and treatment of abnormal cells as required.</w:t>
      </w:r>
    </w:p>
    <w:p w14:paraId="7414032B" w14:textId="77777777" w:rsidR="00654B21" w:rsidRPr="00181EF3" w:rsidRDefault="00654B21" w:rsidP="00654B21"/>
    <w:p w14:paraId="3ECA6DA0" w14:textId="77777777" w:rsidR="00654B21" w:rsidRPr="00181EF3" w:rsidRDefault="00654B21" w:rsidP="00654B21">
      <w:r w:rsidRPr="00181EF3">
        <w:t>Primary health care providers deliver routine cervical screening (cervical smear test) to women aged 20 to 69 years on a three-yearly basis. Smear taking is performed by a range of health professionals, including general practitioners (GPs), nurses, gynaecologists and midwives. Settings include GP practices, sexual health centres, outreach clinics (for example in marae, industrial or community settings) and colposcopy clinics. Women pay for the appointment with their health care provider, the cost is the same as a normal appointment. The NCSP funds some free smear tests for priority group women.</w:t>
      </w:r>
      <w:r w:rsidRPr="00181EF3">
        <w:rPr>
          <w:rStyle w:val="FootnoteReference"/>
        </w:rPr>
        <w:footnoteReference w:id="35"/>
      </w:r>
    </w:p>
    <w:p w14:paraId="76DC6744" w14:textId="77777777" w:rsidR="00654B21" w:rsidRPr="00181EF3" w:rsidRDefault="00654B21" w:rsidP="00654B21"/>
    <w:p w14:paraId="00729B3C" w14:textId="77777777" w:rsidR="00654B21" w:rsidRPr="00181EF3" w:rsidRDefault="00654B21" w:rsidP="00654B21">
      <w:r w:rsidRPr="00181EF3">
        <w:t>Cytology screening is the primary test currently used in the screening pathway. Cytology is a manual test where cells from the cervix are examined under a microscope by scientists who specialise in analysing these samples. HPV testing can also be undertaken in certain clinical situations. If abnormal cells are detected through cytology women may be referred to colposcopy services.</w:t>
      </w:r>
    </w:p>
    <w:p w14:paraId="47BA0644" w14:textId="77777777" w:rsidR="00654B21" w:rsidRPr="00181EF3" w:rsidRDefault="00654B21" w:rsidP="00654B21"/>
    <w:p w14:paraId="468F44C2" w14:textId="77777777" w:rsidR="00654B21" w:rsidRPr="00181EF3" w:rsidRDefault="00654B21" w:rsidP="00654B21">
      <w:r w:rsidRPr="00181EF3">
        <w:t>Colposcopy services are provided by DHBs, as an outpatient procedure, or through a private provider. A colposcopy is an examination of the cervix under a microscope to identify abnormal cells on the cervix and subsequent treatment if required.</w:t>
      </w:r>
    </w:p>
    <w:p w14:paraId="014D948E" w14:textId="77777777" w:rsidR="00654B21" w:rsidRPr="00181EF3" w:rsidRDefault="00654B21" w:rsidP="00654B21"/>
    <w:p w14:paraId="1848C968" w14:textId="77777777" w:rsidR="00654B21" w:rsidRPr="00181EF3" w:rsidRDefault="00654B21" w:rsidP="00654B21">
      <w:r w:rsidRPr="00181EF3">
        <w:t xml:space="preserve">Services associated with the NCSP cost approximately $37.5 </w:t>
      </w:r>
      <w:r w:rsidRPr="00181EF3">
        <w:rPr>
          <w:rFonts w:eastAsia="MS Mincho"/>
          <w:lang w:eastAsia="en-NZ"/>
        </w:rPr>
        <w:t>million per year</w:t>
      </w:r>
      <w:r w:rsidRPr="00181EF3">
        <w:t>. This includes funding for the NCSP Register, laboratory services, DHB colposcopy services, regional NCSP Register and NCSP coordination services, free smears for priority group women, screening support services, independent programme monitoring and laboratory training services.</w:t>
      </w:r>
    </w:p>
    <w:p w14:paraId="3B6348A4" w14:textId="77777777" w:rsidR="00654B21" w:rsidRPr="00181EF3" w:rsidRDefault="00654B21" w:rsidP="00654B21"/>
    <w:p w14:paraId="6AE680D9" w14:textId="77777777" w:rsidR="00654B21" w:rsidRPr="00181EF3" w:rsidRDefault="00654B21" w:rsidP="00654B21">
      <w:pPr>
        <w:pStyle w:val="Heading5"/>
        <w:rPr>
          <w:i/>
          <w:iCs/>
        </w:rPr>
      </w:pPr>
      <w:r w:rsidRPr="00181EF3">
        <w:lastRenderedPageBreak/>
        <w:t>Programme performance, monitoring and evaluation</w:t>
      </w:r>
    </w:p>
    <w:p w14:paraId="27E9EF15" w14:textId="40D19636" w:rsidR="00654B21" w:rsidRPr="00181EF3" w:rsidRDefault="00654B21" w:rsidP="000667F5">
      <w:r w:rsidRPr="00181EF3">
        <w:t>Following the introduction of the NCSP in 1990 there has been a steady decline in registrations and mortality from cervical cancer. In recent years cervical cancer incidence and mortality has plateaued for all women with no further narrowing of the gap betw</w:t>
      </w:r>
      <w:r w:rsidRPr="00181EF3">
        <w:rPr>
          <w:iCs/>
        </w:rPr>
        <w:t xml:space="preserve">een Māori women and </w:t>
      </w:r>
      <w:r w:rsidR="00EC03A3">
        <w:rPr>
          <w:iCs/>
        </w:rPr>
        <w:t>non</w:t>
      </w:r>
      <w:r w:rsidR="00EC03A3">
        <w:rPr>
          <w:iCs/>
        </w:rPr>
        <w:noBreakHyphen/>
        <w:t>M</w:t>
      </w:r>
      <w:r w:rsidRPr="00181EF3">
        <w:rPr>
          <w:iCs/>
        </w:rPr>
        <w:t>āori women.</w:t>
      </w:r>
    </w:p>
    <w:p w14:paraId="5485C1FC" w14:textId="77777777" w:rsidR="00654B21" w:rsidRPr="00181EF3" w:rsidRDefault="00654B21" w:rsidP="00654B21"/>
    <w:p w14:paraId="2A6FB3B8" w14:textId="77777777" w:rsidR="00654B21" w:rsidRPr="00181EF3" w:rsidRDefault="00654B21" w:rsidP="00654B21">
      <w:r w:rsidRPr="00181EF3">
        <w:t>The NCSP target is to reach 80 percent coverage of women being screened. Overall 74.8 percent of eligible women in New Zealand have had a cervical smear within the last three years.</w:t>
      </w:r>
      <w:r w:rsidRPr="00181EF3">
        <w:rPr>
          <w:rStyle w:val="FootnoteReference"/>
        </w:rPr>
        <w:footnoteReference w:id="36"/>
      </w:r>
    </w:p>
    <w:p w14:paraId="1A4E6526" w14:textId="77777777" w:rsidR="00654B21" w:rsidRPr="00181EF3" w:rsidRDefault="00654B21" w:rsidP="00654B21"/>
    <w:p w14:paraId="4C8B2B56" w14:textId="77777777" w:rsidR="00654B21" w:rsidRPr="00181EF3" w:rsidRDefault="00654B21" w:rsidP="00654B21">
      <w:r w:rsidRPr="00181EF3">
        <w:t>Achieving equitable coverage for all populations is essential to reduce the incidence and mortality of cervical cancer. Māori women and Asian women in particular are less likely to be screened, and are therefore more at risk of cervical cancer.</w:t>
      </w:r>
    </w:p>
    <w:p w14:paraId="120A557E" w14:textId="77777777" w:rsidR="00654B21" w:rsidRPr="00181EF3" w:rsidRDefault="00654B21" w:rsidP="00654B21"/>
    <w:p w14:paraId="317E6EAF" w14:textId="77777777" w:rsidR="00654B21" w:rsidRPr="00181EF3" w:rsidRDefault="00654B21" w:rsidP="00654B21">
      <w:pPr>
        <w:ind w:right="-142"/>
        <w:rPr>
          <w:spacing w:val="-2"/>
        </w:rPr>
      </w:pPr>
      <w:r w:rsidRPr="00181EF3">
        <w:rPr>
          <w:spacing w:val="-2"/>
        </w:rPr>
        <w:t>Evaluation of the effectiveness of the programme involves a number of processes such as:</w:t>
      </w:r>
    </w:p>
    <w:p w14:paraId="5A68F3FC" w14:textId="77777777" w:rsidR="00654B21" w:rsidRPr="00181EF3" w:rsidRDefault="00654B21" w:rsidP="00654B21">
      <w:pPr>
        <w:pStyle w:val="Bullet"/>
      </w:pPr>
      <w:r w:rsidRPr="00181EF3">
        <w:t>independent monitoring</w:t>
      </w:r>
    </w:p>
    <w:p w14:paraId="0764DE2C" w14:textId="77777777" w:rsidR="00654B21" w:rsidRPr="00181EF3" w:rsidRDefault="00654B21" w:rsidP="00654B21">
      <w:pPr>
        <w:pStyle w:val="Bullet"/>
      </w:pPr>
      <w:r w:rsidRPr="00181EF3">
        <w:t>laboratory and colposcopy service audits</w:t>
      </w:r>
    </w:p>
    <w:p w14:paraId="43ABE65F" w14:textId="77777777" w:rsidR="00654B21" w:rsidRPr="00181EF3" w:rsidRDefault="00654B21" w:rsidP="00654B21">
      <w:pPr>
        <w:pStyle w:val="Bullet"/>
      </w:pPr>
      <w:r w:rsidRPr="00181EF3">
        <w:t>monitoring against NCSP policies and quality standards</w:t>
      </w:r>
    </w:p>
    <w:p w14:paraId="34B1A0AE" w14:textId="77777777" w:rsidR="00654B21" w:rsidRPr="00181EF3" w:rsidRDefault="00654B21" w:rsidP="00654B21">
      <w:pPr>
        <w:pStyle w:val="Bullet"/>
      </w:pPr>
      <w:r w:rsidRPr="00181EF3">
        <w:t>monitoring outcomes such as incidence and mortality.</w:t>
      </w:r>
    </w:p>
    <w:p w14:paraId="1D6E08B5" w14:textId="77777777" w:rsidR="00654B21" w:rsidRPr="00181EF3" w:rsidRDefault="00654B21" w:rsidP="00654B21"/>
    <w:p w14:paraId="2150C4E6" w14:textId="77777777" w:rsidR="00654B21" w:rsidRPr="00181EF3" w:rsidRDefault="00654B21" w:rsidP="00654B21">
      <w:pPr>
        <w:rPr>
          <w:i/>
          <w:iCs/>
        </w:rPr>
      </w:pPr>
      <w:r w:rsidRPr="00181EF3">
        <w:t>The NSU contracts the Cancer Council of New South Wales to undertake independent monitoring of the programme every six months and to provide an Annual Report. The University of Otago are contracted to undertake Cancer Case Reviews. These reviews identify information about women diagnosed with cervical cancer in New Zealand and their screening histories and are used to inform quality improvement initiatives.</w:t>
      </w:r>
    </w:p>
    <w:p w14:paraId="329E676C" w14:textId="77777777" w:rsidR="00654B21" w:rsidRPr="00181EF3" w:rsidRDefault="00654B21" w:rsidP="00654B21"/>
    <w:p w14:paraId="01F27919" w14:textId="77777777" w:rsidR="00654B21" w:rsidRPr="00181EF3" w:rsidRDefault="00654B21" w:rsidP="00654B21">
      <w:pPr>
        <w:rPr>
          <w:i/>
          <w:iCs/>
        </w:rPr>
      </w:pPr>
      <w:r w:rsidRPr="00181EF3">
        <w:t>Each DHB is provided with monthly and quarterly cervical screening coverage data for its district by NCSP. This information is also published on the NSU website (</w:t>
      </w:r>
      <w:r w:rsidRPr="00181EF3">
        <w:rPr>
          <w:rStyle w:val="Hyperlink"/>
        </w:rPr>
        <w:t>www.nsu.govt.nz</w:t>
      </w:r>
      <w:r w:rsidRPr="00181EF3">
        <w:t>).</w:t>
      </w:r>
    </w:p>
    <w:p w14:paraId="4E1C65E9" w14:textId="77777777" w:rsidR="00654B21" w:rsidRPr="00181EF3" w:rsidRDefault="00654B21" w:rsidP="00654B21"/>
    <w:p w14:paraId="327E6D78" w14:textId="77777777" w:rsidR="00654B21" w:rsidRPr="00181EF3" w:rsidRDefault="00654B21" w:rsidP="00654B21">
      <w:r w:rsidRPr="00181EF3">
        <w:t>The NCSP provides PHOs with an electronic report on the screening status of all women enrolled in the PHO. This is passed on to practices and can be used to identify women to invite for a screening appointment, or for data quality to compare</w:t>
      </w:r>
      <w:r w:rsidRPr="00181EF3">
        <w:rPr>
          <w:i/>
        </w:rPr>
        <w:t xml:space="preserve"> </w:t>
      </w:r>
      <w:r w:rsidRPr="00181EF3">
        <w:t>information held in their Patient Management System with data on the NCSP Register.</w:t>
      </w:r>
    </w:p>
    <w:p w14:paraId="373A6C8F" w14:textId="77777777" w:rsidR="00654B21" w:rsidRPr="00181EF3" w:rsidRDefault="00654B21" w:rsidP="00654B21"/>
    <w:p w14:paraId="57638D3A" w14:textId="77777777" w:rsidR="00654B21" w:rsidRPr="00181EF3" w:rsidRDefault="00654B21" w:rsidP="00654B21">
      <w:pPr>
        <w:pStyle w:val="Heading5"/>
      </w:pPr>
      <w:r w:rsidRPr="00181EF3">
        <w:t>National Kaitiaki Group</w:t>
      </w:r>
    </w:p>
    <w:p w14:paraId="212DDDC3" w14:textId="77777777" w:rsidR="00654B21" w:rsidRPr="00181EF3" w:rsidRDefault="00654B21" w:rsidP="00654B21">
      <w:pPr>
        <w:rPr>
          <w:szCs w:val="22"/>
        </w:rPr>
      </w:pPr>
      <w:r w:rsidRPr="00181EF3">
        <w:t>Early on, concerns were raised by Māori women about the use and publishing of Māori data on cervical screening. Legislation was passed in 1995 to establish the National Kaitiaki Group (NKG)</w:t>
      </w:r>
      <w:r w:rsidRPr="00181EF3">
        <w:rPr>
          <w:sz w:val="14"/>
        </w:rPr>
        <w:t>.</w:t>
      </w:r>
      <w:r w:rsidRPr="00181EF3">
        <w:rPr>
          <w:rStyle w:val="FootnoteReference"/>
        </w:rPr>
        <w:footnoteReference w:id="37"/>
      </w:r>
      <w:r w:rsidRPr="00181EF3">
        <w:t xml:space="preserve"> The NKG is appointed by, and is accountable to the Minister of Health.</w:t>
      </w:r>
    </w:p>
    <w:p w14:paraId="77A146B2" w14:textId="77777777" w:rsidR="00654B21" w:rsidRPr="00181EF3" w:rsidRDefault="00654B21" w:rsidP="00654B21"/>
    <w:p w14:paraId="01221819" w14:textId="77777777" w:rsidR="00654B21" w:rsidRPr="00181EF3" w:rsidRDefault="00654B21" w:rsidP="000667F5">
      <w:r w:rsidRPr="00181EF3">
        <w:t xml:space="preserve">The NKG protects Māori women cervical screening data by ensuring that the data is not used or published inappropriately or in a way that reflects negatively on Māori. It </w:t>
      </w:r>
      <w:r w:rsidRPr="00181EF3">
        <w:lastRenderedPageBreak/>
        <w:t>also provides a way of assuring Māori women that their data is protected so that they continue to participate in the screening programme.</w:t>
      </w:r>
    </w:p>
    <w:p w14:paraId="14032D42" w14:textId="77777777" w:rsidR="00654B21" w:rsidRPr="00181EF3" w:rsidRDefault="00654B21" w:rsidP="00654B21"/>
    <w:p w14:paraId="58EBFCF7" w14:textId="77777777" w:rsidR="00654B21" w:rsidRPr="00181EF3" w:rsidRDefault="00654B21" w:rsidP="00654B21">
      <w:pPr>
        <w:pStyle w:val="Heading5"/>
        <w:rPr>
          <w:i/>
          <w:iCs/>
        </w:rPr>
      </w:pPr>
      <w:r w:rsidRPr="00181EF3">
        <w:t>Transitioning from cytology to HPV primary screening</w:t>
      </w:r>
    </w:p>
    <w:p w14:paraId="705479B7" w14:textId="77777777" w:rsidR="00654B21" w:rsidRPr="00181EF3" w:rsidRDefault="00654B21" w:rsidP="00654B21">
      <w:r w:rsidRPr="00181EF3">
        <w:t>The NSU is planning to transition from cytology to HPV primary screening. International clinical evidence convincingly demonstrates that using an HPV test as the first test in the screening pathway (HPV primary screening) is the most effective way to prevent cervical cancer. HPV causes 99 percent of cervical cancers and persistent HPV infection is the most important risk factor for developing cervical cancer.</w:t>
      </w:r>
    </w:p>
    <w:p w14:paraId="73CE4BE0" w14:textId="77777777" w:rsidR="00654B21" w:rsidRPr="00181EF3" w:rsidRDefault="00654B21" w:rsidP="00654B21">
      <w:pPr>
        <w:rPr>
          <w:i/>
        </w:rPr>
      </w:pPr>
    </w:p>
    <w:p w14:paraId="4C41CDE1" w14:textId="77777777" w:rsidR="00654B21" w:rsidRPr="00181EF3" w:rsidRDefault="00654B21" w:rsidP="00654B21">
      <w:pPr>
        <w:rPr>
          <w:i/>
        </w:rPr>
      </w:pPr>
      <w:r w:rsidRPr="00181EF3">
        <w:t>International Agency for Research on Cancer (IARC) and the World Health Organisation have both endorsed HPV testing as the primary method for cervical screening.</w:t>
      </w:r>
      <w:r w:rsidRPr="00181EF3">
        <w:rPr>
          <w:rStyle w:val="FootnoteReference"/>
        </w:rPr>
        <w:footnoteReference w:id="38"/>
      </w:r>
      <w:r w:rsidRPr="00181EF3">
        <w:rPr>
          <w:sz w:val="20"/>
        </w:rPr>
        <w:t xml:space="preserve"> </w:t>
      </w:r>
      <w:r w:rsidRPr="00181EF3">
        <w:rPr>
          <w:rStyle w:val="FootnoteReference"/>
        </w:rPr>
        <w:footnoteReference w:id="39"/>
      </w:r>
      <w:r w:rsidRPr="00181EF3">
        <w:t xml:space="preserve"> Several countries including Australia, the United Kingdom, Italy, Finland and the Netherlands have implemented HPV primary screening.</w:t>
      </w:r>
    </w:p>
    <w:p w14:paraId="1384142C" w14:textId="77777777" w:rsidR="00654B21" w:rsidRPr="00181EF3" w:rsidRDefault="00654B21" w:rsidP="00654B21"/>
    <w:p w14:paraId="4D0690E2" w14:textId="77777777" w:rsidR="00654B21" w:rsidRPr="00181EF3" w:rsidRDefault="00654B21" w:rsidP="00654B21">
      <w:r w:rsidRPr="00181EF3">
        <w:t>Changing from the current cytology-based programme to HPV primary screening will reduce the incidence of cervical cancer by a further 15 percent in unvaccinated women and 12 percent in vaccinated women. It will also reduce cervical cancer mortality by a further 16 percent in unvaccinated women and 12 percent in vaccinated women.</w:t>
      </w:r>
      <w:r w:rsidRPr="00181EF3">
        <w:rPr>
          <w:rStyle w:val="FootnoteReference"/>
        </w:rPr>
        <w:footnoteReference w:id="40"/>
      </w:r>
      <w:r w:rsidRPr="00181EF3">
        <w:t xml:space="preserve"> This change aligns with the HPV immunisation programme.</w:t>
      </w:r>
    </w:p>
    <w:p w14:paraId="0FF11116" w14:textId="77777777" w:rsidR="00654B21" w:rsidRPr="00181EF3" w:rsidRDefault="00654B21" w:rsidP="00654B21"/>
    <w:p w14:paraId="2E292A72" w14:textId="77777777" w:rsidR="00654B21" w:rsidRPr="00181EF3" w:rsidRDefault="00654B21" w:rsidP="00654B21">
      <w:pPr>
        <w:rPr>
          <w:i/>
        </w:rPr>
      </w:pPr>
      <w:r w:rsidRPr="00181EF3">
        <w:t>Clinically, cytology screening is not a suitable primary screening test for vaccinated women and in an HPV immunised environment, high frequency cytology testing is insufficient and will become too costly in the long term.</w:t>
      </w:r>
      <w:r w:rsidRPr="00181EF3">
        <w:rPr>
          <w:rStyle w:val="FootnoteReference"/>
        </w:rPr>
        <w:footnoteReference w:id="41"/>
      </w:r>
    </w:p>
    <w:p w14:paraId="7C4E2CC1" w14:textId="77777777" w:rsidR="00654B21" w:rsidRPr="00181EF3" w:rsidRDefault="00654B21" w:rsidP="00654B21"/>
    <w:p w14:paraId="5E17E40B" w14:textId="77777777" w:rsidR="00654B21" w:rsidRPr="00181EF3" w:rsidRDefault="00654B21" w:rsidP="00654B21">
      <w:r w:rsidRPr="00181EF3">
        <w:t>The change in test will mean the screening interval can be extended from three to five years as the HPV test detects risk earlier than cytology. This will mean fewer screening tests are needed and will save costs in the long term as well as meaning women will need less tests over their lifetime.</w:t>
      </w:r>
    </w:p>
    <w:p w14:paraId="5594649E" w14:textId="77777777" w:rsidR="00654B21" w:rsidRPr="00181EF3" w:rsidRDefault="00654B21" w:rsidP="00654B21"/>
    <w:p w14:paraId="38E4ED72" w14:textId="77777777" w:rsidR="00654B21" w:rsidRPr="00181EF3" w:rsidRDefault="00654B21" w:rsidP="00654B21">
      <w:pPr>
        <w:pStyle w:val="Heading5"/>
      </w:pPr>
      <w:r w:rsidRPr="00181EF3">
        <w:t>HPV self-sampling</w:t>
      </w:r>
    </w:p>
    <w:p w14:paraId="41760568" w14:textId="77777777" w:rsidR="00654B21" w:rsidRPr="00181EF3" w:rsidRDefault="00654B21" w:rsidP="00654B21">
      <w:r w:rsidRPr="00181EF3">
        <w:t>HPV primary screening also provides the opportunity to include HPV self-sampling as a screening option for some women. HPV self-sampling will support improved equity in access to cervical screening, particularly among Māori women.</w:t>
      </w:r>
    </w:p>
    <w:p w14:paraId="67BA3C33" w14:textId="77777777" w:rsidR="00654B21" w:rsidRPr="00181EF3" w:rsidRDefault="00654B21" w:rsidP="00654B21"/>
    <w:p w14:paraId="6EA44D10" w14:textId="77777777" w:rsidR="00654B21" w:rsidRPr="00181EF3" w:rsidRDefault="00654B21" w:rsidP="000667F5">
      <w:r w:rsidRPr="00181EF3">
        <w:t xml:space="preserve">Recent research in New Zealand supports HPV self-sampling as a more amenable test for Māori women. Issues such as the desire for bodily autonomy (whakamā, shyness and embarrassment) are leading contributors to screening barriers for never-screened </w:t>
      </w:r>
      <w:r w:rsidRPr="00181EF3">
        <w:lastRenderedPageBreak/>
        <w:t>and under-screened Māori women. HPV self-sampling addresses some of these barriers and the research supports implementation of HPV self-sampling for never-screened and under-screened Māori women.</w:t>
      </w:r>
      <w:r w:rsidRPr="00181EF3">
        <w:rPr>
          <w:rStyle w:val="FootnoteReference"/>
        </w:rPr>
        <w:footnoteReference w:id="42"/>
      </w:r>
    </w:p>
    <w:p w14:paraId="302D452A" w14:textId="77777777" w:rsidR="00654B21" w:rsidRPr="00181EF3" w:rsidRDefault="00654B21" w:rsidP="00654B21"/>
    <w:p w14:paraId="53C33AE4" w14:textId="77777777" w:rsidR="00654B21" w:rsidRPr="00181EF3" w:rsidRDefault="00654B21" w:rsidP="00654B21">
      <w:pPr>
        <w:pStyle w:val="Heading5"/>
        <w:rPr>
          <w:i/>
        </w:rPr>
      </w:pPr>
      <w:r w:rsidRPr="00181EF3">
        <w:t>Raising the starting age for screening to 25 years</w:t>
      </w:r>
    </w:p>
    <w:p w14:paraId="03B7267B" w14:textId="77777777" w:rsidR="00654B21" w:rsidRPr="00181EF3" w:rsidRDefault="00654B21" w:rsidP="00654B21">
      <w:r w:rsidRPr="00181EF3">
        <w:t>The NSU is planning to increase the starting age for screening from 20 to 25 years. IARC recommends starting screening at age 25 and a number of international programmes start at 25 or older, including Australia and England.</w:t>
      </w:r>
    </w:p>
    <w:p w14:paraId="244BF482" w14:textId="77777777" w:rsidR="00654B21" w:rsidRPr="00181EF3" w:rsidRDefault="00654B21" w:rsidP="00654B21"/>
    <w:p w14:paraId="10EFDF12" w14:textId="77777777" w:rsidR="00654B21" w:rsidRPr="00181EF3" w:rsidRDefault="00654B21" w:rsidP="00654B21">
      <w:r w:rsidRPr="00181EF3">
        <w:t>Analysis of New Zealand data demonstrates that screening women aged 20 to 24 years has had little or no impact on the number of cases of cervical cancer or deaths in this age group or up to age 30.</w:t>
      </w:r>
      <w:r w:rsidRPr="00181EF3">
        <w:rPr>
          <w:rStyle w:val="FootnoteReference"/>
        </w:rPr>
        <w:footnoteReference w:id="43"/>
      </w:r>
    </w:p>
    <w:p w14:paraId="5D4D5FB9" w14:textId="77777777" w:rsidR="00654B21" w:rsidRPr="00181EF3" w:rsidRDefault="00654B21" w:rsidP="00654B21"/>
    <w:p w14:paraId="7C5E2028" w14:textId="77777777" w:rsidR="00654B21" w:rsidRPr="00181EF3" w:rsidRDefault="00654B21" w:rsidP="00654B21">
      <w:pPr>
        <w:rPr>
          <w:i/>
          <w:iCs/>
        </w:rPr>
      </w:pPr>
      <w:r w:rsidRPr="00181EF3">
        <w:t>This is consistent with international findings in countries such as Australia, England and the Canada.</w:t>
      </w:r>
    </w:p>
    <w:p w14:paraId="4204AA93" w14:textId="77777777" w:rsidR="00654B21" w:rsidRDefault="00654B21" w:rsidP="00654B21"/>
    <w:p w14:paraId="589B1F33" w14:textId="77777777" w:rsidR="00892068" w:rsidRPr="00181EF3" w:rsidRDefault="00892068" w:rsidP="000667F5">
      <w:pPr>
        <w:pStyle w:val="Heading2"/>
        <w:pageBreakBefore/>
        <w:spacing w:before="0"/>
      </w:pPr>
      <w:bookmarkStart w:id="598" w:name="_Toc19102523"/>
      <w:r w:rsidRPr="00181EF3">
        <w:lastRenderedPageBreak/>
        <w:t xml:space="preserve">Appendix </w:t>
      </w:r>
      <w:r>
        <w:t xml:space="preserve">5: </w:t>
      </w:r>
      <w:r w:rsidRPr="00181EF3">
        <w:t>Diabetes coding changes</w:t>
      </w:r>
      <w:bookmarkEnd w:id="598"/>
    </w:p>
    <w:p w14:paraId="5208C6AF" w14:textId="77777777" w:rsidR="00892068" w:rsidRPr="00181EF3" w:rsidRDefault="00892068" w:rsidP="000667F5">
      <w:r w:rsidRPr="00181EF3">
        <w:t>This version updated by Kendra Telfer on 6 December 2016.</w:t>
      </w:r>
    </w:p>
    <w:p w14:paraId="35BB1BA4" w14:textId="77777777" w:rsidR="00892068" w:rsidRPr="00181EF3" w:rsidRDefault="00892068" w:rsidP="000667F5"/>
    <w:p w14:paraId="662023EA" w14:textId="77777777" w:rsidR="00892068" w:rsidRPr="00181EF3" w:rsidRDefault="00892068" w:rsidP="00892068">
      <w:pPr>
        <w:pStyle w:val="Heading3"/>
      </w:pPr>
      <w:bookmarkStart w:id="599" w:name="_Toc19102524"/>
      <w:r w:rsidRPr="00181EF3">
        <w:t>Coding of DM when mentioned in patient’s clinical notes</w:t>
      </w:r>
      <w:bookmarkEnd w:id="599"/>
    </w:p>
    <w:p w14:paraId="7A0EB0D4" w14:textId="77777777" w:rsidR="00892068" w:rsidRPr="00181EF3" w:rsidRDefault="00892068" w:rsidP="00892068">
      <w:r w:rsidRPr="00181EF3">
        <w:t xml:space="preserve">Looking for </w:t>
      </w:r>
      <w:r w:rsidRPr="00181EF3">
        <w:rPr>
          <w:i/>
        </w:rPr>
        <w:t xml:space="preserve">any </w:t>
      </w:r>
      <w:r w:rsidRPr="00181EF3">
        <w:t>evidence of diabetes mellitus (DM) within the patient’s notes and then coding DM as an additional diagnosis was common practice up into July 2008. DM was coded even when DM did not met the criterion for an additional diagnosis. However in July 2008 the coding rules were changed so that DM had to the meet the criterion and then changed back to the original rule in Jul 2012.</w:t>
      </w:r>
    </w:p>
    <w:p w14:paraId="20A2B9A4" w14:textId="77777777" w:rsidR="00892068" w:rsidRPr="00181EF3" w:rsidRDefault="00892068" w:rsidP="00892068"/>
    <w:p w14:paraId="1DB88F8A" w14:textId="77777777" w:rsidR="00892068" w:rsidRPr="00181EF3" w:rsidRDefault="00892068" w:rsidP="00892068">
      <w:r w:rsidRPr="00181EF3">
        <w:t>As shown in the table below these changes had notable impact on the number of discharges that contained a ‘diabetes diagnosis’.</w:t>
      </w:r>
    </w:p>
    <w:p w14:paraId="4C675522" w14:textId="77777777" w:rsidR="00892068" w:rsidRPr="00181EF3" w:rsidRDefault="00892068" w:rsidP="00892068"/>
    <w:p w14:paraId="3339D571" w14:textId="77777777" w:rsidR="00892068" w:rsidRPr="00181EF3" w:rsidRDefault="00892068" w:rsidP="00892068">
      <w:pPr>
        <w:pStyle w:val="Table"/>
      </w:pPr>
      <w:bookmarkStart w:id="600" w:name="_Toc18594799"/>
      <w:r w:rsidRPr="00181EF3">
        <w:t xml:space="preserve">Table </w:t>
      </w:r>
      <w:r>
        <w:t>A5.</w:t>
      </w:r>
      <w:r w:rsidRPr="00181EF3">
        <w:t>1: Number of discharges that contain any diagnosis of E10–E14, 1 July 2004 to 30 June 2014</w:t>
      </w:r>
      <w:bookmarkEnd w:id="600"/>
    </w:p>
    <w:tbl>
      <w:tblPr>
        <w:tblW w:w="0" w:type="auto"/>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134"/>
        <w:gridCol w:w="2828"/>
        <w:gridCol w:w="1425"/>
      </w:tblGrid>
      <w:tr w:rsidR="00892068" w:rsidRPr="00181EF3" w14:paraId="13FBADC6" w14:textId="77777777" w:rsidTr="00103328">
        <w:trPr>
          <w:cantSplit/>
        </w:trPr>
        <w:tc>
          <w:tcPr>
            <w:tcW w:w="1134" w:type="dxa"/>
            <w:tcBorders>
              <w:top w:val="nil"/>
              <w:bottom w:val="nil"/>
            </w:tcBorders>
            <w:shd w:val="clear" w:color="auto" w:fill="D9D9D9" w:themeFill="background1" w:themeFillShade="D9"/>
            <w:hideMark/>
          </w:tcPr>
          <w:p w14:paraId="4CBE0C98" w14:textId="77777777" w:rsidR="00892068" w:rsidRPr="00181EF3" w:rsidRDefault="00892068" w:rsidP="00103328">
            <w:pPr>
              <w:pStyle w:val="TableText"/>
              <w:jc w:val="center"/>
              <w:rPr>
                <w:b/>
              </w:rPr>
            </w:pPr>
            <w:r w:rsidRPr="00181EF3">
              <w:rPr>
                <w:b/>
              </w:rPr>
              <w:t>Financial year</w:t>
            </w:r>
          </w:p>
        </w:tc>
        <w:tc>
          <w:tcPr>
            <w:tcW w:w="2828" w:type="dxa"/>
            <w:tcBorders>
              <w:top w:val="nil"/>
              <w:bottom w:val="nil"/>
            </w:tcBorders>
            <w:shd w:val="clear" w:color="auto" w:fill="D9D9D9" w:themeFill="background1" w:themeFillShade="D9"/>
            <w:vAlign w:val="bottom"/>
            <w:hideMark/>
          </w:tcPr>
          <w:p w14:paraId="31F5F411" w14:textId="77777777" w:rsidR="00892068" w:rsidRPr="00181EF3" w:rsidRDefault="00892068" w:rsidP="00103328">
            <w:pPr>
              <w:pStyle w:val="TableText"/>
              <w:jc w:val="center"/>
              <w:rPr>
                <w:b/>
              </w:rPr>
            </w:pPr>
            <w:r w:rsidRPr="00181EF3">
              <w:rPr>
                <w:b/>
              </w:rPr>
              <w:t>Diabetes coded as additional diagnoses (Y/N)</w:t>
            </w:r>
          </w:p>
        </w:tc>
        <w:tc>
          <w:tcPr>
            <w:tcW w:w="1425" w:type="dxa"/>
            <w:tcBorders>
              <w:top w:val="nil"/>
              <w:bottom w:val="nil"/>
            </w:tcBorders>
            <w:shd w:val="clear" w:color="auto" w:fill="D9D9D9" w:themeFill="background1" w:themeFillShade="D9"/>
            <w:hideMark/>
          </w:tcPr>
          <w:p w14:paraId="43A109A4" w14:textId="77777777" w:rsidR="00892068" w:rsidRPr="00181EF3" w:rsidRDefault="00892068" w:rsidP="00103328">
            <w:pPr>
              <w:pStyle w:val="TableText"/>
              <w:jc w:val="center"/>
              <w:rPr>
                <w:b/>
              </w:rPr>
            </w:pPr>
            <w:r w:rsidRPr="00181EF3">
              <w:rPr>
                <w:b/>
              </w:rPr>
              <w:t>Number of discharges</w:t>
            </w:r>
          </w:p>
        </w:tc>
      </w:tr>
      <w:tr w:rsidR="00892068" w:rsidRPr="00181EF3" w14:paraId="2585DC2D" w14:textId="77777777" w:rsidTr="00103328">
        <w:trPr>
          <w:cantSplit/>
        </w:trPr>
        <w:tc>
          <w:tcPr>
            <w:tcW w:w="1134" w:type="dxa"/>
            <w:tcBorders>
              <w:top w:val="nil"/>
            </w:tcBorders>
            <w:shd w:val="clear" w:color="000000" w:fill="F2F2F2" w:themeFill="background1" w:themeFillShade="F2"/>
            <w:noWrap/>
            <w:vAlign w:val="bottom"/>
            <w:hideMark/>
          </w:tcPr>
          <w:p w14:paraId="39464C90" w14:textId="77777777" w:rsidR="00892068" w:rsidRPr="00181EF3" w:rsidRDefault="00892068" w:rsidP="00103328">
            <w:pPr>
              <w:pStyle w:val="TableText"/>
              <w:jc w:val="center"/>
            </w:pPr>
            <w:r w:rsidRPr="00181EF3">
              <w:t>2004/05</w:t>
            </w:r>
          </w:p>
        </w:tc>
        <w:tc>
          <w:tcPr>
            <w:tcW w:w="2828" w:type="dxa"/>
            <w:tcBorders>
              <w:top w:val="nil"/>
            </w:tcBorders>
            <w:shd w:val="clear" w:color="000000" w:fill="F2F2F2" w:themeFill="background1" w:themeFillShade="F2"/>
            <w:noWrap/>
            <w:vAlign w:val="bottom"/>
            <w:hideMark/>
          </w:tcPr>
          <w:p w14:paraId="58F3FCAA" w14:textId="77777777" w:rsidR="00892068" w:rsidRPr="00181EF3" w:rsidRDefault="00892068" w:rsidP="00103328">
            <w:pPr>
              <w:pStyle w:val="TableText"/>
              <w:jc w:val="center"/>
            </w:pPr>
            <w:r w:rsidRPr="00181EF3">
              <w:t>Y</w:t>
            </w:r>
          </w:p>
        </w:tc>
        <w:tc>
          <w:tcPr>
            <w:tcW w:w="1425" w:type="dxa"/>
            <w:tcBorders>
              <w:top w:val="nil"/>
            </w:tcBorders>
            <w:shd w:val="clear" w:color="000000" w:fill="F2F2F2" w:themeFill="background1" w:themeFillShade="F2"/>
            <w:noWrap/>
            <w:vAlign w:val="bottom"/>
            <w:hideMark/>
          </w:tcPr>
          <w:p w14:paraId="2330E31F" w14:textId="77777777" w:rsidR="00892068" w:rsidRPr="00181EF3" w:rsidRDefault="00892068" w:rsidP="00103328">
            <w:pPr>
              <w:pStyle w:val="TableText"/>
              <w:tabs>
                <w:tab w:val="decimal" w:pos="943"/>
              </w:tabs>
            </w:pPr>
            <w:r w:rsidRPr="00181EF3">
              <w:t>61,724</w:t>
            </w:r>
          </w:p>
        </w:tc>
      </w:tr>
      <w:tr w:rsidR="00892068" w:rsidRPr="00181EF3" w14:paraId="73939A40" w14:textId="77777777" w:rsidTr="00103328">
        <w:trPr>
          <w:cantSplit/>
        </w:trPr>
        <w:tc>
          <w:tcPr>
            <w:tcW w:w="1134" w:type="dxa"/>
            <w:tcBorders>
              <w:top w:val="single" w:sz="4" w:space="0" w:color="A6A6A6" w:themeColor="background1" w:themeShade="A6"/>
            </w:tcBorders>
            <w:shd w:val="clear" w:color="000000" w:fill="F2F2F2" w:themeFill="background1" w:themeFillShade="F2"/>
            <w:noWrap/>
            <w:vAlign w:val="bottom"/>
            <w:hideMark/>
          </w:tcPr>
          <w:p w14:paraId="1B5C81DE" w14:textId="77777777" w:rsidR="00892068" w:rsidRPr="00181EF3" w:rsidRDefault="00892068" w:rsidP="00103328">
            <w:pPr>
              <w:pStyle w:val="TableText"/>
              <w:jc w:val="center"/>
            </w:pPr>
            <w:r w:rsidRPr="00181EF3">
              <w:t>2005/06</w:t>
            </w:r>
          </w:p>
        </w:tc>
        <w:tc>
          <w:tcPr>
            <w:tcW w:w="2828" w:type="dxa"/>
            <w:tcBorders>
              <w:top w:val="single" w:sz="4" w:space="0" w:color="A6A6A6" w:themeColor="background1" w:themeShade="A6"/>
            </w:tcBorders>
            <w:shd w:val="clear" w:color="000000" w:fill="F2F2F2" w:themeFill="background1" w:themeFillShade="F2"/>
            <w:noWrap/>
            <w:vAlign w:val="bottom"/>
            <w:hideMark/>
          </w:tcPr>
          <w:p w14:paraId="46EEDB1E" w14:textId="77777777" w:rsidR="00892068" w:rsidRPr="00181EF3" w:rsidRDefault="00892068" w:rsidP="00103328">
            <w:pPr>
              <w:pStyle w:val="TableText"/>
              <w:jc w:val="center"/>
            </w:pPr>
            <w:r w:rsidRPr="00181EF3">
              <w:t>Y</w:t>
            </w:r>
          </w:p>
        </w:tc>
        <w:tc>
          <w:tcPr>
            <w:tcW w:w="1425" w:type="dxa"/>
            <w:tcBorders>
              <w:top w:val="single" w:sz="4" w:space="0" w:color="A6A6A6" w:themeColor="background1" w:themeShade="A6"/>
            </w:tcBorders>
            <w:shd w:val="clear" w:color="000000" w:fill="F2F2F2" w:themeFill="background1" w:themeFillShade="F2"/>
            <w:noWrap/>
            <w:vAlign w:val="bottom"/>
            <w:hideMark/>
          </w:tcPr>
          <w:p w14:paraId="5458F3F3" w14:textId="77777777" w:rsidR="00892068" w:rsidRPr="00181EF3" w:rsidRDefault="00892068" w:rsidP="00103328">
            <w:pPr>
              <w:pStyle w:val="TableText"/>
              <w:tabs>
                <w:tab w:val="decimal" w:pos="943"/>
              </w:tabs>
            </w:pPr>
            <w:r w:rsidRPr="00181EF3">
              <w:t>64,636</w:t>
            </w:r>
          </w:p>
        </w:tc>
      </w:tr>
      <w:tr w:rsidR="00892068" w:rsidRPr="00181EF3" w14:paraId="566BF031" w14:textId="77777777" w:rsidTr="00103328">
        <w:trPr>
          <w:cantSplit/>
        </w:trPr>
        <w:tc>
          <w:tcPr>
            <w:tcW w:w="1134" w:type="dxa"/>
            <w:tcBorders>
              <w:top w:val="single" w:sz="4" w:space="0" w:color="A6A6A6" w:themeColor="background1" w:themeShade="A6"/>
            </w:tcBorders>
            <w:shd w:val="clear" w:color="000000" w:fill="F2F2F2" w:themeFill="background1" w:themeFillShade="F2"/>
            <w:noWrap/>
            <w:vAlign w:val="bottom"/>
            <w:hideMark/>
          </w:tcPr>
          <w:p w14:paraId="00917573" w14:textId="77777777" w:rsidR="00892068" w:rsidRPr="00181EF3" w:rsidRDefault="00892068" w:rsidP="00103328">
            <w:pPr>
              <w:pStyle w:val="TableText"/>
              <w:jc w:val="center"/>
            </w:pPr>
            <w:r w:rsidRPr="00181EF3">
              <w:t>2006/07</w:t>
            </w:r>
          </w:p>
        </w:tc>
        <w:tc>
          <w:tcPr>
            <w:tcW w:w="2828" w:type="dxa"/>
            <w:tcBorders>
              <w:top w:val="single" w:sz="4" w:space="0" w:color="A6A6A6" w:themeColor="background1" w:themeShade="A6"/>
            </w:tcBorders>
            <w:shd w:val="clear" w:color="000000" w:fill="F2F2F2" w:themeFill="background1" w:themeFillShade="F2"/>
            <w:noWrap/>
            <w:vAlign w:val="bottom"/>
            <w:hideMark/>
          </w:tcPr>
          <w:p w14:paraId="67537B57" w14:textId="77777777" w:rsidR="00892068" w:rsidRPr="00181EF3" w:rsidRDefault="00892068" w:rsidP="00103328">
            <w:pPr>
              <w:pStyle w:val="TableText"/>
              <w:jc w:val="center"/>
            </w:pPr>
            <w:r w:rsidRPr="00181EF3">
              <w:t>Y</w:t>
            </w:r>
          </w:p>
        </w:tc>
        <w:tc>
          <w:tcPr>
            <w:tcW w:w="1425" w:type="dxa"/>
            <w:tcBorders>
              <w:top w:val="single" w:sz="4" w:space="0" w:color="A6A6A6" w:themeColor="background1" w:themeShade="A6"/>
            </w:tcBorders>
            <w:shd w:val="clear" w:color="000000" w:fill="F2F2F2" w:themeFill="background1" w:themeFillShade="F2"/>
            <w:noWrap/>
            <w:vAlign w:val="bottom"/>
            <w:hideMark/>
          </w:tcPr>
          <w:p w14:paraId="08AFAC26" w14:textId="77777777" w:rsidR="00892068" w:rsidRPr="00181EF3" w:rsidRDefault="00892068" w:rsidP="00103328">
            <w:pPr>
              <w:pStyle w:val="TableText"/>
              <w:tabs>
                <w:tab w:val="decimal" w:pos="943"/>
              </w:tabs>
            </w:pPr>
            <w:r w:rsidRPr="00181EF3">
              <w:t>69,156</w:t>
            </w:r>
          </w:p>
        </w:tc>
      </w:tr>
      <w:tr w:rsidR="00892068" w:rsidRPr="00181EF3" w14:paraId="4A129CE9" w14:textId="77777777" w:rsidTr="00103328">
        <w:trPr>
          <w:cantSplit/>
        </w:trPr>
        <w:tc>
          <w:tcPr>
            <w:tcW w:w="1134" w:type="dxa"/>
            <w:tcBorders>
              <w:top w:val="single" w:sz="4" w:space="0" w:color="A6A6A6" w:themeColor="background1" w:themeShade="A6"/>
            </w:tcBorders>
            <w:shd w:val="clear" w:color="000000" w:fill="F2F2F2" w:themeFill="background1" w:themeFillShade="F2"/>
            <w:noWrap/>
            <w:vAlign w:val="bottom"/>
            <w:hideMark/>
          </w:tcPr>
          <w:p w14:paraId="05EA5F19" w14:textId="77777777" w:rsidR="00892068" w:rsidRPr="00181EF3" w:rsidRDefault="00892068" w:rsidP="00103328">
            <w:pPr>
              <w:pStyle w:val="TableText"/>
              <w:jc w:val="center"/>
            </w:pPr>
            <w:r w:rsidRPr="00181EF3">
              <w:t>2007/08</w:t>
            </w:r>
          </w:p>
        </w:tc>
        <w:tc>
          <w:tcPr>
            <w:tcW w:w="2828" w:type="dxa"/>
            <w:tcBorders>
              <w:top w:val="single" w:sz="4" w:space="0" w:color="A6A6A6" w:themeColor="background1" w:themeShade="A6"/>
            </w:tcBorders>
            <w:shd w:val="clear" w:color="000000" w:fill="F2F2F2" w:themeFill="background1" w:themeFillShade="F2"/>
            <w:noWrap/>
            <w:vAlign w:val="bottom"/>
            <w:hideMark/>
          </w:tcPr>
          <w:p w14:paraId="0B4EE6A7" w14:textId="77777777" w:rsidR="00892068" w:rsidRPr="00181EF3" w:rsidRDefault="00892068" w:rsidP="00103328">
            <w:pPr>
              <w:pStyle w:val="TableText"/>
              <w:jc w:val="center"/>
            </w:pPr>
            <w:r w:rsidRPr="00181EF3">
              <w:t>Y</w:t>
            </w:r>
          </w:p>
        </w:tc>
        <w:tc>
          <w:tcPr>
            <w:tcW w:w="1425" w:type="dxa"/>
            <w:tcBorders>
              <w:top w:val="single" w:sz="4" w:space="0" w:color="A6A6A6" w:themeColor="background1" w:themeShade="A6"/>
            </w:tcBorders>
            <w:shd w:val="clear" w:color="000000" w:fill="F2F2F2" w:themeFill="background1" w:themeFillShade="F2"/>
            <w:noWrap/>
            <w:vAlign w:val="bottom"/>
            <w:hideMark/>
          </w:tcPr>
          <w:p w14:paraId="6CF33A5B" w14:textId="77777777" w:rsidR="00892068" w:rsidRPr="00181EF3" w:rsidRDefault="00892068" w:rsidP="00103328">
            <w:pPr>
              <w:pStyle w:val="TableText"/>
              <w:tabs>
                <w:tab w:val="decimal" w:pos="943"/>
              </w:tabs>
            </w:pPr>
            <w:r w:rsidRPr="00181EF3">
              <w:t>64,953</w:t>
            </w:r>
          </w:p>
        </w:tc>
      </w:tr>
      <w:tr w:rsidR="00892068" w:rsidRPr="00181EF3" w14:paraId="4ECF74E1" w14:textId="77777777" w:rsidTr="00103328">
        <w:trPr>
          <w:cantSplit/>
        </w:trPr>
        <w:tc>
          <w:tcPr>
            <w:tcW w:w="1134" w:type="dxa"/>
            <w:shd w:val="clear" w:color="auto" w:fill="auto"/>
            <w:noWrap/>
            <w:vAlign w:val="bottom"/>
            <w:hideMark/>
          </w:tcPr>
          <w:p w14:paraId="471A6731" w14:textId="77777777" w:rsidR="00892068" w:rsidRPr="00181EF3" w:rsidRDefault="00892068" w:rsidP="00103328">
            <w:pPr>
              <w:pStyle w:val="TableText"/>
              <w:jc w:val="center"/>
            </w:pPr>
            <w:r w:rsidRPr="00181EF3">
              <w:t>2008/09</w:t>
            </w:r>
          </w:p>
        </w:tc>
        <w:tc>
          <w:tcPr>
            <w:tcW w:w="2828" w:type="dxa"/>
            <w:shd w:val="clear" w:color="auto" w:fill="auto"/>
            <w:noWrap/>
            <w:vAlign w:val="bottom"/>
            <w:hideMark/>
          </w:tcPr>
          <w:p w14:paraId="5AF5A6C1" w14:textId="77777777" w:rsidR="00892068" w:rsidRPr="00181EF3" w:rsidRDefault="00892068" w:rsidP="00103328">
            <w:pPr>
              <w:pStyle w:val="TableText"/>
              <w:jc w:val="center"/>
            </w:pPr>
            <w:r w:rsidRPr="00181EF3">
              <w:t>N</w:t>
            </w:r>
          </w:p>
        </w:tc>
        <w:tc>
          <w:tcPr>
            <w:tcW w:w="1425" w:type="dxa"/>
            <w:shd w:val="clear" w:color="auto" w:fill="auto"/>
            <w:noWrap/>
            <w:vAlign w:val="bottom"/>
            <w:hideMark/>
          </w:tcPr>
          <w:p w14:paraId="1D0B1FCB" w14:textId="77777777" w:rsidR="00892068" w:rsidRPr="00181EF3" w:rsidRDefault="00892068" w:rsidP="00103328">
            <w:pPr>
              <w:pStyle w:val="TableText"/>
              <w:tabs>
                <w:tab w:val="decimal" w:pos="943"/>
              </w:tabs>
            </w:pPr>
            <w:r w:rsidRPr="00181EF3">
              <w:t>41,605</w:t>
            </w:r>
          </w:p>
        </w:tc>
      </w:tr>
      <w:tr w:rsidR="00892068" w:rsidRPr="00181EF3" w14:paraId="1639E931" w14:textId="77777777" w:rsidTr="00103328">
        <w:trPr>
          <w:cantSplit/>
        </w:trPr>
        <w:tc>
          <w:tcPr>
            <w:tcW w:w="1134" w:type="dxa"/>
            <w:shd w:val="clear" w:color="auto" w:fill="auto"/>
            <w:noWrap/>
            <w:vAlign w:val="bottom"/>
            <w:hideMark/>
          </w:tcPr>
          <w:p w14:paraId="07C3B62E" w14:textId="77777777" w:rsidR="00892068" w:rsidRPr="00181EF3" w:rsidRDefault="00892068" w:rsidP="00103328">
            <w:pPr>
              <w:pStyle w:val="TableText"/>
              <w:jc w:val="center"/>
            </w:pPr>
            <w:r w:rsidRPr="00181EF3">
              <w:t>2009/10</w:t>
            </w:r>
          </w:p>
        </w:tc>
        <w:tc>
          <w:tcPr>
            <w:tcW w:w="2828" w:type="dxa"/>
            <w:shd w:val="clear" w:color="auto" w:fill="auto"/>
            <w:noWrap/>
            <w:vAlign w:val="bottom"/>
            <w:hideMark/>
          </w:tcPr>
          <w:p w14:paraId="7A30BF66" w14:textId="77777777" w:rsidR="00892068" w:rsidRPr="00181EF3" w:rsidRDefault="00892068" w:rsidP="00103328">
            <w:pPr>
              <w:pStyle w:val="TableText"/>
              <w:jc w:val="center"/>
            </w:pPr>
            <w:r w:rsidRPr="00181EF3">
              <w:t>N</w:t>
            </w:r>
          </w:p>
        </w:tc>
        <w:tc>
          <w:tcPr>
            <w:tcW w:w="1425" w:type="dxa"/>
            <w:shd w:val="clear" w:color="auto" w:fill="auto"/>
            <w:noWrap/>
            <w:vAlign w:val="bottom"/>
            <w:hideMark/>
          </w:tcPr>
          <w:p w14:paraId="3B2BB134" w14:textId="77777777" w:rsidR="00892068" w:rsidRPr="00181EF3" w:rsidRDefault="00892068" w:rsidP="00103328">
            <w:pPr>
              <w:pStyle w:val="TableText"/>
              <w:tabs>
                <w:tab w:val="decimal" w:pos="943"/>
              </w:tabs>
            </w:pPr>
            <w:r w:rsidRPr="00181EF3">
              <w:t>41,848</w:t>
            </w:r>
          </w:p>
        </w:tc>
      </w:tr>
      <w:tr w:rsidR="00892068" w:rsidRPr="00181EF3" w14:paraId="3F24FD73" w14:textId="77777777" w:rsidTr="00103328">
        <w:trPr>
          <w:cantSplit/>
        </w:trPr>
        <w:tc>
          <w:tcPr>
            <w:tcW w:w="1134" w:type="dxa"/>
            <w:shd w:val="clear" w:color="auto" w:fill="auto"/>
            <w:noWrap/>
            <w:vAlign w:val="bottom"/>
            <w:hideMark/>
          </w:tcPr>
          <w:p w14:paraId="46B3B359" w14:textId="77777777" w:rsidR="00892068" w:rsidRPr="00181EF3" w:rsidRDefault="00892068" w:rsidP="00103328">
            <w:pPr>
              <w:pStyle w:val="TableText"/>
              <w:jc w:val="center"/>
            </w:pPr>
            <w:r w:rsidRPr="00181EF3">
              <w:t>2010/11</w:t>
            </w:r>
          </w:p>
        </w:tc>
        <w:tc>
          <w:tcPr>
            <w:tcW w:w="2828" w:type="dxa"/>
            <w:shd w:val="clear" w:color="auto" w:fill="auto"/>
            <w:noWrap/>
            <w:vAlign w:val="bottom"/>
            <w:hideMark/>
          </w:tcPr>
          <w:p w14:paraId="76F44029" w14:textId="77777777" w:rsidR="00892068" w:rsidRPr="00181EF3" w:rsidRDefault="00892068" w:rsidP="00103328">
            <w:pPr>
              <w:pStyle w:val="TableText"/>
              <w:jc w:val="center"/>
            </w:pPr>
            <w:r w:rsidRPr="00181EF3">
              <w:t>N</w:t>
            </w:r>
          </w:p>
        </w:tc>
        <w:tc>
          <w:tcPr>
            <w:tcW w:w="1425" w:type="dxa"/>
            <w:shd w:val="clear" w:color="auto" w:fill="auto"/>
            <w:noWrap/>
            <w:vAlign w:val="bottom"/>
            <w:hideMark/>
          </w:tcPr>
          <w:p w14:paraId="134E5524" w14:textId="77777777" w:rsidR="00892068" w:rsidRPr="00181EF3" w:rsidRDefault="00892068" w:rsidP="00103328">
            <w:pPr>
              <w:pStyle w:val="TableText"/>
              <w:tabs>
                <w:tab w:val="decimal" w:pos="943"/>
              </w:tabs>
            </w:pPr>
            <w:r w:rsidRPr="00181EF3">
              <w:t>42,733</w:t>
            </w:r>
          </w:p>
        </w:tc>
      </w:tr>
      <w:tr w:rsidR="00892068" w:rsidRPr="00181EF3" w14:paraId="2F57ECD1" w14:textId="77777777" w:rsidTr="00103328">
        <w:trPr>
          <w:cantSplit/>
        </w:trPr>
        <w:tc>
          <w:tcPr>
            <w:tcW w:w="1134" w:type="dxa"/>
            <w:tcBorders>
              <w:bottom w:val="nil"/>
            </w:tcBorders>
            <w:shd w:val="clear" w:color="auto" w:fill="auto"/>
            <w:noWrap/>
            <w:vAlign w:val="bottom"/>
            <w:hideMark/>
          </w:tcPr>
          <w:p w14:paraId="091C0789" w14:textId="77777777" w:rsidR="00892068" w:rsidRPr="00181EF3" w:rsidRDefault="00892068" w:rsidP="00103328">
            <w:pPr>
              <w:pStyle w:val="TableText"/>
              <w:jc w:val="center"/>
            </w:pPr>
            <w:r w:rsidRPr="00181EF3">
              <w:t>2011/12</w:t>
            </w:r>
          </w:p>
        </w:tc>
        <w:tc>
          <w:tcPr>
            <w:tcW w:w="2828" w:type="dxa"/>
            <w:tcBorders>
              <w:bottom w:val="nil"/>
            </w:tcBorders>
            <w:shd w:val="clear" w:color="auto" w:fill="auto"/>
            <w:noWrap/>
            <w:vAlign w:val="bottom"/>
            <w:hideMark/>
          </w:tcPr>
          <w:p w14:paraId="1359D5AF" w14:textId="77777777" w:rsidR="00892068" w:rsidRPr="00181EF3" w:rsidRDefault="00892068" w:rsidP="00103328">
            <w:pPr>
              <w:pStyle w:val="TableText"/>
              <w:jc w:val="center"/>
            </w:pPr>
            <w:r w:rsidRPr="00181EF3">
              <w:t>N</w:t>
            </w:r>
          </w:p>
        </w:tc>
        <w:tc>
          <w:tcPr>
            <w:tcW w:w="1425" w:type="dxa"/>
            <w:tcBorders>
              <w:bottom w:val="nil"/>
            </w:tcBorders>
            <w:shd w:val="clear" w:color="auto" w:fill="auto"/>
            <w:noWrap/>
            <w:vAlign w:val="bottom"/>
            <w:hideMark/>
          </w:tcPr>
          <w:p w14:paraId="786755EA" w14:textId="77777777" w:rsidR="00892068" w:rsidRPr="00181EF3" w:rsidRDefault="00892068" w:rsidP="00103328">
            <w:pPr>
              <w:pStyle w:val="TableText"/>
              <w:tabs>
                <w:tab w:val="decimal" w:pos="943"/>
              </w:tabs>
            </w:pPr>
            <w:r w:rsidRPr="00181EF3">
              <w:t>47,631</w:t>
            </w:r>
          </w:p>
        </w:tc>
      </w:tr>
      <w:tr w:rsidR="00892068" w:rsidRPr="00181EF3" w14:paraId="4164846B" w14:textId="77777777" w:rsidTr="00103328">
        <w:trPr>
          <w:cantSplit/>
        </w:trPr>
        <w:tc>
          <w:tcPr>
            <w:tcW w:w="1134" w:type="dxa"/>
            <w:tcBorders>
              <w:top w:val="nil"/>
            </w:tcBorders>
            <w:shd w:val="clear" w:color="000000" w:fill="F2F2F2" w:themeFill="background1" w:themeFillShade="F2"/>
            <w:noWrap/>
            <w:vAlign w:val="bottom"/>
            <w:hideMark/>
          </w:tcPr>
          <w:p w14:paraId="5B24DCAD" w14:textId="77777777" w:rsidR="00892068" w:rsidRPr="00181EF3" w:rsidRDefault="00892068" w:rsidP="00103328">
            <w:pPr>
              <w:pStyle w:val="TableText"/>
              <w:jc w:val="center"/>
            </w:pPr>
            <w:r w:rsidRPr="00181EF3">
              <w:t>2012/13</w:t>
            </w:r>
          </w:p>
        </w:tc>
        <w:tc>
          <w:tcPr>
            <w:tcW w:w="2828" w:type="dxa"/>
            <w:tcBorders>
              <w:top w:val="nil"/>
            </w:tcBorders>
            <w:shd w:val="clear" w:color="000000" w:fill="F2F2F2" w:themeFill="background1" w:themeFillShade="F2"/>
            <w:noWrap/>
            <w:vAlign w:val="bottom"/>
            <w:hideMark/>
          </w:tcPr>
          <w:p w14:paraId="3032AF04" w14:textId="77777777" w:rsidR="00892068" w:rsidRPr="00181EF3" w:rsidRDefault="00892068" w:rsidP="00103328">
            <w:pPr>
              <w:pStyle w:val="TableText"/>
              <w:jc w:val="center"/>
            </w:pPr>
            <w:r w:rsidRPr="00181EF3">
              <w:t>Y</w:t>
            </w:r>
          </w:p>
        </w:tc>
        <w:tc>
          <w:tcPr>
            <w:tcW w:w="1425" w:type="dxa"/>
            <w:tcBorders>
              <w:top w:val="nil"/>
            </w:tcBorders>
            <w:shd w:val="clear" w:color="000000" w:fill="F2F2F2" w:themeFill="background1" w:themeFillShade="F2"/>
            <w:noWrap/>
            <w:vAlign w:val="bottom"/>
            <w:hideMark/>
          </w:tcPr>
          <w:p w14:paraId="237101F3" w14:textId="77777777" w:rsidR="00892068" w:rsidRPr="00181EF3" w:rsidRDefault="00892068" w:rsidP="00103328">
            <w:pPr>
              <w:pStyle w:val="TableText"/>
              <w:tabs>
                <w:tab w:val="decimal" w:pos="943"/>
              </w:tabs>
            </w:pPr>
            <w:r w:rsidRPr="00181EF3">
              <w:t>100,364</w:t>
            </w:r>
          </w:p>
        </w:tc>
      </w:tr>
      <w:tr w:rsidR="00892068" w:rsidRPr="00181EF3" w14:paraId="186CB3DE" w14:textId="77777777" w:rsidTr="00103328">
        <w:trPr>
          <w:cantSplit/>
        </w:trPr>
        <w:tc>
          <w:tcPr>
            <w:tcW w:w="1134" w:type="dxa"/>
            <w:tcBorders>
              <w:top w:val="single" w:sz="4" w:space="0" w:color="A6A6A6" w:themeColor="background1" w:themeShade="A6"/>
            </w:tcBorders>
            <w:shd w:val="clear" w:color="000000" w:fill="F2F2F2" w:themeFill="background1" w:themeFillShade="F2"/>
            <w:noWrap/>
            <w:vAlign w:val="bottom"/>
            <w:hideMark/>
          </w:tcPr>
          <w:p w14:paraId="4838DF1A" w14:textId="77777777" w:rsidR="00892068" w:rsidRPr="00181EF3" w:rsidRDefault="00892068" w:rsidP="00103328">
            <w:pPr>
              <w:pStyle w:val="TableText"/>
              <w:jc w:val="center"/>
            </w:pPr>
            <w:r w:rsidRPr="00181EF3">
              <w:t>2013/14</w:t>
            </w:r>
          </w:p>
        </w:tc>
        <w:tc>
          <w:tcPr>
            <w:tcW w:w="2828" w:type="dxa"/>
            <w:tcBorders>
              <w:top w:val="single" w:sz="4" w:space="0" w:color="A6A6A6" w:themeColor="background1" w:themeShade="A6"/>
            </w:tcBorders>
            <w:shd w:val="clear" w:color="000000" w:fill="F2F2F2" w:themeFill="background1" w:themeFillShade="F2"/>
            <w:noWrap/>
            <w:vAlign w:val="bottom"/>
            <w:hideMark/>
          </w:tcPr>
          <w:p w14:paraId="48D3C74E" w14:textId="77777777" w:rsidR="00892068" w:rsidRPr="00181EF3" w:rsidRDefault="00892068" w:rsidP="00103328">
            <w:pPr>
              <w:pStyle w:val="TableText"/>
              <w:jc w:val="center"/>
            </w:pPr>
            <w:r w:rsidRPr="00181EF3">
              <w:t>Y</w:t>
            </w:r>
          </w:p>
        </w:tc>
        <w:tc>
          <w:tcPr>
            <w:tcW w:w="1425" w:type="dxa"/>
            <w:tcBorders>
              <w:top w:val="single" w:sz="4" w:space="0" w:color="A6A6A6" w:themeColor="background1" w:themeShade="A6"/>
            </w:tcBorders>
            <w:shd w:val="clear" w:color="000000" w:fill="F2F2F2" w:themeFill="background1" w:themeFillShade="F2"/>
            <w:noWrap/>
            <w:vAlign w:val="bottom"/>
            <w:hideMark/>
          </w:tcPr>
          <w:p w14:paraId="7F91D386" w14:textId="77777777" w:rsidR="00892068" w:rsidRPr="00181EF3" w:rsidRDefault="00892068" w:rsidP="00103328">
            <w:pPr>
              <w:pStyle w:val="TableText"/>
              <w:tabs>
                <w:tab w:val="decimal" w:pos="943"/>
              </w:tabs>
            </w:pPr>
            <w:r w:rsidRPr="00181EF3">
              <w:t>106,618</w:t>
            </w:r>
          </w:p>
        </w:tc>
      </w:tr>
    </w:tbl>
    <w:p w14:paraId="4A19A905" w14:textId="5B3674AB" w:rsidR="00892068" w:rsidRPr="00181EF3" w:rsidRDefault="00892068" w:rsidP="001C62E1">
      <w:pPr>
        <w:pStyle w:val="Note"/>
        <w:ind w:left="0" w:firstLine="0"/>
      </w:pPr>
      <w:r w:rsidRPr="00181EF3">
        <w:t>Note: Auckland DHB did not implement the coding change and continued to code diabetes throughout the whole period.</w:t>
      </w:r>
    </w:p>
    <w:p w14:paraId="62DEAF2A" w14:textId="77777777" w:rsidR="001C62E1" w:rsidRPr="00181EF3" w:rsidRDefault="001C62E1" w:rsidP="001C62E1">
      <w:pPr>
        <w:pStyle w:val="Source"/>
      </w:pPr>
      <w:r w:rsidRPr="00181EF3">
        <w:t>Source: NMDS</w:t>
      </w:r>
    </w:p>
    <w:p w14:paraId="5575F151" w14:textId="77777777" w:rsidR="00892068" w:rsidRPr="00181EF3" w:rsidRDefault="00892068" w:rsidP="00892068"/>
    <w:p w14:paraId="28B79BBA" w14:textId="70030284" w:rsidR="00892068" w:rsidRPr="00181EF3" w:rsidRDefault="00892068" w:rsidP="00892068">
      <w:pPr>
        <w:rPr>
          <w:rStyle w:val="Hyperlink"/>
        </w:rPr>
      </w:pPr>
      <w:r w:rsidRPr="00181EF3">
        <w:t>For more information</w:t>
      </w:r>
      <w:r w:rsidR="00254D26">
        <w:t>,</w:t>
      </w:r>
      <w:r w:rsidRPr="00181EF3">
        <w:t xml:space="preserve"> please see</w:t>
      </w:r>
      <w:r w:rsidR="00254D26">
        <w:t>:</w:t>
      </w:r>
      <w:r w:rsidRPr="00181EF3">
        <w:t xml:space="preserve"> </w:t>
      </w:r>
      <w:hyperlink r:id="rId238" w:history="1">
        <w:r w:rsidR="008F0248" w:rsidRPr="008F0248">
          <w:rPr>
            <w:rStyle w:val="Hyperlink"/>
          </w:rPr>
          <w:t>www.health.govt.nz/system/files/documents/pages/cn-2012-nmds-diabetes-v1–0.pdf</w:t>
        </w:r>
      </w:hyperlink>
    </w:p>
    <w:p w14:paraId="26DDE63E" w14:textId="77777777" w:rsidR="00892068" w:rsidRPr="00181EF3" w:rsidRDefault="00892068" w:rsidP="00892068"/>
    <w:p w14:paraId="29D6B0CA" w14:textId="77777777" w:rsidR="00892068" w:rsidRPr="00181EF3" w:rsidRDefault="00892068" w:rsidP="00892068">
      <w:pPr>
        <w:keepLines/>
      </w:pPr>
      <w:r w:rsidRPr="00181EF3">
        <w:lastRenderedPageBreak/>
        <w:t>This coding change has less impact on the VDR as the VDR identifies people with diabetes within multiple years of hospitalisation data (from 1999 onwards) and multiple data sources (ie</w:t>
      </w:r>
      <w:r>
        <w:t>,</w:t>
      </w:r>
      <w:r w:rsidRPr="00181EF3">
        <w:t xml:space="preserve"> not solely hospitalisation data). However it will have an impact on both analyses with diabetes hospitalisation data or analyses on the subset of people on the VDR identified solely through hospitalisation data.</w:t>
      </w:r>
    </w:p>
    <w:p w14:paraId="2C490E2D" w14:textId="77777777" w:rsidR="00892068" w:rsidRPr="00181EF3" w:rsidRDefault="00892068" w:rsidP="00892068"/>
    <w:p w14:paraId="09B19131" w14:textId="77777777" w:rsidR="00892068" w:rsidRPr="00181EF3" w:rsidRDefault="00892068" w:rsidP="00892068">
      <w:pPr>
        <w:pStyle w:val="Heading3"/>
      </w:pPr>
      <w:bookmarkStart w:id="601" w:name="_Toc19102525"/>
      <w:r w:rsidRPr="00181EF3">
        <w:t>Sequencing of Diabetes Mellitus or Impaired Glucose Regulation</w:t>
      </w:r>
      <w:bookmarkEnd w:id="601"/>
    </w:p>
    <w:p w14:paraId="7C1BCB28" w14:textId="77777777" w:rsidR="00892068" w:rsidRPr="00181EF3" w:rsidRDefault="00892068" w:rsidP="00892068">
      <w:pPr>
        <w:rPr>
          <w:lang w:eastAsia="en-NZ"/>
        </w:rPr>
      </w:pPr>
      <w:r w:rsidRPr="00181EF3">
        <w:rPr>
          <w:lang w:eastAsia="en-NZ"/>
        </w:rPr>
        <w:t>As of 1 July 2014 diabetes mellitus and impaired glucose regulation do not need to be sequenced as the primary diagnosis anymore (it was previously required in some cases pre-1 July 2014). This means that researchers should be careful when running queries with DM or IGR as a primary diagnosis.</w:t>
      </w:r>
    </w:p>
    <w:p w14:paraId="514DACE0" w14:textId="77777777" w:rsidR="00892068" w:rsidRPr="00181EF3" w:rsidRDefault="00892068" w:rsidP="00892068">
      <w:pPr>
        <w:rPr>
          <w:lang w:eastAsia="en-NZ"/>
        </w:rPr>
      </w:pPr>
    </w:p>
    <w:p w14:paraId="2BEDE438" w14:textId="77777777" w:rsidR="00892068" w:rsidRPr="00181EF3" w:rsidRDefault="00892068" w:rsidP="00892068">
      <w:pPr>
        <w:rPr>
          <w:lang w:eastAsia="en-NZ"/>
        </w:rPr>
      </w:pPr>
      <w:r w:rsidRPr="00181EF3">
        <w:rPr>
          <w:lang w:eastAsia="en-NZ"/>
        </w:rPr>
        <w:t>Furthermore additional conditions outside of E09–E14 need to meet the condition of a principal or additional diagnosis (to fully describe the clinical diagnosis; rule 4b). In previous versions of the coding standard this was not required.</w:t>
      </w:r>
    </w:p>
    <w:p w14:paraId="6058FFD3" w14:textId="77777777" w:rsidR="00892068" w:rsidRPr="00181EF3" w:rsidRDefault="00892068" w:rsidP="00892068">
      <w:pPr>
        <w:rPr>
          <w:lang w:eastAsia="en-NZ"/>
        </w:rPr>
      </w:pPr>
    </w:p>
    <w:p w14:paraId="515B266E" w14:textId="77777777" w:rsidR="00892068" w:rsidRPr="00181EF3" w:rsidRDefault="00892068" w:rsidP="00892068">
      <w:pPr>
        <w:rPr>
          <w:lang w:eastAsia="en-NZ"/>
        </w:rPr>
      </w:pPr>
      <w:r w:rsidRPr="00181EF3">
        <w:rPr>
          <w:lang w:eastAsia="en-NZ"/>
        </w:rPr>
        <w:t>The following section of the coding has more detail for your information.</w:t>
      </w:r>
    </w:p>
    <w:p w14:paraId="56D38CD7" w14:textId="77777777" w:rsidR="00892068" w:rsidRPr="00181EF3" w:rsidRDefault="00892068" w:rsidP="000667F5">
      <w:pPr>
        <w:pStyle w:val="Quote"/>
        <w:spacing w:before="240"/>
      </w:pPr>
      <w:r w:rsidRPr="00181EF3">
        <w:t>IMPACT OF REVISED STANDARD</w:t>
      </w:r>
    </w:p>
    <w:p w14:paraId="0CCEF2AB" w14:textId="77777777" w:rsidR="00892068" w:rsidRPr="00181EF3" w:rsidRDefault="00892068" w:rsidP="000667F5">
      <w:pPr>
        <w:pStyle w:val="Quote"/>
      </w:pPr>
      <w:r w:rsidRPr="00181EF3">
        <w:t>Change in coding practice and DRG allocation.</w:t>
      </w:r>
    </w:p>
    <w:p w14:paraId="7A40466F" w14:textId="77777777" w:rsidR="00892068" w:rsidRDefault="00892068" w:rsidP="000667F5">
      <w:pPr>
        <w:pStyle w:val="Quote"/>
      </w:pPr>
      <w:r w:rsidRPr="00181EF3">
        <w:t xml:space="preserve">In ICD-10-AM 6th edition the diabetes mellitus (DM) code had to be always sequenced before the complication/condition associated with DM. In ICD-10-AM 8th Edition this rule has been revised with the assignment of DM being determined by following the criteria in ACS 0001 </w:t>
      </w:r>
      <w:r w:rsidRPr="00181EF3">
        <w:rPr>
          <w:i/>
          <w:iCs/>
        </w:rPr>
        <w:t xml:space="preserve">Principal diagnosis </w:t>
      </w:r>
      <w:r w:rsidRPr="00181EF3">
        <w:t xml:space="preserve">and ACS 0002 </w:t>
      </w:r>
      <w:r w:rsidRPr="00181EF3">
        <w:rPr>
          <w:i/>
          <w:iCs/>
        </w:rPr>
        <w:t xml:space="preserve">Additional diagnoses. </w:t>
      </w:r>
      <w:r w:rsidRPr="00181EF3">
        <w:t>This change means the complication/condition associated with DM can be sequenced before the diabetes mellitus code, see example 5 below. In some circumstances where the change impacts on the principal diagnosis assignment there may be a change in DRG allocation, see examples 6 and 7.</w:t>
      </w:r>
    </w:p>
    <w:p w14:paraId="15655832" w14:textId="77777777" w:rsidR="000667F5" w:rsidRPr="000667F5" w:rsidRDefault="000667F5" w:rsidP="000667F5"/>
    <w:tbl>
      <w:tblPr>
        <w:tblW w:w="7797" w:type="dxa"/>
        <w:tblInd w:w="340" w:type="dxa"/>
        <w:tblLayout w:type="fixed"/>
        <w:tblCellMar>
          <w:left w:w="57" w:type="dxa"/>
          <w:right w:w="57" w:type="dxa"/>
        </w:tblCellMar>
        <w:tblLook w:val="0000" w:firstRow="0" w:lastRow="0" w:firstColumn="0" w:lastColumn="0" w:noHBand="0" w:noVBand="0"/>
      </w:tblPr>
      <w:tblGrid>
        <w:gridCol w:w="3898"/>
        <w:gridCol w:w="3899"/>
      </w:tblGrid>
      <w:tr w:rsidR="00892068" w:rsidRPr="00181EF3" w14:paraId="5FD5EF83" w14:textId="77777777" w:rsidTr="00103328">
        <w:trPr>
          <w:cantSplit/>
        </w:trPr>
        <w:tc>
          <w:tcPr>
            <w:tcW w:w="3898" w:type="dxa"/>
            <w:shd w:val="clear" w:color="auto" w:fill="D9D9D9" w:themeFill="background1" w:themeFillShade="D9"/>
          </w:tcPr>
          <w:p w14:paraId="0EDB18FF" w14:textId="77777777" w:rsidR="00892068" w:rsidRPr="00181EF3" w:rsidRDefault="00892068" w:rsidP="00103328">
            <w:pPr>
              <w:pStyle w:val="TableText"/>
              <w:keepNext/>
              <w:rPr>
                <w:b/>
              </w:rPr>
            </w:pPr>
            <w:r w:rsidRPr="00181EF3">
              <w:rPr>
                <w:b/>
              </w:rPr>
              <w:lastRenderedPageBreak/>
              <w:t>EXAMPLE 5 6th edition</w:t>
            </w:r>
          </w:p>
        </w:tc>
        <w:tc>
          <w:tcPr>
            <w:tcW w:w="3899" w:type="dxa"/>
            <w:shd w:val="clear" w:color="auto" w:fill="D9D9D9" w:themeFill="background1" w:themeFillShade="D9"/>
          </w:tcPr>
          <w:p w14:paraId="065AAE1B" w14:textId="77777777" w:rsidR="00892068" w:rsidRPr="00181EF3" w:rsidRDefault="00892068" w:rsidP="00103328">
            <w:pPr>
              <w:pStyle w:val="TableText"/>
              <w:keepNext/>
              <w:rPr>
                <w:b/>
              </w:rPr>
            </w:pPr>
            <w:r w:rsidRPr="00181EF3">
              <w:rPr>
                <w:b/>
              </w:rPr>
              <w:t>8th edition</w:t>
            </w:r>
          </w:p>
        </w:tc>
      </w:tr>
      <w:tr w:rsidR="00892068" w:rsidRPr="00181EF3" w14:paraId="08DA3CFD" w14:textId="77777777" w:rsidTr="00103328">
        <w:trPr>
          <w:cantSplit/>
        </w:trPr>
        <w:tc>
          <w:tcPr>
            <w:tcW w:w="3898" w:type="dxa"/>
          </w:tcPr>
          <w:p w14:paraId="2D526D27" w14:textId="77777777" w:rsidR="00892068" w:rsidRPr="00181EF3" w:rsidRDefault="00892068" w:rsidP="00103328">
            <w:pPr>
              <w:pStyle w:val="TableText"/>
              <w:keepNext/>
            </w:pPr>
            <w:r w:rsidRPr="00181EF3">
              <w:t>Patient with Type 2 diabetes mellitus was admitted for treatment of a cataract.</w:t>
            </w:r>
          </w:p>
          <w:p w14:paraId="4E322E9C" w14:textId="77777777" w:rsidR="00892068" w:rsidRPr="00181EF3" w:rsidRDefault="00892068" w:rsidP="00103328">
            <w:pPr>
              <w:pStyle w:val="TableText"/>
              <w:keepNext/>
              <w:rPr>
                <w:b/>
              </w:rPr>
            </w:pPr>
            <w:r w:rsidRPr="00181EF3">
              <w:rPr>
                <w:b/>
              </w:rPr>
              <w:t>Principal diagnosis</w:t>
            </w:r>
          </w:p>
          <w:p w14:paraId="7632EE69" w14:textId="77777777" w:rsidR="00892068" w:rsidRPr="00181EF3" w:rsidRDefault="00892068" w:rsidP="00103328">
            <w:pPr>
              <w:pStyle w:val="TableText"/>
              <w:keepNext/>
              <w:rPr>
                <w:i/>
                <w:iCs/>
              </w:rPr>
            </w:pPr>
            <w:r w:rsidRPr="00181EF3">
              <w:t xml:space="preserve">E11.39 </w:t>
            </w:r>
            <w:r w:rsidRPr="00181EF3">
              <w:rPr>
                <w:i/>
                <w:iCs/>
              </w:rPr>
              <w:t>Type 2 diabetes mellitus with other specified ophthalmic complication</w:t>
            </w:r>
          </w:p>
          <w:p w14:paraId="1AF126E3" w14:textId="77777777" w:rsidR="00892068" w:rsidRPr="00181EF3" w:rsidRDefault="00892068" w:rsidP="00103328">
            <w:pPr>
              <w:pStyle w:val="TableText"/>
              <w:keepNext/>
              <w:rPr>
                <w:b/>
              </w:rPr>
            </w:pPr>
            <w:r w:rsidRPr="00181EF3">
              <w:rPr>
                <w:b/>
              </w:rPr>
              <w:t>Additional diagnoses</w:t>
            </w:r>
          </w:p>
          <w:p w14:paraId="306D85F1" w14:textId="77777777" w:rsidR="00892068" w:rsidRPr="00181EF3" w:rsidRDefault="00892068" w:rsidP="00103328">
            <w:pPr>
              <w:pStyle w:val="TableText"/>
              <w:keepNext/>
            </w:pPr>
            <w:r w:rsidRPr="00181EF3">
              <w:t xml:space="preserve">H26.9 </w:t>
            </w:r>
            <w:r w:rsidRPr="00181EF3">
              <w:rPr>
                <w:i/>
                <w:iCs/>
              </w:rPr>
              <w:t xml:space="preserve">Cataract, unspecified </w:t>
            </w:r>
          </w:p>
        </w:tc>
        <w:tc>
          <w:tcPr>
            <w:tcW w:w="3899" w:type="dxa"/>
          </w:tcPr>
          <w:p w14:paraId="74B84038" w14:textId="77777777" w:rsidR="00892068" w:rsidRPr="00181EF3" w:rsidRDefault="00892068" w:rsidP="00103328">
            <w:pPr>
              <w:pStyle w:val="TableText"/>
              <w:keepNext/>
            </w:pPr>
            <w:r w:rsidRPr="00181EF3">
              <w:t>Patient with Type 2 diabetes mellitus was admitted for treatment of a cataract.</w:t>
            </w:r>
          </w:p>
          <w:p w14:paraId="5B84A418" w14:textId="77777777" w:rsidR="00892068" w:rsidRPr="00181EF3" w:rsidRDefault="00892068" w:rsidP="00103328">
            <w:pPr>
              <w:pStyle w:val="TableText"/>
              <w:keepNext/>
              <w:rPr>
                <w:b/>
              </w:rPr>
            </w:pPr>
            <w:r w:rsidRPr="00181EF3">
              <w:rPr>
                <w:b/>
              </w:rPr>
              <w:t>Principal diagnosis</w:t>
            </w:r>
          </w:p>
          <w:p w14:paraId="0A982163" w14:textId="77777777" w:rsidR="00892068" w:rsidRPr="00181EF3" w:rsidRDefault="00892068" w:rsidP="00103328">
            <w:pPr>
              <w:pStyle w:val="TableText"/>
              <w:keepNext/>
              <w:rPr>
                <w:i/>
                <w:iCs/>
              </w:rPr>
            </w:pPr>
            <w:r w:rsidRPr="00181EF3">
              <w:t xml:space="preserve">H26.9 </w:t>
            </w:r>
            <w:r w:rsidRPr="00181EF3">
              <w:rPr>
                <w:i/>
                <w:iCs/>
              </w:rPr>
              <w:t>Cataract, unspecified</w:t>
            </w:r>
          </w:p>
          <w:p w14:paraId="09457F53" w14:textId="77777777" w:rsidR="00892068" w:rsidRPr="00181EF3" w:rsidRDefault="00892068" w:rsidP="00103328">
            <w:pPr>
              <w:pStyle w:val="TableText"/>
              <w:keepNext/>
              <w:rPr>
                <w:b/>
              </w:rPr>
            </w:pPr>
            <w:r w:rsidRPr="00181EF3">
              <w:rPr>
                <w:b/>
              </w:rPr>
              <w:t>Additional diagnoses</w:t>
            </w:r>
          </w:p>
          <w:p w14:paraId="4A325B02" w14:textId="77777777" w:rsidR="00892068" w:rsidRPr="00181EF3" w:rsidRDefault="00892068" w:rsidP="00103328">
            <w:pPr>
              <w:pStyle w:val="TableText"/>
              <w:keepNext/>
            </w:pPr>
            <w:r w:rsidRPr="00181EF3">
              <w:t xml:space="preserve">E11.39 </w:t>
            </w:r>
            <w:r w:rsidRPr="00181EF3">
              <w:rPr>
                <w:i/>
                <w:iCs/>
              </w:rPr>
              <w:t xml:space="preserve">Type 2 diabetes mellitus with other specified ophthalmic complication </w:t>
            </w:r>
          </w:p>
        </w:tc>
      </w:tr>
      <w:tr w:rsidR="00892068" w:rsidRPr="00181EF3" w14:paraId="07CFE7FC" w14:textId="77777777" w:rsidTr="00103328">
        <w:trPr>
          <w:cantSplit/>
        </w:trPr>
        <w:tc>
          <w:tcPr>
            <w:tcW w:w="3898" w:type="dxa"/>
          </w:tcPr>
          <w:p w14:paraId="3762608C" w14:textId="77777777" w:rsidR="00892068" w:rsidRPr="00181EF3" w:rsidRDefault="00892068" w:rsidP="00103328">
            <w:pPr>
              <w:pStyle w:val="TableText"/>
              <w:keepNext/>
              <w:rPr>
                <w:b/>
              </w:rPr>
            </w:pPr>
            <w:r w:rsidRPr="00181EF3">
              <w:rPr>
                <w:b/>
              </w:rPr>
              <w:t>DRG allocation</w:t>
            </w:r>
          </w:p>
          <w:p w14:paraId="541E9BE5" w14:textId="77777777" w:rsidR="00892068" w:rsidRPr="00181EF3" w:rsidRDefault="00892068" w:rsidP="00103328">
            <w:pPr>
              <w:pStyle w:val="TableText"/>
              <w:keepNext/>
            </w:pPr>
            <w:r w:rsidRPr="00181EF3">
              <w:t xml:space="preserve">C63Z </w:t>
            </w:r>
            <w:r w:rsidRPr="00181EF3">
              <w:rPr>
                <w:i/>
                <w:iCs/>
              </w:rPr>
              <w:t xml:space="preserve">Other disorders of the eye </w:t>
            </w:r>
          </w:p>
        </w:tc>
        <w:tc>
          <w:tcPr>
            <w:tcW w:w="3899" w:type="dxa"/>
          </w:tcPr>
          <w:p w14:paraId="354F9382" w14:textId="77777777" w:rsidR="00892068" w:rsidRPr="00181EF3" w:rsidRDefault="00892068" w:rsidP="00103328">
            <w:pPr>
              <w:pStyle w:val="TableText"/>
              <w:keepNext/>
              <w:rPr>
                <w:b/>
              </w:rPr>
            </w:pPr>
            <w:r w:rsidRPr="00181EF3">
              <w:rPr>
                <w:b/>
              </w:rPr>
              <w:t>DRG allocation</w:t>
            </w:r>
          </w:p>
          <w:p w14:paraId="48DAAA9B" w14:textId="77777777" w:rsidR="00892068" w:rsidRPr="00181EF3" w:rsidRDefault="00892068" w:rsidP="00103328">
            <w:pPr>
              <w:pStyle w:val="TableText"/>
              <w:keepNext/>
            </w:pPr>
            <w:r w:rsidRPr="00181EF3">
              <w:t xml:space="preserve">C63Z </w:t>
            </w:r>
            <w:r w:rsidRPr="00181EF3">
              <w:rPr>
                <w:i/>
                <w:iCs/>
              </w:rPr>
              <w:t xml:space="preserve">Other disorders of the eye </w:t>
            </w:r>
          </w:p>
        </w:tc>
      </w:tr>
      <w:tr w:rsidR="00892068" w:rsidRPr="00181EF3" w14:paraId="36CEAA9A" w14:textId="77777777" w:rsidTr="00103328">
        <w:trPr>
          <w:cantSplit/>
        </w:trPr>
        <w:tc>
          <w:tcPr>
            <w:tcW w:w="3898" w:type="dxa"/>
            <w:shd w:val="clear" w:color="auto" w:fill="D9D9D9" w:themeFill="background1" w:themeFillShade="D9"/>
          </w:tcPr>
          <w:p w14:paraId="4E0362B2" w14:textId="77777777" w:rsidR="00892068" w:rsidRPr="00181EF3" w:rsidRDefault="00892068" w:rsidP="00103328">
            <w:pPr>
              <w:pStyle w:val="TableText"/>
              <w:keepNext/>
              <w:rPr>
                <w:b/>
              </w:rPr>
            </w:pPr>
            <w:r w:rsidRPr="00181EF3">
              <w:rPr>
                <w:b/>
              </w:rPr>
              <w:t>EXAMPLE 7 6th edition</w:t>
            </w:r>
          </w:p>
        </w:tc>
        <w:tc>
          <w:tcPr>
            <w:tcW w:w="3899" w:type="dxa"/>
            <w:shd w:val="clear" w:color="auto" w:fill="D9D9D9" w:themeFill="background1" w:themeFillShade="D9"/>
          </w:tcPr>
          <w:p w14:paraId="72EE30AF" w14:textId="77777777" w:rsidR="00892068" w:rsidRPr="00181EF3" w:rsidRDefault="00892068" w:rsidP="00103328">
            <w:pPr>
              <w:pStyle w:val="TableText"/>
              <w:keepNext/>
              <w:rPr>
                <w:b/>
              </w:rPr>
            </w:pPr>
            <w:r w:rsidRPr="00181EF3">
              <w:rPr>
                <w:b/>
              </w:rPr>
              <w:t>8th edition</w:t>
            </w:r>
          </w:p>
        </w:tc>
      </w:tr>
      <w:tr w:rsidR="00892068" w:rsidRPr="00181EF3" w14:paraId="4A84BE77" w14:textId="77777777" w:rsidTr="00103328">
        <w:trPr>
          <w:cantSplit/>
        </w:trPr>
        <w:tc>
          <w:tcPr>
            <w:tcW w:w="3898" w:type="dxa"/>
            <w:tcBorders>
              <w:bottom w:val="single" w:sz="4" w:space="0" w:color="A6A6A6" w:themeColor="background1" w:themeShade="A6"/>
            </w:tcBorders>
          </w:tcPr>
          <w:p w14:paraId="3173A7B1" w14:textId="77777777" w:rsidR="00892068" w:rsidRPr="00181EF3" w:rsidRDefault="00892068" w:rsidP="00103328">
            <w:pPr>
              <w:pStyle w:val="TableText"/>
            </w:pPr>
            <w:r w:rsidRPr="00181EF3">
              <w:t>Patient admitted for treatment of foot cellulitis with IV antibiotics. Patient’s history includes Type 2 diabetes mellitus and peripheral vascular disease.</w:t>
            </w:r>
          </w:p>
          <w:p w14:paraId="3CF511A9" w14:textId="77777777" w:rsidR="00892068" w:rsidRPr="00181EF3" w:rsidRDefault="00892068" w:rsidP="00103328">
            <w:pPr>
              <w:pStyle w:val="TableText"/>
              <w:rPr>
                <w:b/>
              </w:rPr>
            </w:pPr>
            <w:r w:rsidRPr="00181EF3">
              <w:rPr>
                <w:b/>
              </w:rPr>
              <w:t>Principal diagnosis</w:t>
            </w:r>
          </w:p>
          <w:p w14:paraId="20B34A80" w14:textId="77777777" w:rsidR="00892068" w:rsidRPr="00181EF3" w:rsidRDefault="00892068" w:rsidP="00103328">
            <w:pPr>
              <w:pStyle w:val="TableText"/>
              <w:rPr>
                <w:i/>
                <w:iCs/>
              </w:rPr>
            </w:pPr>
            <w:r w:rsidRPr="00181EF3">
              <w:t xml:space="preserve">E11.73 </w:t>
            </w:r>
            <w:r w:rsidRPr="00181EF3">
              <w:rPr>
                <w:i/>
                <w:iCs/>
              </w:rPr>
              <w:t>Type 2 diabetes mellitus with foot ulcer due to multiple causes</w:t>
            </w:r>
          </w:p>
          <w:p w14:paraId="193DDCA1" w14:textId="77777777" w:rsidR="00892068" w:rsidRPr="00181EF3" w:rsidRDefault="00892068" w:rsidP="00103328">
            <w:pPr>
              <w:pStyle w:val="TableText"/>
              <w:rPr>
                <w:b/>
              </w:rPr>
            </w:pPr>
            <w:r w:rsidRPr="00181EF3">
              <w:rPr>
                <w:b/>
              </w:rPr>
              <w:t>Additional diagnoses</w:t>
            </w:r>
          </w:p>
          <w:p w14:paraId="7545D4F1" w14:textId="77777777" w:rsidR="00892068" w:rsidRPr="00181EF3" w:rsidRDefault="00892068" w:rsidP="00103328">
            <w:pPr>
              <w:pStyle w:val="TableText"/>
            </w:pPr>
            <w:r w:rsidRPr="00181EF3">
              <w:t>L03.11 Cellulitis of lower limb</w:t>
            </w:r>
          </w:p>
          <w:p w14:paraId="13071432" w14:textId="77777777" w:rsidR="00892068" w:rsidRPr="00181EF3" w:rsidRDefault="00892068" w:rsidP="00103328">
            <w:pPr>
              <w:pStyle w:val="TableText"/>
            </w:pPr>
            <w:r w:rsidRPr="00181EF3">
              <w:t xml:space="preserve">I70.20 </w:t>
            </w:r>
            <w:r w:rsidRPr="00181EF3">
              <w:rPr>
                <w:i/>
                <w:iCs/>
              </w:rPr>
              <w:t>Atherosclerosis of arteries of extremities, unspecified</w:t>
            </w:r>
          </w:p>
        </w:tc>
        <w:tc>
          <w:tcPr>
            <w:tcW w:w="3899" w:type="dxa"/>
            <w:tcBorders>
              <w:bottom w:val="single" w:sz="4" w:space="0" w:color="A6A6A6" w:themeColor="background1" w:themeShade="A6"/>
            </w:tcBorders>
          </w:tcPr>
          <w:p w14:paraId="119E7259" w14:textId="77777777" w:rsidR="00892068" w:rsidRPr="00181EF3" w:rsidRDefault="00892068" w:rsidP="00103328">
            <w:pPr>
              <w:pStyle w:val="TableText"/>
            </w:pPr>
            <w:r w:rsidRPr="00181EF3">
              <w:t>Patient admitted for treatment of foot cellulitis with IV antibiotics. Patient’s history includes Type 2 diabetes mellitus and peripheral vascular disease.</w:t>
            </w:r>
          </w:p>
          <w:p w14:paraId="06956BF2" w14:textId="77777777" w:rsidR="00892068" w:rsidRPr="00181EF3" w:rsidRDefault="00892068" w:rsidP="00103328">
            <w:pPr>
              <w:pStyle w:val="TableText"/>
              <w:rPr>
                <w:b/>
              </w:rPr>
            </w:pPr>
            <w:r w:rsidRPr="00181EF3">
              <w:rPr>
                <w:b/>
              </w:rPr>
              <w:t>Principal diagnosis</w:t>
            </w:r>
          </w:p>
          <w:p w14:paraId="2D5ACB74" w14:textId="77777777" w:rsidR="00892068" w:rsidRPr="00181EF3" w:rsidRDefault="00892068" w:rsidP="00103328">
            <w:pPr>
              <w:pStyle w:val="TableText"/>
            </w:pPr>
            <w:r w:rsidRPr="00181EF3">
              <w:t>L03.11 Cellulitis of lower limb</w:t>
            </w:r>
          </w:p>
          <w:p w14:paraId="0F3BDEE3" w14:textId="77777777" w:rsidR="00892068" w:rsidRPr="00181EF3" w:rsidRDefault="00892068" w:rsidP="00103328">
            <w:pPr>
              <w:pStyle w:val="TableText"/>
              <w:rPr>
                <w:b/>
              </w:rPr>
            </w:pPr>
            <w:r w:rsidRPr="00181EF3">
              <w:rPr>
                <w:b/>
              </w:rPr>
              <w:t>Additional diagnoses</w:t>
            </w:r>
          </w:p>
          <w:p w14:paraId="06E2515B" w14:textId="77777777" w:rsidR="00892068" w:rsidRPr="00181EF3" w:rsidRDefault="00892068" w:rsidP="00103328">
            <w:pPr>
              <w:pStyle w:val="TableText"/>
              <w:rPr>
                <w:i/>
                <w:iCs/>
              </w:rPr>
            </w:pPr>
            <w:r w:rsidRPr="00181EF3">
              <w:t xml:space="preserve">E11.51 </w:t>
            </w:r>
            <w:r w:rsidRPr="00181EF3">
              <w:rPr>
                <w:i/>
                <w:iCs/>
              </w:rPr>
              <w:t>Type 2 diabetes mellitus with peripheral angiopathy, without gangrene</w:t>
            </w:r>
          </w:p>
          <w:p w14:paraId="3357CDF3" w14:textId="77777777" w:rsidR="00892068" w:rsidRPr="00181EF3" w:rsidRDefault="00892068" w:rsidP="00103328">
            <w:pPr>
              <w:pStyle w:val="TableText"/>
            </w:pPr>
            <w:r w:rsidRPr="00181EF3">
              <w:t xml:space="preserve">E11.73 </w:t>
            </w:r>
            <w:r w:rsidRPr="00181EF3">
              <w:rPr>
                <w:i/>
                <w:iCs/>
              </w:rPr>
              <w:t>Type 2 diabetes mellitus with foot ulcer due to multiple causes</w:t>
            </w:r>
          </w:p>
        </w:tc>
      </w:tr>
    </w:tbl>
    <w:p w14:paraId="618BB73E" w14:textId="77777777" w:rsidR="00892068" w:rsidRPr="00181EF3" w:rsidRDefault="00892068" w:rsidP="00892068">
      <w:pPr>
        <w:pStyle w:val="Quote"/>
      </w:pPr>
      <w:r w:rsidRPr="00181EF3">
        <w:t>Sequencing the complication/condition associated with DM as the principal diagnosis reflects the condition that was chiefly responsible for occasioning the episode of care. However there will be changes in DRG allocation as per examples 6 and 7.</w:t>
      </w:r>
    </w:p>
    <w:p w14:paraId="4801A176" w14:textId="77777777" w:rsidR="00892068" w:rsidRDefault="00892068" w:rsidP="00892068"/>
    <w:p w14:paraId="58D8EAD5" w14:textId="77777777" w:rsidR="002F4458" w:rsidRPr="00181EF3" w:rsidRDefault="002F4458" w:rsidP="000667F5">
      <w:pPr>
        <w:pStyle w:val="Heading2"/>
        <w:pageBreakBefore/>
        <w:spacing w:before="0"/>
      </w:pPr>
      <w:bookmarkStart w:id="602" w:name="_Toc19102526"/>
      <w:r w:rsidRPr="00181EF3">
        <w:lastRenderedPageBreak/>
        <w:t>Appendix</w:t>
      </w:r>
      <w:r>
        <w:t xml:space="preserve"> 6</w:t>
      </w:r>
      <w:r w:rsidR="000A6457">
        <w:t>: Health workforce supplementary tables</w:t>
      </w:r>
      <w:bookmarkEnd w:id="602"/>
    </w:p>
    <w:p w14:paraId="14B5C619" w14:textId="77777777" w:rsidR="002F4458" w:rsidRPr="00181EF3" w:rsidRDefault="002F4458" w:rsidP="002F4458">
      <w:pPr>
        <w:pStyle w:val="Heading3"/>
      </w:pPr>
      <w:bookmarkStart w:id="603" w:name="_Toc19102527"/>
      <w:r w:rsidRPr="00181EF3">
        <w:t>Nursing occupations</w:t>
      </w:r>
      <w:bookmarkEnd w:id="603"/>
    </w:p>
    <w:p w14:paraId="1C7D6E6C" w14:textId="17AA2EBB" w:rsidR="002F4458" w:rsidRPr="00181EF3" w:rsidRDefault="002F4458" w:rsidP="002F4458">
      <w:pPr>
        <w:pStyle w:val="Table"/>
      </w:pPr>
      <w:bookmarkStart w:id="604" w:name="_Toc18594800"/>
      <w:r w:rsidRPr="00181EF3">
        <w:t xml:space="preserve">Table </w:t>
      </w:r>
      <w:r>
        <w:t>A6.1</w:t>
      </w:r>
      <w:r w:rsidRPr="00181EF3">
        <w:t xml:space="preserve">: Estimated number (percentage in workforce) of Māori and </w:t>
      </w:r>
      <w:r w:rsidR="00EC03A3">
        <w:t>non</w:t>
      </w:r>
      <w:r w:rsidR="00EC03A3">
        <w:noBreakHyphen/>
        <w:t>M</w:t>
      </w:r>
      <w:r w:rsidRPr="00181EF3">
        <w:t>āori, enrolled nurses, 2011–2018</w:t>
      </w:r>
      <w:bookmarkEnd w:id="604"/>
    </w:p>
    <w:tbl>
      <w:tblPr>
        <w:tblW w:w="0" w:type="auto"/>
        <w:tblInd w:w="57" w:type="dxa"/>
        <w:tblLayout w:type="fixed"/>
        <w:tblCellMar>
          <w:left w:w="57" w:type="dxa"/>
          <w:right w:w="57" w:type="dxa"/>
        </w:tblCellMar>
        <w:tblLook w:val="04A0" w:firstRow="1" w:lastRow="0" w:firstColumn="1" w:lastColumn="0" w:noHBand="0" w:noVBand="1"/>
      </w:tblPr>
      <w:tblGrid>
        <w:gridCol w:w="2693"/>
        <w:gridCol w:w="2693"/>
        <w:gridCol w:w="2694"/>
      </w:tblGrid>
      <w:tr w:rsidR="002F4458" w:rsidRPr="00181EF3" w14:paraId="4B2275EC" w14:textId="77777777" w:rsidTr="0064111D">
        <w:trPr>
          <w:cantSplit/>
        </w:trPr>
        <w:tc>
          <w:tcPr>
            <w:tcW w:w="8080" w:type="dxa"/>
            <w:gridSpan w:val="3"/>
            <w:shd w:val="clear" w:color="auto" w:fill="D9D9D9" w:themeFill="background1" w:themeFillShade="D9"/>
          </w:tcPr>
          <w:p w14:paraId="1301E7B3" w14:textId="77777777" w:rsidR="002F4458" w:rsidRPr="00181EF3" w:rsidRDefault="002F4458" w:rsidP="000667F5">
            <w:pPr>
              <w:pStyle w:val="TableText"/>
              <w:spacing w:before="45" w:after="45"/>
              <w:jc w:val="center"/>
              <w:rPr>
                <w:b/>
              </w:rPr>
            </w:pPr>
            <w:r w:rsidRPr="00181EF3">
              <w:rPr>
                <w:b/>
              </w:rPr>
              <w:t>Enrolled nurse (2011–2018)</w:t>
            </w:r>
          </w:p>
        </w:tc>
      </w:tr>
      <w:tr w:rsidR="002F4458" w:rsidRPr="00181EF3" w14:paraId="62CF82C8" w14:textId="77777777" w:rsidTr="0064111D">
        <w:trPr>
          <w:cantSplit/>
        </w:trPr>
        <w:tc>
          <w:tcPr>
            <w:tcW w:w="2693" w:type="dxa"/>
            <w:shd w:val="clear" w:color="auto" w:fill="F2F2F2" w:themeFill="background1" w:themeFillShade="F2"/>
          </w:tcPr>
          <w:p w14:paraId="0412CBE9" w14:textId="77777777" w:rsidR="002F4458" w:rsidRPr="00181EF3" w:rsidRDefault="002F4458" w:rsidP="000667F5">
            <w:pPr>
              <w:pStyle w:val="TableText"/>
              <w:spacing w:before="45" w:after="45"/>
              <w:jc w:val="center"/>
              <w:rPr>
                <w:b/>
              </w:rPr>
            </w:pPr>
            <w:r w:rsidRPr="00181EF3">
              <w:rPr>
                <w:b/>
              </w:rPr>
              <w:t>Year</w:t>
            </w:r>
          </w:p>
        </w:tc>
        <w:tc>
          <w:tcPr>
            <w:tcW w:w="2693" w:type="dxa"/>
            <w:shd w:val="clear" w:color="auto" w:fill="F2F2F2" w:themeFill="background1" w:themeFillShade="F2"/>
          </w:tcPr>
          <w:p w14:paraId="60254FB5" w14:textId="77777777" w:rsidR="002F4458" w:rsidRPr="00181EF3" w:rsidRDefault="002F4458" w:rsidP="000667F5">
            <w:pPr>
              <w:pStyle w:val="TableText"/>
              <w:spacing w:before="45" w:after="45"/>
              <w:jc w:val="center"/>
              <w:rPr>
                <w:b/>
              </w:rPr>
            </w:pPr>
            <w:r w:rsidRPr="00181EF3">
              <w:rPr>
                <w:b/>
              </w:rPr>
              <w:t>Māori</w:t>
            </w:r>
          </w:p>
        </w:tc>
        <w:tc>
          <w:tcPr>
            <w:tcW w:w="2694" w:type="dxa"/>
            <w:shd w:val="clear" w:color="auto" w:fill="F2F2F2" w:themeFill="background1" w:themeFillShade="F2"/>
          </w:tcPr>
          <w:p w14:paraId="126FB716" w14:textId="408717DD" w:rsidR="002F4458" w:rsidRPr="00181EF3" w:rsidRDefault="00EC03A3" w:rsidP="000667F5">
            <w:pPr>
              <w:pStyle w:val="TableText"/>
              <w:spacing w:before="45" w:after="45"/>
              <w:jc w:val="center"/>
              <w:rPr>
                <w:b/>
              </w:rPr>
            </w:pPr>
            <w:r>
              <w:rPr>
                <w:b/>
              </w:rPr>
              <w:t>Non</w:t>
            </w:r>
            <w:r>
              <w:rPr>
                <w:b/>
              </w:rPr>
              <w:noBreakHyphen/>
              <w:t>M</w:t>
            </w:r>
            <w:r w:rsidR="002F4458" w:rsidRPr="00181EF3">
              <w:rPr>
                <w:b/>
              </w:rPr>
              <w:t>āori</w:t>
            </w:r>
          </w:p>
        </w:tc>
      </w:tr>
      <w:tr w:rsidR="002F4458" w:rsidRPr="00181EF3" w14:paraId="70BAF49F" w14:textId="77777777" w:rsidTr="0064111D">
        <w:trPr>
          <w:cantSplit/>
        </w:trPr>
        <w:tc>
          <w:tcPr>
            <w:tcW w:w="2693" w:type="dxa"/>
            <w:tcBorders>
              <w:bottom w:val="single" w:sz="4" w:space="0" w:color="A6A6A6" w:themeColor="background1" w:themeShade="A6"/>
            </w:tcBorders>
          </w:tcPr>
          <w:p w14:paraId="4DD930E9" w14:textId="77777777" w:rsidR="002F4458" w:rsidRPr="00181EF3" w:rsidRDefault="002F4458" w:rsidP="000667F5">
            <w:pPr>
              <w:pStyle w:val="TableText"/>
              <w:spacing w:before="45" w:after="45"/>
              <w:jc w:val="center"/>
            </w:pPr>
            <w:r w:rsidRPr="00181EF3">
              <w:t>2011</w:t>
            </w:r>
          </w:p>
        </w:tc>
        <w:tc>
          <w:tcPr>
            <w:tcW w:w="2693" w:type="dxa"/>
            <w:tcBorders>
              <w:bottom w:val="single" w:sz="4" w:space="0" w:color="A6A6A6" w:themeColor="background1" w:themeShade="A6"/>
            </w:tcBorders>
          </w:tcPr>
          <w:p w14:paraId="203636F5" w14:textId="77777777" w:rsidR="002F4458" w:rsidRPr="00181EF3" w:rsidRDefault="002F4458" w:rsidP="000667F5">
            <w:pPr>
              <w:pStyle w:val="TableText"/>
              <w:tabs>
                <w:tab w:val="decimal" w:pos="1191"/>
              </w:tabs>
              <w:spacing w:before="45" w:after="45"/>
            </w:pPr>
            <w:r w:rsidRPr="00181EF3">
              <w:t>253 (8.0%)</w:t>
            </w:r>
          </w:p>
        </w:tc>
        <w:tc>
          <w:tcPr>
            <w:tcW w:w="2694" w:type="dxa"/>
            <w:tcBorders>
              <w:bottom w:val="single" w:sz="4" w:space="0" w:color="A6A6A6" w:themeColor="background1" w:themeShade="A6"/>
            </w:tcBorders>
          </w:tcPr>
          <w:p w14:paraId="5AE72673" w14:textId="77777777" w:rsidR="002F4458" w:rsidRPr="00181EF3" w:rsidRDefault="002F4458" w:rsidP="000667F5">
            <w:pPr>
              <w:pStyle w:val="TableText"/>
              <w:spacing w:before="45" w:after="45"/>
              <w:jc w:val="center"/>
            </w:pPr>
            <w:r w:rsidRPr="00181EF3">
              <w:t>2,907 (92.0%)</w:t>
            </w:r>
          </w:p>
        </w:tc>
      </w:tr>
      <w:tr w:rsidR="002F4458" w:rsidRPr="00181EF3" w14:paraId="3C221758" w14:textId="77777777" w:rsidTr="0064111D">
        <w:trPr>
          <w:cantSplit/>
        </w:trPr>
        <w:tc>
          <w:tcPr>
            <w:tcW w:w="2693" w:type="dxa"/>
            <w:tcBorders>
              <w:top w:val="single" w:sz="4" w:space="0" w:color="A6A6A6" w:themeColor="background1" w:themeShade="A6"/>
              <w:bottom w:val="single" w:sz="4" w:space="0" w:color="A6A6A6" w:themeColor="background1" w:themeShade="A6"/>
            </w:tcBorders>
          </w:tcPr>
          <w:p w14:paraId="4F4778B6" w14:textId="77777777" w:rsidR="002F4458" w:rsidRPr="00181EF3" w:rsidRDefault="002F4458" w:rsidP="000667F5">
            <w:pPr>
              <w:pStyle w:val="TableText"/>
              <w:spacing w:before="45" w:after="45"/>
              <w:jc w:val="center"/>
            </w:pPr>
            <w:r w:rsidRPr="00181EF3">
              <w:t>2012</w:t>
            </w:r>
          </w:p>
        </w:tc>
        <w:tc>
          <w:tcPr>
            <w:tcW w:w="2693" w:type="dxa"/>
            <w:tcBorders>
              <w:top w:val="single" w:sz="4" w:space="0" w:color="A6A6A6" w:themeColor="background1" w:themeShade="A6"/>
              <w:bottom w:val="single" w:sz="4" w:space="0" w:color="A6A6A6" w:themeColor="background1" w:themeShade="A6"/>
            </w:tcBorders>
          </w:tcPr>
          <w:p w14:paraId="03EECF30" w14:textId="77777777" w:rsidR="002F4458" w:rsidRPr="00181EF3" w:rsidRDefault="002F4458" w:rsidP="000667F5">
            <w:pPr>
              <w:pStyle w:val="TableText"/>
              <w:tabs>
                <w:tab w:val="decimal" w:pos="1191"/>
              </w:tabs>
              <w:spacing w:before="45" w:after="45"/>
            </w:pPr>
            <w:r w:rsidRPr="00181EF3">
              <w:t>314 (10.5%)</w:t>
            </w:r>
          </w:p>
        </w:tc>
        <w:tc>
          <w:tcPr>
            <w:tcW w:w="2694" w:type="dxa"/>
            <w:tcBorders>
              <w:top w:val="single" w:sz="4" w:space="0" w:color="A6A6A6" w:themeColor="background1" w:themeShade="A6"/>
              <w:bottom w:val="single" w:sz="4" w:space="0" w:color="A6A6A6" w:themeColor="background1" w:themeShade="A6"/>
            </w:tcBorders>
          </w:tcPr>
          <w:p w14:paraId="7B8F1B95" w14:textId="77777777" w:rsidR="002F4458" w:rsidRPr="00181EF3" w:rsidRDefault="002F4458" w:rsidP="000667F5">
            <w:pPr>
              <w:pStyle w:val="TableText"/>
              <w:spacing w:before="45" w:after="45"/>
              <w:jc w:val="center"/>
            </w:pPr>
            <w:r w:rsidRPr="00181EF3">
              <w:t>2,670 (89.5%)</w:t>
            </w:r>
          </w:p>
        </w:tc>
      </w:tr>
      <w:tr w:rsidR="002F4458" w:rsidRPr="00181EF3" w14:paraId="60502642" w14:textId="77777777" w:rsidTr="0064111D">
        <w:trPr>
          <w:cantSplit/>
        </w:trPr>
        <w:tc>
          <w:tcPr>
            <w:tcW w:w="2693" w:type="dxa"/>
            <w:tcBorders>
              <w:top w:val="single" w:sz="4" w:space="0" w:color="A6A6A6" w:themeColor="background1" w:themeShade="A6"/>
              <w:bottom w:val="single" w:sz="4" w:space="0" w:color="A6A6A6" w:themeColor="background1" w:themeShade="A6"/>
            </w:tcBorders>
          </w:tcPr>
          <w:p w14:paraId="02E65A52" w14:textId="77777777" w:rsidR="002F4458" w:rsidRPr="00181EF3" w:rsidRDefault="002F4458" w:rsidP="000667F5">
            <w:pPr>
              <w:pStyle w:val="TableText"/>
              <w:spacing w:before="45" w:after="45"/>
              <w:jc w:val="center"/>
            </w:pPr>
            <w:r w:rsidRPr="00181EF3">
              <w:t>2013</w:t>
            </w:r>
          </w:p>
        </w:tc>
        <w:tc>
          <w:tcPr>
            <w:tcW w:w="2693" w:type="dxa"/>
            <w:tcBorders>
              <w:top w:val="single" w:sz="4" w:space="0" w:color="A6A6A6" w:themeColor="background1" w:themeShade="A6"/>
              <w:bottom w:val="single" w:sz="4" w:space="0" w:color="A6A6A6" w:themeColor="background1" w:themeShade="A6"/>
            </w:tcBorders>
          </w:tcPr>
          <w:p w14:paraId="5A23BCFA" w14:textId="77777777" w:rsidR="002F4458" w:rsidRPr="00181EF3" w:rsidRDefault="002F4458" w:rsidP="000667F5">
            <w:pPr>
              <w:pStyle w:val="TableText"/>
              <w:tabs>
                <w:tab w:val="decimal" w:pos="1191"/>
              </w:tabs>
              <w:spacing w:before="45" w:after="45"/>
            </w:pPr>
            <w:r w:rsidRPr="00181EF3">
              <w:t>296 (10.0%)</w:t>
            </w:r>
          </w:p>
        </w:tc>
        <w:tc>
          <w:tcPr>
            <w:tcW w:w="2694" w:type="dxa"/>
            <w:tcBorders>
              <w:top w:val="single" w:sz="4" w:space="0" w:color="A6A6A6" w:themeColor="background1" w:themeShade="A6"/>
              <w:bottom w:val="single" w:sz="4" w:space="0" w:color="A6A6A6" w:themeColor="background1" w:themeShade="A6"/>
            </w:tcBorders>
          </w:tcPr>
          <w:p w14:paraId="28159DB6" w14:textId="77777777" w:rsidR="002F4458" w:rsidRPr="00181EF3" w:rsidRDefault="002F4458" w:rsidP="000667F5">
            <w:pPr>
              <w:pStyle w:val="TableText"/>
              <w:spacing w:before="45" w:after="45"/>
              <w:jc w:val="center"/>
            </w:pPr>
            <w:r w:rsidRPr="00181EF3">
              <w:t>2,669 (90.0%)</w:t>
            </w:r>
          </w:p>
        </w:tc>
      </w:tr>
      <w:tr w:rsidR="002F4458" w:rsidRPr="00181EF3" w14:paraId="24C4E862" w14:textId="77777777" w:rsidTr="0064111D">
        <w:trPr>
          <w:cantSplit/>
        </w:trPr>
        <w:tc>
          <w:tcPr>
            <w:tcW w:w="2693" w:type="dxa"/>
            <w:tcBorders>
              <w:top w:val="single" w:sz="4" w:space="0" w:color="A6A6A6" w:themeColor="background1" w:themeShade="A6"/>
              <w:bottom w:val="single" w:sz="4" w:space="0" w:color="A6A6A6" w:themeColor="background1" w:themeShade="A6"/>
            </w:tcBorders>
          </w:tcPr>
          <w:p w14:paraId="7DD89554" w14:textId="77777777" w:rsidR="002F4458" w:rsidRPr="00181EF3" w:rsidRDefault="002F4458" w:rsidP="000667F5">
            <w:pPr>
              <w:pStyle w:val="TableText"/>
              <w:spacing w:before="45" w:after="45"/>
              <w:jc w:val="center"/>
            </w:pPr>
            <w:r w:rsidRPr="00181EF3">
              <w:t>2014</w:t>
            </w:r>
          </w:p>
        </w:tc>
        <w:tc>
          <w:tcPr>
            <w:tcW w:w="2693" w:type="dxa"/>
            <w:tcBorders>
              <w:top w:val="single" w:sz="4" w:space="0" w:color="A6A6A6" w:themeColor="background1" w:themeShade="A6"/>
              <w:bottom w:val="single" w:sz="4" w:space="0" w:color="A6A6A6" w:themeColor="background1" w:themeShade="A6"/>
            </w:tcBorders>
          </w:tcPr>
          <w:p w14:paraId="78E5B22C" w14:textId="77777777" w:rsidR="002F4458" w:rsidRPr="00181EF3" w:rsidRDefault="002F4458" w:rsidP="000667F5">
            <w:pPr>
              <w:pStyle w:val="TableText"/>
              <w:tabs>
                <w:tab w:val="decimal" w:pos="1191"/>
              </w:tabs>
              <w:spacing w:before="45" w:after="45"/>
            </w:pPr>
            <w:r w:rsidRPr="00181EF3">
              <w:t>272 (9.2%)</w:t>
            </w:r>
          </w:p>
        </w:tc>
        <w:tc>
          <w:tcPr>
            <w:tcW w:w="2694" w:type="dxa"/>
            <w:tcBorders>
              <w:top w:val="single" w:sz="4" w:space="0" w:color="A6A6A6" w:themeColor="background1" w:themeShade="A6"/>
              <w:bottom w:val="single" w:sz="4" w:space="0" w:color="A6A6A6" w:themeColor="background1" w:themeShade="A6"/>
            </w:tcBorders>
          </w:tcPr>
          <w:p w14:paraId="1EF1292A" w14:textId="77777777" w:rsidR="002F4458" w:rsidRPr="00181EF3" w:rsidRDefault="002F4458" w:rsidP="000667F5">
            <w:pPr>
              <w:pStyle w:val="TableText"/>
              <w:spacing w:before="45" w:after="45"/>
              <w:jc w:val="center"/>
            </w:pPr>
            <w:r w:rsidRPr="00181EF3">
              <w:t>2,599 (90.5%)</w:t>
            </w:r>
          </w:p>
        </w:tc>
      </w:tr>
      <w:tr w:rsidR="002F4458" w:rsidRPr="00181EF3" w14:paraId="6D27080F" w14:textId="77777777" w:rsidTr="0064111D">
        <w:trPr>
          <w:cantSplit/>
        </w:trPr>
        <w:tc>
          <w:tcPr>
            <w:tcW w:w="2693" w:type="dxa"/>
            <w:tcBorders>
              <w:top w:val="single" w:sz="4" w:space="0" w:color="A6A6A6" w:themeColor="background1" w:themeShade="A6"/>
              <w:bottom w:val="single" w:sz="4" w:space="0" w:color="A6A6A6" w:themeColor="background1" w:themeShade="A6"/>
            </w:tcBorders>
          </w:tcPr>
          <w:p w14:paraId="3113ACF4" w14:textId="77777777" w:rsidR="002F4458" w:rsidRPr="00181EF3" w:rsidRDefault="002F4458" w:rsidP="000667F5">
            <w:pPr>
              <w:pStyle w:val="TableText"/>
              <w:spacing w:before="45" w:after="45"/>
              <w:jc w:val="center"/>
            </w:pPr>
            <w:r w:rsidRPr="00181EF3">
              <w:t>2015</w:t>
            </w:r>
          </w:p>
        </w:tc>
        <w:tc>
          <w:tcPr>
            <w:tcW w:w="2693" w:type="dxa"/>
            <w:tcBorders>
              <w:top w:val="single" w:sz="4" w:space="0" w:color="A6A6A6" w:themeColor="background1" w:themeShade="A6"/>
              <w:bottom w:val="single" w:sz="4" w:space="0" w:color="A6A6A6" w:themeColor="background1" w:themeShade="A6"/>
            </w:tcBorders>
          </w:tcPr>
          <w:p w14:paraId="5ADECCB4" w14:textId="77777777" w:rsidR="002F4458" w:rsidRPr="00181EF3" w:rsidRDefault="002F4458" w:rsidP="000667F5">
            <w:pPr>
              <w:pStyle w:val="TableText"/>
              <w:tabs>
                <w:tab w:val="decimal" w:pos="1191"/>
              </w:tabs>
              <w:spacing w:before="45" w:after="45"/>
            </w:pPr>
            <w:r w:rsidRPr="00181EF3">
              <w:t>259 (9.2%)</w:t>
            </w:r>
          </w:p>
        </w:tc>
        <w:tc>
          <w:tcPr>
            <w:tcW w:w="2694" w:type="dxa"/>
            <w:tcBorders>
              <w:top w:val="single" w:sz="4" w:space="0" w:color="A6A6A6" w:themeColor="background1" w:themeShade="A6"/>
              <w:bottom w:val="single" w:sz="4" w:space="0" w:color="A6A6A6" w:themeColor="background1" w:themeShade="A6"/>
            </w:tcBorders>
          </w:tcPr>
          <w:p w14:paraId="305FFAD8" w14:textId="77777777" w:rsidR="002F4458" w:rsidRPr="00181EF3" w:rsidRDefault="002F4458" w:rsidP="000667F5">
            <w:pPr>
              <w:pStyle w:val="TableText"/>
              <w:spacing w:before="45" w:after="45"/>
              <w:jc w:val="center"/>
            </w:pPr>
            <w:r w:rsidRPr="00181EF3">
              <w:t>2,556 (90.8%)</w:t>
            </w:r>
          </w:p>
        </w:tc>
      </w:tr>
      <w:tr w:rsidR="002F4458" w:rsidRPr="00181EF3" w14:paraId="04E04521" w14:textId="77777777" w:rsidTr="0064111D">
        <w:trPr>
          <w:cantSplit/>
        </w:trPr>
        <w:tc>
          <w:tcPr>
            <w:tcW w:w="2693" w:type="dxa"/>
            <w:tcBorders>
              <w:top w:val="single" w:sz="4" w:space="0" w:color="A6A6A6" w:themeColor="background1" w:themeShade="A6"/>
              <w:bottom w:val="single" w:sz="4" w:space="0" w:color="A6A6A6" w:themeColor="background1" w:themeShade="A6"/>
            </w:tcBorders>
          </w:tcPr>
          <w:p w14:paraId="0D6D0E41" w14:textId="77777777" w:rsidR="002F4458" w:rsidRPr="00181EF3" w:rsidRDefault="002F4458" w:rsidP="0064111D">
            <w:pPr>
              <w:pStyle w:val="TableText"/>
              <w:spacing w:before="45" w:after="45"/>
              <w:jc w:val="center"/>
            </w:pPr>
            <w:r w:rsidRPr="00181EF3">
              <w:t>2016</w:t>
            </w:r>
          </w:p>
        </w:tc>
        <w:tc>
          <w:tcPr>
            <w:tcW w:w="2693" w:type="dxa"/>
            <w:tcBorders>
              <w:top w:val="single" w:sz="4" w:space="0" w:color="A6A6A6" w:themeColor="background1" w:themeShade="A6"/>
              <w:bottom w:val="single" w:sz="4" w:space="0" w:color="A6A6A6" w:themeColor="background1" w:themeShade="A6"/>
            </w:tcBorders>
          </w:tcPr>
          <w:p w14:paraId="2BC88F2F" w14:textId="77777777" w:rsidR="002F4458" w:rsidRPr="00181EF3" w:rsidRDefault="002F4458" w:rsidP="0064111D">
            <w:pPr>
              <w:pStyle w:val="TableText"/>
              <w:tabs>
                <w:tab w:val="decimal" w:pos="1191"/>
              </w:tabs>
              <w:spacing w:before="45" w:after="45"/>
            </w:pPr>
            <w:r w:rsidRPr="00181EF3">
              <w:t>254 (9.3%)</w:t>
            </w:r>
          </w:p>
        </w:tc>
        <w:tc>
          <w:tcPr>
            <w:tcW w:w="2694" w:type="dxa"/>
            <w:tcBorders>
              <w:top w:val="single" w:sz="4" w:space="0" w:color="A6A6A6" w:themeColor="background1" w:themeShade="A6"/>
              <w:bottom w:val="single" w:sz="4" w:space="0" w:color="A6A6A6" w:themeColor="background1" w:themeShade="A6"/>
            </w:tcBorders>
          </w:tcPr>
          <w:p w14:paraId="4829C10F" w14:textId="77777777" w:rsidR="002F4458" w:rsidRPr="00181EF3" w:rsidRDefault="002F4458" w:rsidP="0064111D">
            <w:pPr>
              <w:pStyle w:val="TableText"/>
              <w:spacing w:before="45" w:after="45"/>
              <w:jc w:val="center"/>
            </w:pPr>
            <w:r w:rsidRPr="00181EF3">
              <w:t>2,483 (90.7%)</w:t>
            </w:r>
          </w:p>
        </w:tc>
      </w:tr>
      <w:tr w:rsidR="002F4458" w:rsidRPr="00181EF3" w14:paraId="4FDEFA52" w14:textId="77777777" w:rsidTr="0064111D">
        <w:trPr>
          <w:cantSplit/>
        </w:trPr>
        <w:tc>
          <w:tcPr>
            <w:tcW w:w="2693" w:type="dxa"/>
            <w:tcBorders>
              <w:top w:val="single" w:sz="4" w:space="0" w:color="A6A6A6" w:themeColor="background1" w:themeShade="A6"/>
              <w:bottom w:val="single" w:sz="4" w:space="0" w:color="A6A6A6" w:themeColor="background1" w:themeShade="A6"/>
            </w:tcBorders>
          </w:tcPr>
          <w:p w14:paraId="2AC8ACF3" w14:textId="77777777" w:rsidR="002F4458" w:rsidRPr="00181EF3" w:rsidRDefault="002F4458" w:rsidP="0064111D">
            <w:pPr>
              <w:pStyle w:val="TableText"/>
              <w:spacing w:before="45" w:after="45"/>
              <w:jc w:val="center"/>
            </w:pPr>
            <w:r w:rsidRPr="00181EF3">
              <w:t>2017</w:t>
            </w:r>
          </w:p>
        </w:tc>
        <w:tc>
          <w:tcPr>
            <w:tcW w:w="2693" w:type="dxa"/>
            <w:tcBorders>
              <w:top w:val="single" w:sz="4" w:space="0" w:color="A6A6A6" w:themeColor="background1" w:themeShade="A6"/>
              <w:bottom w:val="single" w:sz="4" w:space="0" w:color="A6A6A6" w:themeColor="background1" w:themeShade="A6"/>
            </w:tcBorders>
          </w:tcPr>
          <w:p w14:paraId="6F9FB553" w14:textId="77777777" w:rsidR="002F4458" w:rsidRPr="00181EF3" w:rsidRDefault="002F4458" w:rsidP="0064111D">
            <w:pPr>
              <w:pStyle w:val="TableText"/>
              <w:tabs>
                <w:tab w:val="decimal" w:pos="1191"/>
              </w:tabs>
              <w:spacing w:before="45" w:after="45"/>
            </w:pPr>
            <w:r w:rsidRPr="00181EF3">
              <w:t>244 (9.2%)</w:t>
            </w:r>
          </w:p>
        </w:tc>
        <w:tc>
          <w:tcPr>
            <w:tcW w:w="2694" w:type="dxa"/>
            <w:tcBorders>
              <w:top w:val="single" w:sz="4" w:space="0" w:color="A6A6A6" w:themeColor="background1" w:themeShade="A6"/>
              <w:bottom w:val="single" w:sz="4" w:space="0" w:color="A6A6A6" w:themeColor="background1" w:themeShade="A6"/>
            </w:tcBorders>
          </w:tcPr>
          <w:p w14:paraId="5CFC2331" w14:textId="77777777" w:rsidR="002F4458" w:rsidRPr="00181EF3" w:rsidRDefault="002F4458" w:rsidP="0064111D">
            <w:pPr>
              <w:pStyle w:val="TableText"/>
              <w:spacing w:before="45" w:after="45"/>
              <w:jc w:val="center"/>
            </w:pPr>
            <w:r w:rsidRPr="00181EF3">
              <w:t>2,404 (90.8%)</w:t>
            </w:r>
          </w:p>
        </w:tc>
      </w:tr>
      <w:tr w:rsidR="002F4458" w:rsidRPr="00181EF3" w14:paraId="67B0C3AB" w14:textId="77777777" w:rsidTr="0064111D">
        <w:trPr>
          <w:cantSplit/>
        </w:trPr>
        <w:tc>
          <w:tcPr>
            <w:tcW w:w="2693" w:type="dxa"/>
            <w:tcBorders>
              <w:top w:val="single" w:sz="4" w:space="0" w:color="A6A6A6" w:themeColor="background1" w:themeShade="A6"/>
              <w:bottom w:val="single" w:sz="4" w:space="0" w:color="A6A6A6" w:themeColor="background1" w:themeShade="A6"/>
            </w:tcBorders>
          </w:tcPr>
          <w:p w14:paraId="38360EBB" w14:textId="77777777" w:rsidR="002F4458" w:rsidRPr="00181EF3" w:rsidRDefault="002F4458" w:rsidP="0064111D">
            <w:pPr>
              <w:pStyle w:val="TableText"/>
              <w:spacing w:before="45" w:after="45"/>
              <w:jc w:val="center"/>
            </w:pPr>
            <w:r w:rsidRPr="00181EF3">
              <w:t>2018</w:t>
            </w:r>
          </w:p>
        </w:tc>
        <w:tc>
          <w:tcPr>
            <w:tcW w:w="2693" w:type="dxa"/>
            <w:tcBorders>
              <w:top w:val="single" w:sz="4" w:space="0" w:color="A6A6A6" w:themeColor="background1" w:themeShade="A6"/>
              <w:bottom w:val="single" w:sz="4" w:space="0" w:color="A6A6A6" w:themeColor="background1" w:themeShade="A6"/>
            </w:tcBorders>
          </w:tcPr>
          <w:p w14:paraId="0CDFE7D7" w14:textId="77777777" w:rsidR="002F4458" w:rsidRPr="00181EF3" w:rsidRDefault="002F4458" w:rsidP="0064111D">
            <w:pPr>
              <w:pStyle w:val="TableText"/>
              <w:tabs>
                <w:tab w:val="decimal" w:pos="1191"/>
              </w:tabs>
              <w:spacing w:before="45" w:after="45"/>
            </w:pPr>
            <w:r w:rsidRPr="00181EF3">
              <w:t>244 (9.6%)</w:t>
            </w:r>
          </w:p>
        </w:tc>
        <w:tc>
          <w:tcPr>
            <w:tcW w:w="2694" w:type="dxa"/>
            <w:tcBorders>
              <w:top w:val="single" w:sz="4" w:space="0" w:color="A6A6A6" w:themeColor="background1" w:themeShade="A6"/>
              <w:bottom w:val="single" w:sz="4" w:space="0" w:color="A6A6A6" w:themeColor="background1" w:themeShade="A6"/>
            </w:tcBorders>
          </w:tcPr>
          <w:p w14:paraId="04CDD6A9" w14:textId="77777777" w:rsidR="002F4458" w:rsidRPr="00181EF3" w:rsidRDefault="002F4458" w:rsidP="0064111D">
            <w:pPr>
              <w:pStyle w:val="TableText"/>
              <w:spacing w:before="45" w:after="45"/>
              <w:jc w:val="center"/>
            </w:pPr>
            <w:r w:rsidRPr="00181EF3">
              <w:t>2,305 (90.4%)</w:t>
            </w:r>
          </w:p>
        </w:tc>
      </w:tr>
    </w:tbl>
    <w:p w14:paraId="034F72C2" w14:textId="77777777" w:rsidR="002F4458" w:rsidRPr="00181EF3" w:rsidRDefault="002F4458" w:rsidP="002F4458">
      <w:pPr>
        <w:pStyle w:val="Source"/>
      </w:pPr>
      <w:r w:rsidRPr="00181EF3">
        <w:t>Source: Nursing Council of New Zealand, 2011–2018.</w:t>
      </w:r>
    </w:p>
    <w:p w14:paraId="19F224B7" w14:textId="77777777" w:rsidR="002F4458" w:rsidRPr="00181EF3" w:rsidRDefault="002F4458" w:rsidP="002F4458"/>
    <w:p w14:paraId="797748B6" w14:textId="108A0E75" w:rsidR="002F4458" w:rsidRPr="00181EF3" w:rsidRDefault="002F4458" w:rsidP="002F4458">
      <w:pPr>
        <w:pStyle w:val="Table"/>
      </w:pPr>
      <w:bookmarkStart w:id="605" w:name="_Toc18594801"/>
      <w:r w:rsidRPr="00181EF3">
        <w:t xml:space="preserve">Table </w:t>
      </w:r>
      <w:r>
        <w:t>A6.2</w:t>
      </w:r>
      <w:r w:rsidRPr="00181EF3">
        <w:t xml:space="preserve">: Estimated number (percentage in workforce) of Māori and </w:t>
      </w:r>
      <w:r w:rsidR="00EC03A3">
        <w:t>non</w:t>
      </w:r>
      <w:r w:rsidR="00EC03A3">
        <w:noBreakHyphen/>
        <w:t>M</w:t>
      </w:r>
      <w:r w:rsidRPr="00181EF3">
        <w:t>āori, nurse practitioners, 2011–2018</w:t>
      </w:r>
      <w:bookmarkEnd w:id="605"/>
    </w:p>
    <w:tbl>
      <w:tblPr>
        <w:tblW w:w="0" w:type="auto"/>
        <w:tblInd w:w="57" w:type="dxa"/>
        <w:tblLayout w:type="fixed"/>
        <w:tblCellMar>
          <w:left w:w="57" w:type="dxa"/>
          <w:right w:w="57" w:type="dxa"/>
        </w:tblCellMar>
        <w:tblLook w:val="04A0" w:firstRow="1" w:lastRow="0" w:firstColumn="1" w:lastColumn="0" w:noHBand="0" w:noVBand="1"/>
      </w:tblPr>
      <w:tblGrid>
        <w:gridCol w:w="2693"/>
        <w:gridCol w:w="2693"/>
        <w:gridCol w:w="2694"/>
      </w:tblGrid>
      <w:tr w:rsidR="002F4458" w:rsidRPr="00181EF3" w14:paraId="18364566" w14:textId="77777777" w:rsidTr="0064111D">
        <w:trPr>
          <w:cantSplit/>
        </w:trPr>
        <w:tc>
          <w:tcPr>
            <w:tcW w:w="8080" w:type="dxa"/>
            <w:gridSpan w:val="3"/>
            <w:shd w:val="clear" w:color="auto" w:fill="D9D9D9" w:themeFill="background1" w:themeFillShade="D9"/>
          </w:tcPr>
          <w:p w14:paraId="702D62DA" w14:textId="77777777" w:rsidR="002F4458" w:rsidRPr="00181EF3" w:rsidRDefault="002F4458" w:rsidP="0064111D">
            <w:pPr>
              <w:pStyle w:val="TableText"/>
              <w:spacing w:before="50" w:after="50"/>
              <w:jc w:val="center"/>
              <w:rPr>
                <w:b/>
              </w:rPr>
            </w:pPr>
            <w:r w:rsidRPr="00181EF3">
              <w:rPr>
                <w:b/>
              </w:rPr>
              <w:t>Nurse practitioner (2011–2018)</w:t>
            </w:r>
          </w:p>
        </w:tc>
      </w:tr>
      <w:tr w:rsidR="002F4458" w:rsidRPr="00181EF3" w14:paraId="2DA110EB" w14:textId="77777777" w:rsidTr="0064111D">
        <w:trPr>
          <w:cantSplit/>
        </w:trPr>
        <w:tc>
          <w:tcPr>
            <w:tcW w:w="2693" w:type="dxa"/>
            <w:shd w:val="clear" w:color="auto" w:fill="F2F2F2" w:themeFill="background1" w:themeFillShade="F2"/>
          </w:tcPr>
          <w:p w14:paraId="75112BCC" w14:textId="77777777" w:rsidR="002F4458" w:rsidRPr="00181EF3" w:rsidRDefault="002F4458" w:rsidP="0064111D">
            <w:pPr>
              <w:pStyle w:val="TableText"/>
              <w:tabs>
                <w:tab w:val="right" w:pos="2806"/>
              </w:tabs>
              <w:spacing w:before="50" w:after="50"/>
              <w:jc w:val="center"/>
              <w:rPr>
                <w:b/>
              </w:rPr>
            </w:pPr>
            <w:r w:rsidRPr="00181EF3">
              <w:rPr>
                <w:b/>
              </w:rPr>
              <w:t>Year</w:t>
            </w:r>
          </w:p>
        </w:tc>
        <w:tc>
          <w:tcPr>
            <w:tcW w:w="2693" w:type="dxa"/>
            <w:shd w:val="clear" w:color="auto" w:fill="F2F2F2" w:themeFill="background1" w:themeFillShade="F2"/>
          </w:tcPr>
          <w:p w14:paraId="2ECA37D5" w14:textId="77777777" w:rsidR="002F4458" w:rsidRPr="00181EF3" w:rsidRDefault="002F4458" w:rsidP="0064111D">
            <w:pPr>
              <w:pStyle w:val="TableText"/>
              <w:spacing w:before="50" w:after="50"/>
              <w:jc w:val="center"/>
              <w:rPr>
                <w:b/>
              </w:rPr>
            </w:pPr>
            <w:r w:rsidRPr="00181EF3">
              <w:rPr>
                <w:b/>
              </w:rPr>
              <w:t>Māori</w:t>
            </w:r>
          </w:p>
        </w:tc>
        <w:tc>
          <w:tcPr>
            <w:tcW w:w="2694" w:type="dxa"/>
            <w:shd w:val="clear" w:color="auto" w:fill="F2F2F2" w:themeFill="background1" w:themeFillShade="F2"/>
          </w:tcPr>
          <w:p w14:paraId="1ECCB0A3" w14:textId="5EC2EBB9" w:rsidR="002F4458" w:rsidRPr="00181EF3" w:rsidRDefault="00EC03A3" w:rsidP="0064111D">
            <w:pPr>
              <w:pStyle w:val="TableText"/>
              <w:spacing w:before="50" w:after="50"/>
              <w:jc w:val="center"/>
              <w:rPr>
                <w:b/>
              </w:rPr>
            </w:pPr>
            <w:r>
              <w:rPr>
                <w:b/>
              </w:rPr>
              <w:t>Non</w:t>
            </w:r>
            <w:r>
              <w:rPr>
                <w:b/>
              </w:rPr>
              <w:noBreakHyphen/>
              <w:t>M</w:t>
            </w:r>
            <w:r w:rsidR="002F4458" w:rsidRPr="00181EF3">
              <w:rPr>
                <w:b/>
              </w:rPr>
              <w:t>āori</w:t>
            </w:r>
          </w:p>
        </w:tc>
      </w:tr>
      <w:tr w:rsidR="002F4458" w:rsidRPr="00181EF3" w14:paraId="490CAC4F" w14:textId="77777777" w:rsidTr="0064111D">
        <w:trPr>
          <w:cantSplit/>
        </w:trPr>
        <w:tc>
          <w:tcPr>
            <w:tcW w:w="2693" w:type="dxa"/>
            <w:tcBorders>
              <w:bottom w:val="single" w:sz="4" w:space="0" w:color="A6A6A6" w:themeColor="background1" w:themeShade="A6"/>
            </w:tcBorders>
          </w:tcPr>
          <w:p w14:paraId="1712C796" w14:textId="77777777" w:rsidR="002F4458" w:rsidRPr="00181EF3" w:rsidRDefault="002F4458" w:rsidP="0064111D">
            <w:pPr>
              <w:pStyle w:val="TableText"/>
              <w:spacing w:before="50" w:after="50"/>
              <w:jc w:val="center"/>
            </w:pPr>
            <w:r w:rsidRPr="00181EF3">
              <w:t>2011</w:t>
            </w:r>
          </w:p>
        </w:tc>
        <w:tc>
          <w:tcPr>
            <w:tcW w:w="2693" w:type="dxa"/>
            <w:tcBorders>
              <w:bottom w:val="single" w:sz="4" w:space="0" w:color="A6A6A6" w:themeColor="background1" w:themeShade="A6"/>
            </w:tcBorders>
          </w:tcPr>
          <w:p w14:paraId="467F9285" w14:textId="77777777" w:rsidR="002F4458" w:rsidRPr="00181EF3" w:rsidRDefault="002F4458" w:rsidP="0064111D">
            <w:pPr>
              <w:pStyle w:val="TableText"/>
              <w:tabs>
                <w:tab w:val="decimal" w:pos="1191"/>
              </w:tabs>
              <w:spacing w:before="50" w:after="50"/>
            </w:pPr>
            <w:r w:rsidRPr="00181EF3">
              <w:t>4 (5.9%)</w:t>
            </w:r>
          </w:p>
        </w:tc>
        <w:tc>
          <w:tcPr>
            <w:tcW w:w="2694" w:type="dxa"/>
            <w:tcBorders>
              <w:bottom w:val="single" w:sz="4" w:space="0" w:color="A6A6A6" w:themeColor="background1" w:themeShade="A6"/>
            </w:tcBorders>
          </w:tcPr>
          <w:p w14:paraId="2724C7AB" w14:textId="77777777" w:rsidR="002F4458" w:rsidRPr="00181EF3" w:rsidRDefault="002F4458" w:rsidP="0064111D">
            <w:pPr>
              <w:pStyle w:val="TableText"/>
              <w:tabs>
                <w:tab w:val="decimal" w:pos="1191"/>
              </w:tabs>
              <w:spacing w:before="50" w:after="50"/>
            </w:pPr>
            <w:r w:rsidRPr="00181EF3">
              <w:t>64 (94.1%)</w:t>
            </w:r>
          </w:p>
        </w:tc>
      </w:tr>
      <w:tr w:rsidR="002F4458" w:rsidRPr="00181EF3" w14:paraId="0C0B4D23" w14:textId="77777777" w:rsidTr="0064111D">
        <w:trPr>
          <w:cantSplit/>
        </w:trPr>
        <w:tc>
          <w:tcPr>
            <w:tcW w:w="2693" w:type="dxa"/>
            <w:tcBorders>
              <w:top w:val="single" w:sz="4" w:space="0" w:color="A6A6A6" w:themeColor="background1" w:themeShade="A6"/>
              <w:bottom w:val="single" w:sz="4" w:space="0" w:color="A6A6A6" w:themeColor="background1" w:themeShade="A6"/>
            </w:tcBorders>
          </w:tcPr>
          <w:p w14:paraId="063B2D97" w14:textId="77777777" w:rsidR="002F4458" w:rsidRPr="00181EF3" w:rsidRDefault="002F4458" w:rsidP="0064111D">
            <w:pPr>
              <w:pStyle w:val="TableText"/>
              <w:spacing w:before="50" w:after="50"/>
              <w:jc w:val="center"/>
            </w:pPr>
            <w:r w:rsidRPr="00181EF3">
              <w:t>2012</w:t>
            </w:r>
          </w:p>
        </w:tc>
        <w:tc>
          <w:tcPr>
            <w:tcW w:w="2693" w:type="dxa"/>
            <w:tcBorders>
              <w:top w:val="single" w:sz="4" w:space="0" w:color="A6A6A6" w:themeColor="background1" w:themeShade="A6"/>
              <w:bottom w:val="single" w:sz="4" w:space="0" w:color="A6A6A6" w:themeColor="background1" w:themeShade="A6"/>
            </w:tcBorders>
          </w:tcPr>
          <w:p w14:paraId="2750B9FF" w14:textId="77777777" w:rsidR="002F4458" w:rsidRPr="00181EF3" w:rsidRDefault="002F4458" w:rsidP="0064111D">
            <w:pPr>
              <w:pStyle w:val="TableText"/>
              <w:tabs>
                <w:tab w:val="decimal" w:pos="1191"/>
              </w:tabs>
              <w:spacing w:before="50" w:after="50"/>
            </w:pPr>
            <w:r w:rsidRPr="00181EF3">
              <w:t>3 (3.9%)</w:t>
            </w:r>
          </w:p>
        </w:tc>
        <w:tc>
          <w:tcPr>
            <w:tcW w:w="2694" w:type="dxa"/>
            <w:tcBorders>
              <w:top w:val="single" w:sz="4" w:space="0" w:color="A6A6A6" w:themeColor="background1" w:themeShade="A6"/>
              <w:bottom w:val="single" w:sz="4" w:space="0" w:color="A6A6A6" w:themeColor="background1" w:themeShade="A6"/>
            </w:tcBorders>
          </w:tcPr>
          <w:p w14:paraId="5EFC31B1" w14:textId="77777777" w:rsidR="002F4458" w:rsidRPr="00181EF3" w:rsidRDefault="002F4458" w:rsidP="0064111D">
            <w:pPr>
              <w:pStyle w:val="TableText"/>
              <w:tabs>
                <w:tab w:val="decimal" w:pos="1191"/>
              </w:tabs>
              <w:spacing w:before="50" w:after="50"/>
            </w:pPr>
            <w:r w:rsidRPr="00181EF3">
              <w:t>73 (96.1%)</w:t>
            </w:r>
          </w:p>
        </w:tc>
      </w:tr>
      <w:tr w:rsidR="002F4458" w:rsidRPr="00181EF3" w14:paraId="1964DFA7" w14:textId="77777777" w:rsidTr="0064111D">
        <w:trPr>
          <w:cantSplit/>
        </w:trPr>
        <w:tc>
          <w:tcPr>
            <w:tcW w:w="2693" w:type="dxa"/>
            <w:tcBorders>
              <w:top w:val="single" w:sz="4" w:space="0" w:color="A6A6A6" w:themeColor="background1" w:themeShade="A6"/>
              <w:bottom w:val="single" w:sz="4" w:space="0" w:color="A6A6A6" w:themeColor="background1" w:themeShade="A6"/>
            </w:tcBorders>
          </w:tcPr>
          <w:p w14:paraId="289AF888" w14:textId="77777777" w:rsidR="002F4458" w:rsidRPr="00181EF3" w:rsidRDefault="002F4458" w:rsidP="0064111D">
            <w:pPr>
              <w:pStyle w:val="TableText"/>
              <w:spacing w:before="50" w:after="50"/>
              <w:jc w:val="center"/>
            </w:pPr>
            <w:r w:rsidRPr="00181EF3">
              <w:t>2013</w:t>
            </w:r>
          </w:p>
        </w:tc>
        <w:tc>
          <w:tcPr>
            <w:tcW w:w="2693" w:type="dxa"/>
            <w:tcBorders>
              <w:top w:val="single" w:sz="4" w:space="0" w:color="A6A6A6" w:themeColor="background1" w:themeShade="A6"/>
              <w:bottom w:val="single" w:sz="4" w:space="0" w:color="A6A6A6" w:themeColor="background1" w:themeShade="A6"/>
            </w:tcBorders>
          </w:tcPr>
          <w:p w14:paraId="5C3D3174" w14:textId="77777777" w:rsidR="002F4458" w:rsidRPr="00181EF3" w:rsidRDefault="002F4458" w:rsidP="0064111D">
            <w:pPr>
              <w:pStyle w:val="TableText"/>
              <w:tabs>
                <w:tab w:val="decimal" w:pos="1191"/>
              </w:tabs>
              <w:spacing w:before="50" w:after="50"/>
            </w:pPr>
            <w:r w:rsidRPr="00181EF3">
              <w:t>7 (7.7%)</w:t>
            </w:r>
          </w:p>
        </w:tc>
        <w:tc>
          <w:tcPr>
            <w:tcW w:w="2694" w:type="dxa"/>
            <w:tcBorders>
              <w:top w:val="single" w:sz="4" w:space="0" w:color="A6A6A6" w:themeColor="background1" w:themeShade="A6"/>
              <w:bottom w:val="single" w:sz="4" w:space="0" w:color="A6A6A6" w:themeColor="background1" w:themeShade="A6"/>
            </w:tcBorders>
          </w:tcPr>
          <w:p w14:paraId="329F03E3" w14:textId="77777777" w:rsidR="002F4458" w:rsidRPr="00181EF3" w:rsidRDefault="002F4458" w:rsidP="0064111D">
            <w:pPr>
              <w:pStyle w:val="TableText"/>
              <w:tabs>
                <w:tab w:val="decimal" w:pos="1191"/>
              </w:tabs>
              <w:spacing w:before="50" w:after="50"/>
            </w:pPr>
            <w:r w:rsidRPr="00181EF3">
              <w:t>84 (92.3%)</w:t>
            </w:r>
          </w:p>
        </w:tc>
      </w:tr>
      <w:tr w:rsidR="002F4458" w:rsidRPr="00181EF3" w14:paraId="1F9FD3BD" w14:textId="77777777" w:rsidTr="0064111D">
        <w:trPr>
          <w:cantSplit/>
        </w:trPr>
        <w:tc>
          <w:tcPr>
            <w:tcW w:w="2693" w:type="dxa"/>
            <w:tcBorders>
              <w:top w:val="single" w:sz="4" w:space="0" w:color="A6A6A6" w:themeColor="background1" w:themeShade="A6"/>
              <w:bottom w:val="single" w:sz="4" w:space="0" w:color="A6A6A6" w:themeColor="background1" w:themeShade="A6"/>
            </w:tcBorders>
          </w:tcPr>
          <w:p w14:paraId="4DE4C862" w14:textId="77777777" w:rsidR="002F4458" w:rsidRPr="00181EF3" w:rsidRDefault="002F4458" w:rsidP="0064111D">
            <w:pPr>
              <w:pStyle w:val="TableText"/>
              <w:spacing w:before="50" w:after="50"/>
              <w:jc w:val="center"/>
            </w:pPr>
            <w:r w:rsidRPr="00181EF3">
              <w:t>2014</w:t>
            </w:r>
          </w:p>
        </w:tc>
        <w:tc>
          <w:tcPr>
            <w:tcW w:w="2693" w:type="dxa"/>
            <w:tcBorders>
              <w:top w:val="single" w:sz="4" w:space="0" w:color="A6A6A6" w:themeColor="background1" w:themeShade="A6"/>
              <w:bottom w:val="single" w:sz="4" w:space="0" w:color="A6A6A6" w:themeColor="background1" w:themeShade="A6"/>
            </w:tcBorders>
          </w:tcPr>
          <w:p w14:paraId="5CE832B7" w14:textId="77777777" w:rsidR="002F4458" w:rsidRPr="00181EF3" w:rsidRDefault="002F4458" w:rsidP="0064111D">
            <w:pPr>
              <w:pStyle w:val="TableText"/>
              <w:tabs>
                <w:tab w:val="decimal" w:pos="1191"/>
              </w:tabs>
              <w:spacing w:before="50" w:after="50"/>
            </w:pPr>
            <w:r w:rsidRPr="00181EF3">
              <w:t>13 (10.1%)</w:t>
            </w:r>
          </w:p>
        </w:tc>
        <w:tc>
          <w:tcPr>
            <w:tcW w:w="2694" w:type="dxa"/>
            <w:tcBorders>
              <w:top w:val="single" w:sz="4" w:space="0" w:color="A6A6A6" w:themeColor="background1" w:themeShade="A6"/>
              <w:bottom w:val="single" w:sz="4" w:space="0" w:color="A6A6A6" w:themeColor="background1" w:themeShade="A6"/>
            </w:tcBorders>
          </w:tcPr>
          <w:p w14:paraId="52EE6B86" w14:textId="77777777" w:rsidR="002F4458" w:rsidRPr="00181EF3" w:rsidRDefault="002F4458" w:rsidP="0064111D">
            <w:pPr>
              <w:pStyle w:val="TableText"/>
              <w:tabs>
                <w:tab w:val="decimal" w:pos="1191"/>
              </w:tabs>
              <w:spacing w:before="50" w:after="50"/>
            </w:pPr>
            <w:r w:rsidRPr="00181EF3">
              <w:t>116 (89.9%)</w:t>
            </w:r>
          </w:p>
        </w:tc>
      </w:tr>
      <w:tr w:rsidR="002F4458" w:rsidRPr="00181EF3" w14:paraId="4EC16EE8" w14:textId="77777777" w:rsidTr="0064111D">
        <w:trPr>
          <w:cantSplit/>
        </w:trPr>
        <w:tc>
          <w:tcPr>
            <w:tcW w:w="2693" w:type="dxa"/>
            <w:tcBorders>
              <w:top w:val="single" w:sz="4" w:space="0" w:color="A6A6A6" w:themeColor="background1" w:themeShade="A6"/>
              <w:bottom w:val="single" w:sz="4" w:space="0" w:color="A6A6A6" w:themeColor="background1" w:themeShade="A6"/>
            </w:tcBorders>
          </w:tcPr>
          <w:p w14:paraId="518ACE41" w14:textId="77777777" w:rsidR="002F4458" w:rsidRPr="00181EF3" w:rsidRDefault="002F4458" w:rsidP="0064111D">
            <w:pPr>
              <w:pStyle w:val="TableText"/>
              <w:spacing w:before="50" w:after="50"/>
              <w:jc w:val="center"/>
            </w:pPr>
            <w:r w:rsidRPr="00181EF3">
              <w:t>2015</w:t>
            </w:r>
          </w:p>
        </w:tc>
        <w:tc>
          <w:tcPr>
            <w:tcW w:w="2693" w:type="dxa"/>
            <w:tcBorders>
              <w:top w:val="single" w:sz="4" w:space="0" w:color="A6A6A6" w:themeColor="background1" w:themeShade="A6"/>
              <w:bottom w:val="single" w:sz="4" w:space="0" w:color="A6A6A6" w:themeColor="background1" w:themeShade="A6"/>
            </w:tcBorders>
          </w:tcPr>
          <w:p w14:paraId="55177039" w14:textId="77777777" w:rsidR="002F4458" w:rsidRPr="00181EF3" w:rsidRDefault="002F4458" w:rsidP="0064111D">
            <w:pPr>
              <w:pStyle w:val="TableText"/>
              <w:tabs>
                <w:tab w:val="decimal" w:pos="1191"/>
              </w:tabs>
              <w:spacing w:before="50" w:after="50"/>
            </w:pPr>
            <w:r w:rsidRPr="00181EF3">
              <w:t>15 (10.3%)</w:t>
            </w:r>
          </w:p>
        </w:tc>
        <w:tc>
          <w:tcPr>
            <w:tcW w:w="2694" w:type="dxa"/>
            <w:tcBorders>
              <w:top w:val="single" w:sz="4" w:space="0" w:color="A6A6A6" w:themeColor="background1" w:themeShade="A6"/>
              <w:bottom w:val="single" w:sz="4" w:space="0" w:color="A6A6A6" w:themeColor="background1" w:themeShade="A6"/>
            </w:tcBorders>
          </w:tcPr>
          <w:p w14:paraId="7F392806" w14:textId="77777777" w:rsidR="002F4458" w:rsidRPr="00181EF3" w:rsidRDefault="002F4458" w:rsidP="0064111D">
            <w:pPr>
              <w:pStyle w:val="TableText"/>
              <w:tabs>
                <w:tab w:val="decimal" w:pos="1191"/>
              </w:tabs>
              <w:spacing w:before="50" w:after="50"/>
            </w:pPr>
            <w:r w:rsidRPr="00181EF3">
              <w:t>130 (89.7%)</w:t>
            </w:r>
          </w:p>
        </w:tc>
      </w:tr>
      <w:tr w:rsidR="002F4458" w:rsidRPr="00181EF3" w14:paraId="21ED1E70" w14:textId="77777777" w:rsidTr="0064111D">
        <w:trPr>
          <w:cantSplit/>
        </w:trPr>
        <w:tc>
          <w:tcPr>
            <w:tcW w:w="2693" w:type="dxa"/>
            <w:tcBorders>
              <w:top w:val="single" w:sz="4" w:space="0" w:color="A6A6A6" w:themeColor="background1" w:themeShade="A6"/>
              <w:bottom w:val="single" w:sz="4" w:space="0" w:color="A6A6A6" w:themeColor="background1" w:themeShade="A6"/>
            </w:tcBorders>
          </w:tcPr>
          <w:p w14:paraId="6DC89684" w14:textId="77777777" w:rsidR="002F4458" w:rsidRPr="00181EF3" w:rsidRDefault="002F4458" w:rsidP="0064111D">
            <w:pPr>
              <w:pStyle w:val="TableText"/>
              <w:spacing w:before="50" w:after="50"/>
              <w:jc w:val="center"/>
            </w:pPr>
            <w:r w:rsidRPr="00181EF3">
              <w:t>2016</w:t>
            </w:r>
          </w:p>
        </w:tc>
        <w:tc>
          <w:tcPr>
            <w:tcW w:w="2693" w:type="dxa"/>
            <w:tcBorders>
              <w:top w:val="single" w:sz="4" w:space="0" w:color="A6A6A6" w:themeColor="background1" w:themeShade="A6"/>
              <w:bottom w:val="single" w:sz="4" w:space="0" w:color="A6A6A6" w:themeColor="background1" w:themeShade="A6"/>
            </w:tcBorders>
          </w:tcPr>
          <w:p w14:paraId="434336CC" w14:textId="77777777" w:rsidR="002F4458" w:rsidRPr="00181EF3" w:rsidRDefault="002F4458" w:rsidP="0064111D">
            <w:pPr>
              <w:pStyle w:val="TableText"/>
              <w:tabs>
                <w:tab w:val="decimal" w:pos="1191"/>
              </w:tabs>
              <w:spacing w:before="50" w:after="50"/>
            </w:pPr>
            <w:r w:rsidRPr="00181EF3">
              <w:t>19 (11.6%)</w:t>
            </w:r>
          </w:p>
        </w:tc>
        <w:tc>
          <w:tcPr>
            <w:tcW w:w="2694" w:type="dxa"/>
            <w:tcBorders>
              <w:top w:val="single" w:sz="4" w:space="0" w:color="A6A6A6" w:themeColor="background1" w:themeShade="A6"/>
              <w:bottom w:val="single" w:sz="4" w:space="0" w:color="A6A6A6" w:themeColor="background1" w:themeShade="A6"/>
            </w:tcBorders>
          </w:tcPr>
          <w:p w14:paraId="0499F8DE" w14:textId="77777777" w:rsidR="002F4458" w:rsidRPr="00181EF3" w:rsidRDefault="002F4458" w:rsidP="0064111D">
            <w:pPr>
              <w:pStyle w:val="TableText"/>
              <w:tabs>
                <w:tab w:val="decimal" w:pos="1191"/>
              </w:tabs>
              <w:spacing w:before="50" w:after="50"/>
            </w:pPr>
            <w:r w:rsidRPr="00181EF3">
              <w:t>145 (88.4%)</w:t>
            </w:r>
          </w:p>
        </w:tc>
      </w:tr>
      <w:tr w:rsidR="002F4458" w:rsidRPr="00181EF3" w14:paraId="3A5C0860" w14:textId="77777777" w:rsidTr="0064111D">
        <w:trPr>
          <w:cantSplit/>
        </w:trPr>
        <w:tc>
          <w:tcPr>
            <w:tcW w:w="2693" w:type="dxa"/>
            <w:tcBorders>
              <w:top w:val="single" w:sz="4" w:space="0" w:color="A6A6A6" w:themeColor="background1" w:themeShade="A6"/>
              <w:bottom w:val="single" w:sz="4" w:space="0" w:color="A6A6A6" w:themeColor="background1" w:themeShade="A6"/>
            </w:tcBorders>
          </w:tcPr>
          <w:p w14:paraId="20B57499" w14:textId="77777777" w:rsidR="002F4458" w:rsidRPr="00181EF3" w:rsidRDefault="002F4458" w:rsidP="0064111D">
            <w:pPr>
              <w:pStyle w:val="TableText"/>
              <w:spacing w:before="50" w:after="50"/>
              <w:jc w:val="center"/>
            </w:pPr>
            <w:r w:rsidRPr="00181EF3">
              <w:t>2017</w:t>
            </w:r>
          </w:p>
        </w:tc>
        <w:tc>
          <w:tcPr>
            <w:tcW w:w="2693" w:type="dxa"/>
            <w:tcBorders>
              <w:top w:val="single" w:sz="4" w:space="0" w:color="A6A6A6" w:themeColor="background1" w:themeShade="A6"/>
              <w:bottom w:val="single" w:sz="4" w:space="0" w:color="A6A6A6" w:themeColor="background1" w:themeShade="A6"/>
            </w:tcBorders>
          </w:tcPr>
          <w:p w14:paraId="6C46D71D" w14:textId="77777777" w:rsidR="002F4458" w:rsidRPr="00181EF3" w:rsidRDefault="002F4458" w:rsidP="0064111D">
            <w:pPr>
              <w:pStyle w:val="TableText"/>
              <w:tabs>
                <w:tab w:val="decimal" w:pos="1191"/>
              </w:tabs>
              <w:spacing w:before="50" w:after="50"/>
            </w:pPr>
            <w:r w:rsidRPr="00181EF3">
              <w:t>24 (9.9%)</w:t>
            </w:r>
          </w:p>
        </w:tc>
        <w:tc>
          <w:tcPr>
            <w:tcW w:w="2694" w:type="dxa"/>
            <w:tcBorders>
              <w:top w:val="single" w:sz="4" w:space="0" w:color="A6A6A6" w:themeColor="background1" w:themeShade="A6"/>
              <w:bottom w:val="single" w:sz="4" w:space="0" w:color="A6A6A6" w:themeColor="background1" w:themeShade="A6"/>
            </w:tcBorders>
          </w:tcPr>
          <w:p w14:paraId="74B762F3" w14:textId="77777777" w:rsidR="002F4458" w:rsidRPr="00181EF3" w:rsidRDefault="002F4458" w:rsidP="0064111D">
            <w:pPr>
              <w:pStyle w:val="TableText"/>
              <w:tabs>
                <w:tab w:val="decimal" w:pos="1191"/>
              </w:tabs>
              <w:spacing w:before="50" w:after="50"/>
            </w:pPr>
            <w:r w:rsidRPr="00181EF3">
              <w:t>218 (90.1%)</w:t>
            </w:r>
          </w:p>
        </w:tc>
      </w:tr>
      <w:tr w:rsidR="002F4458" w:rsidRPr="00181EF3" w14:paraId="7C1F433F" w14:textId="77777777" w:rsidTr="0064111D">
        <w:trPr>
          <w:cantSplit/>
        </w:trPr>
        <w:tc>
          <w:tcPr>
            <w:tcW w:w="2693" w:type="dxa"/>
            <w:tcBorders>
              <w:top w:val="single" w:sz="4" w:space="0" w:color="A6A6A6" w:themeColor="background1" w:themeShade="A6"/>
              <w:bottom w:val="single" w:sz="4" w:space="0" w:color="A6A6A6" w:themeColor="background1" w:themeShade="A6"/>
            </w:tcBorders>
          </w:tcPr>
          <w:p w14:paraId="77BA2DB4" w14:textId="77777777" w:rsidR="002F4458" w:rsidRPr="00181EF3" w:rsidRDefault="002F4458" w:rsidP="0064111D">
            <w:pPr>
              <w:pStyle w:val="TableText"/>
              <w:spacing w:before="50" w:after="50"/>
              <w:jc w:val="center"/>
            </w:pPr>
            <w:r w:rsidRPr="00181EF3">
              <w:t>2018</w:t>
            </w:r>
          </w:p>
        </w:tc>
        <w:tc>
          <w:tcPr>
            <w:tcW w:w="2693" w:type="dxa"/>
            <w:tcBorders>
              <w:top w:val="single" w:sz="4" w:space="0" w:color="A6A6A6" w:themeColor="background1" w:themeShade="A6"/>
              <w:bottom w:val="single" w:sz="4" w:space="0" w:color="A6A6A6" w:themeColor="background1" w:themeShade="A6"/>
            </w:tcBorders>
          </w:tcPr>
          <w:p w14:paraId="3C7842A2" w14:textId="77777777" w:rsidR="002F4458" w:rsidRPr="00181EF3" w:rsidRDefault="002F4458" w:rsidP="0064111D">
            <w:pPr>
              <w:pStyle w:val="TableText"/>
              <w:tabs>
                <w:tab w:val="decimal" w:pos="1191"/>
              </w:tabs>
              <w:spacing w:before="50" w:after="50"/>
            </w:pPr>
            <w:r w:rsidRPr="00181EF3">
              <w:t>29 (9.7%)</w:t>
            </w:r>
          </w:p>
        </w:tc>
        <w:tc>
          <w:tcPr>
            <w:tcW w:w="2694" w:type="dxa"/>
            <w:tcBorders>
              <w:top w:val="single" w:sz="4" w:space="0" w:color="A6A6A6" w:themeColor="background1" w:themeShade="A6"/>
              <w:bottom w:val="single" w:sz="4" w:space="0" w:color="A6A6A6" w:themeColor="background1" w:themeShade="A6"/>
            </w:tcBorders>
          </w:tcPr>
          <w:p w14:paraId="6CA11E96" w14:textId="77777777" w:rsidR="002F4458" w:rsidRPr="00181EF3" w:rsidRDefault="002F4458" w:rsidP="0064111D">
            <w:pPr>
              <w:pStyle w:val="TableText"/>
              <w:tabs>
                <w:tab w:val="decimal" w:pos="1191"/>
              </w:tabs>
              <w:spacing w:before="50" w:after="50"/>
            </w:pPr>
            <w:r w:rsidRPr="00181EF3">
              <w:t>271 (90.3%)</w:t>
            </w:r>
          </w:p>
        </w:tc>
      </w:tr>
    </w:tbl>
    <w:p w14:paraId="5663B14F" w14:textId="77777777" w:rsidR="002F4458" w:rsidRPr="00181EF3" w:rsidRDefault="002F4458" w:rsidP="002F4458">
      <w:pPr>
        <w:pStyle w:val="Source"/>
      </w:pPr>
      <w:r w:rsidRPr="00181EF3">
        <w:t>Source: Nursing Council of New Zealand, 2011–2018.</w:t>
      </w:r>
    </w:p>
    <w:p w14:paraId="4996136B" w14:textId="77777777" w:rsidR="002F4458" w:rsidRPr="00181EF3" w:rsidRDefault="002F4458" w:rsidP="002F4458"/>
    <w:p w14:paraId="1D73C30B" w14:textId="4B23ED72" w:rsidR="002F4458" w:rsidRPr="00181EF3" w:rsidRDefault="002F4458" w:rsidP="002F4458">
      <w:pPr>
        <w:pStyle w:val="Table"/>
      </w:pPr>
      <w:bookmarkStart w:id="606" w:name="_Toc18594802"/>
      <w:r w:rsidRPr="00181EF3">
        <w:lastRenderedPageBreak/>
        <w:t xml:space="preserve">Table </w:t>
      </w:r>
      <w:r>
        <w:t>A6.3</w:t>
      </w:r>
      <w:r w:rsidRPr="00181EF3">
        <w:t xml:space="preserve">: Estimated number (percentage in workforce) of Māori and </w:t>
      </w:r>
      <w:r w:rsidR="00EC03A3">
        <w:t>non</w:t>
      </w:r>
      <w:r w:rsidR="00EC03A3">
        <w:noBreakHyphen/>
        <w:t>M</w:t>
      </w:r>
      <w:r w:rsidRPr="00181EF3">
        <w:t>āori, registered nurses, 2011–2018</w:t>
      </w:r>
      <w:bookmarkEnd w:id="606"/>
    </w:p>
    <w:tbl>
      <w:tblPr>
        <w:tblW w:w="0" w:type="auto"/>
        <w:tblInd w:w="57" w:type="dxa"/>
        <w:tblLayout w:type="fixed"/>
        <w:tblCellMar>
          <w:left w:w="57" w:type="dxa"/>
          <w:right w:w="57" w:type="dxa"/>
        </w:tblCellMar>
        <w:tblLook w:val="04A0" w:firstRow="1" w:lastRow="0" w:firstColumn="1" w:lastColumn="0" w:noHBand="0" w:noVBand="1"/>
      </w:tblPr>
      <w:tblGrid>
        <w:gridCol w:w="2693"/>
        <w:gridCol w:w="2693"/>
        <w:gridCol w:w="2694"/>
      </w:tblGrid>
      <w:tr w:rsidR="002F4458" w:rsidRPr="00181EF3" w14:paraId="27F87A81" w14:textId="77777777" w:rsidTr="0064111D">
        <w:trPr>
          <w:cantSplit/>
        </w:trPr>
        <w:tc>
          <w:tcPr>
            <w:tcW w:w="8080" w:type="dxa"/>
            <w:gridSpan w:val="3"/>
            <w:shd w:val="clear" w:color="auto" w:fill="D9D9D9" w:themeFill="background1" w:themeFillShade="D9"/>
          </w:tcPr>
          <w:p w14:paraId="7D0E484C" w14:textId="77777777" w:rsidR="002F4458" w:rsidRPr="00181EF3" w:rsidRDefault="002F4458" w:rsidP="0064111D">
            <w:pPr>
              <w:pStyle w:val="TableText"/>
              <w:keepNext/>
              <w:spacing w:before="45" w:after="45"/>
              <w:jc w:val="center"/>
              <w:rPr>
                <w:b/>
              </w:rPr>
            </w:pPr>
            <w:r w:rsidRPr="00181EF3">
              <w:rPr>
                <w:b/>
              </w:rPr>
              <w:t>Registered nurse (2011–2018)</w:t>
            </w:r>
          </w:p>
        </w:tc>
      </w:tr>
      <w:tr w:rsidR="002F4458" w:rsidRPr="00181EF3" w14:paraId="295CE447" w14:textId="77777777" w:rsidTr="0064111D">
        <w:trPr>
          <w:cantSplit/>
        </w:trPr>
        <w:tc>
          <w:tcPr>
            <w:tcW w:w="2693" w:type="dxa"/>
            <w:shd w:val="clear" w:color="auto" w:fill="F2F2F2" w:themeFill="background1" w:themeFillShade="F2"/>
          </w:tcPr>
          <w:p w14:paraId="02807A1D" w14:textId="77777777" w:rsidR="002F4458" w:rsidRPr="00181EF3" w:rsidRDefault="002F4458" w:rsidP="0064111D">
            <w:pPr>
              <w:pStyle w:val="TableText"/>
              <w:keepNext/>
              <w:spacing w:before="45" w:after="45"/>
              <w:jc w:val="center"/>
              <w:rPr>
                <w:b/>
              </w:rPr>
            </w:pPr>
            <w:r w:rsidRPr="00181EF3">
              <w:rPr>
                <w:b/>
              </w:rPr>
              <w:t>Year</w:t>
            </w:r>
          </w:p>
        </w:tc>
        <w:tc>
          <w:tcPr>
            <w:tcW w:w="2693" w:type="dxa"/>
            <w:shd w:val="clear" w:color="auto" w:fill="F2F2F2" w:themeFill="background1" w:themeFillShade="F2"/>
          </w:tcPr>
          <w:p w14:paraId="15D95672" w14:textId="77777777" w:rsidR="002F4458" w:rsidRPr="00181EF3" w:rsidRDefault="002F4458" w:rsidP="0064111D">
            <w:pPr>
              <w:pStyle w:val="TableText"/>
              <w:keepNext/>
              <w:spacing w:before="45" w:after="45"/>
              <w:jc w:val="center"/>
              <w:rPr>
                <w:b/>
              </w:rPr>
            </w:pPr>
            <w:r w:rsidRPr="00181EF3">
              <w:rPr>
                <w:b/>
              </w:rPr>
              <w:t>Māori</w:t>
            </w:r>
          </w:p>
        </w:tc>
        <w:tc>
          <w:tcPr>
            <w:tcW w:w="2694" w:type="dxa"/>
            <w:shd w:val="clear" w:color="auto" w:fill="F2F2F2" w:themeFill="background1" w:themeFillShade="F2"/>
          </w:tcPr>
          <w:p w14:paraId="4DD617D3" w14:textId="257A61C1" w:rsidR="002F4458" w:rsidRPr="00181EF3" w:rsidRDefault="00EC03A3" w:rsidP="0064111D">
            <w:pPr>
              <w:pStyle w:val="TableText"/>
              <w:keepNext/>
              <w:spacing w:before="45" w:after="45"/>
              <w:jc w:val="center"/>
              <w:rPr>
                <w:b/>
              </w:rPr>
            </w:pPr>
            <w:r>
              <w:rPr>
                <w:b/>
              </w:rPr>
              <w:t>Non</w:t>
            </w:r>
            <w:r>
              <w:rPr>
                <w:b/>
              </w:rPr>
              <w:noBreakHyphen/>
              <w:t>M</w:t>
            </w:r>
            <w:r w:rsidR="002F4458" w:rsidRPr="00181EF3">
              <w:rPr>
                <w:b/>
              </w:rPr>
              <w:t>āori</w:t>
            </w:r>
          </w:p>
        </w:tc>
      </w:tr>
      <w:tr w:rsidR="002F4458" w:rsidRPr="00181EF3" w14:paraId="09B3FD18" w14:textId="77777777" w:rsidTr="0064111D">
        <w:trPr>
          <w:cantSplit/>
        </w:trPr>
        <w:tc>
          <w:tcPr>
            <w:tcW w:w="2693" w:type="dxa"/>
            <w:tcBorders>
              <w:bottom w:val="single" w:sz="4" w:space="0" w:color="A6A6A6" w:themeColor="background1" w:themeShade="A6"/>
            </w:tcBorders>
          </w:tcPr>
          <w:p w14:paraId="6BAE3D79" w14:textId="77777777" w:rsidR="002F4458" w:rsidRPr="00181EF3" w:rsidRDefault="002F4458" w:rsidP="0064111D">
            <w:pPr>
              <w:pStyle w:val="TableText"/>
              <w:keepNext/>
              <w:spacing w:before="45" w:after="45"/>
              <w:jc w:val="center"/>
            </w:pPr>
            <w:r w:rsidRPr="00181EF3">
              <w:t>2011</w:t>
            </w:r>
          </w:p>
        </w:tc>
        <w:tc>
          <w:tcPr>
            <w:tcW w:w="2693" w:type="dxa"/>
            <w:tcBorders>
              <w:bottom w:val="single" w:sz="4" w:space="0" w:color="A6A6A6" w:themeColor="background1" w:themeShade="A6"/>
            </w:tcBorders>
          </w:tcPr>
          <w:p w14:paraId="16794851" w14:textId="77777777" w:rsidR="002F4458" w:rsidRPr="00181EF3" w:rsidRDefault="002F4458" w:rsidP="0064111D">
            <w:pPr>
              <w:pStyle w:val="TableText"/>
              <w:keepNext/>
              <w:spacing w:before="45" w:after="45"/>
              <w:jc w:val="center"/>
            </w:pPr>
            <w:r w:rsidRPr="00181EF3">
              <w:t>3,227 (7.1%)</w:t>
            </w:r>
          </w:p>
        </w:tc>
        <w:tc>
          <w:tcPr>
            <w:tcW w:w="2694" w:type="dxa"/>
            <w:tcBorders>
              <w:bottom w:val="single" w:sz="4" w:space="0" w:color="A6A6A6" w:themeColor="background1" w:themeShade="A6"/>
            </w:tcBorders>
          </w:tcPr>
          <w:p w14:paraId="45D7FA8E" w14:textId="77777777" w:rsidR="002F4458" w:rsidRPr="00181EF3" w:rsidRDefault="002F4458" w:rsidP="0064111D">
            <w:pPr>
              <w:pStyle w:val="TableText"/>
              <w:keepNext/>
              <w:spacing w:before="45" w:after="45"/>
              <w:jc w:val="center"/>
            </w:pPr>
            <w:r w:rsidRPr="00181EF3">
              <w:t>42,108 (92.9%)</w:t>
            </w:r>
          </w:p>
        </w:tc>
      </w:tr>
      <w:tr w:rsidR="002F4458" w:rsidRPr="00181EF3" w14:paraId="265B6C4A" w14:textId="77777777" w:rsidTr="0064111D">
        <w:trPr>
          <w:cantSplit/>
        </w:trPr>
        <w:tc>
          <w:tcPr>
            <w:tcW w:w="2693" w:type="dxa"/>
            <w:tcBorders>
              <w:top w:val="single" w:sz="4" w:space="0" w:color="A6A6A6" w:themeColor="background1" w:themeShade="A6"/>
              <w:bottom w:val="single" w:sz="4" w:space="0" w:color="A6A6A6" w:themeColor="background1" w:themeShade="A6"/>
            </w:tcBorders>
          </w:tcPr>
          <w:p w14:paraId="59013D96" w14:textId="77777777" w:rsidR="002F4458" w:rsidRPr="00181EF3" w:rsidRDefault="002F4458" w:rsidP="0064111D">
            <w:pPr>
              <w:pStyle w:val="TableText"/>
              <w:keepNext/>
              <w:spacing w:before="45" w:after="45"/>
              <w:jc w:val="center"/>
            </w:pPr>
            <w:r w:rsidRPr="00181EF3">
              <w:t>2012</w:t>
            </w:r>
          </w:p>
        </w:tc>
        <w:tc>
          <w:tcPr>
            <w:tcW w:w="2693" w:type="dxa"/>
            <w:tcBorders>
              <w:top w:val="single" w:sz="4" w:space="0" w:color="A6A6A6" w:themeColor="background1" w:themeShade="A6"/>
              <w:bottom w:val="single" w:sz="4" w:space="0" w:color="A6A6A6" w:themeColor="background1" w:themeShade="A6"/>
            </w:tcBorders>
          </w:tcPr>
          <w:p w14:paraId="1FA4825B" w14:textId="77777777" w:rsidR="002F4458" w:rsidRPr="00181EF3" w:rsidRDefault="002F4458" w:rsidP="0064111D">
            <w:pPr>
              <w:pStyle w:val="TableText"/>
              <w:keepNext/>
              <w:spacing w:before="45" w:after="45"/>
              <w:jc w:val="center"/>
            </w:pPr>
            <w:r w:rsidRPr="00181EF3">
              <w:t>3,184 (6.9%)</w:t>
            </w:r>
          </w:p>
        </w:tc>
        <w:tc>
          <w:tcPr>
            <w:tcW w:w="2694" w:type="dxa"/>
            <w:tcBorders>
              <w:top w:val="single" w:sz="4" w:space="0" w:color="A6A6A6" w:themeColor="background1" w:themeShade="A6"/>
              <w:bottom w:val="single" w:sz="4" w:space="0" w:color="A6A6A6" w:themeColor="background1" w:themeShade="A6"/>
            </w:tcBorders>
          </w:tcPr>
          <w:p w14:paraId="05298EE4" w14:textId="77777777" w:rsidR="002F4458" w:rsidRPr="00181EF3" w:rsidRDefault="002F4458" w:rsidP="0064111D">
            <w:pPr>
              <w:pStyle w:val="TableText"/>
              <w:keepNext/>
              <w:spacing w:before="45" w:after="45"/>
              <w:jc w:val="center"/>
            </w:pPr>
            <w:r w:rsidRPr="00181EF3">
              <w:t>43,132 (93.1%)</w:t>
            </w:r>
          </w:p>
        </w:tc>
      </w:tr>
      <w:tr w:rsidR="002F4458" w:rsidRPr="00181EF3" w14:paraId="784F9FE4" w14:textId="77777777" w:rsidTr="0064111D">
        <w:trPr>
          <w:cantSplit/>
        </w:trPr>
        <w:tc>
          <w:tcPr>
            <w:tcW w:w="2693" w:type="dxa"/>
            <w:tcBorders>
              <w:top w:val="single" w:sz="4" w:space="0" w:color="A6A6A6" w:themeColor="background1" w:themeShade="A6"/>
              <w:bottom w:val="single" w:sz="4" w:space="0" w:color="A6A6A6" w:themeColor="background1" w:themeShade="A6"/>
            </w:tcBorders>
          </w:tcPr>
          <w:p w14:paraId="1C5613D9" w14:textId="77777777" w:rsidR="002F4458" w:rsidRPr="00181EF3" w:rsidRDefault="002F4458" w:rsidP="0064111D">
            <w:pPr>
              <w:pStyle w:val="TableText"/>
              <w:keepNext/>
              <w:spacing w:before="45" w:after="45"/>
              <w:jc w:val="center"/>
            </w:pPr>
            <w:r w:rsidRPr="00181EF3">
              <w:t>2013</w:t>
            </w:r>
          </w:p>
        </w:tc>
        <w:tc>
          <w:tcPr>
            <w:tcW w:w="2693" w:type="dxa"/>
            <w:tcBorders>
              <w:top w:val="single" w:sz="4" w:space="0" w:color="A6A6A6" w:themeColor="background1" w:themeShade="A6"/>
              <w:bottom w:val="single" w:sz="4" w:space="0" w:color="A6A6A6" w:themeColor="background1" w:themeShade="A6"/>
            </w:tcBorders>
          </w:tcPr>
          <w:p w14:paraId="2D4431D1" w14:textId="77777777" w:rsidR="002F4458" w:rsidRPr="00181EF3" w:rsidRDefault="002F4458" w:rsidP="0064111D">
            <w:pPr>
              <w:pStyle w:val="TableText"/>
              <w:keepNext/>
              <w:spacing w:before="45" w:after="45"/>
              <w:jc w:val="center"/>
            </w:pPr>
            <w:r w:rsidRPr="00181EF3">
              <w:t>3,125 (6.6%)</w:t>
            </w:r>
          </w:p>
        </w:tc>
        <w:tc>
          <w:tcPr>
            <w:tcW w:w="2694" w:type="dxa"/>
            <w:tcBorders>
              <w:top w:val="single" w:sz="4" w:space="0" w:color="A6A6A6" w:themeColor="background1" w:themeShade="A6"/>
              <w:bottom w:val="single" w:sz="4" w:space="0" w:color="A6A6A6" w:themeColor="background1" w:themeShade="A6"/>
            </w:tcBorders>
          </w:tcPr>
          <w:p w14:paraId="2C37EB6E" w14:textId="77777777" w:rsidR="002F4458" w:rsidRPr="00181EF3" w:rsidRDefault="002F4458" w:rsidP="0064111D">
            <w:pPr>
              <w:pStyle w:val="TableText"/>
              <w:keepNext/>
              <w:spacing w:before="45" w:after="45"/>
              <w:jc w:val="center"/>
            </w:pPr>
            <w:r w:rsidRPr="00181EF3">
              <w:t>43,893 (93.4%)</w:t>
            </w:r>
          </w:p>
        </w:tc>
      </w:tr>
      <w:tr w:rsidR="002F4458" w:rsidRPr="00181EF3" w14:paraId="58411700" w14:textId="77777777" w:rsidTr="0064111D">
        <w:trPr>
          <w:cantSplit/>
        </w:trPr>
        <w:tc>
          <w:tcPr>
            <w:tcW w:w="2693" w:type="dxa"/>
            <w:tcBorders>
              <w:top w:val="single" w:sz="4" w:space="0" w:color="A6A6A6" w:themeColor="background1" w:themeShade="A6"/>
              <w:bottom w:val="single" w:sz="4" w:space="0" w:color="A6A6A6" w:themeColor="background1" w:themeShade="A6"/>
            </w:tcBorders>
          </w:tcPr>
          <w:p w14:paraId="21B5F23B" w14:textId="77777777" w:rsidR="002F4458" w:rsidRPr="00181EF3" w:rsidRDefault="002F4458" w:rsidP="0064111D">
            <w:pPr>
              <w:pStyle w:val="TableText"/>
              <w:keepNext/>
              <w:spacing w:before="45" w:after="45"/>
              <w:jc w:val="center"/>
            </w:pPr>
            <w:r w:rsidRPr="00181EF3">
              <w:t>2014</w:t>
            </w:r>
          </w:p>
        </w:tc>
        <w:tc>
          <w:tcPr>
            <w:tcW w:w="2693" w:type="dxa"/>
            <w:tcBorders>
              <w:top w:val="single" w:sz="4" w:space="0" w:color="A6A6A6" w:themeColor="background1" w:themeShade="A6"/>
              <w:bottom w:val="single" w:sz="4" w:space="0" w:color="A6A6A6" w:themeColor="background1" w:themeShade="A6"/>
            </w:tcBorders>
          </w:tcPr>
          <w:p w14:paraId="5C1A7369" w14:textId="77777777" w:rsidR="002F4458" w:rsidRPr="00181EF3" w:rsidRDefault="002F4458" w:rsidP="0064111D">
            <w:pPr>
              <w:pStyle w:val="TableText"/>
              <w:keepNext/>
              <w:spacing w:before="45" w:after="45"/>
              <w:jc w:val="center"/>
            </w:pPr>
            <w:r w:rsidRPr="00181EF3">
              <w:t>3,262 (6.7%)</w:t>
            </w:r>
          </w:p>
        </w:tc>
        <w:tc>
          <w:tcPr>
            <w:tcW w:w="2694" w:type="dxa"/>
            <w:tcBorders>
              <w:top w:val="single" w:sz="4" w:space="0" w:color="A6A6A6" w:themeColor="background1" w:themeShade="A6"/>
              <w:bottom w:val="single" w:sz="4" w:space="0" w:color="A6A6A6" w:themeColor="background1" w:themeShade="A6"/>
            </w:tcBorders>
          </w:tcPr>
          <w:p w14:paraId="7DCA62E6" w14:textId="77777777" w:rsidR="002F4458" w:rsidRPr="00181EF3" w:rsidRDefault="002F4458" w:rsidP="0064111D">
            <w:pPr>
              <w:pStyle w:val="TableText"/>
              <w:keepNext/>
              <w:spacing w:before="45" w:after="45"/>
              <w:jc w:val="center"/>
            </w:pPr>
            <w:r w:rsidRPr="00181EF3">
              <w:t>45,144 (93.3%)</w:t>
            </w:r>
          </w:p>
        </w:tc>
      </w:tr>
      <w:tr w:rsidR="002F4458" w:rsidRPr="00181EF3" w14:paraId="7820101C" w14:textId="77777777" w:rsidTr="0064111D">
        <w:trPr>
          <w:cantSplit/>
        </w:trPr>
        <w:tc>
          <w:tcPr>
            <w:tcW w:w="2693" w:type="dxa"/>
            <w:tcBorders>
              <w:top w:val="single" w:sz="4" w:space="0" w:color="A6A6A6" w:themeColor="background1" w:themeShade="A6"/>
              <w:bottom w:val="single" w:sz="4" w:space="0" w:color="A6A6A6" w:themeColor="background1" w:themeShade="A6"/>
            </w:tcBorders>
          </w:tcPr>
          <w:p w14:paraId="541C482B" w14:textId="77777777" w:rsidR="002F4458" w:rsidRPr="00181EF3" w:rsidRDefault="002F4458" w:rsidP="0064111D">
            <w:pPr>
              <w:pStyle w:val="TableText"/>
              <w:keepNext/>
              <w:spacing w:before="45" w:after="45"/>
              <w:jc w:val="center"/>
            </w:pPr>
            <w:r w:rsidRPr="00181EF3">
              <w:t>2015</w:t>
            </w:r>
          </w:p>
        </w:tc>
        <w:tc>
          <w:tcPr>
            <w:tcW w:w="2693" w:type="dxa"/>
            <w:tcBorders>
              <w:top w:val="single" w:sz="4" w:space="0" w:color="A6A6A6" w:themeColor="background1" w:themeShade="A6"/>
              <w:bottom w:val="single" w:sz="4" w:space="0" w:color="A6A6A6" w:themeColor="background1" w:themeShade="A6"/>
            </w:tcBorders>
          </w:tcPr>
          <w:p w14:paraId="5C098C69" w14:textId="77777777" w:rsidR="002F4458" w:rsidRPr="00181EF3" w:rsidRDefault="002F4458" w:rsidP="0064111D">
            <w:pPr>
              <w:pStyle w:val="TableText"/>
              <w:keepNext/>
              <w:spacing w:before="45" w:after="45"/>
              <w:jc w:val="center"/>
            </w:pPr>
            <w:r w:rsidRPr="00181EF3">
              <w:t>3,358 (6.7%)</w:t>
            </w:r>
          </w:p>
        </w:tc>
        <w:tc>
          <w:tcPr>
            <w:tcW w:w="2694" w:type="dxa"/>
            <w:tcBorders>
              <w:top w:val="single" w:sz="4" w:space="0" w:color="A6A6A6" w:themeColor="background1" w:themeShade="A6"/>
              <w:bottom w:val="single" w:sz="4" w:space="0" w:color="A6A6A6" w:themeColor="background1" w:themeShade="A6"/>
            </w:tcBorders>
          </w:tcPr>
          <w:p w14:paraId="755C7C78" w14:textId="77777777" w:rsidR="002F4458" w:rsidRPr="00181EF3" w:rsidRDefault="002F4458" w:rsidP="0064111D">
            <w:pPr>
              <w:pStyle w:val="TableText"/>
              <w:keepNext/>
              <w:spacing w:before="45" w:after="45"/>
              <w:jc w:val="center"/>
            </w:pPr>
            <w:r w:rsidRPr="00181EF3">
              <w:t>46,411 (93.3%)</w:t>
            </w:r>
          </w:p>
        </w:tc>
      </w:tr>
      <w:tr w:rsidR="002F4458" w:rsidRPr="00181EF3" w14:paraId="69BA37F6" w14:textId="77777777" w:rsidTr="0064111D">
        <w:trPr>
          <w:cantSplit/>
        </w:trPr>
        <w:tc>
          <w:tcPr>
            <w:tcW w:w="2693" w:type="dxa"/>
            <w:tcBorders>
              <w:top w:val="single" w:sz="4" w:space="0" w:color="A6A6A6" w:themeColor="background1" w:themeShade="A6"/>
              <w:bottom w:val="single" w:sz="4" w:space="0" w:color="A6A6A6" w:themeColor="background1" w:themeShade="A6"/>
            </w:tcBorders>
          </w:tcPr>
          <w:p w14:paraId="01170094" w14:textId="77777777" w:rsidR="002F4458" w:rsidRPr="00181EF3" w:rsidRDefault="002F4458" w:rsidP="0064111D">
            <w:pPr>
              <w:pStyle w:val="TableText"/>
              <w:spacing w:before="45" w:after="45"/>
              <w:jc w:val="center"/>
            </w:pPr>
            <w:r w:rsidRPr="00181EF3">
              <w:t>2016</w:t>
            </w:r>
          </w:p>
        </w:tc>
        <w:tc>
          <w:tcPr>
            <w:tcW w:w="2693" w:type="dxa"/>
            <w:tcBorders>
              <w:top w:val="single" w:sz="4" w:space="0" w:color="A6A6A6" w:themeColor="background1" w:themeShade="A6"/>
              <w:bottom w:val="single" w:sz="4" w:space="0" w:color="A6A6A6" w:themeColor="background1" w:themeShade="A6"/>
            </w:tcBorders>
          </w:tcPr>
          <w:p w14:paraId="6A7DF1B9" w14:textId="77777777" w:rsidR="002F4458" w:rsidRPr="00181EF3" w:rsidRDefault="002F4458" w:rsidP="0064111D">
            <w:pPr>
              <w:pStyle w:val="TableText"/>
              <w:spacing w:before="45" w:after="45"/>
              <w:jc w:val="center"/>
            </w:pPr>
            <w:r w:rsidRPr="00181EF3">
              <w:t>3,510 (6.9%)</w:t>
            </w:r>
          </w:p>
        </w:tc>
        <w:tc>
          <w:tcPr>
            <w:tcW w:w="2694" w:type="dxa"/>
            <w:tcBorders>
              <w:top w:val="single" w:sz="4" w:space="0" w:color="A6A6A6" w:themeColor="background1" w:themeShade="A6"/>
              <w:bottom w:val="single" w:sz="4" w:space="0" w:color="A6A6A6" w:themeColor="background1" w:themeShade="A6"/>
            </w:tcBorders>
          </w:tcPr>
          <w:p w14:paraId="7CAF3CBE" w14:textId="77777777" w:rsidR="002F4458" w:rsidRPr="00181EF3" w:rsidRDefault="002F4458" w:rsidP="0064111D">
            <w:pPr>
              <w:pStyle w:val="TableText"/>
              <w:spacing w:before="45" w:after="45"/>
              <w:jc w:val="center"/>
            </w:pPr>
            <w:r w:rsidRPr="00181EF3">
              <w:t>47,511 (93.1%)</w:t>
            </w:r>
          </w:p>
        </w:tc>
      </w:tr>
      <w:tr w:rsidR="002F4458" w:rsidRPr="00181EF3" w14:paraId="08E4E125" w14:textId="77777777" w:rsidTr="0064111D">
        <w:trPr>
          <w:cantSplit/>
        </w:trPr>
        <w:tc>
          <w:tcPr>
            <w:tcW w:w="2693" w:type="dxa"/>
            <w:tcBorders>
              <w:top w:val="single" w:sz="4" w:space="0" w:color="A6A6A6" w:themeColor="background1" w:themeShade="A6"/>
              <w:bottom w:val="single" w:sz="4" w:space="0" w:color="A6A6A6" w:themeColor="background1" w:themeShade="A6"/>
            </w:tcBorders>
          </w:tcPr>
          <w:p w14:paraId="2801CAC9" w14:textId="77777777" w:rsidR="002F4458" w:rsidRPr="00181EF3" w:rsidRDefault="002F4458" w:rsidP="0064111D">
            <w:pPr>
              <w:pStyle w:val="TableText"/>
              <w:spacing w:before="45" w:after="45"/>
              <w:jc w:val="center"/>
            </w:pPr>
            <w:r w:rsidRPr="00181EF3">
              <w:t>2017</w:t>
            </w:r>
          </w:p>
        </w:tc>
        <w:tc>
          <w:tcPr>
            <w:tcW w:w="2693" w:type="dxa"/>
            <w:tcBorders>
              <w:top w:val="single" w:sz="4" w:space="0" w:color="A6A6A6" w:themeColor="background1" w:themeShade="A6"/>
              <w:bottom w:val="single" w:sz="4" w:space="0" w:color="A6A6A6" w:themeColor="background1" w:themeShade="A6"/>
            </w:tcBorders>
          </w:tcPr>
          <w:p w14:paraId="67CD4281" w14:textId="77777777" w:rsidR="002F4458" w:rsidRPr="00181EF3" w:rsidRDefault="002F4458" w:rsidP="0064111D">
            <w:pPr>
              <w:pStyle w:val="TableText"/>
              <w:spacing w:before="45" w:after="45"/>
              <w:jc w:val="center"/>
            </w:pPr>
            <w:r w:rsidRPr="00181EF3">
              <w:t>3,709 (7.1%)</w:t>
            </w:r>
          </w:p>
        </w:tc>
        <w:tc>
          <w:tcPr>
            <w:tcW w:w="2694" w:type="dxa"/>
            <w:tcBorders>
              <w:top w:val="single" w:sz="4" w:space="0" w:color="A6A6A6" w:themeColor="background1" w:themeShade="A6"/>
              <w:bottom w:val="single" w:sz="4" w:space="0" w:color="A6A6A6" w:themeColor="background1" w:themeShade="A6"/>
            </w:tcBorders>
          </w:tcPr>
          <w:p w14:paraId="487D45A0" w14:textId="77777777" w:rsidR="002F4458" w:rsidRPr="00181EF3" w:rsidRDefault="002F4458" w:rsidP="0064111D">
            <w:pPr>
              <w:pStyle w:val="TableText"/>
              <w:spacing w:before="45" w:after="45"/>
              <w:jc w:val="center"/>
            </w:pPr>
            <w:r w:rsidRPr="00181EF3">
              <w:t>48,690 (92.9%)</w:t>
            </w:r>
          </w:p>
        </w:tc>
      </w:tr>
      <w:tr w:rsidR="002F4458" w:rsidRPr="00181EF3" w14:paraId="6BA7B59B" w14:textId="77777777" w:rsidTr="0064111D">
        <w:trPr>
          <w:cantSplit/>
        </w:trPr>
        <w:tc>
          <w:tcPr>
            <w:tcW w:w="2693" w:type="dxa"/>
            <w:tcBorders>
              <w:top w:val="single" w:sz="4" w:space="0" w:color="A6A6A6" w:themeColor="background1" w:themeShade="A6"/>
              <w:bottom w:val="single" w:sz="4" w:space="0" w:color="A6A6A6" w:themeColor="background1" w:themeShade="A6"/>
            </w:tcBorders>
          </w:tcPr>
          <w:p w14:paraId="4F9E0FFF" w14:textId="77777777" w:rsidR="002F4458" w:rsidRPr="00181EF3" w:rsidRDefault="002F4458" w:rsidP="0064111D">
            <w:pPr>
              <w:pStyle w:val="TableText"/>
              <w:spacing w:before="45" w:after="45"/>
              <w:jc w:val="center"/>
            </w:pPr>
            <w:r w:rsidRPr="00181EF3">
              <w:t>2018</w:t>
            </w:r>
          </w:p>
        </w:tc>
        <w:tc>
          <w:tcPr>
            <w:tcW w:w="2693" w:type="dxa"/>
            <w:tcBorders>
              <w:top w:val="single" w:sz="4" w:space="0" w:color="A6A6A6" w:themeColor="background1" w:themeShade="A6"/>
              <w:bottom w:val="single" w:sz="4" w:space="0" w:color="A6A6A6" w:themeColor="background1" w:themeShade="A6"/>
            </w:tcBorders>
          </w:tcPr>
          <w:p w14:paraId="7DD89561" w14:textId="77777777" w:rsidR="002F4458" w:rsidRPr="00181EF3" w:rsidRDefault="002F4458" w:rsidP="0064111D">
            <w:pPr>
              <w:pStyle w:val="TableText"/>
              <w:spacing w:before="45" w:after="45"/>
              <w:jc w:val="center"/>
            </w:pPr>
            <w:r w:rsidRPr="00181EF3">
              <w:t>3,890 (7.3%)</w:t>
            </w:r>
          </w:p>
        </w:tc>
        <w:tc>
          <w:tcPr>
            <w:tcW w:w="2694" w:type="dxa"/>
            <w:tcBorders>
              <w:top w:val="single" w:sz="4" w:space="0" w:color="A6A6A6" w:themeColor="background1" w:themeShade="A6"/>
              <w:bottom w:val="single" w:sz="4" w:space="0" w:color="A6A6A6" w:themeColor="background1" w:themeShade="A6"/>
            </w:tcBorders>
          </w:tcPr>
          <w:p w14:paraId="78E7B215" w14:textId="77777777" w:rsidR="002F4458" w:rsidRPr="00181EF3" w:rsidRDefault="002F4458" w:rsidP="0064111D">
            <w:pPr>
              <w:pStyle w:val="TableText"/>
              <w:spacing w:before="45" w:after="45"/>
              <w:jc w:val="center"/>
            </w:pPr>
            <w:r w:rsidRPr="00181EF3">
              <w:t>49,617 (92.7%)</w:t>
            </w:r>
          </w:p>
        </w:tc>
      </w:tr>
    </w:tbl>
    <w:p w14:paraId="1BEEDD64" w14:textId="77777777" w:rsidR="002F4458" w:rsidRPr="00181EF3" w:rsidRDefault="002F4458" w:rsidP="002F4458">
      <w:pPr>
        <w:pStyle w:val="Source"/>
      </w:pPr>
      <w:r w:rsidRPr="00181EF3">
        <w:t>Source: Nursing Council of New Zealand, 2011–2018.</w:t>
      </w:r>
    </w:p>
    <w:p w14:paraId="35B01654" w14:textId="77777777" w:rsidR="002F4458" w:rsidRPr="00181EF3" w:rsidRDefault="002F4458" w:rsidP="002F4458"/>
    <w:p w14:paraId="3F55558E" w14:textId="77777777" w:rsidR="002F4458" w:rsidRPr="00181EF3" w:rsidRDefault="002F4458" w:rsidP="002F4458">
      <w:pPr>
        <w:pStyle w:val="Heading3"/>
      </w:pPr>
      <w:bookmarkStart w:id="607" w:name="_Toc19102528"/>
      <w:r w:rsidRPr="00181EF3">
        <w:t>Medical employed FTE occupations</w:t>
      </w:r>
      <w:bookmarkEnd w:id="607"/>
    </w:p>
    <w:p w14:paraId="47BFF58A" w14:textId="3C4E51ED" w:rsidR="002F4458" w:rsidRPr="00181EF3" w:rsidRDefault="002F4458" w:rsidP="002F4458">
      <w:pPr>
        <w:pStyle w:val="Table"/>
      </w:pPr>
      <w:bookmarkStart w:id="608" w:name="_Toc18594803"/>
      <w:r w:rsidRPr="00181EF3">
        <w:t xml:space="preserve">Table </w:t>
      </w:r>
      <w:r>
        <w:t>A6.4</w:t>
      </w:r>
      <w:r w:rsidRPr="00181EF3">
        <w:t xml:space="preserve">: Estimated number (percentage in workforce) of Māori and </w:t>
      </w:r>
      <w:r w:rsidR="00EC03A3">
        <w:t>non</w:t>
      </w:r>
      <w:r w:rsidR="00EC03A3">
        <w:noBreakHyphen/>
        <w:t>M</w:t>
      </w:r>
      <w:r w:rsidRPr="00181EF3">
        <w:t>āori, senior medical officers, 2009–2016</w:t>
      </w:r>
      <w:bookmarkEnd w:id="608"/>
    </w:p>
    <w:tbl>
      <w:tblPr>
        <w:tblW w:w="0" w:type="auto"/>
        <w:tblInd w:w="57" w:type="dxa"/>
        <w:tblLayout w:type="fixed"/>
        <w:tblCellMar>
          <w:left w:w="57" w:type="dxa"/>
          <w:right w:w="57" w:type="dxa"/>
        </w:tblCellMar>
        <w:tblLook w:val="04A0" w:firstRow="1" w:lastRow="0" w:firstColumn="1" w:lastColumn="0" w:noHBand="0" w:noVBand="1"/>
      </w:tblPr>
      <w:tblGrid>
        <w:gridCol w:w="2693"/>
        <w:gridCol w:w="2693"/>
        <w:gridCol w:w="2694"/>
      </w:tblGrid>
      <w:tr w:rsidR="002F4458" w:rsidRPr="00181EF3" w14:paraId="4664C843" w14:textId="77777777" w:rsidTr="0064111D">
        <w:trPr>
          <w:cantSplit/>
        </w:trPr>
        <w:tc>
          <w:tcPr>
            <w:tcW w:w="8080" w:type="dxa"/>
            <w:gridSpan w:val="3"/>
            <w:shd w:val="clear" w:color="auto" w:fill="D9D9D9" w:themeFill="background1" w:themeFillShade="D9"/>
          </w:tcPr>
          <w:p w14:paraId="2A3B7784" w14:textId="77777777" w:rsidR="002F4458" w:rsidRPr="00181EF3" w:rsidRDefault="002F4458" w:rsidP="0064111D">
            <w:pPr>
              <w:pStyle w:val="TableText"/>
              <w:spacing w:before="45" w:after="45"/>
              <w:jc w:val="center"/>
              <w:rPr>
                <w:b/>
              </w:rPr>
            </w:pPr>
            <w:r w:rsidRPr="00181EF3">
              <w:rPr>
                <w:b/>
              </w:rPr>
              <w:t>Senior medical officer (2009–2016)</w:t>
            </w:r>
          </w:p>
        </w:tc>
      </w:tr>
      <w:tr w:rsidR="002F4458" w:rsidRPr="00181EF3" w14:paraId="1C3BBA53" w14:textId="77777777" w:rsidTr="0064111D">
        <w:trPr>
          <w:cantSplit/>
        </w:trPr>
        <w:tc>
          <w:tcPr>
            <w:tcW w:w="2693" w:type="dxa"/>
            <w:shd w:val="clear" w:color="auto" w:fill="F2F2F2" w:themeFill="background1" w:themeFillShade="F2"/>
          </w:tcPr>
          <w:p w14:paraId="23638CDB" w14:textId="77777777" w:rsidR="002F4458" w:rsidRPr="00181EF3" w:rsidRDefault="002F4458" w:rsidP="0064111D">
            <w:pPr>
              <w:pStyle w:val="TableText"/>
              <w:spacing w:before="45" w:after="45"/>
              <w:jc w:val="center"/>
              <w:rPr>
                <w:b/>
              </w:rPr>
            </w:pPr>
            <w:r w:rsidRPr="00181EF3">
              <w:rPr>
                <w:b/>
              </w:rPr>
              <w:t>Year</w:t>
            </w:r>
          </w:p>
        </w:tc>
        <w:tc>
          <w:tcPr>
            <w:tcW w:w="2693" w:type="dxa"/>
            <w:shd w:val="clear" w:color="auto" w:fill="F2F2F2" w:themeFill="background1" w:themeFillShade="F2"/>
          </w:tcPr>
          <w:p w14:paraId="3D1F7138" w14:textId="77777777" w:rsidR="002F4458" w:rsidRPr="00181EF3" w:rsidRDefault="002F4458" w:rsidP="0064111D">
            <w:pPr>
              <w:pStyle w:val="TableText"/>
              <w:spacing w:before="45" w:after="45"/>
              <w:jc w:val="center"/>
              <w:rPr>
                <w:b/>
              </w:rPr>
            </w:pPr>
            <w:r w:rsidRPr="00181EF3">
              <w:rPr>
                <w:b/>
              </w:rPr>
              <w:t>Māori</w:t>
            </w:r>
          </w:p>
        </w:tc>
        <w:tc>
          <w:tcPr>
            <w:tcW w:w="2694" w:type="dxa"/>
            <w:shd w:val="clear" w:color="auto" w:fill="F2F2F2" w:themeFill="background1" w:themeFillShade="F2"/>
          </w:tcPr>
          <w:p w14:paraId="7A474C01" w14:textId="4DA911DA" w:rsidR="002F4458" w:rsidRPr="00181EF3" w:rsidRDefault="00EC03A3" w:rsidP="0064111D">
            <w:pPr>
              <w:pStyle w:val="TableText"/>
              <w:spacing w:before="45" w:after="45"/>
              <w:jc w:val="center"/>
              <w:rPr>
                <w:b/>
              </w:rPr>
            </w:pPr>
            <w:r>
              <w:rPr>
                <w:b/>
              </w:rPr>
              <w:t>Non</w:t>
            </w:r>
            <w:r>
              <w:rPr>
                <w:b/>
              </w:rPr>
              <w:noBreakHyphen/>
              <w:t>M</w:t>
            </w:r>
            <w:r w:rsidR="002F4458" w:rsidRPr="00181EF3">
              <w:rPr>
                <w:b/>
              </w:rPr>
              <w:t>āori</w:t>
            </w:r>
          </w:p>
        </w:tc>
      </w:tr>
      <w:tr w:rsidR="002F4458" w:rsidRPr="00181EF3" w14:paraId="153643B1" w14:textId="77777777" w:rsidTr="0064111D">
        <w:trPr>
          <w:cantSplit/>
        </w:trPr>
        <w:tc>
          <w:tcPr>
            <w:tcW w:w="2693" w:type="dxa"/>
            <w:tcBorders>
              <w:bottom w:val="single" w:sz="4" w:space="0" w:color="A6A6A6" w:themeColor="background1" w:themeShade="A6"/>
            </w:tcBorders>
          </w:tcPr>
          <w:p w14:paraId="3A67D4A6" w14:textId="77777777" w:rsidR="002F4458" w:rsidRPr="00181EF3" w:rsidRDefault="002F4458" w:rsidP="0064111D">
            <w:pPr>
              <w:pStyle w:val="TableText"/>
              <w:spacing w:before="45" w:after="45"/>
              <w:jc w:val="center"/>
            </w:pPr>
            <w:r w:rsidRPr="00181EF3">
              <w:t>2009</w:t>
            </w:r>
          </w:p>
        </w:tc>
        <w:tc>
          <w:tcPr>
            <w:tcW w:w="2693" w:type="dxa"/>
            <w:tcBorders>
              <w:bottom w:val="single" w:sz="4" w:space="0" w:color="A6A6A6" w:themeColor="background1" w:themeShade="A6"/>
            </w:tcBorders>
          </w:tcPr>
          <w:p w14:paraId="3C55BD9F" w14:textId="77777777" w:rsidR="002F4458" w:rsidRPr="00181EF3" w:rsidRDefault="002F4458" w:rsidP="0064111D">
            <w:pPr>
              <w:pStyle w:val="TableText"/>
              <w:tabs>
                <w:tab w:val="decimal" w:pos="1191"/>
              </w:tabs>
              <w:spacing w:before="45" w:after="45"/>
            </w:pPr>
            <w:r w:rsidRPr="00181EF3">
              <w:t>75 (1.9%)</w:t>
            </w:r>
          </w:p>
        </w:tc>
        <w:tc>
          <w:tcPr>
            <w:tcW w:w="2694" w:type="dxa"/>
            <w:tcBorders>
              <w:bottom w:val="single" w:sz="4" w:space="0" w:color="A6A6A6" w:themeColor="background1" w:themeShade="A6"/>
            </w:tcBorders>
          </w:tcPr>
          <w:p w14:paraId="40584405" w14:textId="77777777" w:rsidR="002F4458" w:rsidRPr="00181EF3" w:rsidRDefault="002F4458" w:rsidP="0064111D">
            <w:pPr>
              <w:pStyle w:val="TableText"/>
              <w:spacing w:before="45" w:after="45"/>
              <w:jc w:val="center"/>
            </w:pPr>
            <w:r w:rsidRPr="00181EF3">
              <w:t>3,804 (98.1%)</w:t>
            </w:r>
          </w:p>
        </w:tc>
      </w:tr>
      <w:tr w:rsidR="002F4458" w:rsidRPr="00181EF3" w14:paraId="225868C8" w14:textId="77777777" w:rsidTr="0064111D">
        <w:trPr>
          <w:cantSplit/>
        </w:trPr>
        <w:tc>
          <w:tcPr>
            <w:tcW w:w="2693" w:type="dxa"/>
            <w:tcBorders>
              <w:top w:val="single" w:sz="4" w:space="0" w:color="A6A6A6" w:themeColor="background1" w:themeShade="A6"/>
              <w:bottom w:val="single" w:sz="4" w:space="0" w:color="A6A6A6" w:themeColor="background1" w:themeShade="A6"/>
            </w:tcBorders>
          </w:tcPr>
          <w:p w14:paraId="5DCFA8E7" w14:textId="77777777" w:rsidR="002F4458" w:rsidRPr="00181EF3" w:rsidRDefault="002F4458" w:rsidP="0064111D">
            <w:pPr>
              <w:pStyle w:val="TableText"/>
              <w:spacing w:before="45" w:after="45"/>
              <w:jc w:val="center"/>
            </w:pPr>
            <w:r w:rsidRPr="00181EF3">
              <w:t>2010</w:t>
            </w:r>
          </w:p>
        </w:tc>
        <w:tc>
          <w:tcPr>
            <w:tcW w:w="2693" w:type="dxa"/>
            <w:tcBorders>
              <w:top w:val="single" w:sz="4" w:space="0" w:color="A6A6A6" w:themeColor="background1" w:themeShade="A6"/>
              <w:bottom w:val="single" w:sz="4" w:space="0" w:color="A6A6A6" w:themeColor="background1" w:themeShade="A6"/>
            </w:tcBorders>
          </w:tcPr>
          <w:p w14:paraId="028F8A53" w14:textId="77777777" w:rsidR="002F4458" w:rsidRPr="00181EF3" w:rsidRDefault="002F4458" w:rsidP="0064111D">
            <w:pPr>
              <w:pStyle w:val="TableText"/>
              <w:tabs>
                <w:tab w:val="decimal" w:pos="1191"/>
              </w:tabs>
              <w:spacing w:before="45" w:after="45"/>
            </w:pPr>
            <w:r w:rsidRPr="00181EF3">
              <w:t>81 (2.0%)</w:t>
            </w:r>
          </w:p>
        </w:tc>
        <w:tc>
          <w:tcPr>
            <w:tcW w:w="2694" w:type="dxa"/>
            <w:tcBorders>
              <w:top w:val="single" w:sz="4" w:space="0" w:color="A6A6A6" w:themeColor="background1" w:themeShade="A6"/>
              <w:bottom w:val="single" w:sz="4" w:space="0" w:color="A6A6A6" w:themeColor="background1" w:themeShade="A6"/>
            </w:tcBorders>
          </w:tcPr>
          <w:p w14:paraId="57BA54EA" w14:textId="77777777" w:rsidR="002F4458" w:rsidRPr="00181EF3" w:rsidRDefault="002F4458" w:rsidP="0064111D">
            <w:pPr>
              <w:pStyle w:val="TableText"/>
              <w:spacing w:before="45" w:after="45"/>
              <w:jc w:val="center"/>
            </w:pPr>
            <w:r w:rsidRPr="00181EF3">
              <w:t>3,912 (98.0%)</w:t>
            </w:r>
          </w:p>
        </w:tc>
      </w:tr>
      <w:tr w:rsidR="002F4458" w:rsidRPr="00181EF3" w14:paraId="3A602638" w14:textId="77777777" w:rsidTr="0064111D">
        <w:trPr>
          <w:cantSplit/>
        </w:trPr>
        <w:tc>
          <w:tcPr>
            <w:tcW w:w="2693" w:type="dxa"/>
            <w:tcBorders>
              <w:top w:val="single" w:sz="4" w:space="0" w:color="A6A6A6" w:themeColor="background1" w:themeShade="A6"/>
              <w:bottom w:val="single" w:sz="4" w:space="0" w:color="A6A6A6" w:themeColor="background1" w:themeShade="A6"/>
            </w:tcBorders>
          </w:tcPr>
          <w:p w14:paraId="34B88DFC" w14:textId="77777777" w:rsidR="002F4458" w:rsidRPr="00181EF3" w:rsidRDefault="002F4458" w:rsidP="0064111D">
            <w:pPr>
              <w:pStyle w:val="TableText"/>
              <w:spacing w:before="45" w:after="45"/>
              <w:jc w:val="center"/>
            </w:pPr>
            <w:r w:rsidRPr="00181EF3">
              <w:t>2011</w:t>
            </w:r>
          </w:p>
        </w:tc>
        <w:tc>
          <w:tcPr>
            <w:tcW w:w="2693" w:type="dxa"/>
            <w:tcBorders>
              <w:top w:val="single" w:sz="4" w:space="0" w:color="A6A6A6" w:themeColor="background1" w:themeShade="A6"/>
              <w:bottom w:val="single" w:sz="4" w:space="0" w:color="A6A6A6" w:themeColor="background1" w:themeShade="A6"/>
            </w:tcBorders>
          </w:tcPr>
          <w:p w14:paraId="272BC168" w14:textId="77777777" w:rsidR="002F4458" w:rsidRPr="00181EF3" w:rsidRDefault="002F4458" w:rsidP="0064111D">
            <w:pPr>
              <w:pStyle w:val="TableText"/>
              <w:tabs>
                <w:tab w:val="decimal" w:pos="1191"/>
              </w:tabs>
              <w:spacing w:before="45" w:after="45"/>
            </w:pPr>
            <w:r w:rsidRPr="00181EF3">
              <w:t>80 (1.9%)</w:t>
            </w:r>
          </w:p>
        </w:tc>
        <w:tc>
          <w:tcPr>
            <w:tcW w:w="2694" w:type="dxa"/>
            <w:tcBorders>
              <w:top w:val="single" w:sz="4" w:space="0" w:color="A6A6A6" w:themeColor="background1" w:themeShade="A6"/>
              <w:bottom w:val="single" w:sz="4" w:space="0" w:color="A6A6A6" w:themeColor="background1" w:themeShade="A6"/>
            </w:tcBorders>
          </w:tcPr>
          <w:p w14:paraId="54A789D9" w14:textId="77777777" w:rsidR="002F4458" w:rsidRPr="00181EF3" w:rsidRDefault="002F4458" w:rsidP="0064111D">
            <w:pPr>
              <w:pStyle w:val="TableText"/>
              <w:spacing w:before="45" w:after="45"/>
              <w:jc w:val="center"/>
            </w:pPr>
            <w:r w:rsidRPr="00181EF3">
              <w:t>4,107 (98.1%)</w:t>
            </w:r>
          </w:p>
        </w:tc>
      </w:tr>
      <w:tr w:rsidR="002F4458" w:rsidRPr="00181EF3" w14:paraId="44083CAA" w14:textId="77777777" w:rsidTr="0064111D">
        <w:trPr>
          <w:cantSplit/>
        </w:trPr>
        <w:tc>
          <w:tcPr>
            <w:tcW w:w="2693" w:type="dxa"/>
            <w:tcBorders>
              <w:top w:val="single" w:sz="4" w:space="0" w:color="A6A6A6" w:themeColor="background1" w:themeShade="A6"/>
              <w:bottom w:val="single" w:sz="4" w:space="0" w:color="A6A6A6" w:themeColor="background1" w:themeShade="A6"/>
            </w:tcBorders>
          </w:tcPr>
          <w:p w14:paraId="15A70AC3" w14:textId="77777777" w:rsidR="002F4458" w:rsidRPr="00181EF3" w:rsidRDefault="002F4458" w:rsidP="0064111D">
            <w:pPr>
              <w:pStyle w:val="TableText"/>
              <w:spacing w:before="45" w:after="45"/>
              <w:jc w:val="center"/>
            </w:pPr>
            <w:r w:rsidRPr="00181EF3">
              <w:t>2012</w:t>
            </w:r>
          </w:p>
        </w:tc>
        <w:tc>
          <w:tcPr>
            <w:tcW w:w="2693" w:type="dxa"/>
            <w:tcBorders>
              <w:top w:val="single" w:sz="4" w:space="0" w:color="A6A6A6" w:themeColor="background1" w:themeShade="A6"/>
              <w:bottom w:val="single" w:sz="4" w:space="0" w:color="A6A6A6" w:themeColor="background1" w:themeShade="A6"/>
            </w:tcBorders>
          </w:tcPr>
          <w:p w14:paraId="44549B34" w14:textId="77777777" w:rsidR="002F4458" w:rsidRPr="00181EF3" w:rsidRDefault="002F4458" w:rsidP="0064111D">
            <w:pPr>
              <w:pStyle w:val="TableText"/>
              <w:tabs>
                <w:tab w:val="decimal" w:pos="1191"/>
              </w:tabs>
              <w:spacing w:before="45" w:after="45"/>
            </w:pPr>
            <w:r w:rsidRPr="00181EF3">
              <w:t>84 (2.0%)</w:t>
            </w:r>
          </w:p>
        </w:tc>
        <w:tc>
          <w:tcPr>
            <w:tcW w:w="2694" w:type="dxa"/>
            <w:tcBorders>
              <w:top w:val="single" w:sz="4" w:space="0" w:color="A6A6A6" w:themeColor="background1" w:themeShade="A6"/>
              <w:bottom w:val="single" w:sz="4" w:space="0" w:color="A6A6A6" w:themeColor="background1" w:themeShade="A6"/>
            </w:tcBorders>
          </w:tcPr>
          <w:p w14:paraId="7CD2F4DA" w14:textId="77777777" w:rsidR="002F4458" w:rsidRPr="00181EF3" w:rsidRDefault="002F4458" w:rsidP="0064111D">
            <w:pPr>
              <w:pStyle w:val="TableText"/>
              <w:spacing w:before="45" w:after="45"/>
              <w:jc w:val="center"/>
            </w:pPr>
            <w:r w:rsidRPr="00181EF3">
              <w:t>4,191 (98.0%)</w:t>
            </w:r>
          </w:p>
        </w:tc>
      </w:tr>
      <w:tr w:rsidR="002F4458" w:rsidRPr="00181EF3" w14:paraId="3D092900" w14:textId="77777777" w:rsidTr="0064111D">
        <w:trPr>
          <w:cantSplit/>
        </w:trPr>
        <w:tc>
          <w:tcPr>
            <w:tcW w:w="2693" w:type="dxa"/>
            <w:tcBorders>
              <w:top w:val="single" w:sz="4" w:space="0" w:color="A6A6A6" w:themeColor="background1" w:themeShade="A6"/>
              <w:bottom w:val="single" w:sz="4" w:space="0" w:color="A6A6A6" w:themeColor="background1" w:themeShade="A6"/>
            </w:tcBorders>
          </w:tcPr>
          <w:p w14:paraId="0B0C2E23" w14:textId="77777777" w:rsidR="002F4458" w:rsidRPr="00181EF3" w:rsidRDefault="002F4458" w:rsidP="0064111D">
            <w:pPr>
              <w:pStyle w:val="TableText"/>
              <w:spacing w:before="45" w:after="45"/>
              <w:jc w:val="center"/>
            </w:pPr>
            <w:r w:rsidRPr="00181EF3">
              <w:t>2013</w:t>
            </w:r>
          </w:p>
        </w:tc>
        <w:tc>
          <w:tcPr>
            <w:tcW w:w="2693" w:type="dxa"/>
            <w:tcBorders>
              <w:top w:val="single" w:sz="4" w:space="0" w:color="A6A6A6" w:themeColor="background1" w:themeShade="A6"/>
              <w:bottom w:val="single" w:sz="4" w:space="0" w:color="A6A6A6" w:themeColor="background1" w:themeShade="A6"/>
            </w:tcBorders>
          </w:tcPr>
          <w:p w14:paraId="6D52A92A" w14:textId="77777777" w:rsidR="002F4458" w:rsidRPr="00181EF3" w:rsidRDefault="002F4458" w:rsidP="0064111D">
            <w:pPr>
              <w:pStyle w:val="TableText"/>
              <w:tabs>
                <w:tab w:val="decimal" w:pos="1191"/>
              </w:tabs>
              <w:spacing w:before="45" w:after="45"/>
            </w:pPr>
            <w:r w:rsidRPr="00181EF3">
              <w:t>82 (1.8%)</w:t>
            </w:r>
          </w:p>
        </w:tc>
        <w:tc>
          <w:tcPr>
            <w:tcW w:w="2694" w:type="dxa"/>
            <w:tcBorders>
              <w:top w:val="single" w:sz="4" w:space="0" w:color="A6A6A6" w:themeColor="background1" w:themeShade="A6"/>
              <w:bottom w:val="single" w:sz="4" w:space="0" w:color="A6A6A6" w:themeColor="background1" w:themeShade="A6"/>
            </w:tcBorders>
          </w:tcPr>
          <w:p w14:paraId="17308FCB" w14:textId="77777777" w:rsidR="002F4458" w:rsidRPr="00181EF3" w:rsidRDefault="002F4458" w:rsidP="0064111D">
            <w:pPr>
              <w:pStyle w:val="TableText"/>
              <w:spacing w:before="45" w:after="45"/>
              <w:jc w:val="center"/>
            </w:pPr>
            <w:r w:rsidRPr="00181EF3">
              <w:t>4,403 (98.2%)</w:t>
            </w:r>
          </w:p>
        </w:tc>
      </w:tr>
      <w:tr w:rsidR="002F4458" w:rsidRPr="00181EF3" w14:paraId="35B0DE69" w14:textId="77777777" w:rsidTr="0064111D">
        <w:trPr>
          <w:cantSplit/>
        </w:trPr>
        <w:tc>
          <w:tcPr>
            <w:tcW w:w="2693" w:type="dxa"/>
            <w:tcBorders>
              <w:top w:val="single" w:sz="4" w:space="0" w:color="A6A6A6" w:themeColor="background1" w:themeShade="A6"/>
              <w:bottom w:val="single" w:sz="4" w:space="0" w:color="A6A6A6" w:themeColor="background1" w:themeShade="A6"/>
            </w:tcBorders>
          </w:tcPr>
          <w:p w14:paraId="2376BF11" w14:textId="77777777" w:rsidR="002F4458" w:rsidRPr="00181EF3" w:rsidRDefault="002F4458" w:rsidP="0064111D">
            <w:pPr>
              <w:pStyle w:val="TableText"/>
              <w:spacing w:before="45" w:after="45"/>
              <w:jc w:val="center"/>
            </w:pPr>
            <w:r w:rsidRPr="00181EF3">
              <w:t>2014</w:t>
            </w:r>
          </w:p>
        </w:tc>
        <w:tc>
          <w:tcPr>
            <w:tcW w:w="2693" w:type="dxa"/>
            <w:tcBorders>
              <w:top w:val="single" w:sz="4" w:space="0" w:color="A6A6A6" w:themeColor="background1" w:themeShade="A6"/>
              <w:bottom w:val="single" w:sz="4" w:space="0" w:color="A6A6A6" w:themeColor="background1" w:themeShade="A6"/>
            </w:tcBorders>
          </w:tcPr>
          <w:p w14:paraId="1D8CAF64" w14:textId="77777777" w:rsidR="002F4458" w:rsidRPr="00181EF3" w:rsidRDefault="002F4458" w:rsidP="0064111D">
            <w:pPr>
              <w:pStyle w:val="TableText"/>
              <w:tabs>
                <w:tab w:val="decimal" w:pos="1191"/>
              </w:tabs>
              <w:spacing w:before="45" w:after="45"/>
            </w:pPr>
            <w:r w:rsidRPr="00181EF3">
              <w:t>92 (2.0%)</w:t>
            </w:r>
          </w:p>
        </w:tc>
        <w:tc>
          <w:tcPr>
            <w:tcW w:w="2694" w:type="dxa"/>
            <w:tcBorders>
              <w:top w:val="single" w:sz="4" w:space="0" w:color="A6A6A6" w:themeColor="background1" w:themeShade="A6"/>
              <w:bottom w:val="single" w:sz="4" w:space="0" w:color="A6A6A6" w:themeColor="background1" w:themeShade="A6"/>
            </w:tcBorders>
          </w:tcPr>
          <w:p w14:paraId="39315C5B" w14:textId="77777777" w:rsidR="002F4458" w:rsidRPr="00181EF3" w:rsidRDefault="002F4458" w:rsidP="0064111D">
            <w:pPr>
              <w:pStyle w:val="TableText"/>
              <w:spacing w:before="45" w:after="45"/>
              <w:jc w:val="center"/>
            </w:pPr>
            <w:r w:rsidRPr="00181EF3">
              <w:t>4,608 (98.0%)</w:t>
            </w:r>
          </w:p>
        </w:tc>
      </w:tr>
      <w:tr w:rsidR="002F4458" w:rsidRPr="00181EF3" w14:paraId="234134D0" w14:textId="77777777" w:rsidTr="0064111D">
        <w:trPr>
          <w:cantSplit/>
        </w:trPr>
        <w:tc>
          <w:tcPr>
            <w:tcW w:w="2693" w:type="dxa"/>
            <w:tcBorders>
              <w:top w:val="single" w:sz="4" w:space="0" w:color="A6A6A6" w:themeColor="background1" w:themeShade="A6"/>
              <w:bottom w:val="single" w:sz="4" w:space="0" w:color="A6A6A6" w:themeColor="background1" w:themeShade="A6"/>
            </w:tcBorders>
          </w:tcPr>
          <w:p w14:paraId="5D512355" w14:textId="77777777" w:rsidR="002F4458" w:rsidRPr="00181EF3" w:rsidRDefault="002F4458" w:rsidP="0064111D">
            <w:pPr>
              <w:pStyle w:val="TableText"/>
              <w:spacing w:before="45" w:after="45"/>
              <w:jc w:val="center"/>
            </w:pPr>
            <w:r w:rsidRPr="00181EF3">
              <w:t>2015</w:t>
            </w:r>
          </w:p>
        </w:tc>
        <w:tc>
          <w:tcPr>
            <w:tcW w:w="2693" w:type="dxa"/>
            <w:tcBorders>
              <w:top w:val="single" w:sz="4" w:space="0" w:color="A6A6A6" w:themeColor="background1" w:themeShade="A6"/>
              <w:bottom w:val="single" w:sz="4" w:space="0" w:color="A6A6A6" w:themeColor="background1" w:themeShade="A6"/>
            </w:tcBorders>
          </w:tcPr>
          <w:p w14:paraId="0CC54EC5" w14:textId="77777777" w:rsidR="002F4458" w:rsidRPr="00181EF3" w:rsidRDefault="002F4458" w:rsidP="0064111D">
            <w:pPr>
              <w:pStyle w:val="TableText"/>
              <w:tabs>
                <w:tab w:val="decimal" w:pos="1191"/>
              </w:tabs>
              <w:spacing w:before="45" w:after="45"/>
            </w:pPr>
            <w:r w:rsidRPr="00181EF3">
              <w:t>100 (2.0%)</w:t>
            </w:r>
          </w:p>
        </w:tc>
        <w:tc>
          <w:tcPr>
            <w:tcW w:w="2694" w:type="dxa"/>
            <w:tcBorders>
              <w:top w:val="single" w:sz="4" w:space="0" w:color="A6A6A6" w:themeColor="background1" w:themeShade="A6"/>
              <w:bottom w:val="single" w:sz="4" w:space="0" w:color="A6A6A6" w:themeColor="background1" w:themeShade="A6"/>
            </w:tcBorders>
          </w:tcPr>
          <w:p w14:paraId="086B9BB5" w14:textId="77777777" w:rsidR="002F4458" w:rsidRPr="00181EF3" w:rsidRDefault="002F4458" w:rsidP="0064111D">
            <w:pPr>
              <w:pStyle w:val="TableText"/>
              <w:spacing w:before="45" w:after="45"/>
              <w:jc w:val="center"/>
            </w:pPr>
            <w:r w:rsidRPr="00181EF3">
              <w:t>4,939 (98.0%)</w:t>
            </w:r>
          </w:p>
        </w:tc>
      </w:tr>
      <w:tr w:rsidR="002F4458" w:rsidRPr="00181EF3" w14:paraId="75F7A160" w14:textId="77777777" w:rsidTr="0064111D">
        <w:trPr>
          <w:cantSplit/>
        </w:trPr>
        <w:tc>
          <w:tcPr>
            <w:tcW w:w="2693" w:type="dxa"/>
            <w:tcBorders>
              <w:top w:val="single" w:sz="4" w:space="0" w:color="A6A6A6" w:themeColor="background1" w:themeShade="A6"/>
              <w:bottom w:val="single" w:sz="4" w:space="0" w:color="A6A6A6" w:themeColor="background1" w:themeShade="A6"/>
            </w:tcBorders>
          </w:tcPr>
          <w:p w14:paraId="1793E309" w14:textId="77777777" w:rsidR="002F4458" w:rsidRPr="00181EF3" w:rsidRDefault="002F4458" w:rsidP="0064111D">
            <w:pPr>
              <w:pStyle w:val="TableText"/>
              <w:spacing w:before="45" w:after="45"/>
              <w:jc w:val="center"/>
            </w:pPr>
            <w:r w:rsidRPr="00181EF3">
              <w:t>2016</w:t>
            </w:r>
          </w:p>
        </w:tc>
        <w:tc>
          <w:tcPr>
            <w:tcW w:w="2693" w:type="dxa"/>
            <w:tcBorders>
              <w:top w:val="single" w:sz="4" w:space="0" w:color="A6A6A6" w:themeColor="background1" w:themeShade="A6"/>
              <w:bottom w:val="single" w:sz="4" w:space="0" w:color="A6A6A6" w:themeColor="background1" w:themeShade="A6"/>
            </w:tcBorders>
          </w:tcPr>
          <w:p w14:paraId="1F799116" w14:textId="77777777" w:rsidR="002F4458" w:rsidRPr="00181EF3" w:rsidRDefault="002F4458" w:rsidP="0064111D">
            <w:pPr>
              <w:pStyle w:val="TableText"/>
              <w:tabs>
                <w:tab w:val="decimal" w:pos="1191"/>
              </w:tabs>
              <w:spacing w:before="45" w:after="45"/>
            </w:pPr>
            <w:r w:rsidRPr="00181EF3">
              <w:t>103 (2.0%)</w:t>
            </w:r>
          </w:p>
        </w:tc>
        <w:tc>
          <w:tcPr>
            <w:tcW w:w="2694" w:type="dxa"/>
            <w:tcBorders>
              <w:top w:val="single" w:sz="4" w:space="0" w:color="A6A6A6" w:themeColor="background1" w:themeShade="A6"/>
              <w:bottom w:val="single" w:sz="4" w:space="0" w:color="A6A6A6" w:themeColor="background1" w:themeShade="A6"/>
            </w:tcBorders>
          </w:tcPr>
          <w:p w14:paraId="15BFB10B" w14:textId="77777777" w:rsidR="002F4458" w:rsidRPr="00181EF3" w:rsidRDefault="002F4458" w:rsidP="0064111D">
            <w:pPr>
              <w:pStyle w:val="TableText"/>
              <w:spacing w:before="45" w:after="45"/>
              <w:jc w:val="center"/>
            </w:pPr>
            <w:r w:rsidRPr="00181EF3">
              <w:t>5,149 (98.0%)</w:t>
            </w:r>
          </w:p>
        </w:tc>
      </w:tr>
    </w:tbl>
    <w:p w14:paraId="37F6CA6D" w14:textId="77777777" w:rsidR="002F4458" w:rsidRPr="00181EF3" w:rsidRDefault="002F4458" w:rsidP="002F4458">
      <w:pPr>
        <w:pStyle w:val="Source"/>
      </w:pPr>
      <w:r w:rsidRPr="00181EF3">
        <w:t>Source: Medical Council of New Zealand, 2009–2016.</w:t>
      </w:r>
    </w:p>
    <w:p w14:paraId="11C07677" w14:textId="77777777" w:rsidR="002F4458" w:rsidRPr="00181EF3" w:rsidRDefault="002F4458" w:rsidP="002F4458"/>
    <w:p w14:paraId="1F8D75EB" w14:textId="4487A31A" w:rsidR="002F4458" w:rsidRPr="00181EF3" w:rsidRDefault="002F4458" w:rsidP="002F4458">
      <w:pPr>
        <w:pStyle w:val="Table"/>
      </w:pPr>
      <w:bookmarkStart w:id="609" w:name="_Toc18594804"/>
      <w:r w:rsidRPr="00181EF3">
        <w:lastRenderedPageBreak/>
        <w:t xml:space="preserve">Table </w:t>
      </w:r>
      <w:r>
        <w:t>A6.5</w:t>
      </w:r>
      <w:r w:rsidRPr="00181EF3">
        <w:t xml:space="preserve">: Estimated number (percentage in workforce) of Māori and </w:t>
      </w:r>
      <w:r w:rsidR="00EC03A3">
        <w:t>non</w:t>
      </w:r>
      <w:r w:rsidR="00EC03A3">
        <w:noBreakHyphen/>
        <w:t>M</w:t>
      </w:r>
      <w:r w:rsidRPr="00181EF3">
        <w:t>āori, medical officers, 2009–2016</w:t>
      </w:r>
      <w:bookmarkEnd w:id="609"/>
    </w:p>
    <w:tbl>
      <w:tblPr>
        <w:tblW w:w="0" w:type="auto"/>
        <w:tblInd w:w="57" w:type="dxa"/>
        <w:tblLayout w:type="fixed"/>
        <w:tblCellMar>
          <w:left w:w="57" w:type="dxa"/>
          <w:right w:w="57" w:type="dxa"/>
        </w:tblCellMar>
        <w:tblLook w:val="04A0" w:firstRow="1" w:lastRow="0" w:firstColumn="1" w:lastColumn="0" w:noHBand="0" w:noVBand="1"/>
      </w:tblPr>
      <w:tblGrid>
        <w:gridCol w:w="2693"/>
        <w:gridCol w:w="2693"/>
        <w:gridCol w:w="2694"/>
      </w:tblGrid>
      <w:tr w:rsidR="002F4458" w:rsidRPr="00181EF3" w14:paraId="1C8EC9CB" w14:textId="77777777" w:rsidTr="0064111D">
        <w:trPr>
          <w:cantSplit/>
        </w:trPr>
        <w:tc>
          <w:tcPr>
            <w:tcW w:w="8080" w:type="dxa"/>
            <w:gridSpan w:val="3"/>
            <w:shd w:val="clear" w:color="auto" w:fill="D9D9D9" w:themeFill="background1" w:themeFillShade="D9"/>
          </w:tcPr>
          <w:p w14:paraId="10F1852D" w14:textId="77777777" w:rsidR="002F4458" w:rsidRPr="00181EF3" w:rsidRDefault="002F4458" w:rsidP="0064111D">
            <w:pPr>
              <w:pStyle w:val="TableText"/>
              <w:keepNext/>
              <w:spacing w:before="45" w:after="45"/>
              <w:jc w:val="center"/>
              <w:rPr>
                <w:b/>
              </w:rPr>
            </w:pPr>
            <w:r w:rsidRPr="00181EF3">
              <w:rPr>
                <w:b/>
              </w:rPr>
              <w:t>Medical officer (2009–2016)</w:t>
            </w:r>
          </w:p>
        </w:tc>
      </w:tr>
      <w:tr w:rsidR="002F4458" w:rsidRPr="00181EF3" w14:paraId="55927F46" w14:textId="77777777" w:rsidTr="0064111D">
        <w:trPr>
          <w:cantSplit/>
        </w:trPr>
        <w:tc>
          <w:tcPr>
            <w:tcW w:w="2693" w:type="dxa"/>
            <w:shd w:val="clear" w:color="auto" w:fill="F2F2F2" w:themeFill="background1" w:themeFillShade="F2"/>
          </w:tcPr>
          <w:p w14:paraId="2CE03E4C" w14:textId="77777777" w:rsidR="002F4458" w:rsidRPr="00181EF3" w:rsidRDefault="002F4458" w:rsidP="0064111D">
            <w:pPr>
              <w:pStyle w:val="TableText"/>
              <w:keepNext/>
              <w:spacing w:before="45" w:after="45"/>
              <w:jc w:val="center"/>
              <w:rPr>
                <w:b/>
              </w:rPr>
            </w:pPr>
            <w:r w:rsidRPr="00181EF3">
              <w:rPr>
                <w:b/>
              </w:rPr>
              <w:t>Year</w:t>
            </w:r>
          </w:p>
        </w:tc>
        <w:tc>
          <w:tcPr>
            <w:tcW w:w="2693" w:type="dxa"/>
            <w:shd w:val="clear" w:color="auto" w:fill="F2F2F2" w:themeFill="background1" w:themeFillShade="F2"/>
          </w:tcPr>
          <w:p w14:paraId="31C2C360" w14:textId="77777777" w:rsidR="002F4458" w:rsidRPr="00181EF3" w:rsidRDefault="002F4458" w:rsidP="0064111D">
            <w:pPr>
              <w:pStyle w:val="TableText"/>
              <w:keepNext/>
              <w:spacing w:before="45" w:after="45"/>
              <w:jc w:val="center"/>
              <w:rPr>
                <w:b/>
              </w:rPr>
            </w:pPr>
            <w:r w:rsidRPr="00181EF3">
              <w:rPr>
                <w:b/>
              </w:rPr>
              <w:t>Māori</w:t>
            </w:r>
          </w:p>
        </w:tc>
        <w:tc>
          <w:tcPr>
            <w:tcW w:w="2694" w:type="dxa"/>
            <w:shd w:val="clear" w:color="auto" w:fill="F2F2F2" w:themeFill="background1" w:themeFillShade="F2"/>
          </w:tcPr>
          <w:p w14:paraId="17CE0495" w14:textId="3947366C" w:rsidR="002F4458" w:rsidRPr="00181EF3" w:rsidRDefault="00EC03A3" w:rsidP="0064111D">
            <w:pPr>
              <w:pStyle w:val="TableText"/>
              <w:keepNext/>
              <w:spacing w:before="45" w:after="45"/>
              <w:jc w:val="center"/>
              <w:rPr>
                <w:b/>
              </w:rPr>
            </w:pPr>
            <w:r>
              <w:rPr>
                <w:b/>
              </w:rPr>
              <w:t>Non</w:t>
            </w:r>
            <w:r>
              <w:rPr>
                <w:b/>
              </w:rPr>
              <w:noBreakHyphen/>
              <w:t>M</w:t>
            </w:r>
            <w:r w:rsidR="002F4458" w:rsidRPr="00181EF3">
              <w:rPr>
                <w:b/>
              </w:rPr>
              <w:t>āori</w:t>
            </w:r>
          </w:p>
        </w:tc>
      </w:tr>
      <w:tr w:rsidR="002F4458" w:rsidRPr="00181EF3" w14:paraId="7A558E0F" w14:textId="77777777" w:rsidTr="0064111D">
        <w:trPr>
          <w:cantSplit/>
        </w:trPr>
        <w:tc>
          <w:tcPr>
            <w:tcW w:w="2693" w:type="dxa"/>
            <w:tcBorders>
              <w:bottom w:val="single" w:sz="4" w:space="0" w:color="A6A6A6" w:themeColor="background1" w:themeShade="A6"/>
            </w:tcBorders>
          </w:tcPr>
          <w:p w14:paraId="702994A4" w14:textId="77777777" w:rsidR="002F4458" w:rsidRPr="00181EF3" w:rsidRDefault="002F4458" w:rsidP="0064111D">
            <w:pPr>
              <w:pStyle w:val="TableText"/>
              <w:keepNext/>
              <w:spacing w:before="45" w:after="45"/>
              <w:jc w:val="center"/>
            </w:pPr>
            <w:r w:rsidRPr="00181EF3">
              <w:t>2009</w:t>
            </w:r>
          </w:p>
        </w:tc>
        <w:tc>
          <w:tcPr>
            <w:tcW w:w="2693" w:type="dxa"/>
            <w:tcBorders>
              <w:bottom w:val="single" w:sz="4" w:space="0" w:color="A6A6A6" w:themeColor="background1" w:themeShade="A6"/>
            </w:tcBorders>
          </w:tcPr>
          <w:p w14:paraId="06384D38" w14:textId="77777777" w:rsidR="002F4458" w:rsidRPr="00181EF3" w:rsidRDefault="002F4458" w:rsidP="0064111D">
            <w:pPr>
              <w:pStyle w:val="TableText"/>
              <w:keepNext/>
              <w:spacing w:before="45" w:after="45"/>
              <w:jc w:val="center"/>
            </w:pPr>
            <w:r w:rsidRPr="00181EF3">
              <w:t>13 (2.6%)</w:t>
            </w:r>
          </w:p>
        </w:tc>
        <w:tc>
          <w:tcPr>
            <w:tcW w:w="2694" w:type="dxa"/>
            <w:tcBorders>
              <w:bottom w:val="single" w:sz="4" w:space="0" w:color="A6A6A6" w:themeColor="background1" w:themeShade="A6"/>
            </w:tcBorders>
          </w:tcPr>
          <w:p w14:paraId="38F717B7" w14:textId="77777777" w:rsidR="002F4458" w:rsidRPr="00181EF3" w:rsidRDefault="002F4458" w:rsidP="0064111D">
            <w:pPr>
              <w:pStyle w:val="TableText"/>
              <w:keepNext/>
              <w:spacing w:before="45" w:after="45"/>
              <w:jc w:val="center"/>
            </w:pPr>
            <w:r w:rsidRPr="00181EF3">
              <w:t>484 (97.4%)</w:t>
            </w:r>
          </w:p>
        </w:tc>
      </w:tr>
      <w:tr w:rsidR="002F4458" w:rsidRPr="00181EF3" w14:paraId="3E3334B4" w14:textId="77777777" w:rsidTr="0064111D">
        <w:trPr>
          <w:cantSplit/>
        </w:trPr>
        <w:tc>
          <w:tcPr>
            <w:tcW w:w="2693" w:type="dxa"/>
            <w:tcBorders>
              <w:top w:val="single" w:sz="4" w:space="0" w:color="A6A6A6" w:themeColor="background1" w:themeShade="A6"/>
              <w:bottom w:val="single" w:sz="4" w:space="0" w:color="A6A6A6" w:themeColor="background1" w:themeShade="A6"/>
            </w:tcBorders>
          </w:tcPr>
          <w:p w14:paraId="3F37D9B3" w14:textId="77777777" w:rsidR="002F4458" w:rsidRPr="00181EF3" w:rsidRDefault="002F4458" w:rsidP="0064111D">
            <w:pPr>
              <w:pStyle w:val="TableText"/>
              <w:keepNext/>
              <w:spacing w:before="45" w:after="45"/>
              <w:jc w:val="center"/>
            </w:pPr>
            <w:r w:rsidRPr="00181EF3">
              <w:t>2010</w:t>
            </w:r>
          </w:p>
        </w:tc>
        <w:tc>
          <w:tcPr>
            <w:tcW w:w="2693" w:type="dxa"/>
            <w:tcBorders>
              <w:top w:val="single" w:sz="4" w:space="0" w:color="A6A6A6" w:themeColor="background1" w:themeShade="A6"/>
              <w:bottom w:val="single" w:sz="4" w:space="0" w:color="A6A6A6" w:themeColor="background1" w:themeShade="A6"/>
            </w:tcBorders>
          </w:tcPr>
          <w:p w14:paraId="5CA7726E" w14:textId="77777777" w:rsidR="002F4458" w:rsidRPr="00181EF3" w:rsidRDefault="002F4458" w:rsidP="0064111D">
            <w:pPr>
              <w:pStyle w:val="TableText"/>
              <w:keepNext/>
              <w:spacing w:before="45" w:after="45"/>
              <w:jc w:val="center"/>
            </w:pPr>
            <w:r w:rsidRPr="00181EF3">
              <w:t>12 (2.3%)</w:t>
            </w:r>
          </w:p>
        </w:tc>
        <w:tc>
          <w:tcPr>
            <w:tcW w:w="2694" w:type="dxa"/>
            <w:tcBorders>
              <w:top w:val="single" w:sz="4" w:space="0" w:color="A6A6A6" w:themeColor="background1" w:themeShade="A6"/>
              <w:bottom w:val="single" w:sz="4" w:space="0" w:color="A6A6A6" w:themeColor="background1" w:themeShade="A6"/>
            </w:tcBorders>
          </w:tcPr>
          <w:p w14:paraId="1EDDCDF7" w14:textId="77777777" w:rsidR="002F4458" w:rsidRPr="00181EF3" w:rsidRDefault="002F4458" w:rsidP="0064111D">
            <w:pPr>
              <w:pStyle w:val="TableText"/>
              <w:keepNext/>
              <w:spacing w:before="45" w:after="45"/>
              <w:jc w:val="center"/>
            </w:pPr>
            <w:r w:rsidRPr="00181EF3">
              <w:t>514 (97.7%)</w:t>
            </w:r>
          </w:p>
        </w:tc>
      </w:tr>
      <w:tr w:rsidR="002F4458" w:rsidRPr="00181EF3" w14:paraId="2756771C" w14:textId="77777777" w:rsidTr="0064111D">
        <w:trPr>
          <w:cantSplit/>
        </w:trPr>
        <w:tc>
          <w:tcPr>
            <w:tcW w:w="2693" w:type="dxa"/>
            <w:tcBorders>
              <w:top w:val="single" w:sz="4" w:space="0" w:color="A6A6A6" w:themeColor="background1" w:themeShade="A6"/>
              <w:bottom w:val="single" w:sz="4" w:space="0" w:color="A6A6A6" w:themeColor="background1" w:themeShade="A6"/>
            </w:tcBorders>
          </w:tcPr>
          <w:p w14:paraId="4D79AB2A" w14:textId="77777777" w:rsidR="002F4458" w:rsidRPr="00181EF3" w:rsidRDefault="002F4458" w:rsidP="0064111D">
            <w:pPr>
              <w:pStyle w:val="TableText"/>
              <w:keepNext/>
              <w:spacing w:before="45" w:after="45"/>
              <w:jc w:val="center"/>
            </w:pPr>
            <w:r w:rsidRPr="00181EF3">
              <w:t>2011</w:t>
            </w:r>
          </w:p>
        </w:tc>
        <w:tc>
          <w:tcPr>
            <w:tcW w:w="2693" w:type="dxa"/>
            <w:tcBorders>
              <w:top w:val="single" w:sz="4" w:space="0" w:color="A6A6A6" w:themeColor="background1" w:themeShade="A6"/>
              <w:bottom w:val="single" w:sz="4" w:space="0" w:color="A6A6A6" w:themeColor="background1" w:themeShade="A6"/>
            </w:tcBorders>
          </w:tcPr>
          <w:p w14:paraId="4FA858ED" w14:textId="77777777" w:rsidR="002F4458" w:rsidRPr="00181EF3" w:rsidRDefault="002F4458" w:rsidP="0064111D">
            <w:pPr>
              <w:pStyle w:val="TableText"/>
              <w:keepNext/>
              <w:spacing w:before="45" w:after="45"/>
              <w:jc w:val="center"/>
            </w:pPr>
            <w:r w:rsidRPr="00181EF3">
              <w:t>14 (2.7%)</w:t>
            </w:r>
          </w:p>
        </w:tc>
        <w:tc>
          <w:tcPr>
            <w:tcW w:w="2694" w:type="dxa"/>
            <w:tcBorders>
              <w:top w:val="single" w:sz="4" w:space="0" w:color="A6A6A6" w:themeColor="background1" w:themeShade="A6"/>
              <w:bottom w:val="single" w:sz="4" w:space="0" w:color="A6A6A6" w:themeColor="background1" w:themeShade="A6"/>
            </w:tcBorders>
          </w:tcPr>
          <w:p w14:paraId="086860CE" w14:textId="77777777" w:rsidR="002F4458" w:rsidRPr="00181EF3" w:rsidRDefault="002F4458" w:rsidP="0064111D">
            <w:pPr>
              <w:pStyle w:val="TableText"/>
              <w:keepNext/>
              <w:spacing w:before="45" w:after="45"/>
              <w:jc w:val="center"/>
            </w:pPr>
            <w:r w:rsidRPr="00181EF3">
              <w:t>507 (97.3%)</w:t>
            </w:r>
          </w:p>
        </w:tc>
      </w:tr>
      <w:tr w:rsidR="002F4458" w:rsidRPr="00181EF3" w14:paraId="201BA9A1" w14:textId="77777777" w:rsidTr="0064111D">
        <w:trPr>
          <w:cantSplit/>
        </w:trPr>
        <w:tc>
          <w:tcPr>
            <w:tcW w:w="2693" w:type="dxa"/>
            <w:tcBorders>
              <w:top w:val="single" w:sz="4" w:space="0" w:color="A6A6A6" w:themeColor="background1" w:themeShade="A6"/>
              <w:bottom w:val="single" w:sz="4" w:space="0" w:color="A6A6A6" w:themeColor="background1" w:themeShade="A6"/>
            </w:tcBorders>
          </w:tcPr>
          <w:p w14:paraId="3B243075" w14:textId="77777777" w:rsidR="002F4458" w:rsidRPr="00181EF3" w:rsidRDefault="002F4458" w:rsidP="0064111D">
            <w:pPr>
              <w:pStyle w:val="TableText"/>
              <w:keepNext/>
              <w:spacing w:before="45" w:after="45"/>
              <w:jc w:val="center"/>
            </w:pPr>
            <w:r w:rsidRPr="00181EF3">
              <w:t>2012</w:t>
            </w:r>
          </w:p>
        </w:tc>
        <w:tc>
          <w:tcPr>
            <w:tcW w:w="2693" w:type="dxa"/>
            <w:tcBorders>
              <w:top w:val="single" w:sz="4" w:space="0" w:color="A6A6A6" w:themeColor="background1" w:themeShade="A6"/>
              <w:bottom w:val="single" w:sz="4" w:space="0" w:color="A6A6A6" w:themeColor="background1" w:themeShade="A6"/>
            </w:tcBorders>
          </w:tcPr>
          <w:p w14:paraId="7663D6B0" w14:textId="77777777" w:rsidR="002F4458" w:rsidRPr="00181EF3" w:rsidRDefault="002F4458" w:rsidP="0064111D">
            <w:pPr>
              <w:pStyle w:val="TableText"/>
              <w:keepNext/>
              <w:spacing w:before="45" w:after="45"/>
              <w:jc w:val="center"/>
            </w:pPr>
            <w:r w:rsidRPr="00181EF3">
              <w:t>14 (2.5%)</w:t>
            </w:r>
          </w:p>
        </w:tc>
        <w:tc>
          <w:tcPr>
            <w:tcW w:w="2694" w:type="dxa"/>
            <w:tcBorders>
              <w:top w:val="single" w:sz="4" w:space="0" w:color="A6A6A6" w:themeColor="background1" w:themeShade="A6"/>
              <w:bottom w:val="single" w:sz="4" w:space="0" w:color="A6A6A6" w:themeColor="background1" w:themeShade="A6"/>
            </w:tcBorders>
          </w:tcPr>
          <w:p w14:paraId="6F300423" w14:textId="77777777" w:rsidR="002F4458" w:rsidRPr="00181EF3" w:rsidRDefault="002F4458" w:rsidP="0064111D">
            <w:pPr>
              <w:pStyle w:val="TableText"/>
              <w:keepNext/>
              <w:spacing w:before="45" w:after="45"/>
              <w:jc w:val="center"/>
            </w:pPr>
            <w:r w:rsidRPr="00181EF3">
              <w:t>540 (97.5%)</w:t>
            </w:r>
          </w:p>
        </w:tc>
      </w:tr>
      <w:tr w:rsidR="002F4458" w:rsidRPr="00181EF3" w14:paraId="2431EC01" w14:textId="77777777" w:rsidTr="0064111D">
        <w:trPr>
          <w:cantSplit/>
        </w:trPr>
        <w:tc>
          <w:tcPr>
            <w:tcW w:w="2693" w:type="dxa"/>
            <w:tcBorders>
              <w:top w:val="single" w:sz="4" w:space="0" w:color="A6A6A6" w:themeColor="background1" w:themeShade="A6"/>
              <w:bottom w:val="single" w:sz="4" w:space="0" w:color="A6A6A6" w:themeColor="background1" w:themeShade="A6"/>
            </w:tcBorders>
          </w:tcPr>
          <w:p w14:paraId="60474327" w14:textId="77777777" w:rsidR="002F4458" w:rsidRPr="00181EF3" w:rsidRDefault="002F4458" w:rsidP="0064111D">
            <w:pPr>
              <w:pStyle w:val="TableText"/>
              <w:keepNext/>
              <w:spacing w:before="45" w:after="45"/>
              <w:jc w:val="center"/>
            </w:pPr>
            <w:r w:rsidRPr="00181EF3">
              <w:t>2013</w:t>
            </w:r>
          </w:p>
        </w:tc>
        <w:tc>
          <w:tcPr>
            <w:tcW w:w="2693" w:type="dxa"/>
            <w:tcBorders>
              <w:top w:val="single" w:sz="4" w:space="0" w:color="A6A6A6" w:themeColor="background1" w:themeShade="A6"/>
              <w:bottom w:val="single" w:sz="4" w:space="0" w:color="A6A6A6" w:themeColor="background1" w:themeShade="A6"/>
            </w:tcBorders>
          </w:tcPr>
          <w:p w14:paraId="28E81BD1" w14:textId="77777777" w:rsidR="002F4458" w:rsidRPr="00181EF3" w:rsidRDefault="002F4458" w:rsidP="0064111D">
            <w:pPr>
              <w:pStyle w:val="TableText"/>
              <w:keepNext/>
              <w:spacing w:before="45" w:after="45"/>
              <w:jc w:val="center"/>
            </w:pPr>
            <w:r w:rsidRPr="00181EF3">
              <w:t>15 (2.9%)</w:t>
            </w:r>
          </w:p>
        </w:tc>
        <w:tc>
          <w:tcPr>
            <w:tcW w:w="2694" w:type="dxa"/>
            <w:tcBorders>
              <w:top w:val="single" w:sz="4" w:space="0" w:color="A6A6A6" w:themeColor="background1" w:themeShade="A6"/>
              <w:bottom w:val="single" w:sz="4" w:space="0" w:color="A6A6A6" w:themeColor="background1" w:themeShade="A6"/>
            </w:tcBorders>
          </w:tcPr>
          <w:p w14:paraId="6B7FE2EF" w14:textId="77777777" w:rsidR="002F4458" w:rsidRPr="00181EF3" w:rsidRDefault="002F4458" w:rsidP="0064111D">
            <w:pPr>
              <w:pStyle w:val="TableText"/>
              <w:keepNext/>
              <w:spacing w:before="45" w:after="45"/>
              <w:jc w:val="center"/>
            </w:pPr>
            <w:r w:rsidRPr="00181EF3">
              <w:t>496 (97.1%)</w:t>
            </w:r>
          </w:p>
        </w:tc>
      </w:tr>
      <w:tr w:rsidR="002F4458" w:rsidRPr="00181EF3" w14:paraId="252FF036" w14:textId="77777777" w:rsidTr="0064111D">
        <w:trPr>
          <w:cantSplit/>
        </w:trPr>
        <w:tc>
          <w:tcPr>
            <w:tcW w:w="2693" w:type="dxa"/>
            <w:tcBorders>
              <w:top w:val="single" w:sz="4" w:space="0" w:color="A6A6A6" w:themeColor="background1" w:themeShade="A6"/>
              <w:bottom w:val="single" w:sz="4" w:space="0" w:color="A6A6A6" w:themeColor="background1" w:themeShade="A6"/>
            </w:tcBorders>
          </w:tcPr>
          <w:p w14:paraId="2A379B89" w14:textId="77777777" w:rsidR="002F4458" w:rsidRPr="00181EF3" w:rsidRDefault="002F4458" w:rsidP="0064111D">
            <w:pPr>
              <w:pStyle w:val="TableText"/>
              <w:keepNext/>
              <w:spacing w:before="45" w:after="45"/>
              <w:jc w:val="center"/>
            </w:pPr>
            <w:r w:rsidRPr="00181EF3">
              <w:t>2014</w:t>
            </w:r>
          </w:p>
        </w:tc>
        <w:tc>
          <w:tcPr>
            <w:tcW w:w="2693" w:type="dxa"/>
            <w:tcBorders>
              <w:top w:val="single" w:sz="4" w:space="0" w:color="A6A6A6" w:themeColor="background1" w:themeShade="A6"/>
              <w:bottom w:val="single" w:sz="4" w:space="0" w:color="A6A6A6" w:themeColor="background1" w:themeShade="A6"/>
            </w:tcBorders>
          </w:tcPr>
          <w:p w14:paraId="3256A0F3" w14:textId="77777777" w:rsidR="002F4458" w:rsidRPr="00181EF3" w:rsidRDefault="002F4458" w:rsidP="0064111D">
            <w:pPr>
              <w:pStyle w:val="TableText"/>
              <w:keepNext/>
              <w:spacing w:before="45" w:after="45"/>
              <w:jc w:val="center"/>
            </w:pPr>
            <w:r w:rsidRPr="00181EF3">
              <w:t>18 (3.3%)</w:t>
            </w:r>
          </w:p>
        </w:tc>
        <w:tc>
          <w:tcPr>
            <w:tcW w:w="2694" w:type="dxa"/>
            <w:tcBorders>
              <w:top w:val="single" w:sz="4" w:space="0" w:color="A6A6A6" w:themeColor="background1" w:themeShade="A6"/>
              <w:bottom w:val="single" w:sz="4" w:space="0" w:color="A6A6A6" w:themeColor="background1" w:themeShade="A6"/>
            </w:tcBorders>
          </w:tcPr>
          <w:p w14:paraId="40695D60" w14:textId="77777777" w:rsidR="002F4458" w:rsidRPr="00181EF3" w:rsidRDefault="002F4458" w:rsidP="0064111D">
            <w:pPr>
              <w:pStyle w:val="TableText"/>
              <w:keepNext/>
              <w:spacing w:before="45" w:after="45"/>
              <w:jc w:val="center"/>
            </w:pPr>
            <w:r w:rsidRPr="00181EF3">
              <w:t>528 (96.7%)</w:t>
            </w:r>
          </w:p>
        </w:tc>
      </w:tr>
      <w:tr w:rsidR="002F4458" w:rsidRPr="00181EF3" w14:paraId="1AE42733" w14:textId="77777777" w:rsidTr="0064111D">
        <w:trPr>
          <w:cantSplit/>
        </w:trPr>
        <w:tc>
          <w:tcPr>
            <w:tcW w:w="2693" w:type="dxa"/>
            <w:tcBorders>
              <w:top w:val="single" w:sz="4" w:space="0" w:color="A6A6A6" w:themeColor="background1" w:themeShade="A6"/>
              <w:bottom w:val="single" w:sz="4" w:space="0" w:color="A6A6A6" w:themeColor="background1" w:themeShade="A6"/>
            </w:tcBorders>
          </w:tcPr>
          <w:p w14:paraId="3B1F1445" w14:textId="77777777" w:rsidR="002F4458" w:rsidRPr="00181EF3" w:rsidRDefault="002F4458" w:rsidP="0064111D">
            <w:pPr>
              <w:pStyle w:val="TableText"/>
              <w:keepNext/>
              <w:spacing w:before="45" w:after="45"/>
              <w:jc w:val="center"/>
            </w:pPr>
            <w:r w:rsidRPr="00181EF3">
              <w:t>2015</w:t>
            </w:r>
          </w:p>
        </w:tc>
        <w:tc>
          <w:tcPr>
            <w:tcW w:w="2693" w:type="dxa"/>
            <w:tcBorders>
              <w:top w:val="single" w:sz="4" w:space="0" w:color="A6A6A6" w:themeColor="background1" w:themeShade="A6"/>
              <w:bottom w:val="single" w:sz="4" w:space="0" w:color="A6A6A6" w:themeColor="background1" w:themeShade="A6"/>
            </w:tcBorders>
          </w:tcPr>
          <w:p w14:paraId="32596DF0" w14:textId="77777777" w:rsidR="002F4458" w:rsidRPr="00181EF3" w:rsidRDefault="002F4458" w:rsidP="0064111D">
            <w:pPr>
              <w:pStyle w:val="TableText"/>
              <w:keepNext/>
              <w:spacing w:before="45" w:after="45"/>
              <w:jc w:val="center"/>
            </w:pPr>
            <w:r w:rsidRPr="00181EF3">
              <w:t>23 (4.4%)</w:t>
            </w:r>
          </w:p>
        </w:tc>
        <w:tc>
          <w:tcPr>
            <w:tcW w:w="2694" w:type="dxa"/>
            <w:tcBorders>
              <w:top w:val="single" w:sz="4" w:space="0" w:color="A6A6A6" w:themeColor="background1" w:themeShade="A6"/>
              <w:bottom w:val="single" w:sz="4" w:space="0" w:color="A6A6A6" w:themeColor="background1" w:themeShade="A6"/>
            </w:tcBorders>
          </w:tcPr>
          <w:p w14:paraId="2BDB65FB" w14:textId="77777777" w:rsidR="002F4458" w:rsidRPr="00181EF3" w:rsidRDefault="002F4458" w:rsidP="0064111D">
            <w:pPr>
              <w:pStyle w:val="TableText"/>
              <w:keepNext/>
              <w:spacing w:before="45" w:after="45"/>
              <w:jc w:val="center"/>
            </w:pPr>
            <w:r w:rsidRPr="00181EF3">
              <w:t>500 (95.6%)</w:t>
            </w:r>
          </w:p>
        </w:tc>
      </w:tr>
      <w:tr w:rsidR="002F4458" w:rsidRPr="00181EF3" w14:paraId="2B8A248A" w14:textId="77777777" w:rsidTr="0064111D">
        <w:trPr>
          <w:cantSplit/>
        </w:trPr>
        <w:tc>
          <w:tcPr>
            <w:tcW w:w="2693" w:type="dxa"/>
            <w:tcBorders>
              <w:top w:val="single" w:sz="4" w:space="0" w:color="A6A6A6" w:themeColor="background1" w:themeShade="A6"/>
              <w:bottom w:val="single" w:sz="4" w:space="0" w:color="A6A6A6" w:themeColor="background1" w:themeShade="A6"/>
            </w:tcBorders>
          </w:tcPr>
          <w:p w14:paraId="3DC0A146" w14:textId="77777777" w:rsidR="002F4458" w:rsidRPr="00181EF3" w:rsidRDefault="002F4458" w:rsidP="0064111D">
            <w:pPr>
              <w:pStyle w:val="TableText"/>
              <w:spacing w:before="45" w:after="45"/>
              <w:jc w:val="center"/>
            </w:pPr>
            <w:r w:rsidRPr="00181EF3">
              <w:t>2016</w:t>
            </w:r>
          </w:p>
        </w:tc>
        <w:tc>
          <w:tcPr>
            <w:tcW w:w="2693" w:type="dxa"/>
            <w:tcBorders>
              <w:top w:val="single" w:sz="4" w:space="0" w:color="A6A6A6" w:themeColor="background1" w:themeShade="A6"/>
              <w:bottom w:val="single" w:sz="4" w:space="0" w:color="A6A6A6" w:themeColor="background1" w:themeShade="A6"/>
            </w:tcBorders>
          </w:tcPr>
          <w:p w14:paraId="21F7DACA" w14:textId="77777777" w:rsidR="002F4458" w:rsidRPr="00181EF3" w:rsidRDefault="002F4458" w:rsidP="0064111D">
            <w:pPr>
              <w:pStyle w:val="TableText"/>
              <w:spacing w:before="45" w:after="45"/>
              <w:jc w:val="center"/>
            </w:pPr>
            <w:r w:rsidRPr="00181EF3">
              <w:t>25 (4.2%)</w:t>
            </w:r>
          </w:p>
        </w:tc>
        <w:tc>
          <w:tcPr>
            <w:tcW w:w="2694" w:type="dxa"/>
            <w:tcBorders>
              <w:top w:val="single" w:sz="4" w:space="0" w:color="A6A6A6" w:themeColor="background1" w:themeShade="A6"/>
              <w:bottom w:val="single" w:sz="4" w:space="0" w:color="A6A6A6" w:themeColor="background1" w:themeShade="A6"/>
            </w:tcBorders>
          </w:tcPr>
          <w:p w14:paraId="3C91417D" w14:textId="77777777" w:rsidR="002F4458" w:rsidRPr="00181EF3" w:rsidRDefault="002F4458" w:rsidP="0064111D">
            <w:pPr>
              <w:pStyle w:val="TableText"/>
              <w:spacing w:before="45" w:after="45"/>
              <w:jc w:val="center"/>
            </w:pPr>
            <w:r w:rsidRPr="00181EF3">
              <w:t>577 (95.8%)</w:t>
            </w:r>
          </w:p>
        </w:tc>
      </w:tr>
    </w:tbl>
    <w:p w14:paraId="6DA88A96" w14:textId="77777777" w:rsidR="002F4458" w:rsidRPr="00181EF3" w:rsidRDefault="002F4458" w:rsidP="002F4458">
      <w:pPr>
        <w:pStyle w:val="Source"/>
      </w:pPr>
      <w:r w:rsidRPr="00181EF3">
        <w:t>Source: Medical Council of New Zealand, 2009–2016.</w:t>
      </w:r>
    </w:p>
    <w:p w14:paraId="75D98F21" w14:textId="77777777" w:rsidR="002F4458" w:rsidRPr="00181EF3" w:rsidRDefault="002F4458" w:rsidP="002F4458"/>
    <w:p w14:paraId="3654E1E5" w14:textId="78BC7E73" w:rsidR="002F4458" w:rsidRPr="00181EF3" w:rsidRDefault="002F4458" w:rsidP="002F4458">
      <w:pPr>
        <w:pStyle w:val="Table"/>
      </w:pPr>
      <w:bookmarkStart w:id="610" w:name="_Toc18594805"/>
      <w:r w:rsidRPr="00181EF3">
        <w:t xml:space="preserve">Table </w:t>
      </w:r>
      <w:r>
        <w:t>A6.6</w:t>
      </w:r>
      <w:r w:rsidRPr="00181EF3">
        <w:t xml:space="preserve">: Estimated number (percentage in workforce) of Māori and </w:t>
      </w:r>
      <w:r w:rsidR="00EC03A3">
        <w:t>non</w:t>
      </w:r>
      <w:r w:rsidR="00EC03A3">
        <w:noBreakHyphen/>
        <w:t>M</w:t>
      </w:r>
      <w:r w:rsidRPr="00181EF3">
        <w:t>āori general practitioners, 2009–2016</w:t>
      </w:r>
      <w:bookmarkEnd w:id="610"/>
    </w:p>
    <w:tbl>
      <w:tblPr>
        <w:tblW w:w="0" w:type="auto"/>
        <w:tblInd w:w="57" w:type="dxa"/>
        <w:tblLayout w:type="fixed"/>
        <w:tblCellMar>
          <w:left w:w="57" w:type="dxa"/>
          <w:right w:w="57" w:type="dxa"/>
        </w:tblCellMar>
        <w:tblLook w:val="04A0" w:firstRow="1" w:lastRow="0" w:firstColumn="1" w:lastColumn="0" w:noHBand="0" w:noVBand="1"/>
      </w:tblPr>
      <w:tblGrid>
        <w:gridCol w:w="2693"/>
        <w:gridCol w:w="2693"/>
        <w:gridCol w:w="2694"/>
      </w:tblGrid>
      <w:tr w:rsidR="002F4458" w:rsidRPr="00181EF3" w14:paraId="2C295A08" w14:textId="77777777" w:rsidTr="0064111D">
        <w:trPr>
          <w:cantSplit/>
        </w:trPr>
        <w:tc>
          <w:tcPr>
            <w:tcW w:w="8080" w:type="dxa"/>
            <w:gridSpan w:val="3"/>
            <w:shd w:val="clear" w:color="auto" w:fill="D9D9D9" w:themeFill="background1" w:themeFillShade="D9"/>
          </w:tcPr>
          <w:p w14:paraId="716AE03C" w14:textId="77777777" w:rsidR="002F4458" w:rsidRPr="00181EF3" w:rsidRDefault="002F4458" w:rsidP="0064111D">
            <w:pPr>
              <w:pStyle w:val="TableText"/>
              <w:spacing w:before="45" w:after="45"/>
              <w:jc w:val="center"/>
              <w:rPr>
                <w:b/>
              </w:rPr>
            </w:pPr>
            <w:r w:rsidRPr="00181EF3">
              <w:rPr>
                <w:b/>
              </w:rPr>
              <w:t>General practitioner (2009–2016)</w:t>
            </w:r>
          </w:p>
        </w:tc>
      </w:tr>
      <w:tr w:rsidR="002F4458" w:rsidRPr="00181EF3" w14:paraId="3A38168C" w14:textId="77777777" w:rsidTr="0064111D">
        <w:trPr>
          <w:cantSplit/>
        </w:trPr>
        <w:tc>
          <w:tcPr>
            <w:tcW w:w="2693" w:type="dxa"/>
            <w:shd w:val="clear" w:color="auto" w:fill="F2F2F2" w:themeFill="background1" w:themeFillShade="F2"/>
          </w:tcPr>
          <w:p w14:paraId="496F9EAD" w14:textId="77777777" w:rsidR="002F4458" w:rsidRPr="00181EF3" w:rsidRDefault="002F4458" w:rsidP="0064111D">
            <w:pPr>
              <w:pStyle w:val="TableText"/>
              <w:spacing w:before="45" w:after="45"/>
              <w:jc w:val="center"/>
              <w:rPr>
                <w:b/>
              </w:rPr>
            </w:pPr>
            <w:r w:rsidRPr="00181EF3">
              <w:rPr>
                <w:b/>
              </w:rPr>
              <w:t>Year</w:t>
            </w:r>
          </w:p>
        </w:tc>
        <w:tc>
          <w:tcPr>
            <w:tcW w:w="2693" w:type="dxa"/>
            <w:shd w:val="clear" w:color="auto" w:fill="F2F2F2" w:themeFill="background1" w:themeFillShade="F2"/>
          </w:tcPr>
          <w:p w14:paraId="5A272E69" w14:textId="77777777" w:rsidR="002F4458" w:rsidRPr="00181EF3" w:rsidRDefault="002F4458" w:rsidP="0064111D">
            <w:pPr>
              <w:pStyle w:val="TableText"/>
              <w:spacing w:before="45" w:after="45"/>
              <w:jc w:val="center"/>
              <w:rPr>
                <w:b/>
              </w:rPr>
            </w:pPr>
            <w:r w:rsidRPr="00181EF3">
              <w:rPr>
                <w:b/>
              </w:rPr>
              <w:t>Māori</w:t>
            </w:r>
          </w:p>
        </w:tc>
        <w:tc>
          <w:tcPr>
            <w:tcW w:w="2694" w:type="dxa"/>
            <w:shd w:val="clear" w:color="auto" w:fill="F2F2F2" w:themeFill="background1" w:themeFillShade="F2"/>
          </w:tcPr>
          <w:p w14:paraId="2C2C4AA3" w14:textId="17A2ADA2" w:rsidR="002F4458" w:rsidRPr="00181EF3" w:rsidRDefault="00EC03A3" w:rsidP="0064111D">
            <w:pPr>
              <w:pStyle w:val="TableText"/>
              <w:spacing w:before="45" w:after="45"/>
              <w:jc w:val="center"/>
              <w:rPr>
                <w:b/>
              </w:rPr>
            </w:pPr>
            <w:r>
              <w:rPr>
                <w:b/>
              </w:rPr>
              <w:t>Non</w:t>
            </w:r>
            <w:r>
              <w:rPr>
                <w:b/>
              </w:rPr>
              <w:noBreakHyphen/>
              <w:t>M</w:t>
            </w:r>
            <w:r w:rsidR="002F4458" w:rsidRPr="00181EF3">
              <w:rPr>
                <w:b/>
              </w:rPr>
              <w:t>āori</w:t>
            </w:r>
          </w:p>
        </w:tc>
      </w:tr>
      <w:tr w:rsidR="002F4458" w:rsidRPr="00181EF3" w14:paraId="5442A8FC" w14:textId="77777777" w:rsidTr="0064111D">
        <w:trPr>
          <w:cantSplit/>
        </w:trPr>
        <w:tc>
          <w:tcPr>
            <w:tcW w:w="2693" w:type="dxa"/>
            <w:tcBorders>
              <w:bottom w:val="single" w:sz="4" w:space="0" w:color="A6A6A6" w:themeColor="background1" w:themeShade="A6"/>
            </w:tcBorders>
          </w:tcPr>
          <w:p w14:paraId="14C5CFB4" w14:textId="77777777" w:rsidR="002F4458" w:rsidRPr="00181EF3" w:rsidRDefault="002F4458" w:rsidP="0064111D">
            <w:pPr>
              <w:pStyle w:val="TableText"/>
              <w:spacing w:before="45" w:after="45"/>
              <w:jc w:val="center"/>
            </w:pPr>
            <w:r w:rsidRPr="00181EF3">
              <w:t>2009</w:t>
            </w:r>
          </w:p>
        </w:tc>
        <w:tc>
          <w:tcPr>
            <w:tcW w:w="2693" w:type="dxa"/>
            <w:tcBorders>
              <w:bottom w:val="single" w:sz="4" w:space="0" w:color="A6A6A6" w:themeColor="background1" w:themeShade="A6"/>
            </w:tcBorders>
          </w:tcPr>
          <w:p w14:paraId="03BDF3E0" w14:textId="77777777" w:rsidR="002F4458" w:rsidRPr="00181EF3" w:rsidRDefault="002F4458" w:rsidP="0064111D">
            <w:pPr>
              <w:pStyle w:val="TableText"/>
              <w:tabs>
                <w:tab w:val="decimal" w:pos="1191"/>
              </w:tabs>
              <w:spacing w:before="45" w:after="45"/>
            </w:pPr>
            <w:r w:rsidRPr="00181EF3">
              <w:t>99 (2.8%)</w:t>
            </w:r>
          </w:p>
        </w:tc>
        <w:tc>
          <w:tcPr>
            <w:tcW w:w="2694" w:type="dxa"/>
            <w:tcBorders>
              <w:bottom w:val="single" w:sz="4" w:space="0" w:color="A6A6A6" w:themeColor="background1" w:themeShade="A6"/>
            </w:tcBorders>
          </w:tcPr>
          <w:p w14:paraId="294196CB" w14:textId="77777777" w:rsidR="002F4458" w:rsidRPr="00181EF3" w:rsidRDefault="002F4458" w:rsidP="0064111D">
            <w:pPr>
              <w:pStyle w:val="TableText"/>
              <w:spacing w:before="45" w:after="45"/>
              <w:jc w:val="center"/>
            </w:pPr>
            <w:r w:rsidRPr="00181EF3">
              <w:t>3,442 (97.2%)</w:t>
            </w:r>
          </w:p>
        </w:tc>
      </w:tr>
      <w:tr w:rsidR="002F4458" w:rsidRPr="00181EF3" w14:paraId="643CAE2A" w14:textId="77777777" w:rsidTr="0064111D">
        <w:trPr>
          <w:cantSplit/>
        </w:trPr>
        <w:tc>
          <w:tcPr>
            <w:tcW w:w="2693" w:type="dxa"/>
            <w:tcBorders>
              <w:top w:val="single" w:sz="4" w:space="0" w:color="A6A6A6" w:themeColor="background1" w:themeShade="A6"/>
              <w:bottom w:val="single" w:sz="4" w:space="0" w:color="A6A6A6" w:themeColor="background1" w:themeShade="A6"/>
            </w:tcBorders>
          </w:tcPr>
          <w:p w14:paraId="1C59B114" w14:textId="77777777" w:rsidR="002F4458" w:rsidRPr="00181EF3" w:rsidRDefault="002F4458" w:rsidP="0064111D">
            <w:pPr>
              <w:pStyle w:val="TableText"/>
              <w:spacing w:before="45" w:after="45"/>
              <w:jc w:val="center"/>
            </w:pPr>
            <w:r w:rsidRPr="00181EF3">
              <w:t>2010</w:t>
            </w:r>
          </w:p>
        </w:tc>
        <w:tc>
          <w:tcPr>
            <w:tcW w:w="2693" w:type="dxa"/>
            <w:tcBorders>
              <w:top w:val="single" w:sz="4" w:space="0" w:color="A6A6A6" w:themeColor="background1" w:themeShade="A6"/>
              <w:bottom w:val="single" w:sz="4" w:space="0" w:color="A6A6A6" w:themeColor="background1" w:themeShade="A6"/>
            </w:tcBorders>
          </w:tcPr>
          <w:p w14:paraId="37EB0476" w14:textId="77777777" w:rsidR="002F4458" w:rsidRPr="00181EF3" w:rsidRDefault="002F4458" w:rsidP="0064111D">
            <w:pPr>
              <w:pStyle w:val="TableText"/>
              <w:tabs>
                <w:tab w:val="decimal" w:pos="1191"/>
              </w:tabs>
              <w:spacing w:before="45" w:after="45"/>
            </w:pPr>
            <w:r w:rsidRPr="00181EF3">
              <w:t>110 (3.1%)</w:t>
            </w:r>
          </w:p>
        </w:tc>
        <w:tc>
          <w:tcPr>
            <w:tcW w:w="2694" w:type="dxa"/>
            <w:tcBorders>
              <w:top w:val="single" w:sz="4" w:space="0" w:color="A6A6A6" w:themeColor="background1" w:themeShade="A6"/>
              <w:bottom w:val="single" w:sz="4" w:space="0" w:color="A6A6A6" w:themeColor="background1" w:themeShade="A6"/>
            </w:tcBorders>
          </w:tcPr>
          <w:p w14:paraId="4E17058C" w14:textId="77777777" w:rsidR="002F4458" w:rsidRPr="00181EF3" w:rsidRDefault="002F4458" w:rsidP="0064111D">
            <w:pPr>
              <w:pStyle w:val="TableText"/>
              <w:spacing w:before="45" w:after="45"/>
              <w:jc w:val="center"/>
            </w:pPr>
            <w:r w:rsidRPr="00181EF3">
              <w:t>3,422 (96.9%)</w:t>
            </w:r>
          </w:p>
        </w:tc>
      </w:tr>
      <w:tr w:rsidR="002F4458" w:rsidRPr="00181EF3" w14:paraId="2161AB89" w14:textId="77777777" w:rsidTr="0064111D">
        <w:trPr>
          <w:cantSplit/>
        </w:trPr>
        <w:tc>
          <w:tcPr>
            <w:tcW w:w="2693" w:type="dxa"/>
            <w:tcBorders>
              <w:top w:val="single" w:sz="4" w:space="0" w:color="A6A6A6" w:themeColor="background1" w:themeShade="A6"/>
              <w:bottom w:val="single" w:sz="4" w:space="0" w:color="A6A6A6" w:themeColor="background1" w:themeShade="A6"/>
            </w:tcBorders>
          </w:tcPr>
          <w:p w14:paraId="06F26717" w14:textId="77777777" w:rsidR="002F4458" w:rsidRPr="00181EF3" w:rsidRDefault="002F4458" w:rsidP="0064111D">
            <w:pPr>
              <w:pStyle w:val="TableText"/>
              <w:spacing w:before="45" w:after="45"/>
              <w:jc w:val="center"/>
            </w:pPr>
            <w:r w:rsidRPr="00181EF3">
              <w:t>2011</w:t>
            </w:r>
          </w:p>
        </w:tc>
        <w:tc>
          <w:tcPr>
            <w:tcW w:w="2693" w:type="dxa"/>
            <w:tcBorders>
              <w:top w:val="single" w:sz="4" w:space="0" w:color="A6A6A6" w:themeColor="background1" w:themeShade="A6"/>
              <w:bottom w:val="single" w:sz="4" w:space="0" w:color="A6A6A6" w:themeColor="background1" w:themeShade="A6"/>
            </w:tcBorders>
          </w:tcPr>
          <w:p w14:paraId="1C698B10" w14:textId="77777777" w:rsidR="002F4458" w:rsidRPr="00181EF3" w:rsidRDefault="002F4458" w:rsidP="0064111D">
            <w:pPr>
              <w:pStyle w:val="TableText"/>
              <w:tabs>
                <w:tab w:val="decimal" w:pos="1191"/>
              </w:tabs>
              <w:spacing w:before="45" w:after="45"/>
            </w:pPr>
            <w:r w:rsidRPr="00181EF3">
              <w:t>101 (2.8%)</w:t>
            </w:r>
          </w:p>
        </w:tc>
        <w:tc>
          <w:tcPr>
            <w:tcW w:w="2694" w:type="dxa"/>
            <w:tcBorders>
              <w:top w:val="single" w:sz="4" w:space="0" w:color="A6A6A6" w:themeColor="background1" w:themeShade="A6"/>
              <w:bottom w:val="single" w:sz="4" w:space="0" w:color="A6A6A6" w:themeColor="background1" w:themeShade="A6"/>
            </w:tcBorders>
          </w:tcPr>
          <w:p w14:paraId="1808B703" w14:textId="77777777" w:rsidR="002F4458" w:rsidRPr="00181EF3" w:rsidRDefault="002F4458" w:rsidP="0064111D">
            <w:pPr>
              <w:pStyle w:val="TableText"/>
              <w:spacing w:before="45" w:after="45"/>
              <w:jc w:val="center"/>
            </w:pPr>
            <w:r w:rsidRPr="00181EF3">
              <w:t>3,513 (97.2%)</w:t>
            </w:r>
          </w:p>
        </w:tc>
      </w:tr>
      <w:tr w:rsidR="002F4458" w:rsidRPr="00181EF3" w14:paraId="2D3A7128" w14:textId="77777777" w:rsidTr="0064111D">
        <w:trPr>
          <w:cantSplit/>
        </w:trPr>
        <w:tc>
          <w:tcPr>
            <w:tcW w:w="2693" w:type="dxa"/>
            <w:tcBorders>
              <w:top w:val="single" w:sz="4" w:space="0" w:color="A6A6A6" w:themeColor="background1" w:themeShade="A6"/>
              <w:bottom w:val="single" w:sz="4" w:space="0" w:color="A6A6A6" w:themeColor="background1" w:themeShade="A6"/>
            </w:tcBorders>
          </w:tcPr>
          <w:p w14:paraId="3AFE5826" w14:textId="77777777" w:rsidR="002F4458" w:rsidRPr="00181EF3" w:rsidRDefault="002F4458" w:rsidP="0064111D">
            <w:pPr>
              <w:pStyle w:val="TableText"/>
              <w:spacing w:before="45" w:after="45"/>
              <w:jc w:val="center"/>
            </w:pPr>
            <w:r w:rsidRPr="00181EF3">
              <w:t>2012</w:t>
            </w:r>
          </w:p>
        </w:tc>
        <w:tc>
          <w:tcPr>
            <w:tcW w:w="2693" w:type="dxa"/>
            <w:tcBorders>
              <w:top w:val="single" w:sz="4" w:space="0" w:color="A6A6A6" w:themeColor="background1" w:themeShade="A6"/>
              <w:bottom w:val="single" w:sz="4" w:space="0" w:color="A6A6A6" w:themeColor="background1" w:themeShade="A6"/>
            </w:tcBorders>
          </w:tcPr>
          <w:p w14:paraId="4A88782E" w14:textId="77777777" w:rsidR="002F4458" w:rsidRPr="00181EF3" w:rsidRDefault="002F4458" w:rsidP="0064111D">
            <w:pPr>
              <w:pStyle w:val="TableText"/>
              <w:tabs>
                <w:tab w:val="decimal" w:pos="1191"/>
              </w:tabs>
              <w:spacing w:before="45" w:after="45"/>
            </w:pPr>
            <w:r w:rsidRPr="00181EF3">
              <w:t>106 (2.9%)</w:t>
            </w:r>
          </w:p>
        </w:tc>
        <w:tc>
          <w:tcPr>
            <w:tcW w:w="2694" w:type="dxa"/>
            <w:tcBorders>
              <w:top w:val="single" w:sz="4" w:space="0" w:color="A6A6A6" w:themeColor="background1" w:themeShade="A6"/>
              <w:bottom w:val="single" w:sz="4" w:space="0" w:color="A6A6A6" w:themeColor="background1" w:themeShade="A6"/>
            </w:tcBorders>
          </w:tcPr>
          <w:p w14:paraId="70775666" w14:textId="77777777" w:rsidR="002F4458" w:rsidRPr="00181EF3" w:rsidRDefault="002F4458" w:rsidP="0064111D">
            <w:pPr>
              <w:pStyle w:val="TableText"/>
              <w:spacing w:before="45" w:after="45"/>
              <w:jc w:val="center"/>
            </w:pPr>
            <w:r w:rsidRPr="00181EF3">
              <w:t>3,488 (97.1%)</w:t>
            </w:r>
          </w:p>
        </w:tc>
      </w:tr>
      <w:tr w:rsidR="002F4458" w:rsidRPr="00181EF3" w14:paraId="2F701BBA" w14:textId="77777777" w:rsidTr="0064111D">
        <w:trPr>
          <w:cantSplit/>
        </w:trPr>
        <w:tc>
          <w:tcPr>
            <w:tcW w:w="2693" w:type="dxa"/>
            <w:tcBorders>
              <w:top w:val="single" w:sz="4" w:space="0" w:color="A6A6A6" w:themeColor="background1" w:themeShade="A6"/>
              <w:bottom w:val="single" w:sz="4" w:space="0" w:color="A6A6A6" w:themeColor="background1" w:themeShade="A6"/>
            </w:tcBorders>
          </w:tcPr>
          <w:p w14:paraId="3613C6CD" w14:textId="77777777" w:rsidR="002F4458" w:rsidRPr="00181EF3" w:rsidRDefault="002F4458" w:rsidP="0064111D">
            <w:pPr>
              <w:pStyle w:val="TableText"/>
              <w:spacing w:before="45" w:after="45"/>
              <w:jc w:val="center"/>
            </w:pPr>
            <w:r w:rsidRPr="00181EF3">
              <w:t>2013</w:t>
            </w:r>
          </w:p>
        </w:tc>
        <w:tc>
          <w:tcPr>
            <w:tcW w:w="2693" w:type="dxa"/>
            <w:tcBorders>
              <w:top w:val="single" w:sz="4" w:space="0" w:color="A6A6A6" w:themeColor="background1" w:themeShade="A6"/>
              <w:bottom w:val="single" w:sz="4" w:space="0" w:color="A6A6A6" w:themeColor="background1" w:themeShade="A6"/>
            </w:tcBorders>
          </w:tcPr>
          <w:p w14:paraId="2FBE73F3" w14:textId="77777777" w:rsidR="002F4458" w:rsidRPr="00181EF3" w:rsidRDefault="002F4458" w:rsidP="0064111D">
            <w:pPr>
              <w:pStyle w:val="TableText"/>
              <w:tabs>
                <w:tab w:val="decimal" w:pos="1191"/>
              </w:tabs>
              <w:spacing w:before="45" w:after="45"/>
            </w:pPr>
            <w:r w:rsidRPr="00181EF3">
              <w:t>94 (2.6%)</w:t>
            </w:r>
          </w:p>
        </w:tc>
        <w:tc>
          <w:tcPr>
            <w:tcW w:w="2694" w:type="dxa"/>
            <w:tcBorders>
              <w:top w:val="single" w:sz="4" w:space="0" w:color="A6A6A6" w:themeColor="background1" w:themeShade="A6"/>
              <w:bottom w:val="single" w:sz="4" w:space="0" w:color="A6A6A6" w:themeColor="background1" w:themeShade="A6"/>
            </w:tcBorders>
          </w:tcPr>
          <w:p w14:paraId="38730413" w14:textId="77777777" w:rsidR="002F4458" w:rsidRPr="00181EF3" w:rsidRDefault="002F4458" w:rsidP="0064111D">
            <w:pPr>
              <w:pStyle w:val="TableText"/>
              <w:spacing w:before="45" w:after="45"/>
              <w:jc w:val="center"/>
            </w:pPr>
            <w:r w:rsidRPr="00181EF3">
              <w:t>3,585 (97.4%)</w:t>
            </w:r>
          </w:p>
        </w:tc>
      </w:tr>
      <w:tr w:rsidR="002F4458" w:rsidRPr="00181EF3" w14:paraId="32E47651" w14:textId="77777777" w:rsidTr="0064111D">
        <w:trPr>
          <w:cantSplit/>
        </w:trPr>
        <w:tc>
          <w:tcPr>
            <w:tcW w:w="2693" w:type="dxa"/>
            <w:tcBorders>
              <w:top w:val="single" w:sz="4" w:space="0" w:color="A6A6A6" w:themeColor="background1" w:themeShade="A6"/>
              <w:bottom w:val="single" w:sz="4" w:space="0" w:color="A6A6A6" w:themeColor="background1" w:themeShade="A6"/>
            </w:tcBorders>
          </w:tcPr>
          <w:p w14:paraId="7AE48BB4" w14:textId="77777777" w:rsidR="002F4458" w:rsidRPr="00181EF3" w:rsidRDefault="002F4458" w:rsidP="0064111D">
            <w:pPr>
              <w:pStyle w:val="TableText"/>
              <w:spacing w:before="45" w:after="45"/>
              <w:jc w:val="center"/>
            </w:pPr>
            <w:r w:rsidRPr="00181EF3">
              <w:t>2014</w:t>
            </w:r>
          </w:p>
        </w:tc>
        <w:tc>
          <w:tcPr>
            <w:tcW w:w="2693" w:type="dxa"/>
            <w:tcBorders>
              <w:top w:val="single" w:sz="4" w:space="0" w:color="A6A6A6" w:themeColor="background1" w:themeShade="A6"/>
              <w:bottom w:val="single" w:sz="4" w:space="0" w:color="A6A6A6" w:themeColor="background1" w:themeShade="A6"/>
            </w:tcBorders>
          </w:tcPr>
          <w:p w14:paraId="2CD07021" w14:textId="77777777" w:rsidR="002F4458" w:rsidRPr="00181EF3" w:rsidRDefault="002F4458" w:rsidP="0064111D">
            <w:pPr>
              <w:pStyle w:val="TableText"/>
              <w:tabs>
                <w:tab w:val="decimal" w:pos="1191"/>
              </w:tabs>
              <w:spacing w:before="45" w:after="45"/>
            </w:pPr>
            <w:r w:rsidRPr="00181EF3">
              <w:t>121 (3.2%)</w:t>
            </w:r>
          </w:p>
        </w:tc>
        <w:tc>
          <w:tcPr>
            <w:tcW w:w="2694" w:type="dxa"/>
            <w:tcBorders>
              <w:top w:val="single" w:sz="4" w:space="0" w:color="A6A6A6" w:themeColor="background1" w:themeShade="A6"/>
              <w:bottom w:val="single" w:sz="4" w:space="0" w:color="A6A6A6" w:themeColor="background1" w:themeShade="A6"/>
            </w:tcBorders>
          </w:tcPr>
          <w:p w14:paraId="536A5FA7" w14:textId="77777777" w:rsidR="002F4458" w:rsidRPr="00181EF3" w:rsidRDefault="002F4458" w:rsidP="0064111D">
            <w:pPr>
              <w:pStyle w:val="TableText"/>
              <w:spacing w:before="45" w:after="45"/>
              <w:jc w:val="center"/>
            </w:pPr>
            <w:r w:rsidRPr="00181EF3">
              <w:t>3,649 (96.8%)</w:t>
            </w:r>
          </w:p>
        </w:tc>
      </w:tr>
      <w:tr w:rsidR="002F4458" w:rsidRPr="00181EF3" w14:paraId="71C60EE9" w14:textId="77777777" w:rsidTr="0064111D">
        <w:trPr>
          <w:cantSplit/>
        </w:trPr>
        <w:tc>
          <w:tcPr>
            <w:tcW w:w="2693" w:type="dxa"/>
            <w:tcBorders>
              <w:top w:val="single" w:sz="4" w:space="0" w:color="A6A6A6" w:themeColor="background1" w:themeShade="A6"/>
              <w:bottom w:val="single" w:sz="4" w:space="0" w:color="A6A6A6" w:themeColor="background1" w:themeShade="A6"/>
            </w:tcBorders>
          </w:tcPr>
          <w:p w14:paraId="019BC371" w14:textId="77777777" w:rsidR="002F4458" w:rsidRPr="00181EF3" w:rsidRDefault="002F4458" w:rsidP="0064111D">
            <w:pPr>
              <w:pStyle w:val="TableText"/>
              <w:spacing w:before="45" w:after="45"/>
              <w:jc w:val="center"/>
            </w:pPr>
            <w:r w:rsidRPr="00181EF3">
              <w:t>2015</w:t>
            </w:r>
          </w:p>
        </w:tc>
        <w:tc>
          <w:tcPr>
            <w:tcW w:w="2693" w:type="dxa"/>
            <w:tcBorders>
              <w:top w:val="single" w:sz="4" w:space="0" w:color="A6A6A6" w:themeColor="background1" w:themeShade="A6"/>
              <w:bottom w:val="single" w:sz="4" w:space="0" w:color="A6A6A6" w:themeColor="background1" w:themeShade="A6"/>
            </w:tcBorders>
          </w:tcPr>
          <w:p w14:paraId="4FA57A80" w14:textId="77777777" w:rsidR="002F4458" w:rsidRPr="00181EF3" w:rsidRDefault="002F4458" w:rsidP="0064111D">
            <w:pPr>
              <w:pStyle w:val="TableText"/>
              <w:tabs>
                <w:tab w:val="decimal" w:pos="1191"/>
              </w:tabs>
              <w:spacing w:before="45" w:after="45"/>
            </w:pPr>
            <w:r w:rsidRPr="00181EF3">
              <w:t>117 (3.0%)</w:t>
            </w:r>
          </w:p>
        </w:tc>
        <w:tc>
          <w:tcPr>
            <w:tcW w:w="2694" w:type="dxa"/>
            <w:tcBorders>
              <w:top w:val="single" w:sz="4" w:space="0" w:color="A6A6A6" w:themeColor="background1" w:themeShade="A6"/>
              <w:bottom w:val="single" w:sz="4" w:space="0" w:color="A6A6A6" w:themeColor="background1" w:themeShade="A6"/>
            </w:tcBorders>
          </w:tcPr>
          <w:p w14:paraId="1A59600A" w14:textId="77777777" w:rsidR="002F4458" w:rsidRPr="00181EF3" w:rsidRDefault="002F4458" w:rsidP="0064111D">
            <w:pPr>
              <w:pStyle w:val="TableText"/>
              <w:spacing w:before="45" w:after="45"/>
              <w:jc w:val="center"/>
            </w:pPr>
            <w:r w:rsidRPr="00181EF3">
              <w:t>3,727 (97.0%)</w:t>
            </w:r>
          </w:p>
        </w:tc>
      </w:tr>
      <w:tr w:rsidR="002F4458" w:rsidRPr="00181EF3" w14:paraId="2F97E3AD" w14:textId="77777777" w:rsidTr="0064111D">
        <w:trPr>
          <w:cantSplit/>
        </w:trPr>
        <w:tc>
          <w:tcPr>
            <w:tcW w:w="2693" w:type="dxa"/>
            <w:tcBorders>
              <w:top w:val="single" w:sz="4" w:space="0" w:color="A6A6A6" w:themeColor="background1" w:themeShade="A6"/>
              <w:bottom w:val="single" w:sz="4" w:space="0" w:color="A6A6A6" w:themeColor="background1" w:themeShade="A6"/>
            </w:tcBorders>
          </w:tcPr>
          <w:p w14:paraId="5636F216" w14:textId="77777777" w:rsidR="002F4458" w:rsidRPr="00181EF3" w:rsidRDefault="002F4458" w:rsidP="0064111D">
            <w:pPr>
              <w:pStyle w:val="TableText"/>
              <w:spacing w:before="45" w:after="45"/>
              <w:jc w:val="center"/>
            </w:pPr>
            <w:r w:rsidRPr="00181EF3">
              <w:t>2016</w:t>
            </w:r>
          </w:p>
        </w:tc>
        <w:tc>
          <w:tcPr>
            <w:tcW w:w="2693" w:type="dxa"/>
            <w:tcBorders>
              <w:top w:val="single" w:sz="4" w:space="0" w:color="A6A6A6" w:themeColor="background1" w:themeShade="A6"/>
              <w:bottom w:val="single" w:sz="4" w:space="0" w:color="A6A6A6" w:themeColor="background1" w:themeShade="A6"/>
            </w:tcBorders>
          </w:tcPr>
          <w:p w14:paraId="14F21022" w14:textId="77777777" w:rsidR="002F4458" w:rsidRPr="00181EF3" w:rsidRDefault="002F4458" w:rsidP="0064111D">
            <w:pPr>
              <w:pStyle w:val="TableText"/>
              <w:tabs>
                <w:tab w:val="decimal" w:pos="1191"/>
              </w:tabs>
              <w:spacing w:before="45" w:after="45"/>
            </w:pPr>
            <w:r w:rsidRPr="00181EF3">
              <w:t>120 (3.0%)</w:t>
            </w:r>
          </w:p>
        </w:tc>
        <w:tc>
          <w:tcPr>
            <w:tcW w:w="2694" w:type="dxa"/>
            <w:tcBorders>
              <w:top w:val="single" w:sz="4" w:space="0" w:color="A6A6A6" w:themeColor="background1" w:themeShade="A6"/>
              <w:bottom w:val="single" w:sz="4" w:space="0" w:color="A6A6A6" w:themeColor="background1" w:themeShade="A6"/>
            </w:tcBorders>
          </w:tcPr>
          <w:p w14:paraId="2561AF89" w14:textId="77777777" w:rsidR="002F4458" w:rsidRPr="00181EF3" w:rsidRDefault="002F4458" w:rsidP="0064111D">
            <w:pPr>
              <w:pStyle w:val="TableText"/>
              <w:spacing w:before="45" w:after="45"/>
              <w:jc w:val="center"/>
            </w:pPr>
            <w:r w:rsidRPr="00181EF3">
              <w:t>3,830 (97.0%)</w:t>
            </w:r>
          </w:p>
        </w:tc>
      </w:tr>
    </w:tbl>
    <w:p w14:paraId="71063392" w14:textId="77777777" w:rsidR="002F4458" w:rsidRPr="00181EF3" w:rsidRDefault="002F4458" w:rsidP="002F4458">
      <w:pPr>
        <w:pStyle w:val="Source"/>
      </w:pPr>
      <w:r w:rsidRPr="00181EF3">
        <w:t>Source: Medical Council of New Zealand, 2009–2016.</w:t>
      </w:r>
    </w:p>
    <w:p w14:paraId="15F54C12" w14:textId="77777777" w:rsidR="002F4458" w:rsidRPr="00181EF3" w:rsidRDefault="002F4458" w:rsidP="002F4458"/>
    <w:p w14:paraId="7E7414E5" w14:textId="69ACC3A7" w:rsidR="002F4458" w:rsidRPr="00181EF3" w:rsidRDefault="002F4458" w:rsidP="002F4458">
      <w:pPr>
        <w:pStyle w:val="Table"/>
      </w:pPr>
      <w:bookmarkStart w:id="611" w:name="_Toc18594806"/>
      <w:r w:rsidRPr="00181EF3">
        <w:t xml:space="preserve">Table </w:t>
      </w:r>
      <w:r>
        <w:t>A6.7</w:t>
      </w:r>
      <w:r w:rsidRPr="00181EF3">
        <w:t xml:space="preserve">: Estimated number (percentage in workforce) of Māori and </w:t>
      </w:r>
      <w:r w:rsidR="00EC03A3">
        <w:t>non</w:t>
      </w:r>
      <w:r w:rsidR="00EC03A3">
        <w:noBreakHyphen/>
        <w:t>M</w:t>
      </w:r>
      <w:r w:rsidRPr="00181EF3">
        <w:t>āori, registrars, 2009–2016</w:t>
      </w:r>
      <w:bookmarkEnd w:id="611"/>
    </w:p>
    <w:tbl>
      <w:tblPr>
        <w:tblW w:w="0" w:type="auto"/>
        <w:tblInd w:w="57" w:type="dxa"/>
        <w:tblLayout w:type="fixed"/>
        <w:tblCellMar>
          <w:left w:w="57" w:type="dxa"/>
          <w:right w:w="57" w:type="dxa"/>
        </w:tblCellMar>
        <w:tblLook w:val="04A0" w:firstRow="1" w:lastRow="0" w:firstColumn="1" w:lastColumn="0" w:noHBand="0" w:noVBand="1"/>
      </w:tblPr>
      <w:tblGrid>
        <w:gridCol w:w="2693"/>
        <w:gridCol w:w="2693"/>
        <w:gridCol w:w="2694"/>
      </w:tblGrid>
      <w:tr w:rsidR="002F4458" w:rsidRPr="00181EF3" w14:paraId="66B3529C" w14:textId="77777777" w:rsidTr="0064111D">
        <w:trPr>
          <w:cantSplit/>
        </w:trPr>
        <w:tc>
          <w:tcPr>
            <w:tcW w:w="8080" w:type="dxa"/>
            <w:gridSpan w:val="3"/>
            <w:shd w:val="clear" w:color="auto" w:fill="D9D9D9" w:themeFill="background1" w:themeFillShade="D9"/>
          </w:tcPr>
          <w:p w14:paraId="46528489" w14:textId="77777777" w:rsidR="002F4458" w:rsidRPr="00181EF3" w:rsidRDefault="002F4458" w:rsidP="0064111D">
            <w:pPr>
              <w:pStyle w:val="TableText"/>
              <w:spacing w:before="45" w:after="45"/>
              <w:jc w:val="center"/>
              <w:rPr>
                <w:b/>
              </w:rPr>
            </w:pPr>
            <w:r w:rsidRPr="00181EF3">
              <w:rPr>
                <w:b/>
              </w:rPr>
              <w:t>Registrar (2009–2016)</w:t>
            </w:r>
          </w:p>
        </w:tc>
      </w:tr>
      <w:tr w:rsidR="002F4458" w:rsidRPr="00181EF3" w14:paraId="388D504C" w14:textId="77777777" w:rsidTr="0064111D">
        <w:trPr>
          <w:cantSplit/>
        </w:trPr>
        <w:tc>
          <w:tcPr>
            <w:tcW w:w="2693" w:type="dxa"/>
            <w:shd w:val="clear" w:color="auto" w:fill="F2F2F2" w:themeFill="background1" w:themeFillShade="F2"/>
          </w:tcPr>
          <w:p w14:paraId="08751885" w14:textId="77777777" w:rsidR="002F4458" w:rsidRPr="00181EF3" w:rsidRDefault="002F4458" w:rsidP="0064111D">
            <w:pPr>
              <w:pStyle w:val="TableText"/>
              <w:spacing w:before="45" w:after="45"/>
              <w:jc w:val="center"/>
              <w:rPr>
                <w:b/>
              </w:rPr>
            </w:pPr>
            <w:r w:rsidRPr="00181EF3">
              <w:rPr>
                <w:b/>
              </w:rPr>
              <w:t>Year</w:t>
            </w:r>
          </w:p>
        </w:tc>
        <w:tc>
          <w:tcPr>
            <w:tcW w:w="2693" w:type="dxa"/>
            <w:shd w:val="clear" w:color="auto" w:fill="F2F2F2" w:themeFill="background1" w:themeFillShade="F2"/>
          </w:tcPr>
          <w:p w14:paraId="0F3A64BC" w14:textId="77777777" w:rsidR="002F4458" w:rsidRPr="00181EF3" w:rsidRDefault="002F4458" w:rsidP="0064111D">
            <w:pPr>
              <w:pStyle w:val="TableText"/>
              <w:spacing w:before="45" w:after="45"/>
              <w:jc w:val="center"/>
              <w:rPr>
                <w:b/>
              </w:rPr>
            </w:pPr>
            <w:r w:rsidRPr="00181EF3">
              <w:rPr>
                <w:b/>
              </w:rPr>
              <w:t>Māori</w:t>
            </w:r>
          </w:p>
        </w:tc>
        <w:tc>
          <w:tcPr>
            <w:tcW w:w="2694" w:type="dxa"/>
            <w:shd w:val="clear" w:color="auto" w:fill="F2F2F2" w:themeFill="background1" w:themeFillShade="F2"/>
          </w:tcPr>
          <w:p w14:paraId="4E373F89" w14:textId="2FE91142" w:rsidR="002F4458" w:rsidRPr="00181EF3" w:rsidRDefault="00EC03A3" w:rsidP="0064111D">
            <w:pPr>
              <w:pStyle w:val="TableText"/>
              <w:spacing w:before="45" w:after="45"/>
              <w:jc w:val="center"/>
              <w:rPr>
                <w:b/>
              </w:rPr>
            </w:pPr>
            <w:r>
              <w:rPr>
                <w:b/>
              </w:rPr>
              <w:t>Non</w:t>
            </w:r>
            <w:r>
              <w:rPr>
                <w:b/>
              </w:rPr>
              <w:noBreakHyphen/>
              <w:t>M</w:t>
            </w:r>
            <w:r w:rsidR="002F4458" w:rsidRPr="00181EF3">
              <w:rPr>
                <w:b/>
              </w:rPr>
              <w:t>āori</w:t>
            </w:r>
          </w:p>
        </w:tc>
      </w:tr>
      <w:tr w:rsidR="002F4458" w:rsidRPr="00181EF3" w14:paraId="2DC7539F" w14:textId="77777777" w:rsidTr="0064111D">
        <w:trPr>
          <w:cantSplit/>
        </w:trPr>
        <w:tc>
          <w:tcPr>
            <w:tcW w:w="2693" w:type="dxa"/>
            <w:tcBorders>
              <w:bottom w:val="single" w:sz="4" w:space="0" w:color="A6A6A6" w:themeColor="background1" w:themeShade="A6"/>
            </w:tcBorders>
          </w:tcPr>
          <w:p w14:paraId="204E522C" w14:textId="77777777" w:rsidR="002F4458" w:rsidRPr="00181EF3" w:rsidRDefault="002F4458" w:rsidP="0064111D">
            <w:pPr>
              <w:pStyle w:val="TableText"/>
              <w:spacing w:before="45" w:after="45"/>
              <w:jc w:val="center"/>
            </w:pPr>
            <w:r w:rsidRPr="00181EF3">
              <w:t>2009</w:t>
            </w:r>
          </w:p>
        </w:tc>
        <w:tc>
          <w:tcPr>
            <w:tcW w:w="2693" w:type="dxa"/>
            <w:tcBorders>
              <w:bottom w:val="single" w:sz="4" w:space="0" w:color="A6A6A6" w:themeColor="background1" w:themeShade="A6"/>
            </w:tcBorders>
          </w:tcPr>
          <w:p w14:paraId="77B31E4C" w14:textId="77777777" w:rsidR="002F4458" w:rsidRPr="00181EF3" w:rsidRDefault="002F4458" w:rsidP="0064111D">
            <w:pPr>
              <w:pStyle w:val="TableText"/>
              <w:tabs>
                <w:tab w:val="decimal" w:pos="1191"/>
              </w:tabs>
              <w:spacing w:before="45" w:after="45"/>
            </w:pPr>
            <w:r w:rsidRPr="00181EF3">
              <w:t>58 (3.4%)</w:t>
            </w:r>
          </w:p>
        </w:tc>
        <w:tc>
          <w:tcPr>
            <w:tcW w:w="2694" w:type="dxa"/>
            <w:tcBorders>
              <w:bottom w:val="single" w:sz="4" w:space="0" w:color="A6A6A6" w:themeColor="background1" w:themeShade="A6"/>
            </w:tcBorders>
          </w:tcPr>
          <w:p w14:paraId="2D9E5248" w14:textId="77777777" w:rsidR="002F4458" w:rsidRPr="00181EF3" w:rsidRDefault="002F4458" w:rsidP="0064111D">
            <w:pPr>
              <w:pStyle w:val="TableText"/>
              <w:spacing w:before="45" w:after="45"/>
              <w:jc w:val="center"/>
            </w:pPr>
            <w:r w:rsidRPr="00181EF3">
              <w:t>1,631 (96.6%)</w:t>
            </w:r>
          </w:p>
        </w:tc>
      </w:tr>
      <w:tr w:rsidR="002F4458" w:rsidRPr="00181EF3" w14:paraId="479E92FF" w14:textId="77777777" w:rsidTr="0064111D">
        <w:trPr>
          <w:cantSplit/>
        </w:trPr>
        <w:tc>
          <w:tcPr>
            <w:tcW w:w="2693" w:type="dxa"/>
            <w:tcBorders>
              <w:top w:val="single" w:sz="4" w:space="0" w:color="A6A6A6" w:themeColor="background1" w:themeShade="A6"/>
              <w:bottom w:val="single" w:sz="4" w:space="0" w:color="A6A6A6" w:themeColor="background1" w:themeShade="A6"/>
            </w:tcBorders>
          </w:tcPr>
          <w:p w14:paraId="52DFCED5" w14:textId="77777777" w:rsidR="002F4458" w:rsidRPr="00181EF3" w:rsidRDefault="002F4458" w:rsidP="0064111D">
            <w:pPr>
              <w:pStyle w:val="TableText"/>
              <w:spacing w:before="45" w:after="45"/>
              <w:jc w:val="center"/>
            </w:pPr>
            <w:r w:rsidRPr="00181EF3">
              <w:t>2010</w:t>
            </w:r>
          </w:p>
        </w:tc>
        <w:tc>
          <w:tcPr>
            <w:tcW w:w="2693" w:type="dxa"/>
            <w:tcBorders>
              <w:top w:val="single" w:sz="4" w:space="0" w:color="A6A6A6" w:themeColor="background1" w:themeShade="A6"/>
              <w:bottom w:val="single" w:sz="4" w:space="0" w:color="A6A6A6" w:themeColor="background1" w:themeShade="A6"/>
            </w:tcBorders>
          </w:tcPr>
          <w:p w14:paraId="6F0E9393" w14:textId="77777777" w:rsidR="002F4458" w:rsidRPr="00181EF3" w:rsidRDefault="002F4458" w:rsidP="0064111D">
            <w:pPr>
              <w:pStyle w:val="TableText"/>
              <w:tabs>
                <w:tab w:val="decimal" w:pos="1191"/>
              </w:tabs>
              <w:spacing w:before="45" w:after="45"/>
            </w:pPr>
            <w:r w:rsidRPr="00181EF3">
              <w:t>60 (3.4%)</w:t>
            </w:r>
          </w:p>
        </w:tc>
        <w:tc>
          <w:tcPr>
            <w:tcW w:w="2694" w:type="dxa"/>
            <w:tcBorders>
              <w:top w:val="single" w:sz="4" w:space="0" w:color="A6A6A6" w:themeColor="background1" w:themeShade="A6"/>
              <w:bottom w:val="single" w:sz="4" w:space="0" w:color="A6A6A6" w:themeColor="background1" w:themeShade="A6"/>
            </w:tcBorders>
          </w:tcPr>
          <w:p w14:paraId="1D405236" w14:textId="77777777" w:rsidR="002F4458" w:rsidRPr="00181EF3" w:rsidRDefault="002F4458" w:rsidP="0064111D">
            <w:pPr>
              <w:pStyle w:val="TableText"/>
              <w:spacing w:before="45" w:after="45"/>
              <w:jc w:val="center"/>
            </w:pPr>
            <w:r w:rsidRPr="00181EF3">
              <w:t>1,714 (96.6%)</w:t>
            </w:r>
          </w:p>
        </w:tc>
      </w:tr>
      <w:tr w:rsidR="002F4458" w:rsidRPr="00181EF3" w14:paraId="1C3120F6" w14:textId="77777777" w:rsidTr="0064111D">
        <w:trPr>
          <w:cantSplit/>
        </w:trPr>
        <w:tc>
          <w:tcPr>
            <w:tcW w:w="2693" w:type="dxa"/>
            <w:tcBorders>
              <w:top w:val="single" w:sz="4" w:space="0" w:color="A6A6A6" w:themeColor="background1" w:themeShade="A6"/>
              <w:bottom w:val="single" w:sz="4" w:space="0" w:color="A6A6A6" w:themeColor="background1" w:themeShade="A6"/>
            </w:tcBorders>
          </w:tcPr>
          <w:p w14:paraId="297A0F03" w14:textId="77777777" w:rsidR="002F4458" w:rsidRPr="00181EF3" w:rsidRDefault="002F4458" w:rsidP="0064111D">
            <w:pPr>
              <w:pStyle w:val="TableText"/>
              <w:spacing w:before="45" w:after="45"/>
              <w:jc w:val="center"/>
            </w:pPr>
            <w:r w:rsidRPr="00181EF3">
              <w:t>2011</w:t>
            </w:r>
          </w:p>
        </w:tc>
        <w:tc>
          <w:tcPr>
            <w:tcW w:w="2693" w:type="dxa"/>
            <w:tcBorders>
              <w:top w:val="single" w:sz="4" w:space="0" w:color="A6A6A6" w:themeColor="background1" w:themeShade="A6"/>
              <w:bottom w:val="single" w:sz="4" w:space="0" w:color="A6A6A6" w:themeColor="background1" w:themeShade="A6"/>
            </w:tcBorders>
          </w:tcPr>
          <w:p w14:paraId="4A9EBFC7" w14:textId="77777777" w:rsidR="002F4458" w:rsidRPr="00181EF3" w:rsidRDefault="002F4458" w:rsidP="0064111D">
            <w:pPr>
              <w:pStyle w:val="TableText"/>
              <w:tabs>
                <w:tab w:val="decimal" w:pos="1191"/>
              </w:tabs>
              <w:spacing w:before="45" w:after="45"/>
            </w:pPr>
            <w:r w:rsidRPr="00181EF3">
              <w:t>58 (3.2%)</w:t>
            </w:r>
          </w:p>
        </w:tc>
        <w:tc>
          <w:tcPr>
            <w:tcW w:w="2694" w:type="dxa"/>
            <w:tcBorders>
              <w:top w:val="single" w:sz="4" w:space="0" w:color="A6A6A6" w:themeColor="background1" w:themeShade="A6"/>
              <w:bottom w:val="single" w:sz="4" w:space="0" w:color="A6A6A6" w:themeColor="background1" w:themeShade="A6"/>
            </w:tcBorders>
          </w:tcPr>
          <w:p w14:paraId="47301F64" w14:textId="77777777" w:rsidR="002F4458" w:rsidRPr="00181EF3" w:rsidRDefault="002F4458" w:rsidP="0064111D">
            <w:pPr>
              <w:pStyle w:val="TableText"/>
              <w:spacing w:before="45" w:after="45"/>
              <w:jc w:val="center"/>
            </w:pPr>
            <w:r w:rsidRPr="00181EF3">
              <w:t>1,729 (96.8%)</w:t>
            </w:r>
          </w:p>
        </w:tc>
      </w:tr>
      <w:tr w:rsidR="002F4458" w:rsidRPr="00181EF3" w14:paraId="59C1A62D" w14:textId="77777777" w:rsidTr="0064111D">
        <w:trPr>
          <w:cantSplit/>
        </w:trPr>
        <w:tc>
          <w:tcPr>
            <w:tcW w:w="2693" w:type="dxa"/>
            <w:tcBorders>
              <w:top w:val="single" w:sz="4" w:space="0" w:color="A6A6A6" w:themeColor="background1" w:themeShade="A6"/>
              <w:bottom w:val="single" w:sz="4" w:space="0" w:color="A6A6A6" w:themeColor="background1" w:themeShade="A6"/>
            </w:tcBorders>
          </w:tcPr>
          <w:p w14:paraId="23CA4AD8" w14:textId="77777777" w:rsidR="002F4458" w:rsidRPr="00181EF3" w:rsidRDefault="002F4458" w:rsidP="0064111D">
            <w:pPr>
              <w:pStyle w:val="TableText"/>
              <w:spacing w:before="45" w:after="45"/>
              <w:jc w:val="center"/>
            </w:pPr>
            <w:r w:rsidRPr="00181EF3">
              <w:t>2012</w:t>
            </w:r>
          </w:p>
        </w:tc>
        <w:tc>
          <w:tcPr>
            <w:tcW w:w="2693" w:type="dxa"/>
            <w:tcBorders>
              <w:top w:val="single" w:sz="4" w:space="0" w:color="A6A6A6" w:themeColor="background1" w:themeShade="A6"/>
              <w:bottom w:val="single" w:sz="4" w:space="0" w:color="A6A6A6" w:themeColor="background1" w:themeShade="A6"/>
            </w:tcBorders>
          </w:tcPr>
          <w:p w14:paraId="22A61344" w14:textId="77777777" w:rsidR="002F4458" w:rsidRPr="00181EF3" w:rsidRDefault="002F4458" w:rsidP="0064111D">
            <w:pPr>
              <w:pStyle w:val="TableText"/>
              <w:tabs>
                <w:tab w:val="decimal" w:pos="1191"/>
              </w:tabs>
              <w:spacing w:before="45" w:after="45"/>
            </w:pPr>
            <w:r w:rsidRPr="00181EF3">
              <w:t>69 (3.6%)</w:t>
            </w:r>
          </w:p>
        </w:tc>
        <w:tc>
          <w:tcPr>
            <w:tcW w:w="2694" w:type="dxa"/>
            <w:tcBorders>
              <w:top w:val="single" w:sz="4" w:space="0" w:color="A6A6A6" w:themeColor="background1" w:themeShade="A6"/>
              <w:bottom w:val="single" w:sz="4" w:space="0" w:color="A6A6A6" w:themeColor="background1" w:themeShade="A6"/>
            </w:tcBorders>
          </w:tcPr>
          <w:p w14:paraId="583DE687" w14:textId="77777777" w:rsidR="002F4458" w:rsidRPr="00181EF3" w:rsidRDefault="002F4458" w:rsidP="0064111D">
            <w:pPr>
              <w:pStyle w:val="TableText"/>
              <w:spacing w:before="45" w:after="45"/>
              <w:jc w:val="center"/>
            </w:pPr>
            <w:r w:rsidRPr="00181EF3">
              <w:t>1,828 (96.4%)</w:t>
            </w:r>
          </w:p>
        </w:tc>
      </w:tr>
      <w:tr w:rsidR="002F4458" w:rsidRPr="00181EF3" w14:paraId="70DB1B4F" w14:textId="77777777" w:rsidTr="0064111D">
        <w:trPr>
          <w:cantSplit/>
        </w:trPr>
        <w:tc>
          <w:tcPr>
            <w:tcW w:w="2693" w:type="dxa"/>
            <w:tcBorders>
              <w:top w:val="single" w:sz="4" w:space="0" w:color="A6A6A6" w:themeColor="background1" w:themeShade="A6"/>
              <w:bottom w:val="single" w:sz="4" w:space="0" w:color="A6A6A6" w:themeColor="background1" w:themeShade="A6"/>
            </w:tcBorders>
          </w:tcPr>
          <w:p w14:paraId="75110415" w14:textId="77777777" w:rsidR="002F4458" w:rsidRPr="00181EF3" w:rsidRDefault="002F4458" w:rsidP="0064111D">
            <w:pPr>
              <w:pStyle w:val="TableText"/>
              <w:spacing w:before="45" w:after="45"/>
              <w:jc w:val="center"/>
            </w:pPr>
            <w:r w:rsidRPr="00181EF3">
              <w:t>2013</w:t>
            </w:r>
          </w:p>
        </w:tc>
        <w:tc>
          <w:tcPr>
            <w:tcW w:w="2693" w:type="dxa"/>
            <w:tcBorders>
              <w:top w:val="single" w:sz="4" w:space="0" w:color="A6A6A6" w:themeColor="background1" w:themeShade="A6"/>
              <w:bottom w:val="single" w:sz="4" w:space="0" w:color="A6A6A6" w:themeColor="background1" w:themeShade="A6"/>
            </w:tcBorders>
          </w:tcPr>
          <w:p w14:paraId="28D67D83" w14:textId="77777777" w:rsidR="002F4458" w:rsidRPr="00181EF3" w:rsidRDefault="002F4458" w:rsidP="0064111D">
            <w:pPr>
              <w:pStyle w:val="TableText"/>
              <w:tabs>
                <w:tab w:val="decimal" w:pos="1191"/>
              </w:tabs>
              <w:spacing w:before="45" w:after="45"/>
            </w:pPr>
            <w:r w:rsidRPr="00181EF3">
              <w:t>68 (3.4%)</w:t>
            </w:r>
          </w:p>
        </w:tc>
        <w:tc>
          <w:tcPr>
            <w:tcW w:w="2694" w:type="dxa"/>
            <w:tcBorders>
              <w:top w:val="single" w:sz="4" w:space="0" w:color="A6A6A6" w:themeColor="background1" w:themeShade="A6"/>
              <w:bottom w:val="single" w:sz="4" w:space="0" w:color="A6A6A6" w:themeColor="background1" w:themeShade="A6"/>
            </w:tcBorders>
          </w:tcPr>
          <w:p w14:paraId="4799C303" w14:textId="77777777" w:rsidR="002F4458" w:rsidRPr="00181EF3" w:rsidRDefault="002F4458" w:rsidP="0064111D">
            <w:pPr>
              <w:pStyle w:val="TableText"/>
              <w:spacing w:before="45" w:after="45"/>
              <w:jc w:val="center"/>
            </w:pPr>
            <w:r w:rsidRPr="00181EF3">
              <w:t>1,945 (96.6%)</w:t>
            </w:r>
          </w:p>
        </w:tc>
      </w:tr>
      <w:tr w:rsidR="002F4458" w:rsidRPr="00181EF3" w14:paraId="27771076" w14:textId="77777777" w:rsidTr="0064111D">
        <w:trPr>
          <w:cantSplit/>
        </w:trPr>
        <w:tc>
          <w:tcPr>
            <w:tcW w:w="2693" w:type="dxa"/>
            <w:tcBorders>
              <w:top w:val="single" w:sz="4" w:space="0" w:color="A6A6A6" w:themeColor="background1" w:themeShade="A6"/>
              <w:bottom w:val="single" w:sz="4" w:space="0" w:color="A6A6A6" w:themeColor="background1" w:themeShade="A6"/>
            </w:tcBorders>
          </w:tcPr>
          <w:p w14:paraId="20B3A202" w14:textId="77777777" w:rsidR="002F4458" w:rsidRPr="00181EF3" w:rsidRDefault="002F4458" w:rsidP="0064111D">
            <w:pPr>
              <w:pStyle w:val="TableText"/>
              <w:spacing w:before="45" w:after="45"/>
              <w:jc w:val="center"/>
            </w:pPr>
            <w:r w:rsidRPr="00181EF3">
              <w:t>2014</w:t>
            </w:r>
          </w:p>
        </w:tc>
        <w:tc>
          <w:tcPr>
            <w:tcW w:w="2693" w:type="dxa"/>
            <w:tcBorders>
              <w:top w:val="single" w:sz="4" w:space="0" w:color="A6A6A6" w:themeColor="background1" w:themeShade="A6"/>
              <w:bottom w:val="single" w:sz="4" w:space="0" w:color="A6A6A6" w:themeColor="background1" w:themeShade="A6"/>
            </w:tcBorders>
          </w:tcPr>
          <w:p w14:paraId="265AE764" w14:textId="77777777" w:rsidR="002F4458" w:rsidRPr="00181EF3" w:rsidRDefault="002F4458" w:rsidP="0064111D">
            <w:pPr>
              <w:pStyle w:val="TableText"/>
              <w:tabs>
                <w:tab w:val="decimal" w:pos="1191"/>
              </w:tabs>
              <w:spacing w:before="45" w:after="45"/>
            </w:pPr>
            <w:r w:rsidRPr="00181EF3">
              <w:t>85 (4.0%)</w:t>
            </w:r>
          </w:p>
        </w:tc>
        <w:tc>
          <w:tcPr>
            <w:tcW w:w="2694" w:type="dxa"/>
            <w:tcBorders>
              <w:top w:val="single" w:sz="4" w:space="0" w:color="A6A6A6" w:themeColor="background1" w:themeShade="A6"/>
              <w:bottom w:val="single" w:sz="4" w:space="0" w:color="A6A6A6" w:themeColor="background1" w:themeShade="A6"/>
            </w:tcBorders>
          </w:tcPr>
          <w:p w14:paraId="086BB7CE" w14:textId="77777777" w:rsidR="002F4458" w:rsidRPr="00181EF3" w:rsidRDefault="002F4458" w:rsidP="0064111D">
            <w:pPr>
              <w:pStyle w:val="TableText"/>
              <w:spacing w:before="45" w:after="45"/>
              <w:jc w:val="center"/>
            </w:pPr>
            <w:r w:rsidRPr="00181EF3">
              <w:t>2,019 (96.0%)</w:t>
            </w:r>
          </w:p>
        </w:tc>
      </w:tr>
      <w:tr w:rsidR="002F4458" w:rsidRPr="00181EF3" w14:paraId="2744B283" w14:textId="77777777" w:rsidTr="0064111D">
        <w:trPr>
          <w:cantSplit/>
        </w:trPr>
        <w:tc>
          <w:tcPr>
            <w:tcW w:w="2693" w:type="dxa"/>
            <w:tcBorders>
              <w:top w:val="single" w:sz="4" w:space="0" w:color="A6A6A6" w:themeColor="background1" w:themeShade="A6"/>
              <w:bottom w:val="single" w:sz="4" w:space="0" w:color="A6A6A6" w:themeColor="background1" w:themeShade="A6"/>
            </w:tcBorders>
          </w:tcPr>
          <w:p w14:paraId="1DBF424E" w14:textId="77777777" w:rsidR="002F4458" w:rsidRPr="00181EF3" w:rsidRDefault="002F4458" w:rsidP="0064111D">
            <w:pPr>
              <w:pStyle w:val="TableText"/>
              <w:spacing w:before="45" w:after="45"/>
              <w:jc w:val="center"/>
            </w:pPr>
            <w:r w:rsidRPr="00181EF3">
              <w:t>2015</w:t>
            </w:r>
          </w:p>
        </w:tc>
        <w:tc>
          <w:tcPr>
            <w:tcW w:w="2693" w:type="dxa"/>
            <w:tcBorders>
              <w:top w:val="single" w:sz="4" w:space="0" w:color="A6A6A6" w:themeColor="background1" w:themeShade="A6"/>
              <w:bottom w:val="single" w:sz="4" w:space="0" w:color="A6A6A6" w:themeColor="background1" w:themeShade="A6"/>
            </w:tcBorders>
          </w:tcPr>
          <w:p w14:paraId="4D5F7018" w14:textId="77777777" w:rsidR="002F4458" w:rsidRPr="00181EF3" w:rsidRDefault="002F4458" w:rsidP="0064111D">
            <w:pPr>
              <w:pStyle w:val="TableText"/>
              <w:tabs>
                <w:tab w:val="decimal" w:pos="1191"/>
              </w:tabs>
              <w:spacing w:before="45" w:after="45"/>
            </w:pPr>
            <w:r w:rsidRPr="00181EF3">
              <w:t>97 (4.0%)</w:t>
            </w:r>
          </w:p>
        </w:tc>
        <w:tc>
          <w:tcPr>
            <w:tcW w:w="2694" w:type="dxa"/>
            <w:tcBorders>
              <w:top w:val="single" w:sz="4" w:space="0" w:color="A6A6A6" w:themeColor="background1" w:themeShade="A6"/>
              <w:bottom w:val="single" w:sz="4" w:space="0" w:color="A6A6A6" w:themeColor="background1" w:themeShade="A6"/>
            </w:tcBorders>
          </w:tcPr>
          <w:p w14:paraId="615C26AD" w14:textId="77777777" w:rsidR="002F4458" w:rsidRPr="00181EF3" w:rsidRDefault="002F4458" w:rsidP="0064111D">
            <w:pPr>
              <w:pStyle w:val="TableText"/>
              <w:spacing w:before="45" w:after="45"/>
              <w:jc w:val="center"/>
            </w:pPr>
            <w:r w:rsidRPr="00181EF3">
              <w:t>2,336 (96.0%)</w:t>
            </w:r>
          </w:p>
        </w:tc>
      </w:tr>
      <w:tr w:rsidR="002F4458" w:rsidRPr="00181EF3" w14:paraId="03335740" w14:textId="77777777" w:rsidTr="0064111D">
        <w:trPr>
          <w:cantSplit/>
        </w:trPr>
        <w:tc>
          <w:tcPr>
            <w:tcW w:w="2693" w:type="dxa"/>
            <w:tcBorders>
              <w:top w:val="single" w:sz="4" w:space="0" w:color="A6A6A6" w:themeColor="background1" w:themeShade="A6"/>
              <w:bottom w:val="single" w:sz="4" w:space="0" w:color="A6A6A6" w:themeColor="background1" w:themeShade="A6"/>
            </w:tcBorders>
          </w:tcPr>
          <w:p w14:paraId="11810224" w14:textId="77777777" w:rsidR="002F4458" w:rsidRPr="00181EF3" w:rsidRDefault="002F4458" w:rsidP="0064111D">
            <w:pPr>
              <w:pStyle w:val="TableText"/>
              <w:spacing w:before="45" w:after="45"/>
              <w:jc w:val="center"/>
            </w:pPr>
            <w:r w:rsidRPr="00181EF3">
              <w:t>2016</w:t>
            </w:r>
          </w:p>
        </w:tc>
        <w:tc>
          <w:tcPr>
            <w:tcW w:w="2693" w:type="dxa"/>
            <w:tcBorders>
              <w:top w:val="single" w:sz="4" w:space="0" w:color="A6A6A6" w:themeColor="background1" w:themeShade="A6"/>
              <w:bottom w:val="single" w:sz="4" w:space="0" w:color="A6A6A6" w:themeColor="background1" w:themeShade="A6"/>
            </w:tcBorders>
          </w:tcPr>
          <w:p w14:paraId="1D3BDB8C" w14:textId="77777777" w:rsidR="002F4458" w:rsidRPr="00181EF3" w:rsidRDefault="002F4458" w:rsidP="0064111D">
            <w:pPr>
              <w:pStyle w:val="TableText"/>
              <w:tabs>
                <w:tab w:val="decimal" w:pos="1191"/>
              </w:tabs>
              <w:spacing w:before="45" w:after="45"/>
            </w:pPr>
            <w:r w:rsidRPr="00181EF3">
              <w:t>106 (4.2%)</w:t>
            </w:r>
          </w:p>
        </w:tc>
        <w:tc>
          <w:tcPr>
            <w:tcW w:w="2694" w:type="dxa"/>
            <w:tcBorders>
              <w:top w:val="single" w:sz="4" w:space="0" w:color="A6A6A6" w:themeColor="background1" w:themeShade="A6"/>
              <w:bottom w:val="single" w:sz="4" w:space="0" w:color="A6A6A6" w:themeColor="background1" w:themeShade="A6"/>
            </w:tcBorders>
          </w:tcPr>
          <w:p w14:paraId="1C6253BE" w14:textId="77777777" w:rsidR="002F4458" w:rsidRPr="00181EF3" w:rsidRDefault="002F4458" w:rsidP="0064111D">
            <w:pPr>
              <w:pStyle w:val="TableText"/>
              <w:spacing w:before="45" w:after="45"/>
              <w:jc w:val="center"/>
            </w:pPr>
            <w:r w:rsidRPr="00181EF3">
              <w:t>2,447 (95.8%)</w:t>
            </w:r>
          </w:p>
        </w:tc>
      </w:tr>
    </w:tbl>
    <w:p w14:paraId="63A6E0B4" w14:textId="77777777" w:rsidR="002F4458" w:rsidRPr="00181EF3" w:rsidRDefault="002F4458" w:rsidP="002F4458">
      <w:pPr>
        <w:pStyle w:val="Source"/>
      </w:pPr>
      <w:r w:rsidRPr="00181EF3">
        <w:t>Source: Medical Council of New Zealand, 2009–2016.</w:t>
      </w:r>
    </w:p>
    <w:p w14:paraId="14074AEA" w14:textId="77777777" w:rsidR="002F4458" w:rsidRPr="00181EF3" w:rsidRDefault="002F4458" w:rsidP="002F4458"/>
    <w:p w14:paraId="76D19E3D" w14:textId="1A73B43E" w:rsidR="002F4458" w:rsidRPr="00181EF3" w:rsidRDefault="002F4458" w:rsidP="002F4458">
      <w:pPr>
        <w:pStyle w:val="Table"/>
      </w:pPr>
      <w:bookmarkStart w:id="612" w:name="_Toc18594807"/>
      <w:r w:rsidRPr="00181EF3">
        <w:lastRenderedPageBreak/>
        <w:t xml:space="preserve">Table </w:t>
      </w:r>
      <w:r>
        <w:t>A6.8</w:t>
      </w:r>
      <w:r w:rsidRPr="00181EF3">
        <w:t xml:space="preserve">: Estimated number (percentage in workforce) of Māori and </w:t>
      </w:r>
      <w:r w:rsidR="00EC03A3">
        <w:t>non</w:t>
      </w:r>
      <w:r w:rsidR="00EC03A3">
        <w:noBreakHyphen/>
        <w:t>M</w:t>
      </w:r>
      <w:r w:rsidRPr="00181EF3">
        <w:t>āori, house officers, 2009–2016</w:t>
      </w:r>
      <w:bookmarkEnd w:id="612"/>
    </w:p>
    <w:tbl>
      <w:tblPr>
        <w:tblW w:w="0" w:type="auto"/>
        <w:tblInd w:w="57" w:type="dxa"/>
        <w:tblLayout w:type="fixed"/>
        <w:tblCellMar>
          <w:left w:w="57" w:type="dxa"/>
          <w:right w:w="57" w:type="dxa"/>
        </w:tblCellMar>
        <w:tblLook w:val="04A0" w:firstRow="1" w:lastRow="0" w:firstColumn="1" w:lastColumn="0" w:noHBand="0" w:noVBand="1"/>
      </w:tblPr>
      <w:tblGrid>
        <w:gridCol w:w="2693"/>
        <w:gridCol w:w="2693"/>
        <w:gridCol w:w="2694"/>
      </w:tblGrid>
      <w:tr w:rsidR="002F4458" w:rsidRPr="00181EF3" w14:paraId="289C5043" w14:textId="77777777" w:rsidTr="0064111D">
        <w:trPr>
          <w:cantSplit/>
        </w:trPr>
        <w:tc>
          <w:tcPr>
            <w:tcW w:w="8080" w:type="dxa"/>
            <w:gridSpan w:val="3"/>
            <w:shd w:val="clear" w:color="auto" w:fill="D9D9D9" w:themeFill="background1" w:themeFillShade="D9"/>
          </w:tcPr>
          <w:p w14:paraId="62B082F1" w14:textId="77777777" w:rsidR="002F4458" w:rsidRPr="00181EF3" w:rsidRDefault="002F4458" w:rsidP="0064111D">
            <w:pPr>
              <w:pStyle w:val="TableText"/>
              <w:spacing w:before="45" w:after="45"/>
              <w:jc w:val="center"/>
              <w:rPr>
                <w:b/>
              </w:rPr>
            </w:pPr>
            <w:r w:rsidRPr="00181EF3">
              <w:rPr>
                <w:b/>
              </w:rPr>
              <w:t>House officer (first year doctor) (2009–2016)</w:t>
            </w:r>
          </w:p>
        </w:tc>
      </w:tr>
      <w:tr w:rsidR="002F4458" w:rsidRPr="00181EF3" w14:paraId="0912795E" w14:textId="77777777" w:rsidTr="0064111D">
        <w:trPr>
          <w:cantSplit/>
        </w:trPr>
        <w:tc>
          <w:tcPr>
            <w:tcW w:w="2693" w:type="dxa"/>
            <w:shd w:val="clear" w:color="auto" w:fill="F2F2F2" w:themeFill="background1" w:themeFillShade="F2"/>
          </w:tcPr>
          <w:p w14:paraId="0FBFE5B9" w14:textId="77777777" w:rsidR="002F4458" w:rsidRPr="00181EF3" w:rsidRDefault="002F4458" w:rsidP="0064111D">
            <w:pPr>
              <w:pStyle w:val="TableText"/>
              <w:spacing w:before="45" w:after="45"/>
              <w:jc w:val="center"/>
              <w:rPr>
                <w:b/>
              </w:rPr>
            </w:pPr>
            <w:r w:rsidRPr="00181EF3">
              <w:rPr>
                <w:b/>
              </w:rPr>
              <w:t>Year</w:t>
            </w:r>
          </w:p>
        </w:tc>
        <w:tc>
          <w:tcPr>
            <w:tcW w:w="2693" w:type="dxa"/>
            <w:shd w:val="clear" w:color="auto" w:fill="F2F2F2" w:themeFill="background1" w:themeFillShade="F2"/>
          </w:tcPr>
          <w:p w14:paraId="4FDC9358" w14:textId="77777777" w:rsidR="002F4458" w:rsidRPr="00181EF3" w:rsidRDefault="002F4458" w:rsidP="0064111D">
            <w:pPr>
              <w:pStyle w:val="TableText"/>
              <w:spacing w:before="45" w:after="45"/>
              <w:jc w:val="center"/>
              <w:rPr>
                <w:b/>
              </w:rPr>
            </w:pPr>
            <w:r w:rsidRPr="00181EF3">
              <w:rPr>
                <w:b/>
              </w:rPr>
              <w:t>Māori</w:t>
            </w:r>
          </w:p>
        </w:tc>
        <w:tc>
          <w:tcPr>
            <w:tcW w:w="2694" w:type="dxa"/>
            <w:shd w:val="clear" w:color="auto" w:fill="F2F2F2" w:themeFill="background1" w:themeFillShade="F2"/>
          </w:tcPr>
          <w:p w14:paraId="5C0D6617" w14:textId="2F58F8FF" w:rsidR="002F4458" w:rsidRPr="00181EF3" w:rsidRDefault="00EC03A3" w:rsidP="0064111D">
            <w:pPr>
              <w:pStyle w:val="TableText"/>
              <w:spacing w:before="45" w:after="45"/>
              <w:jc w:val="center"/>
              <w:rPr>
                <w:b/>
              </w:rPr>
            </w:pPr>
            <w:r>
              <w:rPr>
                <w:b/>
              </w:rPr>
              <w:t>Non</w:t>
            </w:r>
            <w:r>
              <w:rPr>
                <w:b/>
              </w:rPr>
              <w:noBreakHyphen/>
              <w:t>M</w:t>
            </w:r>
            <w:r w:rsidR="002F4458" w:rsidRPr="00181EF3">
              <w:rPr>
                <w:b/>
              </w:rPr>
              <w:t>āori</w:t>
            </w:r>
          </w:p>
        </w:tc>
      </w:tr>
      <w:tr w:rsidR="002F4458" w:rsidRPr="00181EF3" w14:paraId="3F380905" w14:textId="77777777" w:rsidTr="0064111D">
        <w:trPr>
          <w:cantSplit/>
        </w:trPr>
        <w:tc>
          <w:tcPr>
            <w:tcW w:w="2693" w:type="dxa"/>
            <w:tcBorders>
              <w:bottom w:val="single" w:sz="4" w:space="0" w:color="A6A6A6" w:themeColor="background1" w:themeShade="A6"/>
            </w:tcBorders>
          </w:tcPr>
          <w:p w14:paraId="24C6CC0A" w14:textId="77777777" w:rsidR="002F4458" w:rsidRPr="00181EF3" w:rsidRDefault="002F4458" w:rsidP="0064111D">
            <w:pPr>
              <w:pStyle w:val="TableText"/>
              <w:spacing w:before="45" w:after="45"/>
              <w:jc w:val="center"/>
            </w:pPr>
            <w:r w:rsidRPr="00181EF3">
              <w:t>2009</w:t>
            </w:r>
          </w:p>
        </w:tc>
        <w:tc>
          <w:tcPr>
            <w:tcW w:w="2693" w:type="dxa"/>
            <w:tcBorders>
              <w:bottom w:val="single" w:sz="4" w:space="0" w:color="A6A6A6" w:themeColor="background1" w:themeShade="A6"/>
            </w:tcBorders>
          </w:tcPr>
          <w:p w14:paraId="798E5AA5" w14:textId="77777777" w:rsidR="002F4458" w:rsidRPr="00181EF3" w:rsidRDefault="002F4458" w:rsidP="0064111D">
            <w:pPr>
              <w:pStyle w:val="TableText"/>
              <w:spacing w:before="45" w:after="45"/>
              <w:jc w:val="center"/>
            </w:pPr>
            <w:r w:rsidRPr="00181EF3">
              <w:t>62 (6.4%)</w:t>
            </w:r>
          </w:p>
        </w:tc>
        <w:tc>
          <w:tcPr>
            <w:tcW w:w="2694" w:type="dxa"/>
            <w:tcBorders>
              <w:bottom w:val="single" w:sz="4" w:space="0" w:color="A6A6A6" w:themeColor="background1" w:themeShade="A6"/>
            </w:tcBorders>
          </w:tcPr>
          <w:p w14:paraId="653862ED" w14:textId="77777777" w:rsidR="002F4458" w:rsidRPr="00181EF3" w:rsidRDefault="002F4458" w:rsidP="0064111D">
            <w:pPr>
              <w:pStyle w:val="TableText"/>
              <w:tabs>
                <w:tab w:val="decimal" w:pos="1247"/>
              </w:tabs>
              <w:spacing w:before="45" w:after="45"/>
            </w:pPr>
            <w:r w:rsidRPr="00181EF3">
              <w:t>908 (93.6%)</w:t>
            </w:r>
          </w:p>
        </w:tc>
      </w:tr>
      <w:tr w:rsidR="002F4458" w:rsidRPr="00181EF3" w14:paraId="1F0719C5" w14:textId="77777777" w:rsidTr="0064111D">
        <w:trPr>
          <w:cantSplit/>
        </w:trPr>
        <w:tc>
          <w:tcPr>
            <w:tcW w:w="2693" w:type="dxa"/>
            <w:tcBorders>
              <w:top w:val="single" w:sz="4" w:space="0" w:color="A6A6A6" w:themeColor="background1" w:themeShade="A6"/>
              <w:bottom w:val="single" w:sz="4" w:space="0" w:color="A6A6A6" w:themeColor="background1" w:themeShade="A6"/>
            </w:tcBorders>
          </w:tcPr>
          <w:p w14:paraId="63BEE65F" w14:textId="77777777" w:rsidR="002F4458" w:rsidRPr="00181EF3" w:rsidRDefault="002F4458" w:rsidP="0064111D">
            <w:pPr>
              <w:pStyle w:val="TableText"/>
              <w:spacing w:before="45" w:after="45"/>
              <w:jc w:val="center"/>
            </w:pPr>
            <w:r w:rsidRPr="00181EF3">
              <w:t>2010</w:t>
            </w:r>
          </w:p>
        </w:tc>
        <w:tc>
          <w:tcPr>
            <w:tcW w:w="2693" w:type="dxa"/>
            <w:tcBorders>
              <w:top w:val="single" w:sz="4" w:space="0" w:color="A6A6A6" w:themeColor="background1" w:themeShade="A6"/>
              <w:bottom w:val="single" w:sz="4" w:space="0" w:color="A6A6A6" w:themeColor="background1" w:themeShade="A6"/>
            </w:tcBorders>
          </w:tcPr>
          <w:p w14:paraId="2D98B762" w14:textId="77777777" w:rsidR="002F4458" w:rsidRPr="00181EF3" w:rsidRDefault="002F4458" w:rsidP="0064111D">
            <w:pPr>
              <w:pStyle w:val="TableText"/>
              <w:spacing w:before="45" w:after="45"/>
              <w:jc w:val="center"/>
            </w:pPr>
            <w:r w:rsidRPr="00181EF3">
              <w:t>56 (5.8%)</w:t>
            </w:r>
          </w:p>
        </w:tc>
        <w:tc>
          <w:tcPr>
            <w:tcW w:w="2694" w:type="dxa"/>
            <w:tcBorders>
              <w:top w:val="single" w:sz="4" w:space="0" w:color="A6A6A6" w:themeColor="background1" w:themeShade="A6"/>
              <w:bottom w:val="single" w:sz="4" w:space="0" w:color="A6A6A6" w:themeColor="background1" w:themeShade="A6"/>
            </w:tcBorders>
          </w:tcPr>
          <w:p w14:paraId="56C00184" w14:textId="77777777" w:rsidR="002F4458" w:rsidRPr="00181EF3" w:rsidRDefault="002F4458" w:rsidP="0064111D">
            <w:pPr>
              <w:pStyle w:val="TableText"/>
              <w:tabs>
                <w:tab w:val="decimal" w:pos="1247"/>
              </w:tabs>
              <w:spacing w:before="45" w:after="45"/>
            </w:pPr>
            <w:r w:rsidRPr="00181EF3">
              <w:t>905 (94.2%)</w:t>
            </w:r>
          </w:p>
        </w:tc>
      </w:tr>
      <w:tr w:rsidR="002F4458" w:rsidRPr="00181EF3" w14:paraId="5E9FBC36" w14:textId="77777777" w:rsidTr="0064111D">
        <w:trPr>
          <w:cantSplit/>
        </w:trPr>
        <w:tc>
          <w:tcPr>
            <w:tcW w:w="2693" w:type="dxa"/>
            <w:tcBorders>
              <w:top w:val="single" w:sz="4" w:space="0" w:color="A6A6A6" w:themeColor="background1" w:themeShade="A6"/>
              <w:bottom w:val="single" w:sz="4" w:space="0" w:color="A6A6A6" w:themeColor="background1" w:themeShade="A6"/>
            </w:tcBorders>
          </w:tcPr>
          <w:p w14:paraId="6E7454DC" w14:textId="77777777" w:rsidR="002F4458" w:rsidRPr="00181EF3" w:rsidRDefault="002F4458" w:rsidP="0064111D">
            <w:pPr>
              <w:pStyle w:val="TableText"/>
              <w:spacing w:before="45" w:after="45"/>
              <w:jc w:val="center"/>
            </w:pPr>
            <w:r w:rsidRPr="00181EF3">
              <w:t>2011</w:t>
            </w:r>
          </w:p>
        </w:tc>
        <w:tc>
          <w:tcPr>
            <w:tcW w:w="2693" w:type="dxa"/>
            <w:tcBorders>
              <w:top w:val="single" w:sz="4" w:space="0" w:color="A6A6A6" w:themeColor="background1" w:themeShade="A6"/>
              <w:bottom w:val="single" w:sz="4" w:space="0" w:color="A6A6A6" w:themeColor="background1" w:themeShade="A6"/>
            </w:tcBorders>
          </w:tcPr>
          <w:p w14:paraId="7FE861E5" w14:textId="77777777" w:rsidR="002F4458" w:rsidRPr="00181EF3" w:rsidRDefault="002F4458" w:rsidP="0064111D">
            <w:pPr>
              <w:pStyle w:val="TableText"/>
              <w:spacing w:before="45" w:after="45"/>
              <w:jc w:val="center"/>
            </w:pPr>
            <w:r w:rsidRPr="00181EF3">
              <w:t>52 (5.0%)</w:t>
            </w:r>
          </w:p>
        </w:tc>
        <w:tc>
          <w:tcPr>
            <w:tcW w:w="2694" w:type="dxa"/>
            <w:tcBorders>
              <w:top w:val="single" w:sz="4" w:space="0" w:color="A6A6A6" w:themeColor="background1" w:themeShade="A6"/>
              <w:bottom w:val="single" w:sz="4" w:space="0" w:color="A6A6A6" w:themeColor="background1" w:themeShade="A6"/>
            </w:tcBorders>
          </w:tcPr>
          <w:p w14:paraId="110096A4" w14:textId="77777777" w:rsidR="002F4458" w:rsidRPr="00181EF3" w:rsidRDefault="002F4458" w:rsidP="0064111D">
            <w:pPr>
              <w:pStyle w:val="TableText"/>
              <w:tabs>
                <w:tab w:val="decimal" w:pos="1247"/>
              </w:tabs>
              <w:spacing w:before="45" w:after="45"/>
            </w:pPr>
            <w:r w:rsidRPr="00181EF3">
              <w:t>982 (95.0%)</w:t>
            </w:r>
          </w:p>
        </w:tc>
      </w:tr>
      <w:tr w:rsidR="002F4458" w:rsidRPr="00181EF3" w14:paraId="13A98B97" w14:textId="77777777" w:rsidTr="0064111D">
        <w:trPr>
          <w:cantSplit/>
        </w:trPr>
        <w:tc>
          <w:tcPr>
            <w:tcW w:w="2693" w:type="dxa"/>
            <w:tcBorders>
              <w:top w:val="single" w:sz="4" w:space="0" w:color="A6A6A6" w:themeColor="background1" w:themeShade="A6"/>
              <w:bottom w:val="single" w:sz="4" w:space="0" w:color="A6A6A6" w:themeColor="background1" w:themeShade="A6"/>
            </w:tcBorders>
          </w:tcPr>
          <w:p w14:paraId="31044B05" w14:textId="77777777" w:rsidR="002F4458" w:rsidRPr="00181EF3" w:rsidRDefault="002F4458" w:rsidP="0064111D">
            <w:pPr>
              <w:pStyle w:val="TableText"/>
              <w:spacing w:before="45" w:after="45"/>
              <w:jc w:val="center"/>
            </w:pPr>
            <w:r w:rsidRPr="00181EF3">
              <w:t>2012</w:t>
            </w:r>
          </w:p>
        </w:tc>
        <w:tc>
          <w:tcPr>
            <w:tcW w:w="2693" w:type="dxa"/>
            <w:tcBorders>
              <w:top w:val="single" w:sz="4" w:space="0" w:color="A6A6A6" w:themeColor="background1" w:themeShade="A6"/>
              <w:bottom w:val="single" w:sz="4" w:space="0" w:color="A6A6A6" w:themeColor="background1" w:themeShade="A6"/>
            </w:tcBorders>
          </w:tcPr>
          <w:p w14:paraId="0CBECBC5" w14:textId="77777777" w:rsidR="002F4458" w:rsidRPr="00181EF3" w:rsidRDefault="002F4458" w:rsidP="0064111D">
            <w:pPr>
              <w:pStyle w:val="TableText"/>
              <w:spacing w:before="45" w:after="45"/>
              <w:jc w:val="center"/>
            </w:pPr>
            <w:r w:rsidRPr="00181EF3">
              <w:t>52 (4.9%)</w:t>
            </w:r>
          </w:p>
        </w:tc>
        <w:tc>
          <w:tcPr>
            <w:tcW w:w="2694" w:type="dxa"/>
            <w:tcBorders>
              <w:top w:val="single" w:sz="4" w:space="0" w:color="A6A6A6" w:themeColor="background1" w:themeShade="A6"/>
              <w:bottom w:val="single" w:sz="4" w:space="0" w:color="A6A6A6" w:themeColor="background1" w:themeShade="A6"/>
            </w:tcBorders>
          </w:tcPr>
          <w:p w14:paraId="0E9C0CF3" w14:textId="77777777" w:rsidR="002F4458" w:rsidRPr="00181EF3" w:rsidRDefault="002F4458" w:rsidP="0064111D">
            <w:pPr>
              <w:pStyle w:val="TableText"/>
              <w:tabs>
                <w:tab w:val="decimal" w:pos="1247"/>
              </w:tabs>
              <w:spacing w:before="45" w:after="45"/>
            </w:pPr>
            <w:r w:rsidRPr="00181EF3">
              <w:t>1,019 (95.1%)</w:t>
            </w:r>
          </w:p>
        </w:tc>
      </w:tr>
      <w:tr w:rsidR="002F4458" w:rsidRPr="00181EF3" w14:paraId="37D59616" w14:textId="77777777" w:rsidTr="0064111D">
        <w:trPr>
          <w:cantSplit/>
        </w:trPr>
        <w:tc>
          <w:tcPr>
            <w:tcW w:w="2693" w:type="dxa"/>
            <w:tcBorders>
              <w:top w:val="single" w:sz="4" w:space="0" w:color="A6A6A6" w:themeColor="background1" w:themeShade="A6"/>
              <w:bottom w:val="single" w:sz="4" w:space="0" w:color="A6A6A6" w:themeColor="background1" w:themeShade="A6"/>
            </w:tcBorders>
          </w:tcPr>
          <w:p w14:paraId="6A5CD401" w14:textId="77777777" w:rsidR="002F4458" w:rsidRPr="00181EF3" w:rsidRDefault="002F4458" w:rsidP="0064111D">
            <w:pPr>
              <w:pStyle w:val="TableText"/>
              <w:spacing w:before="45" w:after="45"/>
              <w:jc w:val="center"/>
            </w:pPr>
            <w:r w:rsidRPr="00181EF3">
              <w:t>2013</w:t>
            </w:r>
          </w:p>
        </w:tc>
        <w:tc>
          <w:tcPr>
            <w:tcW w:w="2693" w:type="dxa"/>
            <w:tcBorders>
              <w:top w:val="single" w:sz="4" w:space="0" w:color="A6A6A6" w:themeColor="background1" w:themeShade="A6"/>
              <w:bottom w:val="single" w:sz="4" w:space="0" w:color="A6A6A6" w:themeColor="background1" w:themeShade="A6"/>
            </w:tcBorders>
          </w:tcPr>
          <w:p w14:paraId="063E1464" w14:textId="77777777" w:rsidR="002F4458" w:rsidRPr="00181EF3" w:rsidRDefault="002F4458" w:rsidP="0064111D">
            <w:pPr>
              <w:pStyle w:val="TableText"/>
              <w:spacing w:before="45" w:after="45"/>
              <w:jc w:val="center"/>
            </w:pPr>
            <w:r w:rsidRPr="00181EF3">
              <w:t>54 (4.8%)</w:t>
            </w:r>
          </w:p>
        </w:tc>
        <w:tc>
          <w:tcPr>
            <w:tcW w:w="2694" w:type="dxa"/>
            <w:tcBorders>
              <w:top w:val="single" w:sz="4" w:space="0" w:color="A6A6A6" w:themeColor="background1" w:themeShade="A6"/>
              <w:bottom w:val="single" w:sz="4" w:space="0" w:color="A6A6A6" w:themeColor="background1" w:themeShade="A6"/>
            </w:tcBorders>
          </w:tcPr>
          <w:p w14:paraId="16A0F4A2" w14:textId="77777777" w:rsidR="002F4458" w:rsidRPr="00181EF3" w:rsidRDefault="002F4458" w:rsidP="0064111D">
            <w:pPr>
              <w:pStyle w:val="TableText"/>
              <w:tabs>
                <w:tab w:val="decimal" w:pos="1247"/>
              </w:tabs>
              <w:spacing w:before="45" w:after="45"/>
            </w:pPr>
            <w:r w:rsidRPr="00181EF3">
              <w:t>1,081 (95.1%)</w:t>
            </w:r>
          </w:p>
        </w:tc>
      </w:tr>
      <w:tr w:rsidR="002F4458" w:rsidRPr="00181EF3" w14:paraId="23D1D2B0" w14:textId="77777777" w:rsidTr="0064111D">
        <w:trPr>
          <w:cantSplit/>
        </w:trPr>
        <w:tc>
          <w:tcPr>
            <w:tcW w:w="2693" w:type="dxa"/>
            <w:tcBorders>
              <w:top w:val="single" w:sz="4" w:space="0" w:color="A6A6A6" w:themeColor="background1" w:themeShade="A6"/>
              <w:bottom w:val="single" w:sz="4" w:space="0" w:color="A6A6A6" w:themeColor="background1" w:themeShade="A6"/>
            </w:tcBorders>
          </w:tcPr>
          <w:p w14:paraId="17EB9C6B" w14:textId="77777777" w:rsidR="002F4458" w:rsidRPr="00181EF3" w:rsidRDefault="002F4458" w:rsidP="0064111D">
            <w:pPr>
              <w:pStyle w:val="TableText"/>
              <w:spacing w:before="45" w:after="45"/>
              <w:jc w:val="center"/>
            </w:pPr>
            <w:r w:rsidRPr="00181EF3">
              <w:t>2014</w:t>
            </w:r>
          </w:p>
        </w:tc>
        <w:tc>
          <w:tcPr>
            <w:tcW w:w="2693" w:type="dxa"/>
            <w:tcBorders>
              <w:top w:val="single" w:sz="4" w:space="0" w:color="A6A6A6" w:themeColor="background1" w:themeShade="A6"/>
              <w:bottom w:val="single" w:sz="4" w:space="0" w:color="A6A6A6" w:themeColor="background1" w:themeShade="A6"/>
            </w:tcBorders>
          </w:tcPr>
          <w:p w14:paraId="44DC60DB" w14:textId="77777777" w:rsidR="002F4458" w:rsidRPr="00181EF3" w:rsidRDefault="002F4458" w:rsidP="0064111D">
            <w:pPr>
              <w:pStyle w:val="TableText"/>
              <w:spacing w:before="45" w:after="45"/>
              <w:jc w:val="center"/>
            </w:pPr>
            <w:r w:rsidRPr="00181EF3">
              <w:t>63 (5.4%)</w:t>
            </w:r>
          </w:p>
        </w:tc>
        <w:tc>
          <w:tcPr>
            <w:tcW w:w="2694" w:type="dxa"/>
            <w:tcBorders>
              <w:top w:val="single" w:sz="4" w:space="0" w:color="A6A6A6" w:themeColor="background1" w:themeShade="A6"/>
              <w:bottom w:val="single" w:sz="4" w:space="0" w:color="A6A6A6" w:themeColor="background1" w:themeShade="A6"/>
            </w:tcBorders>
          </w:tcPr>
          <w:p w14:paraId="557C7CEF" w14:textId="77777777" w:rsidR="002F4458" w:rsidRPr="00181EF3" w:rsidRDefault="002F4458" w:rsidP="0064111D">
            <w:pPr>
              <w:pStyle w:val="TableText"/>
              <w:tabs>
                <w:tab w:val="decimal" w:pos="1247"/>
              </w:tabs>
              <w:spacing w:before="45" w:after="45"/>
            </w:pPr>
            <w:r w:rsidRPr="00181EF3">
              <w:t>1,108 (94.6%)</w:t>
            </w:r>
          </w:p>
        </w:tc>
      </w:tr>
      <w:tr w:rsidR="002F4458" w:rsidRPr="00181EF3" w14:paraId="084379A5" w14:textId="77777777" w:rsidTr="0064111D">
        <w:trPr>
          <w:cantSplit/>
        </w:trPr>
        <w:tc>
          <w:tcPr>
            <w:tcW w:w="2693" w:type="dxa"/>
            <w:tcBorders>
              <w:top w:val="single" w:sz="4" w:space="0" w:color="A6A6A6" w:themeColor="background1" w:themeShade="A6"/>
              <w:bottom w:val="single" w:sz="4" w:space="0" w:color="A6A6A6" w:themeColor="background1" w:themeShade="A6"/>
            </w:tcBorders>
          </w:tcPr>
          <w:p w14:paraId="438C7910" w14:textId="77777777" w:rsidR="002F4458" w:rsidRPr="00181EF3" w:rsidRDefault="002F4458" w:rsidP="0064111D">
            <w:pPr>
              <w:pStyle w:val="TableText"/>
              <w:spacing w:before="45" w:after="45"/>
              <w:jc w:val="center"/>
            </w:pPr>
            <w:r w:rsidRPr="00181EF3">
              <w:t>2015</w:t>
            </w:r>
          </w:p>
        </w:tc>
        <w:tc>
          <w:tcPr>
            <w:tcW w:w="2693" w:type="dxa"/>
            <w:tcBorders>
              <w:top w:val="single" w:sz="4" w:space="0" w:color="A6A6A6" w:themeColor="background1" w:themeShade="A6"/>
              <w:bottom w:val="single" w:sz="4" w:space="0" w:color="A6A6A6" w:themeColor="background1" w:themeShade="A6"/>
            </w:tcBorders>
          </w:tcPr>
          <w:p w14:paraId="7F0D2D74" w14:textId="77777777" w:rsidR="002F4458" w:rsidRPr="00181EF3" w:rsidRDefault="002F4458" w:rsidP="0064111D">
            <w:pPr>
              <w:pStyle w:val="TableText"/>
              <w:spacing w:before="45" w:after="45"/>
              <w:jc w:val="center"/>
            </w:pPr>
            <w:r w:rsidRPr="00181EF3">
              <w:t>93 (6.1%)</w:t>
            </w:r>
          </w:p>
        </w:tc>
        <w:tc>
          <w:tcPr>
            <w:tcW w:w="2694" w:type="dxa"/>
            <w:tcBorders>
              <w:top w:val="single" w:sz="4" w:space="0" w:color="A6A6A6" w:themeColor="background1" w:themeShade="A6"/>
              <w:bottom w:val="single" w:sz="4" w:space="0" w:color="A6A6A6" w:themeColor="background1" w:themeShade="A6"/>
            </w:tcBorders>
          </w:tcPr>
          <w:p w14:paraId="3795C8C2" w14:textId="77777777" w:rsidR="002F4458" w:rsidRPr="00181EF3" w:rsidRDefault="002F4458" w:rsidP="0064111D">
            <w:pPr>
              <w:pStyle w:val="TableText"/>
              <w:tabs>
                <w:tab w:val="decimal" w:pos="1247"/>
              </w:tabs>
              <w:spacing w:before="45" w:after="45"/>
            </w:pPr>
            <w:r w:rsidRPr="00181EF3">
              <w:t>1,423 (93.9%)</w:t>
            </w:r>
          </w:p>
        </w:tc>
      </w:tr>
      <w:tr w:rsidR="002F4458" w:rsidRPr="00181EF3" w14:paraId="23217C77" w14:textId="77777777" w:rsidTr="0064111D">
        <w:trPr>
          <w:cantSplit/>
        </w:trPr>
        <w:tc>
          <w:tcPr>
            <w:tcW w:w="2693" w:type="dxa"/>
            <w:tcBorders>
              <w:top w:val="single" w:sz="4" w:space="0" w:color="A6A6A6" w:themeColor="background1" w:themeShade="A6"/>
              <w:bottom w:val="single" w:sz="4" w:space="0" w:color="A6A6A6" w:themeColor="background1" w:themeShade="A6"/>
            </w:tcBorders>
          </w:tcPr>
          <w:p w14:paraId="1F9E6724" w14:textId="77777777" w:rsidR="002F4458" w:rsidRPr="00181EF3" w:rsidRDefault="002F4458" w:rsidP="0064111D">
            <w:pPr>
              <w:pStyle w:val="TableText"/>
              <w:spacing w:before="45" w:after="45"/>
              <w:jc w:val="center"/>
            </w:pPr>
            <w:r w:rsidRPr="00181EF3">
              <w:t>2016</w:t>
            </w:r>
          </w:p>
        </w:tc>
        <w:tc>
          <w:tcPr>
            <w:tcW w:w="2693" w:type="dxa"/>
            <w:tcBorders>
              <w:top w:val="single" w:sz="4" w:space="0" w:color="A6A6A6" w:themeColor="background1" w:themeShade="A6"/>
              <w:bottom w:val="single" w:sz="4" w:space="0" w:color="A6A6A6" w:themeColor="background1" w:themeShade="A6"/>
            </w:tcBorders>
          </w:tcPr>
          <w:p w14:paraId="1AE78C66" w14:textId="77777777" w:rsidR="002F4458" w:rsidRPr="00181EF3" w:rsidRDefault="002F4458" w:rsidP="0064111D">
            <w:pPr>
              <w:pStyle w:val="TableText"/>
              <w:spacing w:before="45" w:after="45"/>
              <w:jc w:val="center"/>
            </w:pPr>
            <w:r w:rsidRPr="00181EF3">
              <w:t>90 (6.8%)</w:t>
            </w:r>
          </w:p>
        </w:tc>
        <w:tc>
          <w:tcPr>
            <w:tcW w:w="2694" w:type="dxa"/>
            <w:tcBorders>
              <w:top w:val="single" w:sz="4" w:space="0" w:color="A6A6A6" w:themeColor="background1" w:themeShade="A6"/>
              <w:bottom w:val="single" w:sz="4" w:space="0" w:color="A6A6A6" w:themeColor="background1" w:themeShade="A6"/>
            </w:tcBorders>
          </w:tcPr>
          <w:p w14:paraId="4001E0FF" w14:textId="77777777" w:rsidR="002F4458" w:rsidRPr="00181EF3" w:rsidRDefault="002F4458" w:rsidP="0064111D">
            <w:pPr>
              <w:pStyle w:val="TableText"/>
              <w:tabs>
                <w:tab w:val="decimal" w:pos="1247"/>
              </w:tabs>
              <w:spacing w:before="45" w:after="45"/>
            </w:pPr>
            <w:r w:rsidRPr="00181EF3">
              <w:t>1,243 (93.2%)</w:t>
            </w:r>
          </w:p>
        </w:tc>
      </w:tr>
    </w:tbl>
    <w:p w14:paraId="56B0B54D" w14:textId="77777777" w:rsidR="002F4458" w:rsidRPr="00181EF3" w:rsidRDefault="002F4458" w:rsidP="002F4458">
      <w:pPr>
        <w:pStyle w:val="Source"/>
      </w:pPr>
      <w:r w:rsidRPr="00181EF3">
        <w:t>Source: Medical Council of New Zealand, 2009–2016.</w:t>
      </w:r>
    </w:p>
    <w:p w14:paraId="54281D2B" w14:textId="77777777" w:rsidR="002F4458" w:rsidRPr="00181EF3" w:rsidRDefault="002F4458" w:rsidP="002F4458"/>
    <w:p w14:paraId="21F3DE6E" w14:textId="3645FFF6" w:rsidR="002F4458" w:rsidRPr="00181EF3" w:rsidRDefault="002F4458" w:rsidP="002F4458">
      <w:pPr>
        <w:pStyle w:val="Table"/>
      </w:pPr>
      <w:bookmarkStart w:id="613" w:name="_Toc18594808"/>
      <w:r w:rsidRPr="00181EF3">
        <w:t xml:space="preserve">Table </w:t>
      </w:r>
      <w:r>
        <w:t>A6.9</w:t>
      </w:r>
      <w:r w:rsidRPr="00181EF3">
        <w:t xml:space="preserve">: Estimated number (percentage in workforce) of Māori and </w:t>
      </w:r>
      <w:r w:rsidR="00EC03A3">
        <w:t>non</w:t>
      </w:r>
      <w:r w:rsidR="00EC03A3">
        <w:noBreakHyphen/>
        <w:t>M</w:t>
      </w:r>
      <w:r w:rsidRPr="00181EF3">
        <w:t>āori, probationers and interns, 2009–2016</w:t>
      </w:r>
      <w:bookmarkEnd w:id="613"/>
    </w:p>
    <w:tbl>
      <w:tblPr>
        <w:tblW w:w="0" w:type="auto"/>
        <w:tblInd w:w="57" w:type="dxa"/>
        <w:tblLayout w:type="fixed"/>
        <w:tblCellMar>
          <w:left w:w="57" w:type="dxa"/>
          <w:right w:w="57" w:type="dxa"/>
        </w:tblCellMar>
        <w:tblLook w:val="04A0" w:firstRow="1" w:lastRow="0" w:firstColumn="1" w:lastColumn="0" w:noHBand="0" w:noVBand="1"/>
      </w:tblPr>
      <w:tblGrid>
        <w:gridCol w:w="2646"/>
        <w:gridCol w:w="2646"/>
        <w:gridCol w:w="2646"/>
      </w:tblGrid>
      <w:tr w:rsidR="002F4458" w:rsidRPr="00181EF3" w14:paraId="1EC07EFC" w14:textId="77777777" w:rsidTr="0064111D">
        <w:trPr>
          <w:cantSplit/>
        </w:trPr>
        <w:tc>
          <w:tcPr>
            <w:tcW w:w="7938" w:type="dxa"/>
            <w:gridSpan w:val="3"/>
            <w:shd w:val="clear" w:color="auto" w:fill="D9D9D9" w:themeFill="background1" w:themeFillShade="D9"/>
          </w:tcPr>
          <w:p w14:paraId="23A8D357" w14:textId="77777777" w:rsidR="002F4458" w:rsidRPr="00181EF3" w:rsidRDefault="002F4458" w:rsidP="0064111D">
            <w:pPr>
              <w:pStyle w:val="TableText"/>
              <w:spacing w:before="45" w:after="45"/>
              <w:jc w:val="center"/>
              <w:rPr>
                <w:b/>
              </w:rPr>
            </w:pPr>
            <w:r w:rsidRPr="00181EF3">
              <w:rPr>
                <w:b/>
              </w:rPr>
              <w:t>Probationers and interns (2009–2016)</w:t>
            </w:r>
          </w:p>
        </w:tc>
      </w:tr>
      <w:tr w:rsidR="002F4458" w:rsidRPr="00181EF3" w14:paraId="74587C4F" w14:textId="77777777" w:rsidTr="0064111D">
        <w:trPr>
          <w:cantSplit/>
        </w:trPr>
        <w:tc>
          <w:tcPr>
            <w:tcW w:w="2646" w:type="dxa"/>
            <w:shd w:val="clear" w:color="auto" w:fill="F2F2F2" w:themeFill="background1" w:themeFillShade="F2"/>
          </w:tcPr>
          <w:p w14:paraId="59D43CDF" w14:textId="77777777" w:rsidR="002F4458" w:rsidRPr="00181EF3" w:rsidRDefault="002F4458" w:rsidP="0064111D">
            <w:pPr>
              <w:pStyle w:val="TableText"/>
              <w:spacing w:before="45" w:after="45"/>
              <w:jc w:val="center"/>
              <w:rPr>
                <w:b/>
              </w:rPr>
            </w:pPr>
            <w:r w:rsidRPr="00181EF3">
              <w:rPr>
                <w:b/>
              </w:rPr>
              <w:t>Year</w:t>
            </w:r>
          </w:p>
        </w:tc>
        <w:tc>
          <w:tcPr>
            <w:tcW w:w="2646" w:type="dxa"/>
            <w:shd w:val="clear" w:color="auto" w:fill="F2F2F2" w:themeFill="background1" w:themeFillShade="F2"/>
          </w:tcPr>
          <w:p w14:paraId="3E30211C" w14:textId="77777777" w:rsidR="002F4458" w:rsidRPr="00181EF3" w:rsidRDefault="002F4458" w:rsidP="0064111D">
            <w:pPr>
              <w:pStyle w:val="TableText"/>
              <w:spacing w:before="45" w:after="45"/>
              <w:jc w:val="center"/>
              <w:rPr>
                <w:b/>
              </w:rPr>
            </w:pPr>
            <w:r w:rsidRPr="00181EF3">
              <w:rPr>
                <w:b/>
              </w:rPr>
              <w:t>Māori</w:t>
            </w:r>
          </w:p>
        </w:tc>
        <w:tc>
          <w:tcPr>
            <w:tcW w:w="2646" w:type="dxa"/>
            <w:shd w:val="clear" w:color="auto" w:fill="F2F2F2" w:themeFill="background1" w:themeFillShade="F2"/>
          </w:tcPr>
          <w:p w14:paraId="577310CD" w14:textId="75941B44" w:rsidR="002F4458" w:rsidRPr="00181EF3" w:rsidRDefault="00EC03A3" w:rsidP="0064111D">
            <w:pPr>
              <w:pStyle w:val="TableText"/>
              <w:spacing w:before="45" w:after="45"/>
              <w:jc w:val="center"/>
              <w:rPr>
                <w:b/>
              </w:rPr>
            </w:pPr>
            <w:r>
              <w:rPr>
                <w:b/>
              </w:rPr>
              <w:t>Non</w:t>
            </w:r>
            <w:r>
              <w:rPr>
                <w:b/>
              </w:rPr>
              <w:noBreakHyphen/>
              <w:t>M</w:t>
            </w:r>
            <w:r w:rsidR="002F4458" w:rsidRPr="00181EF3">
              <w:rPr>
                <w:b/>
              </w:rPr>
              <w:t>āori</w:t>
            </w:r>
          </w:p>
        </w:tc>
      </w:tr>
      <w:tr w:rsidR="002F4458" w:rsidRPr="00181EF3" w14:paraId="08552469" w14:textId="77777777" w:rsidTr="0064111D">
        <w:trPr>
          <w:cantSplit/>
        </w:trPr>
        <w:tc>
          <w:tcPr>
            <w:tcW w:w="2646" w:type="dxa"/>
            <w:tcBorders>
              <w:bottom w:val="single" w:sz="4" w:space="0" w:color="A6A6A6" w:themeColor="background1" w:themeShade="A6"/>
            </w:tcBorders>
          </w:tcPr>
          <w:p w14:paraId="01A5DBDD" w14:textId="77777777" w:rsidR="002F4458" w:rsidRPr="00181EF3" w:rsidRDefault="002F4458" w:rsidP="0064111D">
            <w:pPr>
              <w:pStyle w:val="TableText"/>
              <w:spacing w:before="45" w:after="45"/>
              <w:jc w:val="center"/>
            </w:pPr>
            <w:r w:rsidRPr="00181EF3">
              <w:t>2009</w:t>
            </w:r>
          </w:p>
        </w:tc>
        <w:tc>
          <w:tcPr>
            <w:tcW w:w="2646" w:type="dxa"/>
            <w:tcBorders>
              <w:bottom w:val="single" w:sz="4" w:space="0" w:color="A6A6A6" w:themeColor="background1" w:themeShade="A6"/>
            </w:tcBorders>
          </w:tcPr>
          <w:p w14:paraId="52F055D2" w14:textId="77777777" w:rsidR="002F4458" w:rsidRPr="00181EF3" w:rsidRDefault="002F4458" w:rsidP="0064111D">
            <w:pPr>
              <w:pStyle w:val="TableText"/>
              <w:spacing w:before="45" w:after="45"/>
              <w:jc w:val="center"/>
            </w:pPr>
            <w:r w:rsidRPr="00181EF3">
              <w:t>17 (4.1%)</w:t>
            </w:r>
          </w:p>
        </w:tc>
        <w:tc>
          <w:tcPr>
            <w:tcW w:w="2646" w:type="dxa"/>
            <w:tcBorders>
              <w:bottom w:val="single" w:sz="4" w:space="0" w:color="A6A6A6" w:themeColor="background1" w:themeShade="A6"/>
            </w:tcBorders>
          </w:tcPr>
          <w:p w14:paraId="69193D64" w14:textId="77777777" w:rsidR="002F4458" w:rsidRPr="00181EF3" w:rsidRDefault="002F4458" w:rsidP="0064111D">
            <w:pPr>
              <w:pStyle w:val="TableText"/>
              <w:spacing w:before="45" w:after="45"/>
              <w:jc w:val="center"/>
            </w:pPr>
            <w:r w:rsidRPr="00181EF3">
              <w:t>396 (95.9%)</w:t>
            </w:r>
          </w:p>
        </w:tc>
      </w:tr>
      <w:tr w:rsidR="002F4458" w:rsidRPr="00181EF3" w14:paraId="01850C46" w14:textId="77777777" w:rsidTr="0064111D">
        <w:trPr>
          <w:cantSplit/>
        </w:trPr>
        <w:tc>
          <w:tcPr>
            <w:tcW w:w="2646" w:type="dxa"/>
            <w:tcBorders>
              <w:top w:val="single" w:sz="4" w:space="0" w:color="A6A6A6" w:themeColor="background1" w:themeShade="A6"/>
              <w:bottom w:val="single" w:sz="4" w:space="0" w:color="A6A6A6" w:themeColor="background1" w:themeShade="A6"/>
            </w:tcBorders>
          </w:tcPr>
          <w:p w14:paraId="45628605" w14:textId="77777777" w:rsidR="002F4458" w:rsidRPr="00181EF3" w:rsidRDefault="002F4458" w:rsidP="0064111D">
            <w:pPr>
              <w:pStyle w:val="TableText"/>
              <w:spacing w:before="45" w:after="45"/>
              <w:jc w:val="center"/>
            </w:pPr>
            <w:r w:rsidRPr="00181EF3">
              <w:t>2010</w:t>
            </w:r>
          </w:p>
        </w:tc>
        <w:tc>
          <w:tcPr>
            <w:tcW w:w="2646" w:type="dxa"/>
            <w:tcBorders>
              <w:top w:val="single" w:sz="4" w:space="0" w:color="A6A6A6" w:themeColor="background1" w:themeShade="A6"/>
              <w:bottom w:val="single" w:sz="4" w:space="0" w:color="A6A6A6" w:themeColor="background1" w:themeShade="A6"/>
            </w:tcBorders>
          </w:tcPr>
          <w:p w14:paraId="6FBC384B" w14:textId="77777777" w:rsidR="002F4458" w:rsidRPr="00181EF3" w:rsidRDefault="002F4458" w:rsidP="0064111D">
            <w:pPr>
              <w:pStyle w:val="TableText"/>
              <w:spacing w:before="45" w:after="45"/>
              <w:jc w:val="center"/>
            </w:pPr>
            <w:r w:rsidRPr="00181EF3">
              <w:t>22 (4.9%)</w:t>
            </w:r>
          </w:p>
        </w:tc>
        <w:tc>
          <w:tcPr>
            <w:tcW w:w="2646" w:type="dxa"/>
            <w:tcBorders>
              <w:top w:val="single" w:sz="4" w:space="0" w:color="A6A6A6" w:themeColor="background1" w:themeShade="A6"/>
              <w:bottom w:val="single" w:sz="4" w:space="0" w:color="A6A6A6" w:themeColor="background1" w:themeShade="A6"/>
            </w:tcBorders>
          </w:tcPr>
          <w:p w14:paraId="22C88438" w14:textId="77777777" w:rsidR="002F4458" w:rsidRPr="00181EF3" w:rsidRDefault="002F4458" w:rsidP="0064111D">
            <w:pPr>
              <w:pStyle w:val="TableText"/>
              <w:spacing w:before="45" w:after="45"/>
              <w:jc w:val="center"/>
            </w:pPr>
            <w:r w:rsidRPr="00181EF3">
              <w:t>423 (95.1%)</w:t>
            </w:r>
          </w:p>
        </w:tc>
      </w:tr>
      <w:tr w:rsidR="002F4458" w:rsidRPr="00181EF3" w14:paraId="22714B93" w14:textId="77777777" w:rsidTr="0064111D">
        <w:trPr>
          <w:cantSplit/>
        </w:trPr>
        <w:tc>
          <w:tcPr>
            <w:tcW w:w="2646" w:type="dxa"/>
            <w:tcBorders>
              <w:top w:val="single" w:sz="4" w:space="0" w:color="A6A6A6" w:themeColor="background1" w:themeShade="A6"/>
              <w:bottom w:val="single" w:sz="4" w:space="0" w:color="A6A6A6" w:themeColor="background1" w:themeShade="A6"/>
            </w:tcBorders>
          </w:tcPr>
          <w:p w14:paraId="6834882F" w14:textId="77777777" w:rsidR="002F4458" w:rsidRPr="00181EF3" w:rsidRDefault="002F4458" w:rsidP="0064111D">
            <w:pPr>
              <w:pStyle w:val="TableText"/>
              <w:spacing w:before="45" w:after="45"/>
              <w:jc w:val="center"/>
            </w:pPr>
            <w:r w:rsidRPr="00181EF3">
              <w:t>2011</w:t>
            </w:r>
          </w:p>
        </w:tc>
        <w:tc>
          <w:tcPr>
            <w:tcW w:w="2646" w:type="dxa"/>
            <w:tcBorders>
              <w:top w:val="single" w:sz="4" w:space="0" w:color="A6A6A6" w:themeColor="background1" w:themeShade="A6"/>
              <w:bottom w:val="single" w:sz="4" w:space="0" w:color="A6A6A6" w:themeColor="background1" w:themeShade="A6"/>
            </w:tcBorders>
          </w:tcPr>
          <w:p w14:paraId="42595A1A" w14:textId="77777777" w:rsidR="002F4458" w:rsidRPr="00181EF3" w:rsidRDefault="002F4458" w:rsidP="0064111D">
            <w:pPr>
              <w:pStyle w:val="TableText"/>
              <w:spacing w:before="45" w:after="45"/>
              <w:jc w:val="center"/>
            </w:pPr>
            <w:r w:rsidRPr="00181EF3">
              <w:t>19 (5.1%)</w:t>
            </w:r>
          </w:p>
        </w:tc>
        <w:tc>
          <w:tcPr>
            <w:tcW w:w="2646" w:type="dxa"/>
            <w:tcBorders>
              <w:top w:val="single" w:sz="4" w:space="0" w:color="A6A6A6" w:themeColor="background1" w:themeShade="A6"/>
              <w:bottom w:val="single" w:sz="4" w:space="0" w:color="A6A6A6" w:themeColor="background1" w:themeShade="A6"/>
            </w:tcBorders>
          </w:tcPr>
          <w:p w14:paraId="78E27361" w14:textId="77777777" w:rsidR="002F4458" w:rsidRPr="00181EF3" w:rsidRDefault="002F4458" w:rsidP="0064111D">
            <w:pPr>
              <w:pStyle w:val="TableText"/>
              <w:spacing w:before="45" w:after="45"/>
              <w:jc w:val="center"/>
            </w:pPr>
            <w:r w:rsidRPr="00181EF3">
              <w:t>356 (94.9%)</w:t>
            </w:r>
          </w:p>
        </w:tc>
      </w:tr>
      <w:tr w:rsidR="002F4458" w:rsidRPr="00181EF3" w14:paraId="0C9C231E" w14:textId="77777777" w:rsidTr="0064111D">
        <w:trPr>
          <w:cantSplit/>
        </w:trPr>
        <w:tc>
          <w:tcPr>
            <w:tcW w:w="2646" w:type="dxa"/>
            <w:tcBorders>
              <w:top w:val="single" w:sz="4" w:space="0" w:color="A6A6A6" w:themeColor="background1" w:themeShade="A6"/>
              <w:bottom w:val="single" w:sz="4" w:space="0" w:color="A6A6A6" w:themeColor="background1" w:themeShade="A6"/>
            </w:tcBorders>
          </w:tcPr>
          <w:p w14:paraId="6F6CF947" w14:textId="77777777" w:rsidR="002F4458" w:rsidRPr="00181EF3" w:rsidRDefault="002F4458" w:rsidP="0064111D">
            <w:pPr>
              <w:pStyle w:val="TableText"/>
              <w:spacing w:before="45" w:after="45"/>
              <w:jc w:val="center"/>
            </w:pPr>
            <w:r w:rsidRPr="00181EF3">
              <w:t>2012</w:t>
            </w:r>
          </w:p>
        </w:tc>
        <w:tc>
          <w:tcPr>
            <w:tcW w:w="2646" w:type="dxa"/>
            <w:tcBorders>
              <w:top w:val="single" w:sz="4" w:space="0" w:color="A6A6A6" w:themeColor="background1" w:themeShade="A6"/>
              <w:bottom w:val="single" w:sz="4" w:space="0" w:color="A6A6A6" w:themeColor="background1" w:themeShade="A6"/>
            </w:tcBorders>
          </w:tcPr>
          <w:p w14:paraId="42A3FF72" w14:textId="77777777" w:rsidR="002F4458" w:rsidRPr="00181EF3" w:rsidRDefault="002F4458" w:rsidP="0064111D">
            <w:pPr>
              <w:pStyle w:val="TableText"/>
              <w:spacing w:before="45" w:after="45"/>
              <w:jc w:val="center"/>
            </w:pPr>
            <w:r w:rsidRPr="00181EF3">
              <w:t>23 (5.6%)</w:t>
            </w:r>
          </w:p>
        </w:tc>
        <w:tc>
          <w:tcPr>
            <w:tcW w:w="2646" w:type="dxa"/>
            <w:tcBorders>
              <w:top w:val="single" w:sz="4" w:space="0" w:color="A6A6A6" w:themeColor="background1" w:themeShade="A6"/>
              <w:bottom w:val="single" w:sz="4" w:space="0" w:color="A6A6A6" w:themeColor="background1" w:themeShade="A6"/>
            </w:tcBorders>
          </w:tcPr>
          <w:p w14:paraId="288B8C8F" w14:textId="77777777" w:rsidR="002F4458" w:rsidRPr="00181EF3" w:rsidRDefault="002F4458" w:rsidP="0064111D">
            <w:pPr>
              <w:pStyle w:val="TableText"/>
              <w:spacing w:before="45" w:after="45"/>
              <w:jc w:val="center"/>
            </w:pPr>
            <w:r w:rsidRPr="00181EF3">
              <w:t>390 (94.4%)</w:t>
            </w:r>
          </w:p>
        </w:tc>
      </w:tr>
      <w:tr w:rsidR="002F4458" w:rsidRPr="00181EF3" w14:paraId="50CC3A4A" w14:textId="77777777" w:rsidTr="0064111D">
        <w:trPr>
          <w:cantSplit/>
        </w:trPr>
        <w:tc>
          <w:tcPr>
            <w:tcW w:w="2646" w:type="dxa"/>
            <w:tcBorders>
              <w:top w:val="single" w:sz="4" w:space="0" w:color="A6A6A6" w:themeColor="background1" w:themeShade="A6"/>
              <w:bottom w:val="single" w:sz="4" w:space="0" w:color="A6A6A6" w:themeColor="background1" w:themeShade="A6"/>
            </w:tcBorders>
          </w:tcPr>
          <w:p w14:paraId="5CFBEF38" w14:textId="77777777" w:rsidR="002F4458" w:rsidRPr="00181EF3" w:rsidRDefault="002F4458" w:rsidP="0064111D">
            <w:pPr>
              <w:pStyle w:val="TableText"/>
              <w:spacing w:before="45" w:after="45"/>
              <w:jc w:val="center"/>
            </w:pPr>
            <w:r w:rsidRPr="00181EF3">
              <w:t>2013</w:t>
            </w:r>
          </w:p>
        </w:tc>
        <w:tc>
          <w:tcPr>
            <w:tcW w:w="2646" w:type="dxa"/>
            <w:tcBorders>
              <w:top w:val="single" w:sz="4" w:space="0" w:color="A6A6A6" w:themeColor="background1" w:themeShade="A6"/>
              <w:bottom w:val="single" w:sz="4" w:space="0" w:color="A6A6A6" w:themeColor="background1" w:themeShade="A6"/>
            </w:tcBorders>
          </w:tcPr>
          <w:p w14:paraId="48150F76" w14:textId="77777777" w:rsidR="002F4458" w:rsidRPr="00181EF3" w:rsidRDefault="002F4458" w:rsidP="0064111D">
            <w:pPr>
              <w:pStyle w:val="TableText"/>
              <w:spacing w:before="45" w:after="45"/>
              <w:jc w:val="center"/>
            </w:pPr>
            <w:r w:rsidRPr="00181EF3">
              <w:t>28 (6.2%)</w:t>
            </w:r>
          </w:p>
        </w:tc>
        <w:tc>
          <w:tcPr>
            <w:tcW w:w="2646" w:type="dxa"/>
            <w:tcBorders>
              <w:top w:val="single" w:sz="4" w:space="0" w:color="A6A6A6" w:themeColor="background1" w:themeShade="A6"/>
              <w:bottom w:val="single" w:sz="4" w:space="0" w:color="A6A6A6" w:themeColor="background1" w:themeShade="A6"/>
            </w:tcBorders>
          </w:tcPr>
          <w:p w14:paraId="6AFEECB8" w14:textId="77777777" w:rsidR="002F4458" w:rsidRPr="00181EF3" w:rsidRDefault="002F4458" w:rsidP="0064111D">
            <w:pPr>
              <w:pStyle w:val="TableText"/>
              <w:spacing w:before="45" w:after="45"/>
              <w:jc w:val="center"/>
            </w:pPr>
            <w:r w:rsidRPr="00181EF3">
              <w:t>426 (93.8%)</w:t>
            </w:r>
          </w:p>
        </w:tc>
      </w:tr>
      <w:tr w:rsidR="002F4458" w:rsidRPr="00181EF3" w14:paraId="2CFE42B1" w14:textId="77777777" w:rsidTr="0064111D">
        <w:trPr>
          <w:cantSplit/>
        </w:trPr>
        <w:tc>
          <w:tcPr>
            <w:tcW w:w="2646" w:type="dxa"/>
            <w:tcBorders>
              <w:top w:val="single" w:sz="4" w:space="0" w:color="A6A6A6" w:themeColor="background1" w:themeShade="A6"/>
              <w:bottom w:val="single" w:sz="4" w:space="0" w:color="A6A6A6" w:themeColor="background1" w:themeShade="A6"/>
            </w:tcBorders>
          </w:tcPr>
          <w:p w14:paraId="45E51501" w14:textId="77777777" w:rsidR="002F4458" w:rsidRPr="00181EF3" w:rsidRDefault="002F4458" w:rsidP="0064111D">
            <w:pPr>
              <w:pStyle w:val="TableText"/>
              <w:spacing w:before="45" w:after="45"/>
              <w:jc w:val="center"/>
            </w:pPr>
            <w:r w:rsidRPr="00181EF3">
              <w:t>2014</w:t>
            </w:r>
          </w:p>
        </w:tc>
        <w:tc>
          <w:tcPr>
            <w:tcW w:w="2646" w:type="dxa"/>
            <w:tcBorders>
              <w:top w:val="single" w:sz="4" w:space="0" w:color="A6A6A6" w:themeColor="background1" w:themeShade="A6"/>
              <w:bottom w:val="single" w:sz="4" w:space="0" w:color="A6A6A6" w:themeColor="background1" w:themeShade="A6"/>
            </w:tcBorders>
          </w:tcPr>
          <w:p w14:paraId="0063A554" w14:textId="77777777" w:rsidR="002F4458" w:rsidRPr="00181EF3" w:rsidRDefault="002F4458" w:rsidP="0064111D">
            <w:pPr>
              <w:pStyle w:val="TableText"/>
              <w:spacing w:before="45" w:after="45"/>
              <w:jc w:val="center"/>
            </w:pPr>
            <w:r w:rsidRPr="00181EF3">
              <w:t>30 (6.8%)</w:t>
            </w:r>
          </w:p>
        </w:tc>
        <w:tc>
          <w:tcPr>
            <w:tcW w:w="2646" w:type="dxa"/>
            <w:tcBorders>
              <w:top w:val="single" w:sz="4" w:space="0" w:color="A6A6A6" w:themeColor="background1" w:themeShade="A6"/>
              <w:bottom w:val="single" w:sz="4" w:space="0" w:color="A6A6A6" w:themeColor="background1" w:themeShade="A6"/>
            </w:tcBorders>
          </w:tcPr>
          <w:p w14:paraId="09CA3274" w14:textId="77777777" w:rsidR="002F4458" w:rsidRPr="00181EF3" w:rsidRDefault="002F4458" w:rsidP="0064111D">
            <w:pPr>
              <w:pStyle w:val="TableText"/>
              <w:spacing w:before="45" w:after="45"/>
              <w:jc w:val="center"/>
            </w:pPr>
            <w:r w:rsidRPr="00181EF3">
              <w:t>410 (93.2%)</w:t>
            </w:r>
          </w:p>
        </w:tc>
      </w:tr>
      <w:tr w:rsidR="002F4458" w:rsidRPr="00181EF3" w14:paraId="009CB8F7" w14:textId="77777777" w:rsidTr="0064111D">
        <w:trPr>
          <w:cantSplit/>
        </w:trPr>
        <w:tc>
          <w:tcPr>
            <w:tcW w:w="2646" w:type="dxa"/>
            <w:tcBorders>
              <w:top w:val="single" w:sz="4" w:space="0" w:color="A6A6A6" w:themeColor="background1" w:themeShade="A6"/>
              <w:bottom w:val="single" w:sz="4" w:space="0" w:color="A6A6A6" w:themeColor="background1" w:themeShade="A6"/>
            </w:tcBorders>
          </w:tcPr>
          <w:p w14:paraId="31514B25" w14:textId="77777777" w:rsidR="002F4458" w:rsidRPr="00181EF3" w:rsidRDefault="002F4458" w:rsidP="0064111D">
            <w:pPr>
              <w:pStyle w:val="TableText"/>
              <w:spacing w:before="45" w:after="45"/>
              <w:jc w:val="center"/>
            </w:pPr>
            <w:r w:rsidRPr="00181EF3">
              <w:t>2015</w:t>
            </w:r>
          </w:p>
        </w:tc>
        <w:tc>
          <w:tcPr>
            <w:tcW w:w="2646" w:type="dxa"/>
            <w:tcBorders>
              <w:top w:val="single" w:sz="4" w:space="0" w:color="A6A6A6" w:themeColor="background1" w:themeShade="A6"/>
              <w:bottom w:val="single" w:sz="4" w:space="0" w:color="A6A6A6" w:themeColor="background1" w:themeShade="A6"/>
            </w:tcBorders>
          </w:tcPr>
          <w:p w14:paraId="16BCA6A5" w14:textId="77777777" w:rsidR="002F4458" w:rsidRPr="00181EF3" w:rsidRDefault="002F4458" w:rsidP="0064111D">
            <w:pPr>
              <w:pStyle w:val="TableText"/>
              <w:spacing w:before="45" w:after="45"/>
              <w:jc w:val="center"/>
            </w:pPr>
            <w:r w:rsidRPr="00181EF3">
              <w:t>22 (4.0%)</w:t>
            </w:r>
          </w:p>
        </w:tc>
        <w:tc>
          <w:tcPr>
            <w:tcW w:w="2646" w:type="dxa"/>
            <w:tcBorders>
              <w:top w:val="single" w:sz="4" w:space="0" w:color="A6A6A6" w:themeColor="background1" w:themeShade="A6"/>
              <w:bottom w:val="single" w:sz="4" w:space="0" w:color="A6A6A6" w:themeColor="background1" w:themeShade="A6"/>
            </w:tcBorders>
          </w:tcPr>
          <w:p w14:paraId="5E51BBC1" w14:textId="77777777" w:rsidR="002F4458" w:rsidRPr="00181EF3" w:rsidRDefault="002F4458" w:rsidP="0064111D">
            <w:pPr>
              <w:pStyle w:val="TableText"/>
              <w:spacing w:before="45" w:after="45"/>
              <w:jc w:val="center"/>
            </w:pPr>
            <w:r w:rsidRPr="00181EF3">
              <w:t>522 (96.0%)</w:t>
            </w:r>
          </w:p>
        </w:tc>
      </w:tr>
      <w:tr w:rsidR="002F4458" w:rsidRPr="00181EF3" w14:paraId="4B8E9C5B" w14:textId="77777777" w:rsidTr="0064111D">
        <w:trPr>
          <w:cantSplit/>
        </w:trPr>
        <w:tc>
          <w:tcPr>
            <w:tcW w:w="2646" w:type="dxa"/>
            <w:tcBorders>
              <w:top w:val="single" w:sz="4" w:space="0" w:color="A6A6A6" w:themeColor="background1" w:themeShade="A6"/>
              <w:bottom w:val="single" w:sz="4" w:space="0" w:color="A6A6A6" w:themeColor="background1" w:themeShade="A6"/>
            </w:tcBorders>
          </w:tcPr>
          <w:p w14:paraId="17708F6F" w14:textId="77777777" w:rsidR="002F4458" w:rsidRPr="00181EF3" w:rsidRDefault="002F4458" w:rsidP="0064111D">
            <w:pPr>
              <w:pStyle w:val="TableText"/>
              <w:spacing w:before="45" w:after="45"/>
              <w:jc w:val="center"/>
            </w:pPr>
            <w:r w:rsidRPr="00181EF3">
              <w:t>2016</w:t>
            </w:r>
          </w:p>
        </w:tc>
        <w:tc>
          <w:tcPr>
            <w:tcW w:w="2646" w:type="dxa"/>
            <w:tcBorders>
              <w:top w:val="single" w:sz="4" w:space="0" w:color="A6A6A6" w:themeColor="background1" w:themeShade="A6"/>
              <w:bottom w:val="single" w:sz="4" w:space="0" w:color="A6A6A6" w:themeColor="background1" w:themeShade="A6"/>
            </w:tcBorders>
          </w:tcPr>
          <w:p w14:paraId="543B558A" w14:textId="77777777" w:rsidR="002F4458" w:rsidRPr="00181EF3" w:rsidRDefault="002F4458" w:rsidP="0064111D">
            <w:pPr>
              <w:pStyle w:val="TableText"/>
              <w:spacing w:before="45" w:after="45"/>
              <w:jc w:val="center"/>
            </w:pPr>
            <w:r w:rsidRPr="00181EF3">
              <w:t>21 (4.5%)</w:t>
            </w:r>
          </w:p>
        </w:tc>
        <w:tc>
          <w:tcPr>
            <w:tcW w:w="2646" w:type="dxa"/>
            <w:tcBorders>
              <w:top w:val="single" w:sz="4" w:space="0" w:color="A6A6A6" w:themeColor="background1" w:themeShade="A6"/>
              <w:bottom w:val="single" w:sz="4" w:space="0" w:color="A6A6A6" w:themeColor="background1" w:themeShade="A6"/>
            </w:tcBorders>
          </w:tcPr>
          <w:p w14:paraId="034D67AA" w14:textId="77777777" w:rsidR="002F4458" w:rsidRPr="00181EF3" w:rsidRDefault="002F4458" w:rsidP="0064111D">
            <w:pPr>
              <w:pStyle w:val="TableText"/>
              <w:spacing w:before="45" w:after="45"/>
              <w:jc w:val="center"/>
            </w:pPr>
            <w:r w:rsidRPr="00181EF3">
              <w:t>449 (95.5%)</w:t>
            </w:r>
          </w:p>
        </w:tc>
      </w:tr>
    </w:tbl>
    <w:p w14:paraId="3911205C" w14:textId="77777777" w:rsidR="002F4458" w:rsidRPr="00181EF3" w:rsidRDefault="002F4458" w:rsidP="002F4458">
      <w:pPr>
        <w:pStyle w:val="Source"/>
      </w:pPr>
      <w:r w:rsidRPr="00181EF3">
        <w:t>Source: Medical Council of New Zealand, 2009–2016.</w:t>
      </w:r>
    </w:p>
    <w:p w14:paraId="11B8A991" w14:textId="77777777" w:rsidR="006938D9" w:rsidRPr="00807ACC" w:rsidRDefault="006938D9" w:rsidP="00654B21"/>
    <w:sectPr w:rsidR="006938D9" w:rsidRPr="00807ACC" w:rsidSect="00E24433">
      <w:footerReference w:type="even" r:id="rId239"/>
      <w:footerReference w:type="default" r:id="rId240"/>
      <w:pgSz w:w="11907" w:h="16834" w:code="9"/>
      <w:pgMar w:top="1418" w:right="1701" w:bottom="1134" w:left="1843" w:header="284" w:footer="425" w:gutter="284"/>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757497" w14:textId="77777777" w:rsidR="009077BC" w:rsidRDefault="009077BC">
      <w:r>
        <w:separator/>
      </w:r>
    </w:p>
    <w:p w14:paraId="7B06B731" w14:textId="77777777" w:rsidR="009077BC" w:rsidRDefault="009077BC"/>
  </w:endnote>
  <w:endnote w:type="continuationSeparator" w:id="0">
    <w:p w14:paraId="0DF592B3" w14:textId="77777777" w:rsidR="009077BC" w:rsidRDefault="009077BC">
      <w:r>
        <w:continuationSeparator/>
      </w:r>
    </w:p>
    <w:p w14:paraId="21098B09" w14:textId="77777777" w:rsidR="009077BC" w:rsidRDefault="009077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Black">
    <w:panose1 w:val="020B0A02040204020203"/>
    <w:charset w:val="00"/>
    <w:family w:val="swiss"/>
    <w:pitch w:val="variable"/>
    <w:sig w:usb0="E1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B5EA6" w14:textId="77777777" w:rsidR="009077BC" w:rsidRDefault="009077B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7" w:type="dxa"/>
      <w:tblInd w:w="-567" w:type="dxa"/>
      <w:tblLayout w:type="fixed"/>
      <w:tblLook w:val="04A0" w:firstRow="1" w:lastRow="0" w:firstColumn="1" w:lastColumn="0" w:noHBand="0" w:noVBand="1"/>
    </w:tblPr>
    <w:tblGrid>
      <w:gridCol w:w="675"/>
      <w:gridCol w:w="9072"/>
    </w:tblGrid>
    <w:tr w:rsidR="009077BC" w14:paraId="457FD43D" w14:textId="77777777" w:rsidTr="00F51523">
      <w:trPr>
        <w:cantSplit/>
      </w:trPr>
      <w:tc>
        <w:tcPr>
          <w:tcW w:w="675" w:type="dxa"/>
          <w:vAlign w:val="center"/>
        </w:tcPr>
        <w:p w14:paraId="1485759C" w14:textId="77777777" w:rsidR="009077BC" w:rsidRPr="00931466" w:rsidRDefault="009077BC" w:rsidP="00F51523">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8</w:t>
          </w:r>
          <w:r w:rsidRPr="00931466">
            <w:rPr>
              <w:rStyle w:val="PageNumber"/>
            </w:rPr>
            <w:fldChar w:fldCharType="end"/>
          </w:r>
        </w:p>
      </w:tc>
      <w:tc>
        <w:tcPr>
          <w:tcW w:w="9072" w:type="dxa"/>
          <w:vAlign w:val="center"/>
        </w:tcPr>
        <w:p w14:paraId="5EFDB118" w14:textId="3A79502E" w:rsidR="009077BC" w:rsidRDefault="009077BC">
          <w:pPr>
            <w:pStyle w:val="RectoFooter"/>
            <w:ind w:left="-108"/>
            <w:jc w:val="left"/>
          </w:pPr>
          <w:r>
            <w:t>wai 2575 Māori health trends Report</w:t>
          </w:r>
        </w:p>
      </w:tc>
    </w:tr>
  </w:tbl>
  <w:p w14:paraId="53FDFEED" w14:textId="77777777" w:rsidR="009077BC" w:rsidRPr="00571223" w:rsidRDefault="009077BC" w:rsidP="00571223">
    <w:pPr>
      <w:pStyle w:val="VersoFooter"/>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Layout w:type="fixed"/>
      <w:tblCellMar>
        <w:left w:w="0" w:type="dxa"/>
        <w:right w:w="0" w:type="dxa"/>
      </w:tblCellMar>
      <w:tblLook w:val="04A0" w:firstRow="1" w:lastRow="0" w:firstColumn="1" w:lastColumn="0" w:noHBand="0" w:noVBand="1"/>
    </w:tblPr>
    <w:tblGrid>
      <w:gridCol w:w="8080"/>
      <w:gridCol w:w="709"/>
    </w:tblGrid>
    <w:tr w:rsidR="009077BC" w14:paraId="15BF7292" w14:textId="77777777" w:rsidTr="00F51523">
      <w:trPr>
        <w:cantSplit/>
      </w:trPr>
      <w:tc>
        <w:tcPr>
          <w:tcW w:w="8080" w:type="dxa"/>
          <w:vAlign w:val="center"/>
        </w:tcPr>
        <w:p w14:paraId="2477295C" w14:textId="29D58CC9" w:rsidR="009077BC" w:rsidRDefault="009077BC">
          <w:pPr>
            <w:pStyle w:val="RectoFooter"/>
          </w:pPr>
          <w:r>
            <w:t>WAI 2575 Māori health trends Report</w:t>
          </w:r>
        </w:p>
      </w:tc>
      <w:tc>
        <w:tcPr>
          <w:tcW w:w="709" w:type="dxa"/>
          <w:vAlign w:val="center"/>
        </w:tcPr>
        <w:p w14:paraId="0A7A6D4A" w14:textId="77777777" w:rsidR="009077BC" w:rsidRPr="00931466" w:rsidRDefault="009077BC" w:rsidP="00F51523">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7</w:t>
          </w:r>
          <w:r w:rsidRPr="00931466">
            <w:rPr>
              <w:rStyle w:val="PageNumber"/>
            </w:rPr>
            <w:fldChar w:fldCharType="end"/>
          </w:r>
        </w:p>
      </w:tc>
    </w:tr>
  </w:tbl>
  <w:p w14:paraId="6C9B17D7" w14:textId="77777777" w:rsidR="009077BC" w:rsidRPr="00581EB8" w:rsidRDefault="009077BC" w:rsidP="00581EB8">
    <w:pPr>
      <w:pStyle w:val="Footer"/>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Layout w:type="fixed"/>
      <w:tblCellMar>
        <w:left w:w="0" w:type="dxa"/>
        <w:right w:w="0" w:type="dxa"/>
      </w:tblCellMar>
      <w:tblLook w:val="04A0" w:firstRow="1" w:lastRow="0" w:firstColumn="1" w:lastColumn="0" w:noHBand="0" w:noVBand="1"/>
    </w:tblPr>
    <w:tblGrid>
      <w:gridCol w:w="8080"/>
      <w:gridCol w:w="709"/>
    </w:tblGrid>
    <w:tr w:rsidR="009077BC" w14:paraId="21BAD758" w14:textId="77777777" w:rsidTr="00F51523">
      <w:trPr>
        <w:cantSplit/>
      </w:trPr>
      <w:tc>
        <w:tcPr>
          <w:tcW w:w="8080" w:type="dxa"/>
          <w:vAlign w:val="center"/>
        </w:tcPr>
        <w:p w14:paraId="5A218F2F" w14:textId="0086BE89" w:rsidR="009077BC" w:rsidRDefault="009077BC">
          <w:pPr>
            <w:pStyle w:val="RectoFooter"/>
          </w:pPr>
          <w:r>
            <w:t>WAI 2575 Māori health trends Report</w:t>
          </w:r>
        </w:p>
      </w:tc>
      <w:tc>
        <w:tcPr>
          <w:tcW w:w="709" w:type="dxa"/>
          <w:vAlign w:val="center"/>
        </w:tcPr>
        <w:p w14:paraId="547EDB95" w14:textId="77777777" w:rsidR="009077BC" w:rsidRPr="00931466" w:rsidRDefault="009077BC" w:rsidP="00F51523">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17E41A3F" w14:textId="77777777" w:rsidR="009077BC" w:rsidRPr="000B5BF9" w:rsidRDefault="009077BC">
    <w:pPr>
      <w:pStyle w:val="Footer"/>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026" w:type="dxa"/>
      <w:tblLayout w:type="fixed"/>
      <w:tblCellMar>
        <w:left w:w="0" w:type="dxa"/>
        <w:right w:w="0" w:type="dxa"/>
      </w:tblCellMar>
      <w:tblLook w:val="04A0" w:firstRow="1" w:lastRow="0" w:firstColumn="1" w:lastColumn="0" w:noHBand="0" w:noVBand="1"/>
    </w:tblPr>
    <w:tblGrid>
      <w:gridCol w:w="14601"/>
      <w:gridCol w:w="425"/>
    </w:tblGrid>
    <w:tr w:rsidR="009077BC" w14:paraId="281FFAAF" w14:textId="77777777" w:rsidTr="00F51523">
      <w:trPr>
        <w:cantSplit/>
      </w:trPr>
      <w:tc>
        <w:tcPr>
          <w:tcW w:w="14601" w:type="dxa"/>
          <w:vAlign w:val="center"/>
        </w:tcPr>
        <w:p w14:paraId="2F2F05AB" w14:textId="4C483422" w:rsidR="009077BC" w:rsidRDefault="009077BC">
          <w:pPr>
            <w:pStyle w:val="RectoFooter"/>
          </w:pPr>
          <w:r>
            <w:t>WAI 2575 Māori health trends Report</w:t>
          </w:r>
        </w:p>
      </w:tc>
      <w:tc>
        <w:tcPr>
          <w:tcW w:w="425" w:type="dxa"/>
          <w:vAlign w:val="center"/>
        </w:tcPr>
        <w:p w14:paraId="39F932D5" w14:textId="77777777" w:rsidR="009077BC" w:rsidRPr="00931466" w:rsidRDefault="009077BC" w:rsidP="00F51523">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9</w:t>
          </w:r>
          <w:r w:rsidRPr="00931466">
            <w:rPr>
              <w:rStyle w:val="PageNumber"/>
            </w:rPr>
            <w:fldChar w:fldCharType="end"/>
          </w:r>
        </w:p>
      </w:tc>
    </w:tr>
  </w:tbl>
  <w:p w14:paraId="6DE0D53A" w14:textId="77777777" w:rsidR="009077BC" w:rsidRPr="000B5BF9" w:rsidRDefault="009077BC">
    <w:pPr>
      <w:pStyle w:val="Footer"/>
      <w:rPr>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7" w:type="dxa"/>
      <w:tblInd w:w="-567" w:type="dxa"/>
      <w:tblLayout w:type="fixed"/>
      <w:tblLook w:val="04A0" w:firstRow="1" w:lastRow="0" w:firstColumn="1" w:lastColumn="0" w:noHBand="0" w:noVBand="1"/>
    </w:tblPr>
    <w:tblGrid>
      <w:gridCol w:w="675"/>
      <w:gridCol w:w="9072"/>
    </w:tblGrid>
    <w:tr w:rsidR="009077BC" w14:paraId="7D03FCD7" w14:textId="77777777" w:rsidTr="00F51523">
      <w:trPr>
        <w:cantSplit/>
      </w:trPr>
      <w:tc>
        <w:tcPr>
          <w:tcW w:w="675" w:type="dxa"/>
          <w:vAlign w:val="center"/>
        </w:tcPr>
        <w:p w14:paraId="68545C50" w14:textId="77777777" w:rsidR="009077BC" w:rsidRPr="00931466" w:rsidRDefault="009077BC" w:rsidP="00F51523">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10</w:t>
          </w:r>
          <w:r w:rsidRPr="00931466">
            <w:rPr>
              <w:rStyle w:val="PageNumber"/>
            </w:rPr>
            <w:fldChar w:fldCharType="end"/>
          </w:r>
        </w:p>
      </w:tc>
      <w:tc>
        <w:tcPr>
          <w:tcW w:w="9072" w:type="dxa"/>
          <w:vAlign w:val="center"/>
        </w:tcPr>
        <w:p w14:paraId="07665CD5" w14:textId="0904D632" w:rsidR="009077BC" w:rsidRDefault="009077BC">
          <w:pPr>
            <w:pStyle w:val="RectoFooter"/>
            <w:ind w:left="-108"/>
            <w:jc w:val="left"/>
          </w:pPr>
          <w:r>
            <w:t>wai 2575 Māori health trends report</w:t>
          </w:r>
        </w:p>
      </w:tc>
    </w:tr>
  </w:tbl>
  <w:p w14:paraId="1D07BD6B" w14:textId="77777777" w:rsidR="009077BC" w:rsidRPr="000B5BF9" w:rsidRDefault="009077BC">
    <w:pPr>
      <w:pStyle w:val="Footer"/>
      <w:rPr>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026" w:type="dxa"/>
      <w:tblLayout w:type="fixed"/>
      <w:tblCellMar>
        <w:left w:w="0" w:type="dxa"/>
        <w:right w:w="0" w:type="dxa"/>
      </w:tblCellMar>
      <w:tblLook w:val="04A0" w:firstRow="1" w:lastRow="0" w:firstColumn="1" w:lastColumn="0" w:noHBand="0" w:noVBand="1"/>
    </w:tblPr>
    <w:tblGrid>
      <w:gridCol w:w="14601"/>
      <w:gridCol w:w="425"/>
    </w:tblGrid>
    <w:tr w:rsidR="009077BC" w14:paraId="4F1198A8" w14:textId="77777777" w:rsidTr="00F51523">
      <w:trPr>
        <w:cantSplit/>
      </w:trPr>
      <w:tc>
        <w:tcPr>
          <w:tcW w:w="14601" w:type="dxa"/>
          <w:vAlign w:val="center"/>
        </w:tcPr>
        <w:p w14:paraId="2E864673" w14:textId="1655B60F" w:rsidR="009077BC" w:rsidRDefault="009077BC">
          <w:pPr>
            <w:pStyle w:val="RectoFooter"/>
          </w:pPr>
          <w:r>
            <w:t>WAI 2575 Māori health trends report</w:t>
          </w:r>
        </w:p>
      </w:tc>
      <w:tc>
        <w:tcPr>
          <w:tcW w:w="425" w:type="dxa"/>
          <w:vAlign w:val="center"/>
        </w:tcPr>
        <w:p w14:paraId="7049821D" w14:textId="77777777" w:rsidR="009077BC" w:rsidRPr="00931466" w:rsidRDefault="009077BC" w:rsidP="00F51523">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11</w:t>
          </w:r>
          <w:r w:rsidRPr="00931466">
            <w:rPr>
              <w:rStyle w:val="PageNumber"/>
            </w:rPr>
            <w:fldChar w:fldCharType="end"/>
          </w:r>
        </w:p>
      </w:tc>
    </w:tr>
  </w:tbl>
  <w:p w14:paraId="711A4443" w14:textId="77777777" w:rsidR="009077BC" w:rsidRPr="000B5BF9" w:rsidRDefault="009077BC">
    <w:pPr>
      <w:pStyle w:val="Footer"/>
      <w:rPr>
        <w:sz w:val="2"/>
        <w:szCs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7" w:type="dxa"/>
      <w:tblInd w:w="-567" w:type="dxa"/>
      <w:tblLayout w:type="fixed"/>
      <w:tblLook w:val="04A0" w:firstRow="1" w:lastRow="0" w:firstColumn="1" w:lastColumn="0" w:noHBand="0" w:noVBand="1"/>
    </w:tblPr>
    <w:tblGrid>
      <w:gridCol w:w="675"/>
      <w:gridCol w:w="9072"/>
    </w:tblGrid>
    <w:tr w:rsidR="009077BC" w14:paraId="136B15E3" w14:textId="77777777" w:rsidTr="00F51523">
      <w:trPr>
        <w:cantSplit/>
      </w:trPr>
      <w:tc>
        <w:tcPr>
          <w:tcW w:w="675" w:type="dxa"/>
          <w:vAlign w:val="center"/>
        </w:tcPr>
        <w:p w14:paraId="7336C21A" w14:textId="77777777" w:rsidR="009077BC" w:rsidRPr="00931466" w:rsidRDefault="009077BC" w:rsidP="00F51523">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12</w:t>
          </w:r>
          <w:r w:rsidRPr="00931466">
            <w:rPr>
              <w:rStyle w:val="PageNumber"/>
            </w:rPr>
            <w:fldChar w:fldCharType="end"/>
          </w:r>
        </w:p>
      </w:tc>
      <w:tc>
        <w:tcPr>
          <w:tcW w:w="9072" w:type="dxa"/>
          <w:vAlign w:val="center"/>
        </w:tcPr>
        <w:p w14:paraId="16C15F20" w14:textId="71362A79" w:rsidR="009077BC" w:rsidRDefault="009077BC">
          <w:pPr>
            <w:pStyle w:val="RectoFooter"/>
            <w:ind w:left="-108"/>
            <w:jc w:val="left"/>
          </w:pPr>
          <w:r>
            <w:t>wai 2575 Māori health trends report</w:t>
          </w:r>
        </w:p>
      </w:tc>
    </w:tr>
  </w:tbl>
  <w:p w14:paraId="0E334EFA" w14:textId="77777777" w:rsidR="009077BC" w:rsidRPr="000B5BF9" w:rsidRDefault="009077BC">
    <w:pPr>
      <w:pStyle w:val="Footer"/>
      <w:rPr>
        <w:sz w:val="2"/>
        <w:szCs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026" w:type="dxa"/>
      <w:tblLayout w:type="fixed"/>
      <w:tblCellMar>
        <w:left w:w="0" w:type="dxa"/>
        <w:right w:w="0" w:type="dxa"/>
      </w:tblCellMar>
      <w:tblLook w:val="04A0" w:firstRow="1" w:lastRow="0" w:firstColumn="1" w:lastColumn="0" w:noHBand="0" w:noVBand="1"/>
    </w:tblPr>
    <w:tblGrid>
      <w:gridCol w:w="14601"/>
      <w:gridCol w:w="425"/>
    </w:tblGrid>
    <w:tr w:rsidR="009077BC" w14:paraId="1687B33E" w14:textId="77777777" w:rsidTr="00F51523">
      <w:trPr>
        <w:cantSplit/>
      </w:trPr>
      <w:tc>
        <w:tcPr>
          <w:tcW w:w="14601" w:type="dxa"/>
          <w:vAlign w:val="center"/>
        </w:tcPr>
        <w:p w14:paraId="1E18FE61" w14:textId="01DBAB66" w:rsidR="009077BC" w:rsidRDefault="009077BC">
          <w:pPr>
            <w:pStyle w:val="RectoFooter"/>
          </w:pPr>
          <w:r>
            <w:t>WAI 2575 Māori health trends report</w:t>
          </w:r>
        </w:p>
      </w:tc>
      <w:tc>
        <w:tcPr>
          <w:tcW w:w="425" w:type="dxa"/>
          <w:vAlign w:val="center"/>
        </w:tcPr>
        <w:p w14:paraId="3FE38590" w14:textId="77777777" w:rsidR="009077BC" w:rsidRPr="00931466" w:rsidRDefault="009077BC" w:rsidP="00F51523">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13</w:t>
          </w:r>
          <w:r w:rsidRPr="00931466">
            <w:rPr>
              <w:rStyle w:val="PageNumber"/>
            </w:rPr>
            <w:fldChar w:fldCharType="end"/>
          </w:r>
        </w:p>
      </w:tc>
    </w:tr>
  </w:tbl>
  <w:p w14:paraId="6EF40166" w14:textId="77777777" w:rsidR="009077BC" w:rsidRPr="000B5BF9" w:rsidRDefault="009077BC">
    <w:pPr>
      <w:pStyle w:val="Footer"/>
      <w:rPr>
        <w:sz w:val="2"/>
        <w:szCs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81" w:type="dxa"/>
      <w:tblInd w:w="-601" w:type="dxa"/>
      <w:tblLayout w:type="fixed"/>
      <w:tblLook w:val="04A0" w:firstRow="1" w:lastRow="0" w:firstColumn="1" w:lastColumn="0" w:noHBand="0" w:noVBand="1"/>
    </w:tblPr>
    <w:tblGrid>
      <w:gridCol w:w="709"/>
      <w:gridCol w:w="9072"/>
    </w:tblGrid>
    <w:tr w:rsidR="009077BC" w14:paraId="09B16F92" w14:textId="77777777" w:rsidTr="00C12AA5">
      <w:trPr>
        <w:cantSplit/>
      </w:trPr>
      <w:tc>
        <w:tcPr>
          <w:tcW w:w="709" w:type="dxa"/>
          <w:vAlign w:val="center"/>
        </w:tcPr>
        <w:p w14:paraId="2C7774E1" w14:textId="77777777" w:rsidR="009077BC" w:rsidRPr="00931466" w:rsidRDefault="009077BC" w:rsidP="00F51523">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260</w:t>
          </w:r>
          <w:r w:rsidRPr="00931466">
            <w:rPr>
              <w:rStyle w:val="PageNumber"/>
            </w:rPr>
            <w:fldChar w:fldCharType="end"/>
          </w:r>
        </w:p>
      </w:tc>
      <w:tc>
        <w:tcPr>
          <w:tcW w:w="9072" w:type="dxa"/>
          <w:vAlign w:val="center"/>
        </w:tcPr>
        <w:p w14:paraId="7DCBACCF" w14:textId="03CD4A91" w:rsidR="009077BC" w:rsidRDefault="009077BC">
          <w:pPr>
            <w:pStyle w:val="RectoFooter"/>
            <w:ind w:left="-108"/>
            <w:jc w:val="left"/>
          </w:pPr>
          <w:r>
            <w:t>wai 2575 Māori health trends Report</w:t>
          </w:r>
        </w:p>
      </w:tc>
    </w:tr>
  </w:tbl>
  <w:p w14:paraId="7711FCF1" w14:textId="77777777" w:rsidR="009077BC" w:rsidRPr="00571223" w:rsidRDefault="009077BC" w:rsidP="00571223">
    <w:pPr>
      <w:pStyle w:val="VersoFooter"/>
      <w:rPr>
        <w:sz w:val="2"/>
        <w:szCs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Layout w:type="fixed"/>
      <w:tblCellMar>
        <w:left w:w="0" w:type="dxa"/>
        <w:right w:w="0" w:type="dxa"/>
      </w:tblCellMar>
      <w:tblLook w:val="04A0" w:firstRow="1" w:lastRow="0" w:firstColumn="1" w:lastColumn="0" w:noHBand="0" w:noVBand="1"/>
    </w:tblPr>
    <w:tblGrid>
      <w:gridCol w:w="8080"/>
      <w:gridCol w:w="709"/>
    </w:tblGrid>
    <w:tr w:rsidR="009077BC" w14:paraId="04490900" w14:textId="77777777" w:rsidTr="00FF16AE">
      <w:trPr>
        <w:cantSplit/>
      </w:trPr>
      <w:tc>
        <w:tcPr>
          <w:tcW w:w="8080" w:type="dxa"/>
          <w:vAlign w:val="center"/>
        </w:tcPr>
        <w:sdt>
          <w:sdtPr>
            <w:alias w:val="Title"/>
            <w:tag w:val=""/>
            <w:id w:val="759408001"/>
            <w:dataBinding w:prefixMappings="xmlns:ns0='http://purl.org/dc/elements/1.1/' xmlns:ns1='http://schemas.openxmlformats.org/package/2006/metadata/core-properties' " w:xpath="/ns1:coreProperties[1]/ns0:title[1]" w:storeItemID="{6C3C8BC8-F283-45AE-878A-BAB7291924A1}"/>
            <w:text/>
          </w:sdtPr>
          <w:sdtEndPr/>
          <w:sdtContent>
            <w:p w14:paraId="0CF6143F" w14:textId="2208D6DA" w:rsidR="009077BC" w:rsidRDefault="009077BC" w:rsidP="004731AC">
              <w:pPr>
                <w:pStyle w:val="RectoFooter"/>
              </w:pPr>
              <w:r>
                <w:t>Wai 2575 Māori health trends report</w:t>
              </w:r>
            </w:p>
          </w:sdtContent>
        </w:sdt>
      </w:tc>
      <w:tc>
        <w:tcPr>
          <w:tcW w:w="709" w:type="dxa"/>
          <w:vAlign w:val="center"/>
        </w:tcPr>
        <w:p w14:paraId="57737B2B" w14:textId="77777777" w:rsidR="009077BC" w:rsidRPr="00931466" w:rsidRDefault="009077BC" w:rsidP="00FF16AE">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261</w:t>
          </w:r>
          <w:r w:rsidRPr="00931466">
            <w:rPr>
              <w:rStyle w:val="PageNumber"/>
            </w:rPr>
            <w:fldChar w:fldCharType="end"/>
          </w:r>
        </w:p>
      </w:tc>
    </w:tr>
  </w:tbl>
  <w:p w14:paraId="00EAF974" w14:textId="77777777" w:rsidR="009077BC" w:rsidRPr="00581EB8" w:rsidRDefault="009077BC" w:rsidP="00581EB8">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57EB8" w14:textId="77777777" w:rsidR="009077BC" w:rsidRPr="00581136" w:rsidRDefault="009077BC" w:rsidP="005A79E5">
    <w:pPr>
      <w:pStyle w:val="Footer"/>
      <w:pBdr>
        <w:bottom w:val="single" w:sz="4" w:space="1" w:color="auto"/>
      </w:pBdr>
      <w:tabs>
        <w:tab w:val="right" w:pos="9639"/>
      </w:tabs>
      <w:rPr>
        <w:b/>
      </w:rPr>
    </w:pPr>
    <w:r w:rsidRPr="00581136">
      <w:rPr>
        <w:b/>
      </w:rPr>
      <w:t>Released 201</w:t>
    </w:r>
    <w:r>
      <w:rPr>
        <w:b/>
      </w:rPr>
      <w:t>9</w:t>
    </w:r>
    <w:r w:rsidRPr="00581136">
      <w:rPr>
        <w:b/>
      </w:rPr>
      <w:tab/>
      <w:t>health.govt.nz</w:t>
    </w:r>
  </w:p>
  <w:p w14:paraId="0E8B1C95" w14:textId="77777777" w:rsidR="009077BC" w:rsidRPr="005A79E5" w:rsidRDefault="009077BC">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F8C52" w14:textId="77777777" w:rsidR="009077BC" w:rsidRDefault="009077B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78588" w14:textId="77777777" w:rsidR="009077BC" w:rsidRDefault="009077BC" w:rsidP="004D6689">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4EAB6" w14:textId="77777777" w:rsidR="009077BC" w:rsidRDefault="009077B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Ind w:w="-709" w:type="dxa"/>
      <w:tblLayout w:type="fixed"/>
      <w:tblCellMar>
        <w:left w:w="0" w:type="dxa"/>
        <w:right w:w="0" w:type="dxa"/>
      </w:tblCellMar>
      <w:tblLook w:val="04A0" w:firstRow="1" w:lastRow="0" w:firstColumn="1" w:lastColumn="0" w:noHBand="0" w:noVBand="1"/>
    </w:tblPr>
    <w:tblGrid>
      <w:gridCol w:w="709"/>
      <w:gridCol w:w="8080"/>
    </w:tblGrid>
    <w:tr w:rsidR="009077BC" w14:paraId="7BB62E24" w14:textId="77777777" w:rsidTr="00D662F8">
      <w:trPr>
        <w:cantSplit/>
      </w:trPr>
      <w:tc>
        <w:tcPr>
          <w:tcW w:w="709" w:type="dxa"/>
          <w:vAlign w:val="center"/>
        </w:tcPr>
        <w:p w14:paraId="1F6E6653" w14:textId="77777777" w:rsidR="009077BC" w:rsidRPr="00931466" w:rsidRDefault="009077BC"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xvi</w:t>
          </w:r>
          <w:r w:rsidRPr="00931466">
            <w:rPr>
              <w:rStyle w:val="PageNumber"/>
            </w:rPr>
            <w:fldChar w:fldCharType="end"/>
          </w:r>
        </w:p>
      </w:tc>
      <w:tc>
        <w:tcPr>
          <w:tcW w:w="8080" w:type="dxa"/>
          <w:vAlign w:val="center"/>
        </w:tcPr>
        <w:p w14:paraId="69584E06" w14:textId="31FBF09D" w:rsidR="009077BC" w:rsidRDefault="009077BC" w:rsidP="00292406">
          <w:pPr>
            <w:pStyle w:val="RectoFooter"/>
            <w:jc w:val="left"/>
          </w:pPr>
          <w:r>
            <w:t>Wai 2575 M</w:t>
          </w:r>
          <w:r>
            <w:rPr>
              <w:rFonts w:cs="Segoe UI"/>
            </w:rPr>
            <w:t>ā</w:t>
          </w:r>
          <w:r>
            <w:t>ori health trends report</w:t>
          </w:r>
        </w:p>
      </w:tc>
    </w:tr>
  </w:tbl>
  <w:p w14:paraId="171525D9" w14:textId="77777777" w:rsidR="009077BC" w:rsidRPr="00571223" w:rsidRDefault="009077BC"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Layout w:type="fixed"/>
      <w:tblCellMar>
        <w:left w:w="0" w:type="dxa"/>
        <w:right w:w="0" w:type="dxa"/>
      </w:tblCellMar>
      <w:tblLook w:val="04A0" w:firstRow="1" w:lastRow="0" w:firstColumn="1" w:lastColumn="0" w:noHBand="0" w:noVBand="1"/>
    </w:tblPr>
    <w:tblGrid>
      <w:gridCol w:w="8080"/>
      <w:gridCol w:w="709"/>
    </w:tblGrid>
    <w:tr w:rsidR="009077BC" w14:paraId="6A202B81" w14:textId="77777777" w:rsidTr="00FF16AE">
      <w:trPr>
        <w:cantSplit/>
      </w:trPr>
      <w:tc>
        <w:tcPr>
          <w:tcW w:w="8080" w:type="dxa"/>
          <w:vAlign w:val="center"/>
        </w:tcPr>
        <w:sdt>
          <w:sdtPr>
            <w:alias w:val="Title"/>
            <w:tag w:val=""/>
            <w:id w:val="1357467785"/>
            <w:placeholder>
              <w:docPart w:val="FF79F068ED034AE9BC236A6B13398B72"/>
            </w:placeholder>
            <w:dataBinding w:prefixMappings="xmlns:ns0='http://purl.org/dc/elements/1.1/' xmlns:ns1='http://schemas.openxmlformats.org/package/2006/metadata/core-properties' " w:xpath="/ns1:coreProperties[1]/ns0:title[1]" w:storeItemID="{6C3C8BC8-F283-45AE-878A-BAB7291924A1}"/>
            <w:text/>
          </w:sdtPr>
          <w:sdtEndPr/>
          <w:sdtContent>
            <w:p w14:paraId="0A0B72FE" w14:textId="425B0EFB" w:rsidR="009077BC" w:rsidRDefault="009077BC">
              <w:pPr>
                <w:pStyle w:val="RectoFooter"/>
              </w:pPr>
              <w:r>
                <w:t>Wai 2575 Māori health trends report</w:t>
              </w:r>
            </w:p>
          </w:sdtContent>
        </w:sdt>
      </w:tc>
      <w:tc>
        <w:tcPr>
          <w:tcW w:w="709" w:type="dxa"/>
          <w:vAlign w:val="center"/>
        </w:tcPr>
        <w:p w14:paraId="74473098" w14:textId="77777777" w:rsidR="009077BC" w:rsidRPr="00931466" w:rsidRDefault="009077BC" w:rsidP="00FF16AE">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xv</w:t>
          </w:r>
          <w:r w:rsidRPr="00931466">
            <w:rPr>
              <w:rStyle w:val="PageNumber"/>
            </w:rPr>
            <w:fldChar w:fldCharType="end"/>
          </w:r>
        </w:p>
      </w:tc>
    </w:tr>
  </w:tbl>
  <w:p w14:paraId="6F31F077" w14:textId="77777777" w:rsidR="009077BC" w:rsidRPr="00581EB8" w:rsidRDefault="009077BC"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Layout w:type="fixed"/>
      <w:tblCellMar>
        <w:left w:w="0" w:type="dxa"/>
        <w:right w:w="0" w:type="dxa"/>
      </w:tblCellMar>
      <w:tblLook w:val="04A0" w:firstRow="1" w:lastRow="0" w:firstColumn="1" w:lastColumn="0" w:noHBand="0" w:noVBand="1"/>
    </w:tblPr>
    <w:tblGrid>
      <w:gridCol w:w="8080"/>
      <w:gridCol w:w="709"/>
    </w:tblGrid>
    <w:tr w:rsidR="009077BC" w14:paraId="3B6C95D9" w14:textId="77777777" w:rsidTr="00FF16AE">
      <w:trPr>
        <w:cantSplit/>
      </w:trPr>
      <w:tc>
        <w:tcPr>
          <w:tcW w:w="8080" w:type="dxa"/>
          <w:vAlign w:val="center"/>
        </w:tcPr>
        <w:sdt>
          <w:sdtPr>
            <w:alias w:val="Title"/>
            <w:tag w:val=""/>
            <w:id w:val="-1725668318"/>
            <w:placeholder>
              <w:docPart w:val="47D6545AD65E46FC92A8D4F4A2B9FA6C"/>
            </w:placeholder>
            <w:dataBinding w:prefixMappings="xmlns:ns0='http://purl.org/dc/elements/1.1/' xmlns:ns1='http://schemas.openxmlformats.org/package/2006/metadata/core-properties' " w:xpath="/ns1:coreProperties[1]/ns0:title[1]" w:storeItemID="{6C3C8BC8-F283-45AE-878A-BAB7291924A1}"/>
            <w:text/>
          </w:sdtPr>
          <w:sdtEndPr/>
          <w:sdtContent>
            <w:p w14:paraId="5DEB2C4B" w14:textId="3A5A92A5" w:rsidR="009077BC" w:rsidRDefault="009077BC">
              <w:pPr>
                <w:pStyle w:val="RectoFooter"/>
              </w:pPr>
              <w:r>
                <w:t>Wai 2575 Māori health trends report</w:t>
              </w:r>
            </w:p>
          </w:sdtContent>
        </w:sdt>
      </w:tc>
      <w:tc>
        <w:tcPr>
          <w:tcW w:w="709" w:type="dxa"/>
          <w:vAlign w:val="center"/>
        </w:tcPr>
        <w:p w14:paraId="220F2E36" w14:textId="77777777" w:rsidR="009077BC" w:rsidRPr="00931466" w:rsidRDefault="009077BC" w:rsidP="00FF16AE">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xix</w:t>
          </w:r>
          <w:r w:rsidRPr="00931466">
            <w:rPr>
              <w:rStyle w:val="PageNumber"/>
            </w:rPr>
            <w:fldChar w:fldCharType="end"/>
          </w:r>
        </w:p>
      </w:tc>
    </w:tr>
  </w:tbl>
  <w:p w14:paraId="4FBD8391" w14:textId="77777777" w:rsidR="009077BC" w:rsidRPr="00581EB8" w:rsidRDefault="009077BC" w:rsidP="00581EB8">
    <w:pPr>
      <w:pStyle w:val="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409EF" w14:textId="77777777" w:rsidR="009077BC" w:rsidRPr="00571223" w:rsidRDefault="009077BC" w:rsidP="00571223">
    <w:pPr>
      <w:pStyle w:val="Verso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5CCCC5" w14:textId="77777777" w:rsidR="009077BC" w:rsidRPr="00A26E6B" w:rsidRDefault="009077BC" w:rsidP="00A26E6B"/>
  </w:footnote>
  <w:footnote w:type="continuationSeparator" w:id="0">
    <w:p w14:paraId="16F96321" w14:textId="77777777" w:rsidR="009077BC" w:rsidRDefault="009077BC">
      <w:r>
        <w:continuationSeparator/>
      </w:r>
    </w:p>
    <w:p w14:paraId="785CB03E" w14:textId="77777777" w:rsidR="009077BC" w:rsidRDefault="009077BC"/>
  </w:footnote>
  <w:footnote w:id="1">
    <w:p w14:paraId="7CD0B4DE" w14:textId="12D89FD2" w:rsidR="009077BC" w:rsidRDefault="009077BC" w:rsidP="002E449B">
      <w:pPr>
        <w:pStyle w:val="FootnoteText"/>
      </w:pPr>
      <w:r w:rsidRPr="002E449B">
        <w:rPr>
          <w:rStyle w:val="FootnoteReference"/>
        </w:rPr>
        <w:footnoteRef/>
      </w:r>
      <w:r>
        <w:tab/>
        <w:t>The total fertility rate is the average number of live births that a women would have during her life if she experienced the age-specific fertility rates of a given period (usually a year). It excludes the effect of mortality.</w:t>
      </w:r>
    </w:p>
  </w:footnote>
  <w:footnote w:id="2">
    <w:p w14:paraId="375F692A" w14:textId="4DB9DA49" w:rsidR="009077BC" w:rsidRDefault="009077BC" w:rsidP="002E449B">
      <w:pPr>
        <w:pStyle w:val="FootnoteText"/>
      </w:pPr>
      <w:r w:rsidRPr="002E449B">
        <w:rPr>
          <w:rStyle w:val="FootnoteReference"/>
        </w:rPr>
        <w:footnoteRef/>
      </w:r>
      <w:r>
        <w:tab/>
      </w:r>
      <w:r w:rsidRPr="0009232C">
        <w:t>Since 1 July 2015, Canterbury DHB has been responsible for providing health care services to the Chatham Islands. Before this the Chatham Islands were part of the Hawke’s Bay DHB. The proportions presented in this map are based on DHB populations from the 2013 Census therefore, while services are currently provided by Canterbury DHB, the percentage of Māori in the Chatham Islands presented here reflects the percentage of Māori in the Hawke’s Bay DHB (23 percent) rather than Canterbury DHB (8</w:t>
      </w:r>
      <w:r>
        <w:t> </w:t>
      </w:r>
      <w:r w:rsidRPr="0009232C">
        <w:t>percent).</w:t>
      </w:r>
    </w:p>
  </w:footnote>
  <w:footnote w:id="3">
    <w:p w14:paraId="6DB7A135" w14:textId="77777777" w:rsidR="009077BC" w:rsidRPr="001925A0" w:rsidRDefault="009077BC" w:rsidP="00910411">
      <w:pPr>
        <w:pStyle w:val="FootnoteText"/>
      </w:pPr>
      <w:r w:rsidRPr="002561DD">
        <w:rPr>
          <w:rStyle w:val="FootnoteReference"/>
          <w:rFonts w:eastAsia="MS Gothic"/>
        </w:rPr>
        <w:footnoteRef/>
      </w:r>
      <w:r>
        <w:tab/>
      </w:r>
      <w:r w:rsidRPr="00E4540D">
        <w:t>Based upon the New Zealand Ministry of Health Mortality 2015 data tables, grouping all diseases of the</w:t>
      </w:r>
      <w:r>
        <w:t xml:space="preserve"> circulatory system together.</w:t>
      </w:r>
    </w:p>
  </w:footnote>
  <w:footnote w:id="4">
    <w:p w14:paraId="38B05222" w14:textId="77777777" w:rsidR="009077BC" w:rsidRPr="00CD177A" w:rsidRDefault="009077BC" w:rsidP="00A613D8">
      <w:pPr>
        <w:pStyle w:val="FootnoteText"/>
      </w:pPr>
      <w:r w:rsidRPr="000F1CA5">
        <w:rPr>
          <w:rStyle w:val="FootnoteReference"/>
          <w:rFonts w:eastAsia="MS Gothic"/>
        </w:rPr>
        <w:footnoteRef/>
      </w:r>
      <w:r>
        <w:tab/>
        <w:t>Note that hospitalisations for asthma likely represent serious cases of asthma and may reflect access issues to primary health care.</w:t>
      </w:r>
    </w:p>
  </w:footnote>
  <w:footnote w:id="5">
    <w:p w14:paraId="5F4BC122" w14:textId="77777777" w:rsidR="009077BC" w:rsidRPr="00CD177A" w:rsidRDefault="009077BC" w:rsidP="00A613D8">
      <w:pPr>
        <w:pStyle w:val="FootnoteText"/>
      </w:pPr>
      <w:r w:rsidRPr="000F1CA5">
        <w:rPr>
          <w:rStyle w:val="FootnoteReference"/>
          <w:rFonts w:eastAsia="MS Gothic"/>
        </w:rPr>
        <w:footnoteRef/>
      </w:r>
      <w:r>
        <w:tab/>
        <w:t>Pneumonia (J17) had a coding change in July 2014 which meant that pneumonia could now be assigned as a primary diagnosis (prior to July 2014 this was not the case).</w:t>
      </w:r>
    </w:p>
  </w:footnote>
  <w:footnote w:id="6">
    <w:p w14:paraId="51FB0FED" w14:textId="77777777" w:rsidR="009077BC" w:rsidRDefault="009077BC" w:rsidP="00103328">
      <w:pPr>
        <w:pStyle w:val="FootnoteText"/>
      </w:pPr>
      <w:r w:rsidRPr="00A41923">
        <w:rPr>
          <w:rStyle w:val="FootnoteReference"/>
        </w:rPr>
        <w:footnoteRef/>
      </w:r>
      <w:r>
        <w:tab/>
      </w:r>
      <w:bookmarkStart w:id="219" w:name="_Hlk17023905"/>
      <w:r>
        <w:t>Adult respondents (aged 15+ years) in the NZHS are defined as having arthritis if they had ever been told by a doctor that they have arthritis, including gout, lupus or psoriatic arthritis. Note that this definition is likely to underestimate the true number of people with arthritis, as some people may not be aware that they have arthritis.</w:t>
      </w:r>
      <w:bookmarkEnd w:id="219"/>
    </w:p>
  </w:footnote>
  <w:footnote w:id="7">
    <w:p w14:paraId="5AEE3377" w14:textId="77777777" w:rsidR="009077BC" w:rsidRPr="004622B2" w:rsidRDefault="009077BC" w:rsidP="001166D2">
      <w:pPr>
        <w:pStyle w:val="FootnoteText"/>
      </w:pPr>
      <w:r w:rsidRPr="000B5BF9">
        <w:rPr>
          <w:rStyle w:val="FootnoteReference"/>
        </w:rPr>
        <w:footnoteRef/>
      </w:r>
      <w:r>
        <w:tab/>
      </w:r>
      <w:r w:rsidRPr="004622B2">
        <w:t xml:space="preserve">The NZHS has only collected information on unmet need since 2011/12. Unmet need for primary health indicator investigates whether people had experienced any of the following barriers to accessing primary health care in the last 12 months: unmet need for a GP due to cost, unmet need for after-hours services due to cost, unmet need for a GP due to lack of transport, unmet need for after-hours services due to lack of transport, inability to get an appointment at their usual medical centre within 24 hours and lack of child </w:t>
      </w:r>
      <w:r>
        <w:t>care.</w:t>
      </w:r>
    </w:p>
  </w:footnote>
  <w:footnote w:id="8">
    <w:p w14:paraId="7F3940B5" w14:textId="77777777" w:rsidR="009077BC" w:rsidRDefault="009077BC" w:rsidP="001166D2">
      <w:pPr>
        <w:pStyle w:val="FootnoteText"/>
      </w:pPr>
      <w:r w:rsidRPr="000B5BF9">
        <w:rPr>
          <w:rStyle w:val="FootnoteReference"/>
        </w:rPr>
        <w:footnoteRef/>
      </w:r>
      <w:r>
        <w:tab/>
      </w:r>
      <w:r w:rsidRPr="004622B2">
        <w:t>The NZHS has only collected information on unfilled prescriptions due to cost since 2011/12</w:t>
      </w:r>
      <w:r>
        <w:t>.</w:t>
      </w:r>
    </w:p>
  </w:footnote>
  <w:footnote w:id="9">
    <w:p w14:paraId="52744FD9" w14:textId="6A4AA475" w:rsidR="009077BC" w:rsidRDefault="009077BC" w:rsidP="00FC6DDF">
      <w:pPr>
        <w:pStyle w:val="FootnoteText"/>
      </w:pPr>
      <w:r w:rsidRPr="009A0FCF">
        <w:rPr>
          <w:rStyle w:val="FootnoteReference"/>
          <w:rFonts w:eastAsia="MS Gothic"/>
        </w:rPr>
        <w:footnoteRef/>
      </w:r>
      <w:r>
        <w:tab/>
      </w:r>
      <w:r w:rsidRPr="005B3504">
        <w:t xml:space="preserve">Age standardisation allows comparison between ethnic groups with different age distributions. </w:t>
      </w:r>
      <w:r w:rsidRPr="00C250F1">
        <w:t xml:space="preserve">This can be seen in the graphs showing Māori </w:t>
      </w:r>
      <w:r>
        <w:t>to non</w:t>
      </w:r>
      <w:r>
        <w:noBreakHyphen/>
        <w:t>M</w:t>
      </w:r>
      <w:r w:rsidRPr="00C250F1">
        <w:t xml:space="preserve">āori rate ratios in the accompanying </w:t>
      </w:r>
      <w:r>
        <w:t>Excel</w:t>
      </w:r>
      <w:r w:rsidRPr="00C250F1">
        <w:t xml:space="preserve"> workbook</w:t>
      </w:r>
      <w:r>
        <w:t xml:space="preserve"> – </w:t>
      </w:r>
      <w:r w:rsidRPr="00C250F1">
        <w:t>all rate ratios and confidence intervals are greater than one.</w:t>
      </w:r>
      <w:r>
        <w:t xml:space="preserve"> </w:t>
      </w:r>
      <w:r w:rsidRPr="005B3504">
        <w:t xml:space="preserve">Although age standardisation is often not necessary when comparing age groups, due to the significantly different distribution of ages between Māori and </w:t>
      </w:r>
      <w:r>
        <w:t>non</w:t>
      </w:r>
      <w:r>
        <w:noBreakHyphen/>
        <w:t>M</w:t>
      </w:r>
      <w:r w:rsidRPr="005B3504">
        <w:t>āori in these older age groups, it was necessary to age standardise to preserve comparability.</w:t>
      </w:r>
    </w:p>
  </w:footnote>
  <w:footnote w:id="10">
    <w:p w14:paraId="5328077B" w14:textId="6375EA76" w:rsidR="009077BC" w:rsidRDefault="009077BC" w:rsidP="001338CA">
      <w:pPr>
        <w:pStyle w:val="FootnoteText"/>
      </w:pPr>
      <w:r w:rsidRPr="001338CA">
        <w:rPr>
          <w:rStyle w:val="FootnoteReference"/>
        </w:rPr>
        <w:footnoteRef/>
      </w:r>
      <w:r>
        <w:tab/>
        <w:t>2013 Census data, Stats NZ, Wellington.</w:t>
      </w:r>
    </w:p>
  </w:footnote>
  <w:footnote w:id="11">
    <w:p w14:paraId="41B3D6BF" w14:textId="2667468E" w:rsidR="009077BC" w:rsidRDefault="009077BC" w:rsidP="00B16E84">
      <w:pPr>
        <w:pStyle w:val="FootnoteText"/>
      </w:pPr>
      <w:r w:rsidRPr="00B5133B">
        <w:rPr>
          <w:rStyle w:val="FootnoteReference"/>
        </w:rPr>
        <w:footnoteRef/>
      </w:r>
      <w:r>
        <w:tab/>
        <w:t>2013 Census data, Stats NZ, Wellington.</w:t>
      </w:r>
    </w:p>
  </w:footnote>
  <w:footnote w:id="12">
    <w:p w14:paraId="2B4227CB" w14:textId="22EBAB49" w:rsidR="009077BC" w:rsidRDefault="009077BC" w:rsidP="00B16E84">
      <w:pPr>
        <w:pStyle w:val="FootnoteText"/>
      </w:pPr>
      <w:r w:rsidRPr="00B5133B">
        <w:rPr>
          <w:rStyle w:val="FootnoteReference"/>
        </w:rPr>
        <w:footnoteRef/>
      </w:r>
      <w:r>
        <w:tab/>
        <w:t>2013 Census data, Stats NZ, Wellington.</w:t>
      </w:r>
    </w:p>
  </w:footnote>
  <w:footnote w:id="13">
    <w:p w14:paraId="23FD5863" w14:textId="764B73E1" w:rsidR="009077BC" w:rsidRDefault="009077BC" w:rsidP="00B16E84">
      <w:pPr>
        <w:pStyle w:val="FootnoteText"/>
      </w:pPr>
      <w:r w:rsidRPr="00AE49CC">
        <w:rPr>
          <w:rStyle w:val="FootnoteReference"/>
        </w:rPr>
        <w:footnoteRef/>
      </w:r>
      <w:r>
        <w:tab/>
        <w:t>2013 Census</w:t>
      </w:r>
      <w:r w:rsidRPr="00B613C4">
        <w:t xml:space="preserve"> </w:t>
      </w:r>
      <w:r>
        <w:t>data, Stats NZ, Wellington.</w:t>
      </w:r>
    </w:p>
  </w:footnote>
  <w:footnote w:id="14">
    <w:p w14:paraId="493485F0" w14:textId="60A3416D" w:rsidR="009077BC" w:rsidRDefault="009077BC" w:rsidP="00B16E84">
      <w:pPr>
        <w:pStyle w:val="FootnoteText"/>
      </w:pPr>
      <w:r w:rsidRPr="00AE49CC">
        <w:rPr>
          <w:rStyle w:val="FootnoteReference"/>
        </w:rPr>
        <w:footnoteRef/>
      </w:r>
      <w:r>
        <w:tab/>
        <w:t>2013 Census</w:t>
      </w:r>
      <w:r w:rsidRPr="00B613C4">
        <w:t xml:space="preserve"> </w:t>
      </w:r>
      <w:r>
        <w:t>data, Stats NZ, Wellington.</w:t>
      </w:r>
    </w:p>
  </w:footnote>
  <w:footnote w:id="15">
    <w:p w14:paraId="7F0315F6" w14:textId="329A16CE" w:rsidR="009077BC" w:rsidRDefault="009077BC" w:rsidP="00B16E84">
      <w:pPr>
        <w:pStyle w:val="FootnoteText"/>
      </w:pPr>
      <w:r w:rsidRPr="00AE49CC">
        <w:rPr>
          <w:rStyle w:val="FootnoteReference"/>
        </w:rPr>
        <w:footnoteRef/>
      </w:r>
      <w:r>
        <w:tab/>
        <w:t>2013 Census</w:t>
      </w:r>
      <w:r w:rsidRPr="00B613C4">
        <w:t xml:space="preserve"> </w:t>
      </w:r>
      <w:r>
        <w:t>data, Stats NZ, Wellington.</w:t>
      </w:r>
    </w:p>
  </w:footnote>
  <w:footnote w:id="16">
    <w:p w14:paraId="346E6D0A" w14:textId="5D4FEB01" w:rsidR="009077BC" w:rsidRDefault="009077BC" w:rsidP="00B16E84">
      <w:pPr>
        <w:pStyle w:val="FootnoteText"/>
      </w:pPr>
      <w:r w:rsidRPr="00AE49CC">
        <w:rPr>
          <w:rStyle w:val="FootnoteReference"/>
        </w:rPr>
        <w:footnoteRef/>
      </w:r>
      <w:r>
        <w:tab/>
        <w:t>2013 Census</w:t>
      </w:r>
      <w:r w:rsidRPr="00B613C4">
        <w:t xml:space="preserve"> </w:t>
      </w:r>
      <w:r>
        <w:t>data, Stats NZ, Wellington.</w:t>
      </w:r>
    </w:p>
  </w:footnote>
  <w:footnote w:id="17">
    <w:p w14:paraId="0B59D70D" w14:textId="7628DE44" w:rsidR="009077BC" w:rsidRDefault="009077BC" w:rsidP="00B16E84">
      <w:pPr>
        <w:pStyle w:val="FootnoteText"/>
      </w:pPr>
      <w:r w:rsidRPr="00AE49CC">
        <w:rPr>
          <w:rStyle w:val="FootnoteReference"/>
        </w:rPr>
        <w:footnoteRef/>
      </w:r>
      <w:r>
        <w:tab/>
        <w:t>2013 Census</w:t>
      </w:r>
      <w:r w:rsidRPr="00B613C4">
        <w:t xml:space="preserve"> </w:t>
      </w:r>
      <w:r>
        <w:t>data, Stats NZ, Wellington.</w:t>
      </w:r>
    </w:p>
  </w:footnote>
  <w:footnote w:id="18">
    <w:p w14:paraId="109BCCF7" w14:textId="7739D9B7" w:rsidR="009077BC" w:rsidRDefault="009077BC" w:rsidP="00B16E84">
      <w:pPr>
        <w:pStyle w:val="FootnoteText"/>
      </w:pPr>
      <w:r w:rsidRPr="00AE49CC">
        <w:rPr>
          <w:rStyle w:val="FootnoteReference"/>
        </w:rPr>
        <w:footnoteRef/>
      </w:r>
      <w:r>
        <w:tab/>
        <w:t>2013 Census</w:t>
      </w:r>
      <w:r w:rsidRPr="00B613C4">
        <w:t xml:space="preserve"> </w:t>
      </w:r>
      <w:r>
        <w:t>data, Stats NZ, Wellington.</w:t>
      </w:r>
    </w:p>
  </w:footnote>
  <w:footnote w:id="19">
    <w:p w14:paraId="4412DEE5" w14:textId="30E64F40" w:rsidR="009077BC" w:rsidRDefault="009077BC" w:rsidP="00B16E84">
      <w:pPr>
        <w:pStyle w:val="FootnoteText"/>
      </w:pPr>
      <w:r w:rsidRPr="00AE49CC">
        <w:rPr>
          <w:rStyle w:val="FootnoteReference"/>
        </w:rPr>
        <w:footnoteRef/>
      </w:r>
      <w:r>
        <w:tab/>
        <w:t>2013 Census</w:t>
      </w:r>
      <w:r w:rsidRPr="00B613C4">
        <w:t xml:space="preserve"> </w:t>
      </w:r>
      <w:r>
        <w:t>data, Stats NZ, Wellington.</w:t>
      </w:r>
    </w:p>
  </w:footnote>
  <w:footnote w:id="20">
    <w:p w14:paraId="22FDD5C1" w14:textId="2566808E" w:rsidR="009077BC" w:rsidRDefault="009077BC" w:rsidP="00B16E84">
      <w:pPr>
        <w:pStyle w:val="FootnoteText"/>
      </w:pPr>
      <w:r w:rsidRPr="003337CF">
        <w:rPr>
          <w:rStyle w:val="FootnoteReference"/>
        </w:rPr>
        <w:footnoteRef/>
      </w:r>
      <w:r>
        <w:tab/>
        <w:t>2013 Census</w:t>
      </w:r>
      <w:r w:rsidRPr="00B613C4">
        <w:t xml:space="preserve"> </w:t>
      </w:r>
      <w:r>
        <w:t>data, Stats NZ, Wellington.</w:t>
      </w:r>
    </w:p>
  </w:footnote>
  <w:footnote w:id="21">
    <w:p w14:paraId="7EFE096D" w14:textId="07777721" w:rsidR="009077BC" w:rsidRDefault="009077BC" w:rsidP="00B16E84">
      <w:pPr>
        <w:pStyle w:val="FootnoteText"/>
      </w:pPr>
      <w:r w:rsidRPr="003337CF">
        <w:rPr>
          <w:rStyle w:val="FootnoteReference"/>
        </w:rPr>
        <w:footnoteRef/>
      </w:r>
      <w:r>
        <w:tab/>
        <w:t>2013 Census</w:t>
      </w:r>
      <w:r w:rsidRPr="00B613C4">
        <w:t xml:space="preserve"> </w:t>
      </w:r>
      <w:r>
        <w:t>data, Stats NZ, Wellington.</w:t>
      </w:r>
    </w:p>
  </w:footnote>
  <w:footnote w:id="22">
    <w:p w14:paraId="72BCA344" w14:textId="6670D520" w:rsidR="009077BC" w:rsidRDefault="009077BC" w:rsidP="00B16E84">
      <w:pPr>
        <w:pStyle w:val="FootnoteText"/>
      </w:pPr>
      <w:r w:rsidRPr="003337CF">
        <w:rPr>
          <w:rStyle w:val="FootnoteReference"/>
        </w:rPr>
        <w:footnoteRef/>
      </w:r>
      <w:r>
        <w:tab/>
        <w:t>2013 Census</w:t>
      </w:r>
      <w:r w:rsidRPr="00B613C4">
        <w:t xml:space="preserve"> </w:t>
      </w:r>
      <w:r>
        <w:t>data, Stats NZ, Wellington.</w:t>
      </w:r>
    </w:p>
  </w:footnote>
  <w:footnote w:id="23">
    <w:p w14:paraId="49D04D88" w14:textId="3A7E1F9F" w:rsidR="009077BC" w:rsidRDefault="009077BC" w:rsidP="00B16E84">
      <w:pPr>
        <w:pStyle w:val="FootnoteText"/>
      </w:pPr>
      <w:r w:rsidRPr="003337CF">
        <w:rPr>
          <w:rStyle w:val="FootnoteReference"/>
        </w:rPr>
        <w:footnoteRef/>
      </w:r>
      <w:r>
        <w:tab/>
        <w:t>2013 Census</w:t>
      </w:r>
      <w:r w:rsidRPr="00B613C4">
        <w:t xml:space="preserve"> </w:t>
      </w:r>
      <w:r>
        <w:t>data, Stats NZ, Wellington.</w:t>
      </w:r>
    </w:p>
  </w:footnote>
  <w:footnote w:id="24">
    <w:p w14:paraId="573B2E8D" w14:textId="12816778" w:rsidR="009077BC" w:rsidRDefault="009077BC" w:rsidP="00B16E84">
      <w:pPr>
        <w:pStyle w:val="FootnoteText"/>
      </w:pPr>
      <w:r w:rsidRPr="003337CF">
        <w:rPr>
          <w:rStyle w:val="FootnoteReference"/>
        </w:rPr>
        <w:footnoteRef/>
      </w:r>
      <w:r>
        <w:tab/>
        <w:t>2013 Census</w:t>
      </w:r>
      <w:r w:rsidRPr="00B613C4">
        <w:t xml:space="preserve"> </w:t>
      </w:r>
      <w:r>
        <w:t>data, Stats NZ Wellington.</w:t>
      </w:r>
    </w:p>
  </w:footnote>
  <w:footnote w:id="25">
    <w:p w14:paraId="1475B064" w14:textId="6BC002A0" w:rsidR="009077BC" w:rsidRDefault="009077BC" w:rsidP="00B16E84">
      <w:pPr>
        <w:pStyle w:val="FootnoteText"/>
      </w:pPr>
      <w:r w:rsidRPr="003337CF">
        <w:rPr>
          <w:rStyle w:val="FootnoteReference"/>
        </w:rPr>
        <w:footnoteRef/>
      </w:r>
      <w:r>
        <w:tab/>
        <w:t>2013 Census</w:t>
      </w:r>
      <w:r w:rsidRPr="00B613C4">
        <w:t xml:space="preserve"> </w:t>
      </w:r>
      <w:r>
        <w:t>data, Stats NZ, Wellington.</w:t>
      </w:r>
    </w:p>
  </w:footnote>
  <w:footnote w:id="26">
    <w:p w14:paraId="01FCA5A7" w14:textId="49DABA90" w:rsidR="009077BC" w:rsidRDefault="009077BC" w:rsidP="00B16E84">
      <w:pPr>
        <w:pStyle w:val="FootnoteText"/>
      </w:pPr>
      <w:r w:rsidRPr="00FB5326">
        <w:rPr>
          <w:rStyle w:val="FootnoteReference"/>
        </w:rPr>
        <w:footnoteRef/>
      </w:r>
      <w:r>
        <w:tab/>
        <w:t>2013 Census</w:t>
      </w:r>
      <w:r w:rsidRPr="00B613C4">
        <w:t xml:space="preserve"> </w:t>
      </w:r>
      <w:r>
        <w:t>data, Stats NZ, Wellington.</w:t>
      </w:r>
    </w:p>
  </w:footnote>
  <w:footnote w:id="27">
    <w:p w14:paraId="546BA96B" w14:textId="0A20F551" w:rsidR="009077BC" w:rsidRDefault="009077BC" w:rsidP="00D46D7A">
      <w:pPr>
        <w:pStyle w:val="FootnoteText"/>
      </w:pPr>
      <w:r w:rsidRPr="00D46D7A">
        <w:rPr>
          <w:rStyle w:val="FootnoteReference"/>
        </w:rPr>
        <w:footnoteRef/>
      </w:r>
      <w:r>
        <w:tab/>
        <w:t>Note that hospitalisations for asthma likely represent serious cases of asthma and may reflect access issues to primary health care.</w:t>
      </w:r>
    </w:p>
  </w:footnote>
  <w:footnote w:id="28">
    <w:p w14:paraId="414F5F17" w14:textId="5B557560" w:rsidR="009077BC" w:rsidRDefault="009077BC" w:rsidP="00CF26C8">
      <w:pPr>
        <w:pStyle w:val="FootnoteText"/>
      </w:pPr>
      <w:r w:rsidRPr="007A1D97">
        <w:rPr>
          <w:rStyle w:val="FootnoteReference"/>
        </w:rPr>
        <w:footnoteRef/>
      </w:r>
      <w:r>
        <w:tab/>
      </w:r>
      <w:r w:rsidRPr="007A1D97">
        <w:rPr>
          <w:i/>
        </w:rPr>
        <w:t>1991 to 2017 Māori Population Estimates</w:t>
      </w:r>
      <w:r>
        <w:t xml:space="preserve">, Stats NZ. See </w:t>
      </w:r>
      <w:hyperlink r:id="rId1" w:history="1">
        <w:r w:rsidRPr="007A1D97">
          <w:rPr>
            <w:rStyle w:val="Hyperlink"/>
          </w:rPr>
          <w:t>http://archive.stats.govt.nz/browse_for_stats/population/estimates_and_projections/MaoriPopulationEstimates_HOTPAt30Jun17.aspx</w:t>
        </w:r>
      </w:hyperlink>
    </w:p>
  </w:footnote>
  <w:footnote w:id="29">
    <w:p w14:paraId="1CFFD172" w14:textId="15D2D1FC" w:rsidR="009077BC" w:rsidRDefault="009077BC" w:rsidP="00CF26C8">
      <w:pPr>
        <w:pStyle w:val="FootnoteText"/>
      </w:pPr>
      <w:r w:rsidRPr="007A1D97">
        <w:rPr>
          <w:rStyle w:val="FootnoteReference"/>
        </w:rPr>
        <w:footnoteRef/>
      </w:r>
      <w:r>
        <w:tab/>
      </w:r>
      <w:r w:rsidRPr="007A1D97">
        <w:rPr>
          <w:i/>
        </w:rPr>
        <w:t>Māori Population Estimates</w:t>
      </w:r>
      <w:r>
        <w:t xml:space="preserve">, Stats NZ. See </w:t>
      </w:r>
      <w:hyperlink r:id="rId2" w:history="1">
        <w:r w:rsidRPr="007A1D97">
          <w:rPr>
            <w:rStyle w:val="Hyperlink"/>
          </w:rPr>
          <w:t>http://datainfoplus.stats.govt.nz/Item/nz.govt.stats/5b6313fc-3ce3-434e-8ee7-6bac79305e53?_ga=2.92342621.1181817368.1531345437–953833498.1529353831</w:t>
        </w:r>
      </w:hyperlink>
    </w:p>
  </w:footnote>
  <w:footnote w:id="30">
    <w:p w14:paraId="1D12BEF5" w14:textId="45F4F7A9" w:rsidR="009077BC" w:rsidRDefault="009077BC" w:rsidP="00CF26C8">
      <w:pPr>
        <w:pStyle w:val="FootnoteText"/>
      </w:pPr>
      <w:r w:rsidRPr="007A1D97">
        <w:rPr>
          <w:rStyle w:val="FootnoteReference"/>
        </w:rPr>
        <w:footnoteRef/>
      </w:r>
      <w:r>
        <w:tab/>
        <w:t xml:space="preserve">Ministry of Health. 2017. </w:t>
      </w:r>
      <w:r w:rsidRPr="009013E6">
        <w:rPr>
          <w:i/>
        </w:rPr>
        <w:t>HISO 1001:</w:t>
      </w:r>
      <w:r w:rsidRPr="007A1D97">
        <w:rPr>
          <w:i/>
        </w:rPr>
        <w:t>2017 Ethnicity Data Protocols</w:t>
      </w:r>
      <w:r>
        <w:t xml:space="preserve"> Wellington:</w:t>
      </w:r>
      <w:r w:rsidRPr="004731AC">
        <w:t xml:space="preserve"> </w:t>
      </w:r>
      <w:r>
        <w:t xml:space="preserve">Ministry of Health. URL: </w:t>
      </w:r>
      <w:hyperlink r:id="rId3" w:history="1">
        <w:r w:rsidRPr="0029182F">
          <w:rPr>
            <w:rStyle w:val="Hyperlink"/>
          </w:rPr>
          <w:t>www.health.govt.nz/publication/hiso-100012017-ethnicity-data-protocols</w:t>
        </w:r>
      </w:hyperlink>
      <w:r>
        <w:rPr>
          <w:rStyle w:val="Hyperlink"/>
        </w:rPr>
        <w:t xml:space="preserve"> </w:t>
      </w:r>
      <w:r w:rsidRPr="009013E6">
        <w:t>(accessed 26 August 2019).</w:t>
      </w:r>
    </w:p>
  </w:footnote>
  <w:footnote w:id="31">
    <w:p w14:paraId="73348DD9" w14:textId="77777777" w:rsidR="009077BC" w:rsidRDefault="009077BC" w:rsidP="00654B21">
      <w:pPr>
        <w:pStyle w:val="FootnoteText"/>
      </w:pPr>
      <w:r w:rsidRPr="0038750D">
        <w:rPr>
          <w:rStyle w:val="FootnoteReference"/>
        </w:rPr>
        <w:footnoteRef/>
      </w:r>
      <w:r>
        <w:tab/>
      </w:r>
      <w:r w:rsidRPr="00A650D0">
        <w:t>2003.</w:t>
      </w:r>
    </w:p>
  </w:footnote>
  <w:footnote w:id="32">
    <w:p w14:paraId="4232BDA9" w14:textId="61CDE28A" w:rsidR="009077BC" w:rsidRDefault="009077BC" w:rsidP="00654B21">
      <w:pPr>
        <w:pStyle w:val="FootnoteText"/>
      </w:pPr>
      <w:r w:rsidRPr="0038750D">
        <w:rPr>
          <w:rStyle w:val="FootnoteReference"/>
        </w:rPr>
        <w:footnoteRef/>
      </w:r>
      <w:r>
        <w:rPr>
          <w:rFonts w:eastAsiaTheme="minorHAnsi"/>
        </w:rPr>
        <w:tab/>
      </w:r>
      <w:r w:rsidRPr="00B73550">
        <w:rPr>
          <w:rFonts w:eastAsiaTheme="minorHAnsi"/>
        </w:rPr>
        <w:t xml:space="preserve">Morrell S, Taylor R, Rhoder D, </w:t>
      </w:r>
      <w:r>
        <w:rPr>
          <w:rFonts w:eastAsiaTheme="minorHAnsi"/>
        </w:rPr>
        <w:t>et al</w:t>
      </w:r>
      <w:r w:rsidRPr="00B73550">
        <w:rPr>
          <w:rFonts w:eastAsiaTheme="minorHAnsi"/>
        </w:rPr>
        <w:t xml:space="preserve">. 2015. </w:t>
      </w:r>
      <w:r w:rsidRPr="0038750D">
        <w:rPr>
          <w:rFonts w:eastAsiaTheme="minorHAnsi"/>
          <w:i/>
        </w:rPr>
        <w:t>Cohort and Case Control Analyses of Breast Cancer Morality: BreastScreen Aotearoa 1999</w:t>
      </w:r>
      <w:r>
        <w:rPr>
          <w:rFonts w:eastAsiaTheme="minorHAnsi"/>
          <w:i/>
        </w:rPr>
        <w:t>–</w:t>
      </w:r>
      <w:r w:rsidRPr="0038750D">
        <w:rPr>
          <w:rFonts w:eastAsiaTheme="minorHAnsi"/>
          <w:i/>
        </w:rPr>
        <w:t>2011</w:t>
      </w:r>
      <w:r w:rsidRPr="00B73550">
        <w:rPr>
          <w:rFonts w:eastAsiaTheme="minorHAnsi"/>
        </w:rPr>
        <w:t xml:space="preserve">. Wellington: </w:t>
      </w:r>
      <w:r>
        <w:rPr>
          <w:rFonts w:eastAsiaTheme="minorHAnsi"/>
        </w:rPr>
        <w:t>National Screening Unit</w:t>
      </w:r>
      <w:r w:rsidRPr="00B73550">
        <w:rPr>
          <w:rFonts w:eastAsiaTheme="minorHAnsi"/>
        </w:rPr>
        <w:t>.</w:t>
      </w:r>
    </w:p>
  </w:footnote>
  <w:footnote w:id="33">
    <w:p w14:paraId="2FA2D1BD" w14:textId="54C49312" w:rsidR="009077BC" w:rsidRDefault="009077BC" w:rsidP="00654B21">
      <w:pPr>
        <w:pStyle w:val="FootnoteText"/>
      </w:pPr>
      <w:r w:rsidRPr="0038750D">
        <w:rPr>
          <w:rStyle w:val="FootnoteReference"/>
        </w:rPr>
        <w:footnoteRef/>
      </w:r>
      <w:r>
        <w:tab/>
      </w:r>
      <w:r w:rsidRPr="00B73550">
        <w:t>Royal Australasian College of Surgeons</w:t>
      </w:r>
      <w:r>
        <w:t>.</w:t>
      </w:r>
      <w:r w:rsidRPr="00B73550">
        <w:t xml:space="preserve"> 2014</w:t>
      </w:r>
      <w:r>
        <w:t xml:space="preserve">. </w:t>
      </w:r>
      <w:r w:rsidRPr="00D950E5">
        <w:rPr>
          <w:i/>
        </w:rPr>
        <w:t>BREASTSURGANZ Quality Audit: Report on early and locally advanced breast cancers diagnosed in New Zealand patients in 2012</w:t>
      </w:r>
      <w:r>
        <w:t xml:space="preserve">. North Adelaide: </w:t>
      </w:r>
      <w:r w:rsidRPr="00B73550">
        <w:t>Royal Australasian College of Surgeons</w:t>
      </w:r>
      <w:r>
        <w:t>.</w:t>
      </w:r>
    </w:p>
  </w:footnote>
  <w:footnote w:id="34">
    <w:p w14:paraId="1455153B" w14:textId="0E8185B5" w:rsidR="009077BC" w:rsidRDefault="009077BC" w:rsidP="00654B21">
      <w:pPr>
        <w:pStyle w:val="FootnoteText"/>
      </w:pPr>
      <w:r w:rsidRPr="0038750D">
        <w:rPr>
          <w:rStyle w:val="FootnoteReference"/>
        </w:rPr>
        <w:footnoteRef/>
      </w:r>
      <w:r>
        <w:tab/>
      </w:r>
      <w:r w:rsidRPr="00C65B01">
        <w:t>Tan</w:t>
      </w:r>
      <w:r>
        <w:t xml:space="preserve"> JHJ</w:t>
      </w:r>
      <w:r w:rsidRPr="00C65B01">
        <w:t>, Ward</w:t>
      </w:r>
      <w:r>
        <w:t xml:space="preserve"> G</w:t>
      </w:r>
      <w:r w:rsidRPr="00C65B01">
        <w:t>, Thompson</w:t>
      </w:r>
      <w:r>
        <w:t xml:space="preserve"> LH. 2015. </w:t>
      </w:r>
      <w:r w:rsidRPr="0038750D">
        <w:rPr>
          <w:i/>
        </w:rPr>
        <w:t>Report of the Parliamentary Review Committee regarding the New Zealand Cervical Screening Programme</w:t>
      </w:r>
      <w:r w:rsidRPr="00C65B01">
        <w:t xml:space="preserve">. </w:t>
      </w:r>
      <w:r>
        <w:t>Wellington:</w:t>
      </w:r>
      <w:r w:rsidRPr="00C65B01">
        <w:t xml:space="preserve"> Ministry of Health.</w:t>
      </w:r>
    </w:p>
  </w:footnote>
  <w:footnote w:id="35">
    <w:p w14:paraId="1F1C3C8C" w14:textId="77777777" w:rsidR="009077BC" w:rsidRDefault="009077BC" w:rsidP="00654B21">
      <w:pPr>
        <w:pStyle w:val="FootnoteText"/>
      </w:pPr>
      <w:r w:rsidRPr="00836635">
        <w:rPr>
          <w:rStyle w:val="FootnoteReference"/>
        </w:rPr>
        <w:footnoteRef/>
      </w:r>
      <w:r>
        <w:tab/>
        <w:t>Māori, Pacific and Asian women and any other women aged 30 to 69 years who are unscreened or under-screened.</w:t>
      </w:r>
    </w:p>
  </w:footnote>
  <w:footnote w:id="36">
    <w:p w14:paraId="194B7E9C" w14:textId="77777777" w:rsidR="009077BC" w:rsidRPr="003640AC" w:rsidRDefault="009077BC" w:rsidP="00654B21">
      <w:pPr>
        <w:pStyle w:val="FootnoteText"/>
        <w:rPr>
          <w:i/>
        </w:rPr>
      </w:pPr>
      <w:r w:rsidRPr="00836635">
        <w:rPr>
          <w:rStyle w:val="FootnoteReference"/>
        </w:rPr>
        <w:footnoteRef/>
      </w:r>
      <w:r>
        <w:tab/>
      </w:r>
      <w:r w:rsidRPr="00AB25C8">
        <w:t xml:space="preserve">Coverage is defined as the number of women aged 25 to 69 years of age who have been screening within the previous three years. The screening coverage runs on a </w:t>
      </w:r>
      <w:r>
        <w:t>‘</w:t>
      </w:r>
      <w:r w:rsidRPr="00AB25C8">
        <w:t>within three year</w:t>
      </w:r>
      <w:r>
        <w:t>’</w:t>
      </w:r>
      <w:r w:rsidRPr="00AB25C8">
        <w:t xml:space="preserve"> cycle therefore the reporting cycle begins at 25 years of age.</w:t>
      </w:r>
    </w:p>
  </w:footnote>
  <w:footnote w:id="37">
    <w:p w14:paraId="0044DF8C" w14:textId="77777777" w:rsidR="009077BC" w:rsidRPr="0039339C" w:rsidRDefault="009077BC" w:rsidP="00654B21">
      <w:pPr>
        <w:pStyle w:val="FootnoteText"/>
      </w:pPr>
      <w:r w:rsidRPr="00836635">
        <w:rPr>
          <w:rStyle w:val="FootnoteReference"/>
        </w:rPr>
        <w:footnoteRef/>
      </w:r>
      <w:r>
        <w:rPr>
          <w:lang w:eastAsia="en-NZ"/>
        </w:rPr>
        <w:tab/>
      </w:r>
      <w:r w:rsidRPr="0039339C">
        <w:rPr>
          <w:lang w:eastAsia="en-NZ"/>
        </w:rPr>
        <w:t>The Health (Cervical Screening (Kaitiaki)) Regulations 1995.</w:t>
      </w:r>
    </w:p>
  </w:footnote>
  <w:footnote w:id="38">
    <w:p w14:paraId="6D40AC2A" w14:textId="77777777" w:rsidR="009077BC" w:rsidRPr="0039339C" w:rsidRDefault="009077BC" w:rsidP="00654B21">
      <w:pPr>
        <w:pStyle w:val="FootnoteText"/>
      </w:pPr>
      <w:r w:rsidRPr="00836635">
        <w:rPr>
          <w:rStyle w:val="FootnoteReference"/>
        </w:rPr>
        <w:footnoteRef/>
      </w:r>
      <w:r>
        <w:rPr>
          <w:lang w:eastAsia="en-NZ"/>
        </w:rPr>
        <w:tab/>
      </w:r>
      <w:r w:rsidRPr="0039339C">
        <w:rPr>
          <w:lang w:eastAsia="en-NZ"/>
        </w:rPr>
        <w:t>Report of the Parliamentary Review Committee regarding the NZ Cervical Screening Programme, NZ</w:t>
      </w:r>
      <w:r>
        <w:rPr>
          <w:lang w:eastAsia="en-NZ"/>
        </w:rPr>
        <w:t> </w:t>
      </w:r>
      <w:r w:rsidRPr="0039339C">
        <w:rPr>
          <w:lang w:eastAsia="en-NZ"/>
        </w:rPr>
        <w:t>Government, June 2015</w:t>
      </w:r>
      <w:r>
        <w:rPr>
          <w:lang w:eastAsia="en-NZ"/>
        </w:rPr>
        <w:t>.</w:t>
      </w:r>
    </w:p>
  </w:footnote>
  <w:footnote w:id="39">
    <w:p w14:paraId="6519AAD6" w14:textId="19F331B8" w:rsidR="009077BC" w:rsidRPr="0039339C" w:rsidRDefault="009077BC" w:rsidP="00654B21">
      <w:pPr>
        <w:pStyle w:val="FootnoteText"/>
        <w:rPr>
          <w:lang w:eastAsia="en-NZ"/>
        </w:rPr>
      </w:pPr>
      <w:r w:rsidRPr="00836635">
        <w:rPr>
          <w:rStyle w:val="FootnoteReference"/>
        </w:rPr>
        <w:footnoteRef/>
      </w:r>
      <w:r>
        <w:rPr>
          <w:lang w:eastAsia="en-NZ"/>
        </w:rPr>
        <w:tab/>
      </w:r>
      <w:r w:rsidRPr="0039339C">
        <w:rPr>
          <w:lang w:eastAsia="en-NZ"/>
        </w:rPr>
        <w:t xml:space="preserve">WHO. 2014. </w:t>
      </w:r>
      <w:r>
        <w:rPr>
          <w:i/>
          <w:lang w:eastAsia="en-NZ"/>
        </w:rPr>
        <w:t>Comprehensive Cervical Cancer Control: A guide to essential practice, Second edition</w:t>
      </w:r>
      <w:r w:rsidRPr="0039339C">
        <w:rPr>
          <w:lang w:eastAsia="en-NZ"/>
        </w:rPr>
        <w:t>. Geneva: World Health Organi</w:t>
      </w:r>
      <w:r>
        <w:rPr>
          <w:lang w:eastAsia="en-NZ"/>
        </w:rPr>
        <w:t>z</w:t>
      </w:r>
      <w:r w:rsidRPr="0039339C">
        <w:rPr>
          <w:lang w:eastAsia="en-NZ"/>
        </w:rPr>
        <w:t xml:space="preserve">ation. URL: </w:t>
      </w:r>
      <w:r w:rsidRPr="00836635">
        <w:rPr>
          <w:rStyle w:val="Hyperlink"/>
        </w:rPr>
        <w:t>http://apps.who.int/iris/bitstream/10665/144785/1/9789241548953_eng.pdf</w:t>
      </w:r>
      <w:r w:rsidRPr="0039339C">
        <w:rPr>
          <w:lang w:eastAsia="en-NZ"/>
        </w:rPr>
        <w:t xml:space="preserve"> (accessed 9</w:t>
      </w:r>
      <w:r>
        <w:rPr>
          <w:lang w:eastAsia="en-NZ"/>
        </w:rPr>
        <w:t> </w:t>
      </w:r>
      <w:r w:rsidRPr="0039339C">
        <w:rPr>
          <w:lang w:eastAsia="en-NZ"/>
        </w:rPr>
        <w:t>September 2015).</w:t>
      </w:r>
    </w:p>
  </w:footnote>
  <w:footnote w:id="40">
    <w:p w14:paraId="24BBCB68" w14:textId="77777777" w:rsidR="009077BC" w:rsidRPr="0039339C" w:rsidRDefault="009077BC" w:rsidP="00654B21">
      <w:pPr>
        <w:pStyle w:val="FootnoteText"/>
      </w:pPr>
      <w:r w:rsidRPr="00836635">
        <w:rPr>
          <w:rStyle w:val="FootnoteReference"/>
        </w:rPr>
        <w:footnoteRef/>
      </w:r>
      <w:r>
        <w:rPr>
          <w:lang w:eastAsia="en-NZ"/>
        </w:rPr>
        <w:tab/>
      </w:r>
      <w:r w:rsidRPr="0039339C">
        <w:rPr>
          <w:lang w:eastAsia="en-NZ"/>
        </w:rPr>
        <w:t xml:space="preserve">Lew J-B, Simms K, Smith M, </w:t>
      </w:r>
      <w:r>
        <w:rPr>
          <w:lang w:eastAsia="en-NZ"/>
        </w:rPr>
        <w:t>et al</w:t>
      </w:r>
      <w:r w:rsidRPr="0039339C">
        <w:rPr>
          <w:lang w:eastAsia="en-NZ"/>
        </w:rPr>
        <w:t xml:space="preserve">. 2016. Effectiveness </w:t>
      </w:r>
      <w:r>
        <w:rPr>
          <w:lang w:eastAsia="en-NZ"/>
        </w:rPr>
        <w:t>m</w:t>
      </w:r>
      <w:r w:rsidRPr="0039339C">
        <w:rPr>
          <w:lang w:eastAsia="en-NZ"/>
        </w:rPr>
        <w:t xml:space="preserve">odelling and </w:t>
      </w:r>
      <w:r>
        <w:rPr>
          <w:lang w:eastAsia="en-NZ"/>
        </w:rPr>
        <w:t>e</w:t>
      </w:r>
      <w:r w:rsidRPr="0039339C">
        <w:rPr>
          <w:lang w:eastAsia="en-NZ"/>
        </w:rPr>
        <w:t xml:space="preserve">conomic </w:t>
      </w:r>
      <w:r>
        <w:rPr>
          <w:lang w:eastAsia="en-NZ"/>
        </w:rPr>
        <w:t>e</w:t>
      </w:r>
      <w:r w:rsidRPr="0039339C">
        <w:rPr>
          <w:lang w:eastAsia="en-NZ"/>
        </w:rPr>
        <w:t xml:space="preserve">valuation of </w:t>
      </w:r>
      <w:r>
        <w:rPr>
          <w:lang w:eastAsia="en-NZ"/>
        </w:rPr>
        <w:t>p</w:t>
      </w:r>
      <w:r w:rsidRPr="0039339C">
        <w:rPr>
          <w:lang w:eastAsia="en-NZ"/>
        </w:rPr>
        <w:t xml:space="preserve">rimary HPV </w:t>
      </w:r>
      <w:r>
        <w:rPr>
          <w:lang w:eastAsia="en-NZ"/>
        </w:rPr>
        <w:t>s</w:t>
      </w:r>
      <w:r w:rsidRPr="0039339C">
        <w:rPr>
          <w:lang w:eastAsia="en-NZ"/>
        </w:rPr>
        <w:t xml:space="preserve">creening for </w:t>
      </w:r>
      <w:r>
        <w:rPr>
          <w:lang w:eastAsia="en-NZ"/>
        </w:rPr>
        <w:t>c</w:t>
      </w:r>
      <w:r w:rsidRPr="0039339C">
        <w:rPr>
          <w:lang w:eastAsia="en-NZ"/>
        </w:rPr>
        <w:t xml:space="preserve">ervical </w:t>
      </w:r>
      <w:r>
        <w:rPr>
          <w:lang w:eastAsia="en-NZ"/>
        </w:rPr>
        <w:t>c</w:t>
      </w:r>
      <w:r w:rsidRPr="0039339C">
        <w:rPr>
          <w:lang w:eastAsia="en-NZ"/>
        </w:rPr>
        <w:t xml:space="preserve">ancer </w:t>
      </w:r>
      <w:r>
        <w:rPr>
          <w:lang w:eastAsia="en-NZ"/>
        </w:rPr>
        <w:t>p</w:t>
      </w:r>
      <w:r w:rsidRPr="0039339C">
        <w:rPr>
          <w:lang w:eastAsia="en-NZ"/>
        </w:rPr>
        <w:t xml:space="preserve">revention in New Zealand. </w:t>
      </w:r>
      <w:r w:rsidRPr="00836635">
        <w:rPr>
          <w:i/>
          <w:lang w:eastAsia="en-NZ"/>
        </w:rPr>
        <w:t>PLoS ONE</w:t>
      </w:r>
      <w:r w:rsidRPr="0039339C">
        <w:rPr>
          <w:lang w:eastAsia="en-NZ"/>
        </w:rPr>
        <w:t xml:space="preserve"> 11(5): e0151619. doi:10.1371/journal.pone.0151619, May.</w:t>
      </w:r>
    </w:p>
  </w:footnote>
  <w:footnote w:id="41">
    <w:p w14:paraId="53770B54" w14:textId="77777777" w:rsidR="009077BC" w:rsidRDefault="009077BC" w:rsidP="00654B21">
      <w:pPr>
        <w:pStyle w:val="FootnoteText"/>
      </w:pPr>
      <w:r w:rsidRPr="00836635">
        <w:rPr>
          <w:rStyle w:val="FootnoteReference"/>
        </w:rPr>
        <w:footnoteRef/>
      </w:r>
      <w:r>
        <w:rPr>
          <w:lang w:eastAsia="en-NZ"/>
        </w:rPr>
        <w:tab/>
      </w:r>
      <w:r w:rsidRPr="0039339C">
        <w:rPr>
          <w:lang w:eastAsia="en-NZ"/>
        </w:rPr>
        <w:t xml:space="preserve">Franco E, Cuzick J, Hildesheim A, </w:t>
      </w:r>
      <w:r>
        <w:rPr>
          <w:lang w:eastAsia="en-NZ"/>
        </w:rPr>
        <w:t>et al</w:t>
      </w:r>
      <w:r w:rsidRPr="0039339C">
        <w:rPr>
          <w:lang w:eastAsia="en-NZ"/>
        </w:rPr>
        <w:t xml:space="preserve">. </w:t>
      </w:r>
      <w:r>
        <w:rPr>
          <w:lang w:eastAsia="en-NZ"/>
        </w:rPr>
        <w:t xml:space="preserve">2006. </w:t>
      </w:r>
      <w:r w:rsidRPr="0039339C">
        <w:rPr>
          <w:lang w:eastAsia="en-NZ"/>
        </w:rPr>
        <w:t xml:space="preserve">Chapter 20: Issues in planning cervical cancer screening in the era of HPV vaccination. </w:t>
      </w:r>
      <w:r w:rsidRPr="00836635">
        <w:rPr>
          <w:i/>
          <w:lang w:eastAsia="en-NZ"/>
        </w:rPr>
        <w:t>Vaccine</w:t>
      </w:r>
      <w:r w:rsidRPr="0039339C">
        <w:rPr>
          <w:lang w:eastAsia="en-NZ"/>
        </w:rPr>
        <w:t xml:space="preserve"> 24S3: 17</w:t>
      </w:r>
      <w:r>
        <w:rPr>
          <w:lang w:eastAsia="en-NZ"/>
        </w:rPr>
        <w:t>1–</w:t>
      </w:r>
      <w:r w:rsidRPr="0039339C">
        <w:rPr>
          <w:lang w:eastAsia="en-NZ"/>
        </w:rPr>
        <w:t>7.</w:t>
      </w:r>
    </w:p>
  </w:footnote>
  <w:footnote w:id="42">
    <w:p w14:paraId="18FA7859" w14:textId="21C725D4" w:rsidR="009077BC" w:rsidRDefault="009077BC" w:rsidP="00654B21">
      <w:pPr>
        <w:pStyle w:val="FootnoteText"/>
      </w:pPr>
      <w:r w:rsidRPr="00836635">
        <w:rPr>
          <w:rStyle w:val="FootnoteReference"/>
        </w:rPr>
        <w:footnoteRef/>
      </w:r>
      <w:r>
        <w:tab/>
        <w:t xml:space="preserve">He Tapu te Whare Tangata. 2018. </w:t>
      </w:r>
      <w:r w:rsidRPr="00836635">
        <w:rPr>
          <w:i/>
        </w:rPr>
        <w:t xml:space="preserve">Research to </w:t>
      </w:r>
      <w:r>
        <w:rPr>
          <w:i/>
        </w:rPr>
        <w:t>I</w:t>
      </w:r>
      <w:r w:rsidRPr="00836635">
        <w:rPr>
          <w:i/>
        </w:rPr>
        <w:t xml:space="preserve">nform </w:t>
      </w:r>
      <w:r>
        <w:rPr>
          <w:i/>
        </w:rPr>
        <w:t>C</w:t>
      </w:r>
      <w:r w:rsidRPr="00836635">
        <w:rPr>
          <w:i/>
        </w:rPr>
        <w:t xml:space="preserve">ervical </w:t>
      </w:r>
      <w:r>
        <w:rPr>
          <w:i/>
        </w:rPr>
        <w:t>S</w:t>
      </w:r>
      <w:r w:rsidRPr="00836635">
        <w:rPr>
          <w:i/>
        </w:rPr>
        <w:t xml:space="preserve">creening </w:t>
      </w:r>
      <w:r>
        <w:rPr>
          <w:i/>
        </w:rPr>
        <w:t>S</w:t>
      </w:r>
      <w:r w:rsidRPr="00836635">
        <w:rPr>
          <w:i/>
        </w:rPr>
        <w:t xml:space="preserve">trategies for Māori </w:t>
      </w:r>
      <w:r>
        <w:rPr>
          <w:i/>
        </w:rPr>
        <w:t>W</w:t>
      </w:r>
      <w:r w:rsidRPr="00836635">
        <w:rPr>
          <w:i/>
        </w:rPr>
        <w:t>omen</w:t>
      </w:r>
      <w:r>
        <w:t>. Wellington: Women’s Health Research Centre, University of Otago.</w:t>
      </w:r>
    </w:p>
  </w:footnote>
  <w:footnote w:id="43">
    <w:p w14:paraId="5BE7B836" w14:textId="77777777" w:rsidR="009077BC" w:rsidRPr="0058772C" w:rsidRDefault="009077BC" w:rsidP="00654B21">
      <w:pPr>
        <w:pStyle w:val="FootnoteText"/>
      </w:pPr>
      <w:r w:rsidRPr="00836635">
        <w:rPr>
          <w:rStyle w:val="FootnoteReference"/>
        </w:rPr>
        <w:footnoteRef/>
      </w:r>
      <w:r>
        <w:tab/>
      </w:r>
      <w:r w:rsidRPr="0058772C">
        <w:t>Sasieni P, Castanon A</w:t>
      </w:r>
      <w:r>
        <w:t>,</w:t>
      </w:r>
      <w:r w:rsidRPr="0058772C">
        <w:t xml:space="preserve"> Cuzick J. 2009. Screening and adenocarcinoma of the cervix. </w:t>
      </w:r>
      <w:r w:rsidRPr="00836635">
        <w:rPr>
          <w:i/>
        </w:rPr>
        <w:t>Int J Cancer</w:t>
      </w:r>
      <w:r w:rsidRPr="0058772C">
        <w:t xml:space="preserve"> 125(3):</w:t>
      </w:r>
      <w:r>
        <w:t> </w:t>
      </w:r>
      <w:r w:rsidRPr="0058772C">
        <w:t>525</w:t>
      </w:r>
      <w:r>
        <w:t>–</w:t>
      </w:r>
      <w:r w:rsidRPr="0058772C">
        <w:t>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882B9" w14:textId="77777777" w:rsidR="009077BC" w:rsidRDefault="009077B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1D3D5" w14:textId="77777777" w:rsidR="009077BC" w:rsidRDefault="009077B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9553E" w14:textId="77777777" w:rsidR="009077BC" w:rsidRDefault="009077B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94BA4" w14:textId="77777777" w:rsidR="009077BC" w:rsidRDefault="009077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4A0" w:firstRow="1" w:lastRow="0" w:firstColumn="1" w:lastColumn="0" w:noHBand="0" w:noVBand="1"/>
    </w:tblPr>
    <w:tblGrid>
      <w:gridCol w:w="5210"/>
      <w:gridCol w:w="4429"/>
    </w:tblGrid>
    <w:tr w:rsidR="009077BC" w14:paraId="3756F865" w14:textId="77777777" w:rsidTr="005A79E5">
      <w:trPr>
        <w:cantSplit/>
      </w:trPr>
      <w:tc>
        <w:tcPr>
          <w:tcW w:w="5210" w:type="dxa"/>
        </w:tcPr>
        <w:p w14:paraId="7E1B1D1F" w14:textId="77777777" w:rsidR="009077BC" w:rsidRDefault="009077BC" w:rsidP="008814E8">
          <w:pPr>
            <w:pStyle w:val="Header"/>
          </w:pPr>
          <w:r>
            <w:rPr>
              <w:noProof/>
              <w:lang w:eastAsia="en-NZ"/>
            </w:rPr>
            <w:drawing>
              <wp:inline distT="0" distB="0" distL="0" distR="0" wp14:anchorId="1C518416" wp14:editId="7E44FC4E">
                <wp:extent cx="1395076" cy="5735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_logo1_RGB.jpg"/>
                        <pic:cNvPicPr/>
                      </pic:nvPicPr>
                      <pic:blipFill rotWithShape="1">
                        <a:blip r:embed="rId1" cstate="print">
                          <a:extLst>
                            <a:ext uri="{28A0092B-C50C-407E-A947-70E740481C1C}">
                              <a14:useLocalDpi xmlns:a14="http://schemas.microsoft.com/office/drawing/2010/main" val="0"/>
                            </a:ext>
                          </a:extLst>
                        </a:blip>
                        <a:srcRect l="7327" t="15285" r="7327" b="13946"/>
                        <a:stretch/>
                      </pic:blipFill>
                      <pic:spPr bwMode="auto">
                        <a:xfrm>
                          <a:off x="0" y="0"/>
                          <a:ext cx="1397853" cy="574720"/>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71391E94" w14:textId="77777777" w:rsidR="009077BC" w:rsidRDefault="009077BC" w:rsidP="008814E8">
          <w:pPr>
            <w:pStyle w:val="Header"/>
            <w:jc w:val="right"/>
          </w:pPr>
          <w:r>
            <w:rPr>
              <w:noProof/>
              <w:lang w:eastAsia="en-NZ"/>
            </w:rPr>
            <w:drawing>
              <wp:inline distT="0" distB="0" distL="0" distR="0" wp14:anchorId="37904502" wp14:editId="34B41D31">
                <wp:extent cx="1720735" cy="177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governmentblacksmall.jpg"/>
                        <pic:cNvPicPr/>
                      </pic:nvPicPr>
                      <pic:blipFill>
                        <a:blip r:embed="rId2">
                          <a:extLst>
                            <a:ext uri="{28A0092B-C50C-407E-A947-70E740481C1C}">
                              <a14:useLocalDpi xmlns:a14="http://schemas.microsoft.com/office/drawing/2010/main" val="0"/>
                            </a:ext>
                          </a:extLst>
                        </a:blip>
                        <a:stretch>
                          <a:fillRect/>
                        </a:stretch>
                      </pic:blipFill>
                      <pic:spPr>
                        <a:xfrm>
                          <a:off x="0" y="0"/>
                          <a:ext cx="1718896" cy="176946"/>
                        </a:xfrm>
                        <a:prstGeom prst="rect">
                          <a:avLst/>
                        </a:prstGeom>
                      </pic:spPr>
                    </pic:pic>
                  </a:graphicData>
                </a:graphic>
              </wp:inline>
            </w:drawing>
          </w:r>
        </w:p>
      </w:tc>
    </w:tr>
  </w:tbl>
  <w:p w14:paraId="1E84126F" w14:textId="77777777" w:rsidR="009077BC" w:rsidRDefault="009077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6353E" w14:textId="77777777" w:rsidR="009077BC" w:rsidRDefault="009077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ABDD9" w14:textId="77777777" w:rsidR="009077BC" w:rsidRDefault="009077BC" w:rsidP="00533B9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9F384" w14:textId="77777777" w:rsidR="009077BC" w:rsidRDefault="009077BC" w:rsidP="0090019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C2841" w14:textId="77777777" w:rsidR="009077BC" w:rsidRDefault="009077BC" w:rsidP="00F51523">
    <w:pPr>
      <w:pStyle w:val="Header"/>
      <w:spacing w:after="24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1A590" w14:textId="77777777" w:rsidR="009077BC" w:rsidRPr="00F51523" w:rsidRDefault="009077BC" w:rsidP="00F5152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AF3D1" w14:textId="77777777" w:rsidR="009077BC" w:rsidRDefault="009077B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496DE" w14:textId="77777777" w:rsidR="009077BC" w:rsidRDefault="009077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817C7"/>
    <w:multiLevelType w:val="multilevel"/>
    <w:tmpl w:val="469088B2"/>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pStyle w:val="Heading3"/>
      <w:suff w:val="nothing"/>
      <w:lvlText w:val="%3"/>
      <w:lvlJc w:val="left"/>
      <w:pPr>
        <w:ind w:left="0" w:firstLine="0"/>
      </w:pPr>
      <w:rPr>
        <w:rFonts w:hint="default"/>
      </w:rPr>
    </w:lvl>
    <w:lvl w:ilvl="3">
      <w:start w:val="1"/>
      <w:numFmt w:val="decimal"/>
      <w:pStyle w:val="Number"/>
      <w:lvlText w:val="%4."/>
      <w:lvlJc w:val="left"/>
      <w:pPr>
        <w:ind w:left="567" w:hanging="567"/>
      </w:pPr>
      <w:rPr>
        <w:rFonts w:hint="default"/>
      </w:rPr>
    </w:lvl>
    <w:lvl w:ilvl="4">
      <w:start w:val="1"/>
      <w:numFmt w:val="lowerLetter"/>
      <w:pStyle w:val="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15:restartNumberingAfterBreak="0">
    <w:nsid w:val="04F01D62"/>
    <w:multiLevelType w:val="hybridMultilevel"/>
    <w:tmpl w:val="EAE844D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07957ED9"/>
    <w:multiLevelType w:val="hybridMultilevel"/>
    <w:tmpl w:val="4A56145E"/>
    <w:lvl w:ilvl="0" w:tplc="7504B528">
      <w:numFmt w:val="bullet"/>
      <w:lvlText w:val="•"/>
      <w:lvlJc w:val="left"/>
      <w:pPr>
        <w:ind w:left="924" w:hanging="564"/>
      </w:pPr>
      <w:rPr>
        <w:rFonts w:ascii="Segoe UI" w:eastAsia="Times New Roman" w:hAnsi="Segoe UI" w:cs="Segoe U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2711ECE"/>
    <w:multiLevelType w:val="hybridMultilevel"/>
    <w:tmpl w:val="D2547D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4907B6C"/>
    <w:multiLevelType w:val="hybridMultilevel"/>
    <w:tmpl w:val="6B7A90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6CD3A03"/>
    <w:multiLevelType w:val="hybridMultilevel"/>
    <w:tmpl w:val="699E622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34DC1C84"/>
    <w:multiLevelType w:val="hybridMultilevel"/>
    <w:tmpl w:val="54745D3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8596BB4"/>
    <w:multiLevelType w:val="hybridMultilevel"/>
    <w:tmpl w:val="A71A41E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8C05273"/>
    <w:multiLevelType w:val="hybridMultilevel"/>
    <w:tmpl w:val="B65C8F4E"/>
    <w:lvl w:ilvl="0" w:tplc="7504B528">
      <w:numFmt w:val="bullet"/>
      <w:lvlText w:val="•"/>
      <w:lvlJc w:val="left"/>
      <w:pPr>
        <w:ind w:left="924" w:hanging="564"/>
      </w:pPr>
      <w:rPr>
        <w:rFonts w:ascii="Segoe UI" w:eastAsia="Times New Roman" w:hAnsi="Segoe UI" w:cs="Segoe U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DF10AB0"/>
    <w:multiLevelType w:val="hybridMultilevel"/>
    <w:tmpl w:val="7012F8B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3F0B5866"/>
    <w:multiLevelType w:val="hybridMultilevel"/>
    <w:tmpl w:val="8E84EB3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5DC5482"/>
    <w:multiLevelType w:val="hybridMultilevel"/>
    <w:tmpl w:val="92F0AA30"/>
    <w:lvl w:ilvl="0" w:tplc="1409000F">
      <w:start w:val="1"/>
      <w:numFmt w:val="decimal"/>
      <w:lvlText w:val="%1."/>
      <w:lvlJc w:val="left"/>
      <w:pPr>
        <w:ind w:left="720" w:hanging="360"/>
      </w:pPr>
    </w:lvl>
    <w:lvl w:ilvl="1" w:tplc="14090001">
      <w:start w:val="1"/>
      <w:numFmt w:val="bullet"/>
      <w:lvlText w:val=""/>
      <w:lvlJc w:val="left"/>
      <w:pPr>
        <w:ind w:left="1440" w:hanging="360"/>
      </w:pPr>
      <w:rPr>
        <w:rFonts w:ascii="Symbol" w:hAnsi="Symbol" w:hint="default"/>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4B8B5890"/>
    <w:multiLevelType w:val="hybridMultilevel"/>
    <w:tmpl w:val="ACCC9F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5D485061"/>
    <w:multiLevelType w:val="hybridMultilevel"/>
    <w:tmpl w:val="E43690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6C2E5F71"/>
    <w:multiLevelType w:val="hybridMultilevel"/>
    <w:tmpl w:val="94F29CD6"/>
    <w:lvl w:ilvl="0" w:tplc="14090001">
      <w:start w:val="1"/>
      <w:numFmt w:val="bullet"/>
      <w:lvlText w:val=""/>
      <w:lvlJc w:val="left"/>
      <w:pPr>
        <w:ind w:left="927" w:hanging="360"/>
      </w:pPr>
      <w:rPr>
        <w:rFonts w:ascii="Symbol" w:hAnsi="Symbol" w:hint="default"/>
        <w:b w:val="0"/>
      </w:rPr>
    </w:lvl>
    <w:lvl w:ilvl="1" w:tplc="14090001">
      <w:start w:val="1"/>
      <w:numFmt w:val="bullet"/>
      <w:lvlText w:val=""/>
      <w:lvlJc w:val="left"/>
      <w:pPr>
        <w:ind w:left="1440" w:hanging="360"/>
      </w:pPr>
      <w:rPr>
        <w:rFonts w:ascii="Symbol" w:hAnsi="Symbol" w:hint="default"/>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727F3A25"/>
    <w:multiLevelType w:val="hybridMultilevel"/>
    <w:tmpl w:val="A2622FA4"/>
    <w:lvl w:ilvl="0" w:tplc="DAAC9CA0">
      <w:start w:val="1"/>
      <w:numFmt w:val="bullet"/>
      <w:pStyle w:val="Shadedboxbullet"/>
      <w:lvlText w:val="•"/>
      <w:lvlJc w:val="left"/>
      <w:pPr>
        <w:ind w:left="644" w:hanging="360"/>
      </w:pPr>
      <w:rPr>
        <w:rFonts w:ascii="Segoe UI" w:hAnsi="Segoe UI" w:hint="default"/>
        <w:b w:val="0"/>
        <w:bCs w:val="0"/>
        <w:i w:val="0"/>
        <w:iCs w:val="0"/>
        <w:color w:val="auto"/>
        <w:sz w:val="20"/>
        <w:szCs w:val="24"/>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9" w15:restartNumberingAfterBreak="0">
    <w:nsid w:val="79337511"/>
    <w:multiLevelType w:val="hybridMultilevel"/>
    <w:tmpl w:val="0248D8C0"/>
    <w:lvl w:ilvl="0" w:tplc="C31A672E">
      <w:start w:val="1"/>
      <w:numFmt w:val="bullet"/>
      <w:lvlText w:val=""/>
      <w:lvlJc w:val="left"/>
      <w:pPr>
        <w:ind w:left="360" w:hanging="360"/>
      </w:pPr>
      <w:rPr>
        <w:rFonts w:ascii="Symbol" w:hAnsi="Symbol" w:hint="default"/>
        <w:color w:val="auto"/>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abstractNum w:abstractNumId="21" w15:restartNumberingAfterBreak="0">
    <w:nsid w:val="7C3855A9"/>
    <w:multiLevelType w:val="hybridMultilevel"/>
    <w:tmpl w:val="C2D2963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7FD30612"/>
    <w:multiLevelType w:val="hybridMultilevel"/>
    <w:tmpl w:val="2632D9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0"/>
  </w:num>
  <w:num w:numId="2">
    <w:abstractNumId w:val="10"/>
  </w:num>
  <w:num w:numId="3">
    <w:abstractNumId w:val="13"/>
  </w:num>
  <w:num w:numId="4">
    <w:abstractNumId w:val="1"/>
  </w:num>
  <w:num w:numId="5">
    <w:abstractNumId w:val="0"/>
  </w:num>
  <w:num w:numId="6">
    <w:abstractNumId w:val="4"/>
  </w:num>
  <w:num w:numId="7">
    <w:abstractNumId w:val="11"/>
  </w:num>
  <w:num w:numId="8">
    <w:abstractNumId w:val="2"/>
  </w:num>
  <w:num w:numId="9">
    <w:abstractNumId w:val="5"/>
  </w:num>
  <w:num w:numId="10">
    <w:abstractNumId w:val="19"/>
  </w:num>
  <w:num w:numId="11">
    <w:abstractNumId w:val="14"/>
  </w:num>
  <w:num w:numId="12">
    <w:abstractNumId w:val="17"/>
  </w:num>
  <w:num w:numId="13">
    <w:abstractNumId w:val="7"/>
  </w:num>
  <w:num w:numId="14">
    <w:abstractNumId w:val="16"/>
  </w:num>
  <w:num w:numId="15">
    <w:abstractNumId w:val="21"/>
  </w:num>
  <w:num w:numId="16">
    <w:abstractNumId w:val="8"/>
  </w:num>
  <w:num w:numId="17">
    <w:abstractNumId w:val="22"/>
  </w:num>
  <w:num w:numId="18">
    <w:abstractNumId w:val="12"/>
  </w:num>
  <w:num w:numId="19">
    <w:abstractNumId w:val="6"/>
  </w:num>
  <w:num w:numId="20">
    <w:abstractNumId w:val="18"/>
  </w:num>
  <w:num w:numId="21">
    <w:abstractNumId w:val="15"/>
  </w:num>
  <w:num w:numId="22">
    <w:abstractNumId w:val="9"/>
  </w:num>
  <w:num w:numId="23">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8EB"/>
    <w:rsid w:val="000025B8"/>
    <w:rsid w:val="0000551D"/>
    <w:rsid w:val="00005579"/>
    <w:rsid w:val="00005BB5"/>
    <w:rsid w:val="0002348D"/>
    <w:rsid w:val="00023FCA"/>
    <w:rsid w:val="00025A6F"/>
    <w:rsid w:val="0002618D"/>
    <w:rsid w:val="00027002"/>
    <w:rsid w:val="0002781D"/>
    <w:rsid w:val="00030B26"/>
    <w:rsid w:val="00030E84"/>
    <w:rsid w:val="00032C0A"/>
    <w:rsid w:val="00035257"/>
    <w:rsid w:val="00035D68"/>
    <w:rsid w:val="00036027"/>
    <w:rsid w:val="00043672"/>
    <w:rsid w:val="000477A2"/>
    <w:rsid w:val="00053921"/>
    <w:rsid w:val="00054B44"/>
    <w:rsid w:val="000565DB"/>
    <w:rsid w:val="0006006B"/>
    <w:rsid w:val="00060BED"/>
    <w:rsid w:val="0006228D"/>
    <w:rsid w:val="00062616"/>
    <w:rsid w:val="000667F5"/>
    <w:rsid w:val="0007207B"/>
    <w:rsid w:val="00072BD6"/>
    <w:rsid w:val="000738F0"/>
    <w:rsid w:val="00074A01"/>
    <w:rsid w:val="00075B78"/>
    <w:rsid w:val="000763E9"/>
    <w:rsid w:val="00077F66"/>
    <w:rsid w:val="00082CD6"/>
    <w:rsid w:val="0008437D"/>
    <w:rsid w:val="00085AFE"/>
    <w:rsid w:val="00090D3A"/>
    <w:rsid w:val="0009232C"/>
    <w:rsid w:val="00093F4B"/>
    <w:rsid w:val="00094800"/>
    <w:rsid w:val="000A0158"/>
    <w:rsid w:val="000A373D"/>
    <w:rsid w:val="000A41ED"/>
    <w:rsid w:val="000A6457"/>
    <w:rsid w:val="000B0730"/>
    <w:rsid w:val="000B7F7E"/>
    <w:rsid w:val="000C2FDD"/>
    <w:rsid w:val="000D0111"/>
    <w:rsid w:val="000D08EA"/>
    <w:rsid w:val="000D0B3F"/>
    <w:rsid w:val="000D102F"/>
    <w:rsid w:val="000D19F4"/>
    <w:rsid w:val="000D214A"/>
    <w:rsid w:val="000D58DD"/>
    <w:rsid w:val="000D6154"/>
    <w:rsid w:val="000D6D8A"/>
    <w:rsid w:val="000E153C"/>
    <w:rsid w:val="000E3801"/>
    <w:rsid w:val="000E7A1C"/>
    <w:rsid w:val="000F2AE2"/>
    <w:rsid w:val="000F2BFF"/>
    <w:rsid w:val="00102063"/>
    <w:rsid w:val="00103328"/>
    <w:rsid w:val="0010541C"/>
    <w:rsid w:val="001063F2"/>
    <w:rsid w:val="00106F93"/>
    <w:rsid w:val="001100CE"/>
    <w:rsid w:val="00110C6B"/>
    <w:rsid w:val="00111D50"/>
    <w:rsid w:val="001127AC"/>
    <w:rsid w:val="00113B8E"/>
    <w:rsid w:val="00114338"/>
    <w:rsid w:val="00115334"/>
    <w:rsid w:val="001166D2"/>
    <w:rsid w:val="00116847"/>
    <w:rsid w:val="0012053C"/>
    <w:rsid w:val="00122363"/>
    <w:rsid w:val="001232CF"/>
    <w:rsid w:val="00125D45"/>
    <w:rsid w:val="001338CA"/>
    <w:rsid w:val="001342C7"/>
    <w:rsid w:val="0013585C"/>
    <w:rsid w:val="00140176"/>
    <w:rsid w:val="00142261"/>
    <w:rsid w:val="00142954"/>
    <w:rsid w:val="001460E0"/>
    <w:rsid w:val="001462D4"/>
    <w:rsid w:val="00147107"/>
    <w:rsid w:val="001472F0"/>
    <w:rsid w:val="00147F71"/>
    <w:rsid w:val="00150A6E"/>
    <w:rsid w:val="0015264E"/>
    <w:rsid w:val="0016304B"/>
    <w:rsid w:val="0016468A"/>
    <w:rsid w:val="0017070E"/>
    <w:rsid w:val="001757F3"/>
    <w:rsid w:val="0018376C"/>
    <w:rsid w:val="0018662D"/>
    <w:rsid w:val="00192B48"/>
    <w:rsid w:val="00197427"/>
    <w:rsid w:val="001A21B4"/>
    <w:rsid w:val="001A3AC8"/>
    <w:rsid w:val="001A5CF5"/>
    <w:rsid w:val="001B13EC"/>
    <w:rsid w:val="001B39D2"/>
    <w:rsid w:val="001B4BF8"/>
    <w:rsid w:val="001B7B14"/>
    <w:rsid w:val="001C4326"/>
    <w:rsid w:val="001C4BDA"/>
    <w:rsid w:val="001C62E1"/>
    <w:rsid w:val="001C665E"/>
    <w:rsid w:val="001D3541"/>
    <w:rsid w:val="001D3E4E"/>
    <w:rsid w:val="001D6946"/>
    <w:rsid w:val="001E254A"/>
    <w:rsid w:val="001E6B75"/>
    <w:rsid w:val="001E7386"/>
    <w:rsid w:val="001F1060"/>
    <w:rsid w:val="001F2A05"/>
    <w:rsid w:val="001F45A7"/>
    <w:rsid w:val="001F790D"/>
    <w:rsid w:val="0020027C"/>
    <w:rsid w:val="00201A01"/>
    <w:rsid w:val="0020754B"/>
    <w:rsid w:val="002104D3"/>
    <w:rsid w:val="00213A33"/>
    <w:rsid w:val="0021763B"/>
    <w:rsid w:val="00227070"/>
    <w:rsid w:val="00233737"/>
    <w:rsid w:val="0024537F"/>
    <w:rsid w:val="00246DB1"/>
    <w:rsid w:val="002476B5"/>
    <w:rsid w:val="00251A8D"/>
    <w:rsid w:val="002520CC"/>
    <w:rsid w:val="00253ECF"/>
    <w:rsid w:val="00254044"/>
    <w:rsid w:val="002545BA"/>
    <w:rsid w:val="002546A1"/>
    <w:rsid w:val="00254D26"/>
    <w:rsid w:val="00256757"/>
    <w:rsid w:val="002575E8"/>
    <w:rsid w:val="002628F4"/>
    <w:rsid w:val="00271BE4"/>
    <w:rsid w:val="00275D08"/>
    <w:rsid w:val="002806C1"/>
    <w:rsid w:val="002839AF"/>
    <w:rsid w:val="00285716"/>
    <w:rsid w:val="002858E3"/>
    <w:rsid w:val="00285B16"/>
    <w:rsid w:val="0029182F"/>
    <w:rsid w:val="0029190A"/>
    <w:rsid w:val="00292406"/>
    <w:rsid w:val="00292C5A"/>
    <w:rsid w:val="00294EFD"/>
    <w:rsid w:val="00295241"/>
    <w:rsid w:val="002A4DFC"/>
    <w:rsid w:val="002A5AD4"/>
    <w:rsid w:val="002A730B"/>
    <w:rsid w:val="002B047D"/>
    <w:rsid w:val="002B732B"/>
    <w:rsid w:val="002B76A7"/>
    <w:rsid w:val="002B7BEC"/>
    <w:rsid w:val="002C01C4"/>
    <w:rsid w:val="002C2219"/>
    <w:rsid w:val="002C2552"/>
    <w:rsid w:val="002C376C"/>
    <w:rsid w:val="002C380A"/>
    <w:rsid w:val="002C79AB"/>
    <w:rsid w:val="002D0DF2"/>
    <w:rsid w:val="002D23BD"/>
    <w:rsid w:val="002D3C0C"/>
    <w:rsid w:val="002D68F3"/>
    <w:rsid w:val="002E0B47"/>
    <w:rsid w:val="002E3E9F"/>
    <w:rsid w:val="002E449B"/>
    <w:rsid w:val="002F1577"/>
    <w:rsid w:val="002F4458"/>
    <w:rsid w:val="002F4685"/>
    <w:rsid w:val="002F5D84"/>
    <w:rsid w:val="002F7213"/>
    <w:rsid w:val="0030324C"/>
    <w:rsid w:val="0030382F"/>
    <w:rsid w:val="0030408D"/>
    <w:rsid w:val="00304558"/>
    <w:rsid w:val="003060E4"/>
    <w:rsid w:val="003065DE"/>
    <w:rsid w:val="00311A02"/>
    <w:rsid w:val="003160E7"/>
    <w:rsid w:val="0031739E"/>
    <w:rsid w:val="00321DA2"/>
    <w:rsid w:val="003235C6"/>
    <w:rsid w:val="00324B55"/>
    <w:rsid w:val="0032632C"/>
    <w:rsid w:val="003309CA"/>
    <w:rsid w:val="00330B27"/>
    <w:rsid w:val="00331630"/>
    <w:rsid w:val="003325AB"/>
    <w:rsid w:val="003332D1"/>
    <w:rsid w:val="0033412B"/>
    <w:rsid w:val="00341161"/>
    <w:rsid w:val="00343365"/>
    <w:rsid w:val="003440B0"/>
    <w:rsid w:val="003445F4"/>
    <w:rsid w:val="00345B39"/>
    <w:rsid w:val="00353501"/>
    <w:rsid w:val="00353734"/>
    <w:rsid w:val="00353BFB"/>
    <w:rsid w:val="00354652"/>
    <w:rsid w:val="0035555B"/>
    <w:rsid w:val="003606F8"/>
    <w:rsid w:val="003648EF"/>
    <w:rsid w:val="003673E6"/>
    <w:rsid w:val="00370973"/>
    <w:rsid w:val="0037253B"/>
    <w:rsid w:val="00376671"/>
    <w:rsid w:val="00377264"/>
    <w:rsid w:val="003779D2"/>
    <w:rsid w:val="00385E38"/>
    <w:rsid w:val="0038762A"/>
    <w:rsid w:val="00387EDF"/>
    <w:rsid w:val="00397383"/>
    <w:rsid w:val="003A26A5"/>
    <w:rsid w:val="003A3761"/>
    <w:rsid w:val="003A442D"/>
    <w:rsid w:val="003A493A"/>
    <w:rsid w:val="003A512D"/>
    <w:rsid w:val="003A5FEA"/>
    <w:rsid w:val="003A710B"/>
    <w:rsid w:val="003B1D10"/>
    <w:rsid w:val="003B4A96"/>
    <w:rsid w:val="003B4BCF"/>
    <w:rsid w:val="003C3A59"/>
    <w:rsid w:val="003C4DD6"/>
    <w:rsid w:val="003C76D4"/>
    <w:rsid w:val="003C7B54"/>
    <w:rsid w:val="003D137D"/>
    <w:rsid w:val="003D22AF"/>
    <w:rsid w:val="003D2CC5"/>
    <w:rsid w:val="003D3E5C"/>
    <w:rsid w:val="003E04C1"/>
    <w:rsid w:val="003E0887"/>
    <w:rsid w:val="003E2ED6"/>
    <w:rsid w:val="003E74C8"/>
    <w:rsid w:val="003E74E2"/>
    <w:rsid w:val="003E7C46"/>
    <w:rsid w:val="003F2106"/>
    <w:rsid w:val="003F3EA8"/>
    <w:rsid w:val="003F52A7"/>
    <w:rsid w:val="003F7013"/>
    <w:rsid w:val="003F7F6A"/>
    <w:rsid w:val="00402121"/>
    <w:rsid w:val="0040240C"/>
    <w:rsid w:val="00413021"/>
    <w:rsid w:val="00414C35"/>
    <w:rsid w:val="00422619"/>
    <w:rsid w:val="004301C6"/>
    <w:rsid w:val="00431DC7"/>
    <w:rsid w:val="0043478F"/>
    <w:rsid w:val="0043602B"/>
    <w:rsid w:val="004367D2"/>
    <w:rsid w:val="00440BE0"/>
    <w:rsid w:val="004418C1"/>
    <w:rsid w:val="00441903"/>
    <w:rsid w:val="00442A06"/>
    <w:rsid w:val="00442C1C"/>
    <w:rsid w:val="0044584B"/>
    <w:rsid w:val="00446D86"/>
    <w:rsid w:val="00447CB7"/>
    <w:rsid w:val="0045021E"/>
    <w:rsid w:val="00455CC9"/>
    <w:rsid w:val="0045751E"/>
    <w:rsid w:val="004578A6"/>
    <w:rsid w:val="00460826"/>
    <w:rsid w:val="00460B1E"/>
    <w:rsid w:val="00460EA7"/>
    <w:rsid w:val="0046195B"/>
    <w:rsid w:val="0046362D"/>
    <w:rsid w:val="00463EA1"/>
    <w:rsid w:val="0046596D"/>
    <w:rsid w:val="0047172C"/>
    <w:rsid w:val="004731AC"/>
    <w:rsid w:val="00487C04"/>
    <w:rsid w:val="004907E1"/>
    <w:rsid w:val="00494C8E"/>
    <w:rsid w:val="004A035B"/>
    <w:rsid w:val="004A2108"/>
    <w:rsid w:val="004A38D7"/>
    <w:rsid w:val="004A778C"/>
    <w:rsid w:val="004A7F24"/>
    <w:rsid w:val="004B48C7"/>
    <w:rsid w:val="004B4BD7"/>
    <w:rsid w:val="004C2E6A"/>
    <w:rsid w:val="004C64B8"/>
    <w:rsid w:val="004D12AC"/>
    <w:rsid w:val="004D2A2D"/>
    <w:rsid w:val="004D479F"/>
    <w:rsid w:val="004D5318"/>
    <w:rsid w:val="004D6689"/>
    <w:rsid w:val="004E1D1D"/>
    <w:rsid w:val="004E385E"/>
    <w:rsid w:val="004E7AC8"/>
    <w:rsid w:val="004F0C94"/>
    <w:rsid w:val="004F4663"/>
    <w:rsid w:val="005019AE"/>
    <w:rsid w:val="00502F00"/>
    <w:rsid w:val="00503749"/>
    <w:rsid w:val="00504CF4"/>
    <w:rsid w:val="0050635B"/>
    <w:rsid w:val="005075B3"/>
    <w:rsid w:val="00507AA7"/>
    <w:rsid w:val="005151C2"/>
    <w:rsid w:val="00515DFB"/>
    <w:rsid w:val="00517C47"/>
    <w:rsid w:val="005214B3"/>
    <w:rsid w:val="00530269"/>
    <w:rsid w:val="00531952"/>
    <w:rsid w:val="0053199F"/>
    <w:rsid w:val="00531E12"/>
    <w:rsid w:val="005336EE"/>
    <w:rsid w:val="00533B90"/>
    <w:rsid w:val="005410F8"/>
    <w:rsid w:val="005448EC"/>
    <w:rsid w:val="00545963"/>
    <w:rsid w:val="00550116"/>
    <w:rsid w:val="00550256"/>
    <w:rsid w:val="00553165"/>
    <w:rsid w:val="00553958"/>
    <w:rsid w:val="00556BB7"/>
    <w:rsid w:val="0055763D"/>
    <w:rsid w:val="00561516"/>
    <w:rsid w:val="0056185A"/>
    <w:rsid w:val="005621F2"/>
    <w:rsid w:val="00562BF6"/>
    <w:rsid w:val="00567B58"/>
    <w:rsid w:val="00571223"/>
    <w:rsid w:val="00572A9A"/>
    <w:rsid w:val="005763E0"/>
    <w:rsid w:val="00581136"/>
    <w:rsid w:val="00581EB8"/>
    <w:rsid w:val="0058437F"/>
    <w:rsid w:val="00586702"/>
    <w:rsid w:val="00590045"/>
    <w:rsid w:val="00593CA0"/>
    <w:rsid w:val="00595BC7"/>
    <w:rsid w:val="00597AB4"/>
    <w:rsid w:val="005A0955"/>
    <w:rsid w:val="005A27CA"/>
    <w:rsid w:val="005A43BD"/>
    <w:rsid w:val="005A489F"/>
    <w:rsid w:val="005A60EA"/>
    <w:rsid w:val="005A79E5"/>
    <w:rsid w:val="005B3E4F"/>
    <w:rsid w:val="005B55FD"/>
    <w:rsid w:val="005B6F74"/>
    <w:rsid w:val="005C0583"/>
    <w:rsid w:val="005D0041"/>
    <w:rsid w:val="005D034C"/>
    <w:rsid w:val="005D05F9"/>
    <w:rsid w:val="005E226E"/>
    <w:rsid w:val="005E2636"/>
    <w:rsid w:val="005F2AFE"/>
    <w:rsid w:val="005F495B"/>
    <w:rsid w:val="006015D7"/>
    <w:rsid w:val="00601B21"/>
    <w:rsid w:val="006041F0"/>
    <w:rsid w:val="00605C6D"/>
    <w:rsid w:val="00606FAA"/>
    <w:rsid w:val="006120CA"/>
    <w:rsid w:val="00624174"/>
    <w:rsid w:val="00626CF8"/>
    <w:rsid w:val="006314AF"/>
    <w:rsid w:val="00634003"/>
    <w:rsid w:val="00634CEB"/>
    <w:rsid w:val="00634ED8"/>
    <w:rsid w:val="00636D7D"/>
    <w:rsid w:val="00636DA5"/>
    <w:rsid w:val="00637408"/>
    <w:rsid w:val="0064111D"/>
    <w:rsid w:val="00642868"/>
    <w:rsid w:val="00647AFE"/>
    <w:rsid w:val="00650417"/>
    <w:rsid w:val="006512BC"/>
    <w:rsid w:val="00653A5A"/>
    <w:rsid w:val="00654B21"/>
    <w:rsid w:val="006554AC"/>
    <w:rsid w:val="006566AC"/>
    <w:rsid w:val="006575F4"/>
    <w:rsid w:val="006579E6"/>
    <w:rsid w:val="00660682"/>
    <w:rsid w:val="00660F74"/>
    <w:rsid w:val="006631AA"/>
    <w:rsid w:val="00663EDC"/>
    <w:rsid w:val="00671078"/>
    <w:rsid w:val="00674CB1"/>
    <w:rsid w:val="006758CA"/>
    <w:rsid w:val="00680A04"/>
    <w:rsid w:val="00680B4D"/>
    <w:rsid w:val="00681D37"/>
    <w:rsid w:val="00686D80"/>
    <w:rsid w:val="00692AD9"/>
    <w:rsid w:val="00692F50"/>
    <w:rsid w:val="006938D9"/>
    <w:rsid w:val="00694895"/>
    <w:rsid w:val="00697E2E"/>
    <w:rsid w:val="006A1360"/>
    <w:rsid w:val="006A25A2"/>
    <w:rsid w:val="006A3516"/>
    <w:rsid w:val="006A3B87"/>
    <w:rsid w:val="006A632C"/>
    <w:rsid w:val="006B0919"/>
    <w:rsid w:val="006B0A88"/>
    <w:rsid w:val="006B0E73"/>
    <w:rsid w:val="006B1E3D"/>
    <w:rsid w:val="006B4A4D"/>
    <w:rsid w:val="006B5695"/>
    <w:rsid w:val="006B62E6"/>
    <w:rsid w:val="006B7B2E"/>
    <w:rsid w:val="006C1237"/>
    <w:rsid w:val="006C237A"/>
    <w:rsid w:val="006C3353"/>
    <w:rsid w:val="006C38B4"/>
    <w:rsid w:val="006C580B"/>
    <w:rsid w:val="006C78EB"/>
    <w:rsid w:val="006D1660"/>
    <w:rsid w:val="006D23F5"/>
    <w:rsid w:val="006D63E5"/>
    <w:rsid w:val="006E0D1C"/>
    <w:rsid w:val="006E1753"/>
    <w:rsid w:val="006E3911"/>
    <w:rsid w:val="006E429F"/>
    <w:rsid w:val="006E6F48"/>
    <w:rsid w:val="006F1B67"/>
    <w:rsid w:val="006F42E0"/>
    <w:rsid w:val="006F4D9C"/>
    <w:rsid w:val="0070091D"/>
    <w:rsid w:val="00702854"/>
    <w:rsid w:val="00713A3E"/>
    <w:rsid w:val="00714EFD"/>
    <w:rsid w:val="0071741C"/>
    <w:rsid w:val="00720CE7"/>
    <w:rsid w:val="00726CDE"/>
    <w:rsid w:val="007346D3"/>
    <w:rsid w:val="00735D04"/>
    <w:rsid w:val="0074235C"/>
    <w:rsid w:val="00742B90"/>
    <w:rsid w:val="00742C4B"/>
    <w:rsid w:val="0074434D"/>
    <w:rsid w:val="007505C2"/>
    <w:rsid w:val="00753785"/>
    <w:rsid w:val="007570C4"/>
    <w:rsid w:val="007605B8"/>
    <w:rsid w:val="00760E5A"/>
    <w:rsid w:val="007633E7"/>
    <w:rsid w:val="00764DE1"/>
    <w:rsid w:val="00765327"/>
    <w:rsid w:val="00771B1E"/>
    <w:rsid w:val="00773C95"/>
    <w:rsid w:val="0078171E"/>
    <w:rsid w:val="0078298C"/>
    <w:rsid w:val="00784D02"/>
    <w:rsid w:val="0078658E"/>
    <w:rsid w:val="007920E2"/>
    <w:rsid w:val="0079566E"/>
    <w:rsid w:val="00795B34"/>
    <w:rsid w:val="007977F4"/>
    <w:rsid w:val="007A028C"/>
    <w:rsid w:val="007A067F"/>
    <w:rsid w:val="007A1A39"/>
    <w:rsid w:val="007A6D63"/>
    <w:rsid w:val="007B1770"/>
    <w:rsid w:val="007B2CA8"/>
    <w:rsid w:val="007B4D3E"/>
    <w:rsid w:val="007B7C70"/>
    <w:rsid w:val="007B7DEB"/>
    <w:rsid w:val="007C0449"/>
    <w:rsid w:val="007C198E"/>
    <w:rsid w:val="007C3A78"/>
    <w:rsid w:val="007C4FF7"/>
    <w:rsid w:val="007D2151"/>
    <w:rsid w:val="007D3B90"/>
    <w:rsid w:val="007D42CC"/>
    <w:rsid w:val="007D5DE4"/>
    <w:rsid w:val="007D7C3A"/>
    <w:rsid w:val="007D7EEC"/>
    <w:rsid w:val="007E0777"/>
    <w:rsid w:val="007E1341"/>
    <w:rsid w:val="007E1B41"/>
    <w:rsid w:val="007E1EC4"/>
    <w:rsid w:val="007E30B9"/>
    <w:rsid w:val="007E5FDE"/>
    <w:rsid w:val="007E74F1"/>
    <w:rsid w:val="007E7699"/>
    <w:rsid w:val="007F0F0C"/>
    <w:rsid w:val="007F1288"/>
    <w:rsid w:val="007F3E11"/>
    <w:rsid w:val="007F69DC"/>
    <w:rsid w:val="007F6DC9"/>
    <w:rsid w:val="00800A8A"/>
    <w:rsid w:val="0080155C"/>
    <w:rsid w:val="00804DAE"/>
    <w:rsid w:val="008052E1"/>
    <w:rsid w:val="008063EB"/>
    <w:rsid w:val="00822BDA"/>
    <w:rsid w:val="00822F2C"/>
    <w:rsid w:val="00823DEE"/>
    <w:rsid w:val="00826BF4"/>
    <w:rsid w:val="008305E8"/>
    <w:rsid w:val="00830F04"/>
    <w:rsid w:val="00833CC9"/>
    <w:rsid w:val="00835406"/>
    <w:rsid w:val="00836165"/>
    <w:rsid w:val="00836EA8"/>
    <w:rsid w:val="0084640C"/>
    <w:rsid w:val="00856088"/>
    <w:rsid w:val="00857DD9"/>
    <w:rsid w:val="00860826"/>
    <w:rsid w:val="00860E21"/>
    <w:rsid w:val="00863117"/>
    <w:rsid w:val="0086388B"/>
    <w:rsid w:val="008642E5"/>
    <w:rsid w:val="00864488"/>
    <w:rsid w:val="00867452"/>
    <w:rsid w:val="00870A36"/>
    <w:rsid w:val="00872B53"/>
    <w:rsid w:val="00872D93"/>
    <w:rsid w:val="00880470"/>
    <w:rsid w:val="00880D94"/>
    <w:rsid w:val="008811D0"/>
    <w:rsid w:val="00881419"/>
    <w:rsid w:val="008814E8"/>
    <w:rsid w:val="00886EED"/>
    <w:rsid w:val="00886F64"/>
    <w:rsid w:val="00892068"/>
    <w:rsid w:val="008924DE"/>
    <w:rsid w:val="0089655B"/>
    <w:rsid w:val="008A3755"/>
    <w:rsid w:val="008A5642"/>
    <w:rsid w:val="008A598A"/>
    <w:rsid w:val="008B19DC"/>
    <w:rsid w:val="008B264F"/>
    <w:rsid w:val="008B6F83"/>
    <w:rsid w:val="008B75FF"/>
    <w:rsid w:val="008B7A2E"/>
    <w:rsid w:val="008B7FD8"/>
    <w:rsid w:val="008C2973"/>
    <w:rsid w:val="008C6324"/>
    <w:rsid w:val="008C64C4"/>
    <w:rsid w:val="008C6ED9"/>
    <w:rsid w:val="008D2CDD"/>
    <w:rsid w:val="008D2D96"/>
    <w:rsid w:val="008D74D5"/>
    <w:rsid w:val="008D7C9F"/>
    <w:rsid w:val="008E0ED1"/>
    <w:rsid w:val="008E2338"/>
    <w:rsid w:val="008E3A07"/>
    <w:rsid w:val="008E537B"/>
    <w:rsid w:val="008E6EC3"/>
    <w:rsid w:val="008F0248"/>
    <w:rsid w:val="008F29BE"/>
    <w:rsid w:val="008F3360"/>
    <w:rsid w:val="008F3617"/>
    <w:rsid w:val="008F4AE5"/>
    <w:rsid w:val="008F51EB"/>
    <w:rsid w:val="00900197"/>
    <w:rsid w:val="009013E6"/>
    <w:rsid w:val="00902F55"/>
    <w:rsid w:val="0090582B"/>
    <w:rsid w:val="009060C0"/>
    <w:rsid w:val="009077BC"/>
    <w:rsid w:val="00910411"/>
    <w:rsid w:val="009116B8"/>
    <w:rsid w:val="009133F5"/>
    <w:rsid w:val="009153F6"/>
    <w:rsid w:val="00916EAE"/>
    <w:rsid w:val="0091756F"/>
    <w:rsid w:val="00920A27"/>
    <w:rsid w:val="00921216"/>
    <w:rsid w:val="009216CC"/>
    <w:rsid w:val="00922E41"/>
    <w:rsid w:val="00925892"/>
    <w:rsid w:val="00926083"/>
    <w:rsid w:val="00926D08"/>
    <w:rsid w:val="00930D08"/>
    <w:rsid w:val="00931466"/>
    <w:rsid w:val="00931CE4"/>
    <w:rsid w:val="00932BA7"/>
    <w:rsid w:val="00932D69"/>
    <w:rsid w:val="009339CD"/>
    <w:rsid w:val="00935589"/>
    <w:rsid w:val="00937408"/>
    <w:rsid w:val="0094130D"/>
    <w:rsid w:val="009427FA"/>
    <w:rsid w:val="00944647"/>
    <w:rsid w:val="009447BF"/>
    <w:rsid w:val="00947C22"/>
    <w:rsid w:val="00950B81"/>
    <w:rsid w:val="0095565C"/>
    <w:rsid w:val="00964AB6"/>
    <w:rsid w:val="00966F9A"/>
    <w:rsid w:val="00977B8A"/>
    <w:rsid w:val="00982971"/>
    <w:rsid w:val="009845AD"/>
    <w:rsid w:val="00984835"/>
    <w:rsid w:val="009933EF"/>
    <w:rsid w:val="00995BA0"/>
    <w:rsid w:val="009A00C0"/>
    <w:rsid w:val="009A2BA1"/>
    <w:rsid w:val="009A418B"/>
    <w:rsid w:val="009A426F"/>
    <w:rsid w:val="009A42D5"/>
    <w:rsid w:val="009A4473"/>
    <w:rsid w:val="009A771A"/>
    <w:rsid w:val="009B05C9"/>
    <w:rsid w:val="009B2719"/>
    <w:rsid w:val="009B286C"/>
    <w:rsid w:val="009B494B"/>
    <w:rsid w:val="009C151C"/>
    <w:rsid w:val="009C440A"/>
    <w:rsid w:val="009D5125"/>
    <w:rsid w:val="009D60B8"/>
    <w:rsid w:val="009D7D4B"/>
    <w:rsid w:val="009E35F3"/>
    <w:rsid w:val="009E36ED"/>
    <w:rsid w:val="009E3B47"/>
    <w:rsid w:val="009E3C8C"/>
    <w:rsid w:val="009E6B77"/>
    <w:rsid w:val="009F460A"/>
    <w:rsid w:val="009F731C"/>
    <w:rsid w:val="009F7B61"/>
    <w:rsid w:val="00A043FB"/>
    <w:rsid w:val="00A06BE4"/>
    <w:rsid w:val="00A0729C"/>
    <w:rsid w:val="00A073CF"/>
    <w:rsid w:val="00A07779"/>
    <w:rsid w:val="00A07FC0"/>
    <w:rsid w:val="00A07FD4"/>
    <w:rsid w:val="00A1166A"/>
    <w:rsid w:val="00A13577"/>
    <w:rsid w:val="00A13BB7"/>
    <w:rsid w:val="00A14D8B"/>
    <w:rsid w:val="00A20B2E"/>
    <w:rsid w:val="00A23AFA"/>
    <w:rsid w:val="00A24F33"/>
    <w:rsid w:val="00A25069"/>
    <w:rsid w:val="00A26E6B"/>
    <w:rsid w:val="00A3068F"/>
    <w:rsid w:val="00A3145B"/>
    <w:rsid w:val="00A339D0"/>
    <w:rsid w:val="00A3415C"/>
    <w:rsid w:val="00A34DA0"/>
    <w:rsid w:val="00A36841"/>
    <w:rsid w:val="00A41002"/>
    <w:rsid w:val="00A4201A"/>
    <w:rsid w:val="00A5465D"/>
    <w:rsid w:val="00A553CE"/>
    <w:rsid w:val="00A5677A"/>
    <w:rsid w:val="00A56DCC"/>
    <w:rsid w:val="00A613C4"/>
    <w:rsid w:val="00A613D8"/>
    <w:rsid w:val="00A625E8"/>
    <w:rsid w:val="00A63DFF"/>
    <w:rsid w:val="00A64496"/>
    <w:rsid w:val="00A6490D"/>
    <w:rsid w:val="00A66051"/>
    <w:rsid w:val="00A66253"/>
    <w:rsid w:val="00A67033"/>
    <w:rsid w:val="00A7415D"/>
    <w:rsid w:val="00A76A50"/>
    <w:rsid w:val="00A80363"/>
    <w:rsid w:val="00A80939"/>
    <w:rsid w:val="00A83E9D"/>
    <w:rsid w:val="00A860F9"/>
    <w:rsid w:val="00A87C05"/>
    <w:rsid w:val="00A9130B"/>
    <w:rsid w:val="00A9169D"/>
    <w:rsid w:val="00A93598"/>
    <w:rsid w:val="00AA240C"/>
    <w:rsid w:val="00AA4AC7"/>
    <w:rsid w:val="00AB0332"/>
    <w:rsid w:val="00AB0A40"/>
    <w:rsid w:val="00AB2F37"/>
    <w:rsid w:val="00AB51B2"/>
    <w:rsid w:val="00AC101C"/>
    <w:rsid w:val="00AC23BB"/>
    <w:rsid w:val="00AC7707"/>
    <w:rsid w:val="00AD0312"/>
    <w:rsid w:val="00AD3DDE"/>
    <w:rsid w:val="00AD4CF1"/>
    <w:rsid w:val="00AD5988"/>
    <w:rsid w:val="00AD6293"/>
    <w:rsid w:val="00AE16AF"/>
    <w:rsid w:val="00AE55BA"/>
    <w:rsid w:val="00AF2F4C"/>
    <w:rsid w:val="00AF3805"/>
    <w:rsid w:val="00AF7800"/>
    <w:rsid w:val="00B00292"/>
    <w:rsid w:val="00B00CF5"/>
    <w:rsid w:val="00B04C7B"/>
    <w:rsid w:val="00B072E0"/>
    <w:rsid w:val="00B1007E"/>
    <w:rsid w:val="00B14564"/>
    <w:rsid w:val="00B16E84"/>
    <w:rsid w:val="00B20192"/>
    <w:rsid w:val="00B202D2"/>
    <w:rsid w:val="00B253F6"/>
    <w:rsid w:val="00B25E12"/>
    <w:rsid w:val="00B26675"/>
    <w:rsid w:val="00B305DB"/>
    <w:rsid w:val="00B332F8"/>
    <w:rsid w:val="00B3492B"/>
    <w:rsid w:val="00B4646F"/>
    <w:rsid w:val="00B55C7D"/>
    <w:rsid w:val="00B63038"/>
    <w:rsid w:val="00B6364B"/>
    <w:rsid w:val="00B63B3B"/>
    <w:rsid w:val="00B63F02"/>
    <w:rsid w:val="00B64068"/>
    <w:rsid w:val="00B646B8"/>
    <w:rsid w:val="00B64BD8"/>
    <w:rsid w:val="00B66973"/>
    <w:rsid w:val="00B701D1"/>
    <w:rsid w:val="00B7110B"/>
    <w:rsid w:val="00B737FD"/>
    <w:rsid w:val="00B73AF2"/>
    <w:rsid w:val="00B74586"/>
    <w:rsid w:val="00B745F5"/>
    <w:rsid w:val="00B7551A"/>
    <w:rsid w:val="00B773F1"/>
    <w:rsid w:val="00B83B35"/>
    <w:rsid w:val="00B86AB1"/>
    <w:rsid w:val="00B87726"/>
    <w:rsid w:val="00B91B22"/>
    <w:rsid w:val="00B9370F"/>
    <w:rsid w:val="00B9723C"/>
    <w:rsid w:val="00B97D7F"/>
    <w:rsid w:val="00BA4884"/>
    <w:rsid w:val="00BA5231"/>
    <w:rsid w:val="00BA6A80"/>
    <w:rsid w:val="00BA7EBA"/>
    <w:rsid w:val="00BB2A06"/>
    <w:rsid w:val="00BB2CBB"/>
    <w:rsid w:val="00BB4198"/>
    <w:rsid w:val="00BB6271"/>
    <w:rsid w:val="00BC03EE"/>
    <w:rsid w:val="00BC368F"/>
    <w:rsid w:val="00BC59F1"/>
    <w:rsid w:val="00BC70A6"/>
    <w:rsid w:val="00BD488E"/>
    <w:rsid w:val="00BF3DE1"/>
    <w:rsid w:val="00BF4843"/>
    <w:rsid w:val="00BF5205"/>
    <w:rsid w:val="00C01179"/>
    <w:rsid w:val="00C024C3"/>
    <w:rsid w:val="00C02928"/>
    <w:rsid w:val="00C04D7B"/>
    <w:rsid w:val="00C05132"/>
    <w:rsid w:val="00C12508"/>
    <w:rsid w:val="00C12AA5"/>
    <w:rsid w:val="00C148E5"/>
    <w:rsid w:val="00C23728"/>
    <w:rsid w:val="00C3026C"/>
    <w:rsid w:val="00C313A9"/>
    <w:rsid w:val="00C347C8"/>
    <w:rsid w:val="00C43859"/>
    <w:rsid w:val="00C441CF"/>
    <w:rsid w:val="00C45AA2"/>
    <w:rsid w:val="00C4792C"/>
    <w:rsid w:val="00C47FA3"/>
    <w:rsid w:val="00C55BEF"/>
    <w:rsid w:val="00C601AF"/>
    <w:rsid w:val="00C61A63"/>
    <w:rsid w:val="00C65B2D"/>
    <w:rsid w:val="00C66296"/>
    <w:rsid w:val="00C7394D"/>
    <w:rsid w:val="00C77282"/>
    <w:rsid w:val="00C84DE5"/>
    <w:rsid w:val="00C86248"/>
    <w:rsid w:val="00C9098B"/>
    <w:rsid w:val="00C90B31"/>
    <w:rsid w:val="00CA0D6F"/>
    <w:rsid w:val="00CA4C33"/>
    <w:rsid w:val="00CA6F4A"/>
    <w:rsid w:val="00CB4CE0"/>
    <w:rsid w:val="00CB6427"/>
    <w:rsid w:val="00CC0FBE"/>
    <w:rsid w:val="00CC185A"/>
    <w:rsid w:val="00CC251D"/>
    <w:rsid w:val="00CC3093"/>
    <w:rsid w:val="00CD2119"/>
    <w:rsid w:val="00CD237A"/>
    <w:rsid w:val="00CD34CF"/>
    <w:rsid w:val="00CD36AC"/>
    <w:rsid w:val="00CD5434"/>
    <w:rsid w:val="00CE025D"/>
    <w:rsid w:val="00CE13A3"/>
    <w:rsid w:val="00CE36BC"/>
    <w:rsid w:val="00CF0CE8"/>
    <w:rsid w:val="00CF1747"/>
    <w:rsid w:val="00CF26C8"/>
    <w:rsid w:val="00CF60ED"/>
    <w:rsid w:val="00D05D74"/>
    <w:rsid w:val="00D20C59"/>
    <w:rsid w:val="00D21535"/>
    <w:rsid w:val="00D2215B"/>
    <w:rsid w:val="00D229A4"/>
    <w:rsid w:val="00D23323"/>
    <w:rsid w:val="00D2392A"/>
    <w:rsid w:val="00D25FFE"/>
    <w:rsid w:val="00D37C7B"/>
    <w:rsid w:val="00D37D80"/>
    <w:rsid w:val="00D41D1B"/>
    <w:rsid w:val="00D442F3"/>
    <w:rsid w:val="00D44483"/>
    <w:rsid w:val="00D4476F"/>
    <w:rsid w:val="00D46D7A"/>
    <w:rsid w:val="00D50573"/>
    <w:rsid w:val="00D54D50"/>
    <w:rsid w:val="00D560B4"/>
    <w:rsid w:val="00D56E91"/>
    <w:rsid w:val="00D60C05"/>
    <w:rsid w:val="00D662F8"/>
    <w:rsid w:val="00D66797"/>
    <w:rsid w:val="00D7087C"/>
    <w:rsid w:val="00D70C3C"/>
    <w:rsid w:val="00D71A23"/>
    <w:rsid w:val="00D71DF7"/>
    <w:rsid w:val="00D72BE5"/>
    <w:rsid w:val="00D81462"/>
    <w:rsid w:val="00D82431"/>
    <w:rsid w:val="00D82F26"/>
    <w:rsid w:val="00D863D0"/>
    <w:rsid w:val="00D86B00"/>
    <w:rsid w:val="00D86FB9"/>
    <w:rsid w:val="00D87C87"/>
    <w:rsid w:val="00D9061E"/>
    <w:rsid w:val="00D90BB4"/>
    <w:rsid w:val="00D90E07"/>
    <w:rsid w:val="00D932C2"/>
    <w:rsid w:val="00D94778"/>
    <w:rsid w:val="00D950E5"/>
    <w:rsid w:val="00DA0232"/>
    <w:rsid w:val="00DA0709"/>
    <w:rsid w:val="00DA2B90"/>
    <w:rsid w:val="00DA3047"/>
    <w:rsid w:val="00DB2E48"/>
    <w:rsid w:val="00DB39CF"/>
    <w:rsid w:val="00DB7256"/>
    <w:rsid w:val="00DC0401"/>
    <w:rsid w:val="00DC0539"/>
    <w:rsid w:val="00DC20BD"/>
    <w:rsid w:val="00DC6588"/>
    <w:rsid w:val="00DD0BCD"/>
    <w:rsid w:val="00DD2A56"/>
    <w:rsid w:val="00DD447A"/>
    <w:rsid w:val="00DE115E"/>
    <w:rsid w:val="00DE3B20"/>
    <w:rsid w:val="00DE6C94"/>
    <w:rsid w:val="00DE6FD7"/>
    <w:rsid w:val="00DF00D4"/>
    <w:rsid w:val="00DF0C7C"/>
    <w:rsid w:val="00DF2FCB"/>
    <w:rsid w:val="00DF45FD"/>
    <w:rsid w:val="00E01121"/>
    <w:rsid w:val="00E02F3D"/>
    <w:rsid w:val="00E04556"/>
    <w:rsid w:val="00E05301"/>
    <w:rsid w:val="00E0548D"/>
    <w:rsid w:val="00E10B18"/>
    <w:rsid w:val="00E23271"/>
    <w:rsid w:val="00E24433"/>
    <w:rsid w:val="00E24F80"/>
    <w:rsid w:val="00E259F3"/>
    <w:rsid w:val="00E30985"/>
    <w:rsid w:val="00E33238"/>
    <w:rsid w:val="00E333AB"/>
    <w:rsid w:val="00E33934"/>
    <w:rsid w:val="00E376B7"/>
    <w:rsid w:val="00E42F5D"/>
    <w:rsid w:val="00E4486C"/>
    <w:rsid w:val="00E460B6"/>
    <w:rsid w:val="00E511D5"/>
    <w:rsid w:val="00E53A9F"/>
    <w:rsid w:val="00E54F9C"/>
    <w:rsid w:val="00E56CA2"/>
    <w:rsid w:val="00E60249"/>
    <w:rsid w:val="00E63739"/>
    <w:rsid w:val="00E65269"/>
    <w:rsid w:val="00E7686A"/>
    <w:rsid w:val="00E76D66"/>
    <w:rsid w:val="00E80900"/>
    <w:rsid w:val="00E830F9"/>
    <w:rsid w:val="00E8362D"/>
    <w:rsid w:val="00EA043A"/>
    <w:rsid w:val="00EA1875"/>
    <w:rsid w:val="00EA19DA"/>
    <w:rsid w:val="00EA796A"/>
    <w:rsid w:val="00EB1856"/>
    <w:rsid w:val="00EC03A3"/>
    <w:rsid w:val="00EC479F"/>
    <w:rsid w:val="00EC50CE"/>
    <w:rsid w:val="00EC5B34"/>
    <w:rsid w:val="00ED021E"/>
    <w:rsid w:val="00ED14AD"/>
    <w:rsid w:val="00ED323C"/>
    <w:rsid w:val="00ED563B"/>
    <w:rsid w:val="00EE2D5C"/>
    <w:rsid w:val="00EE4ADE"/>
    <w:rsid w:val="00EE4DE8"/>
    <w:rsid w:val="00EE5CB7"/>
    <w:rsid w:val="00EF17BE"/>
    <w:rsid w:val="00EF58A1"/>
    <w:rsid w:val="00F000BF"/>
    <w:rsid w:val="00F024FE"/>
    <w:rsid w:val="00F05AD4"/>
    <w:rsid w:val="00F10EB6"/>
    <w:rsid w:val="00F12AE1"/>
    <w:rsid w:val="00F13F07"/>
    <w:rsid w:val="00F140B2"/>
    <w:rsid w:val="00F24993"/>
    <w:rsid w:val="00F25970"/>
    <w:rsid w:val="00F27A7A"/>
    <w:rsid w:val="00F311A9"/>
    <w:rsid w:val="00F35CC4"/>
    <w:rsid w:val="00F37381"/>
    <w:rsid w:val="00F377BB"/>
    <w:rsid w:val="00F51523"/>
    <w:rsid w:val="00F5180D"/>
    <w:rsid w:val="00F5295B"/>
    <w:rsid w:val="00F63781"/>
    <w:rsid w:val="00F67496"/>
    <w:rsid w:val="00F7421E"/>
    <w:rsid w:val="00F76C67"/>
    <w:rsid w:val="00F801BA"/>
    <w:rsid w:val="00F807AD"/>
    <w:rsid w:val="00F85447"/>
    <w:rsid w:val="00F9366A"/>
    <w:rsid w:val="00F946C9"/>
    <w:rsid w:val="00FA0EA5"/>
    <w:rsid w:val="00FA2FC0"/>
    <w:rsid w:val="00FA68C7"/>
    <w:rsid w:val="00FA74EE"/>
    <w:rsid w:val="00FA7E27"/>
    <w:rsid w:val="00FB7BF3"/>
    <w:rsid w:val="00FC3711"/>
    <w:rsid w:val="00FC3AAE"/>
    <w:rsid w:val="00FC46E7"/>
    <w:rsid w:val="00FC5D25"/>
    <w:rsid w:val="00FC6DDF"/>
    <w:rsid w:val="00FD0D7E"/>
    <w:rsid w:val="00FD16C4"/>
    <w:rsid w:val="00FD362F"/>
    <w:rsid w:val="00FD4FFB"/>
    <w:rsid w:val="00FE4364"/>
    <w:rsid w:val="00FE6E13"/>
    <w:rsid w:val="00FF15F6"/>
    <w:rsid w:val="00FF16AE"/>
    <w:rsid w:val="00FF1892"/>
    <w:rsid w:val="00FF4B52"/>
    <w:rsid w:val="00FF527C"/>
    <w:rsid w:val="00FF65CD"/>
    <w:rsid w:val="00FF684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3A115398"/>
  <w15:docId w15:val="{373FA90E-1A37-45A6-A0F0-66B7B31B6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qFormat/>
    <w:rsid w:val="002575E8"/>
    <w:pPr>
      <w:pageBreakBefore/>
      <w:spacing w:after="360"/>
      <w:outlineLvl w:val="0"/>
    </w:pPr>
    <w:rPr>
      <w:b/>
      <w:color w:val="23305D"/>
      <w:spacing w:val="-10"/>
      <w:sz w:val="72"/>
    </w:rPr>
  </w:style>
  <w:style w:type="paragraph" w:styleId="Heading2">
    <w:name w:val="heading 2"/>
    <w:basedOn w:val="Normal"/>
    <w:next w:val="Normal"/>
    <w:link w:val="Heading2Char"/>
    <w:qFormat/>
    <w:rsid w:val="002575E8"/>
    <w:pPr>
      <w:keepNext/>
      <w:spacing w:before="480" w:after="180"/>
      <w:outlineLvl w:val="1"/>
    </w:pPr>
    <w:rPr>
      <w:b/>
      <w:color w:val="0A6AB4"/>
      <w:spacing w:val="-5"/>
      <w:sz w:val="48"/>
    </w:rPr>
  </w:style>
  <w:style w:type="paragraph" w:styleId="Heading3">
    <w:name w:val="heading 3"/>
    <w:basedOn w:val="Normal"/>
    <w:next w:val="Normal"/>
    <w:link w:val="Heading3Char"/>
    <w:qFormat/>
    <w:rsid w:val="00030E84"/>
    <w:pPr>
      <w:keepNext/>
      <w:numPr>
        <w:ilvl w:val="2"/>
        <w:numId w:val="5"/>
      </w:numPr>
      <w:spacing w:before="360" w:after="180"/>
      <w:outlineLvl w:val="2"/>
    </w:pPr>
    <w:rPr>
      <w:color w:val="0A6AB4"/>
      <w:spacing w:val="-5"/>
      <w:sz w:val="36"/>
    </w:rPr>
  </w:style>
  <w:style w:type="paragraph" w:styleId="Heading4">
    <w:name w:val="heading 4"/>
    <w:basedOn w:val="Normal"/>
    <w:next w:val="Normal"/>
    <w:link w:val="Heading4Char"/>
    <w:qFormat/>
    <w:rsid w:val="00030E84"/>
    <w:pPr>
      <w:keepNext/>
      <w:spacing w:before="240" w:after="120"/>
      <w:outlineLvl w:val="3"/>
    </w:pPr>
    <w:rPr>
      <w:color w:val="0A6AB4"/>
      <w:sz w:val="28"/>
    </w:rPr>
  </w:style>
  <w:style w:type="paragraph" w:styleId="Heading5">
    <w:name w:val="heading 5"/>
    <w:basedOn w:val="Normal"/>
    <w:next w:val="Normal"/>
    <w:link w:val="Heading5Char"/>
    <w:qFormat/>
    <w:rsid w:val="00B00CF5"/>
    <w:pPr>
      <w:keepNext/>
      <w:spacing w:before="120" w:after="120"/>
      <w:outlineLvl w:val="4"/>
    </w:pPr>
    <w:rPr>
      <w:color w:val="0A6AB4"/>
      <w:sz w:val="24"/>
    </w:rPr>
  </w:style>
  <w:style w:type="paragraph" w:styleId="Heading6">
    <w:name w:val="heading 6"/>
    <w:basedOn w:val="Normal"/>
    <w:next w:val="Normal"/>
    <w:link w:val="Heading6Char"/>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427FA"/>
    <w:rPr>
      <w:rFonts w:ascii="Segoe UI" w:hAnsi="Segoe UI"/>
      <w:b/>
      <w:color w:val="23305D"/>
      <w:spacing w:val="-10"/>
      <w:sz w:val="72"/>
      <w:lang w:eastAsia="en-GB"/>
    </w:rPr>
  </w:style>
  <w:style w:type="character" w:customStyle="1" w:styleId="Heading2Char">
    <w:name w:val="Heading 2 Char"/>
    <w:link w:val="Heading2"/>
    <w:uiPriority w:val="9"/>
    <w:rsid w:val="00030E84"/>
    <w:rPr>
      <w:rFonts w:ascii="Segoe UI" w:hAnsi="Segoe UI"/>
      <w:b/>
      <w:color w:val="0A6AB4"/>
      <w:spacing w:val="-5"/>
      <w:sz w:val="48"/>
      <w:lang w:eastAsia="en-GB"/>
    </w:rPr>
  </w:style>
  <w:style w:type="character" w:customStyle="1" w:styleId="Heading3Char">
    <w:name w:val="Heading 3 Char"/>
    <w:link w:val="Heading3"/>
    <w:rsid w:val="00030E84"/>
    <w:rPr>
      <w:rFonts w:ascii="Segoe UI" w:hAnsi="Segoe UI"/>
      <w:color w:val="0A6AB4"/>
      <w:spacing w:val="-5"/>
      <w:sz w:val="36"/>
      <w:lang w:eastAsia="en-GB"/>
    </w:rPr>
  </w:style>
  <w:style w:type="character" w:customStyle="1" w:styleId="Heading4Char">
    <w:name w:val="Heading 4 Char"/>
    <w:link w:val="Heading4"/>
    <w:rsid w:val="00030E84"/>
    <w:rPr>
      <w:rFonts w:ascii="Segoe UI" w:hAnsi="Segoe UI"/>
      <w:color w:val="0A6AB4"/>
      <w:sz w:val="28"/>
      <w:lang w:eastAsia="en-GB"/>
    </w:rPr>
  </w:style>
  <w:style w:type="character" w:customStyle="1" w:styleId="Heading5Char">
    <w:name w:val="Heading 5 Char"/>
    <w:link w:val="Heading5"/>
    <w:rsid w:val="00B00CF5"/>
    <w:rPr>
      <w:rFonts w:ascii="Segoe UI" w:hAnsi="Segoe UI"/>
      <w:color w:val="0A6AB4"/>
      <w:sz w:val="24"/>
      <w:lang w:eastAsia="en-GB"/>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926D08"/>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6C237A"/>
    <w:pPr>
      <w:tabs>
        <w:tab w:val="right" w:pos="8080"/>
      </w:tabs>
      <w:spacing w:before="60"/>
      <w:ind w:left="284" w:right="567"/>
    </w:pPr>
  </w:style>
  <w:style w:type="paragraph" w:styleId="TOC3">
    <w:name w:val="toc 3"/>
    <w:basedOn w:val="Normal"/>
    <w:next w:val="Normal"/>
    <w:uiPriority w:val="39"/>
    <w:rsid w:val="00BA6A80"/>
    <w:pPr>
      <w:tabs>
        <w:tab w:val="right" w:pos="8080"/>
      </w:tabs>
      <w:spacing w:before="90"/>
      <w:ind w:left="1134" w:right="567" w:hanging="1134"/>
    </w:pPr>
  </w:style>
  <w:style w:type="paragraph" w:customStyle="1" w:styleId="Bullet">
    <w:name w:val="Bullet"/>
    <w:basedOn w:val="Normal"/>
    <w:link w:val="BulletChar"/>
    <w:qFormat/>
    <w:rsid w:val="00FA0EA5"/>
    <w:pPr>
      <w:numPr>
        <w:numId w:val="1"/>
      </w:numPr>
      <w:tabs>
        <w:tab w:val="clear" w:pos="284"/>
      </w:tabs>
      <w:spacing w:before="90"/>
    </w:pPr>
  </w:style>
  <w:style w:type="character" w:customStyle="1" w:styleId="BulletChar">
    <w:name w:val="Bullet Char"/>
    <w:link w:val="Bullet"/>
    <w:locked/>
    <w:rsid w:val="002B7BEC"/>
    <w:rPr>
      <w:rFonts w:ascii="Segoe UI" w:hAnsi="Segoe UI"/>
      <w:sz w:val="21"/>
      <w:lang w:eastAsia="en-GB"/>
    </w:rPr>
  </w:style>
  <w:style w:type="paragraph" w:styleId="Quote">
    <w:name w:val="Quote"/>
    <w:basedOn w:val="Normal"/>
    <w:next w:val="Normal"/>
    <w:link w:val="QuoteChar"/>
    <w:qFormat/>
    <w:pPr>
      <w:spacing w:before="120"/>
      <w:ind w:left="284" w:right="284"/>
    </w:pPr>
  </w:style>
  <w:style w:type="character" w:customStyle="1" w:styleId="QuoteChar">
    <w:name w:val="Quote Char"/>
    <w:link w:val="Quote"/>
    <w:rsid w:val="00122363"/>
    <w:rPr>
      <w:rFonts w:ascii="Georgia" w:hAnsi="Georgia"/>
      <w:sz w:val="22"/>
      <w:lang w:eastAsia="en-GB"/>
    </w:rPr>
  </w:style>
  <w:style w:type="paragraph" w:styleId="FootnoteText">
    <w:name w:val="footnote text"/>
    <w:basedOn w:val="Normal"/>
    <w:link w:val="FootnoteTextChar"/>
    <w:uiPriority w:val="99"/>
    <w:rsid w:val="00A7415D"/>
    <w:pPr>
      <w:spacing w:before="60" w:line="228" w:lineRule="auto"/>
      <w:ind w:left="284" w:hanging="284"/>
    </w:pPr>
    <w:rPr>
      <w:sz w:val="17"/>
    </w:rPr>
  </w:style>
  <w:style w:type="character" w:customStyle="1" w:styleId="FootnoteTextChar">
    <w:name w:val="Footnote Text Char"/>
    <w:link w:val="FootnoteText"/>
    <w:uiPriority w:val="99"/>
    <w:rsid w:val="00A7415D"/>
    <w:rPr>
      <w:rFonts w:ascii="Segoe UI" w:hAnsi="Segoe UI"/>
      <w:sz w:val="17"/>
      <w:lang w:eastAsia="en-GB"/>
    </w:rPr>
  </w:style>
  <w:style w:type="paragraph" w:styleId="Header">
    <w:name w:val="header"/>
    <w:basedOn w:val="Normal"/>
    <w:link w:val="HeaderChar"/>
    <w:qFormat/>
    <w:rsid w:val="00D25FFE"/>
  </w:style>
  <w:style w:type="character" w:customStyle="1" w:styleId="HeaderChar">
    <w:name w:val="Header Char"/>
    <w:link w:val="Header"/>
    <w:rsid w:val="0086388B"/>
    <w:rPr>
      <w:rFonts w:ascii="Georgia" w:hAnsi="Georgia"/>
      <w:sz w:val="22"/>
      <w:lang w:eastAsia="en-GB"/>
    </w:rPr>
  </w:style>
  <w:style w:type="paragraph" w:styleId="Title">
    <w:name w:val="Title"/>
    <w:basedOn w:val="Normal"/>
    <w:next w:val="Normal"/>
    <w:link w:val="TitleChar"/>
    <w:qFormat/>
    <w:rsid w:val="005A79E5"/>
    <w:pPr>
      <w:spacing w:line="216" w:lineRule="auto"/>
      <w:ind w:right="3402"/>
    </w:pPr>
    <w:rPr>
      <w:rFonts w:ascii="Segoe UI Black" w:hAnsi="Segoe UI Black" w:cs="Lucida Sans Unicode"/>
      <w:b/>
      <w:sz w:val="72"/>
      <w:szCs w:val="72"/>
    </w:rPr>
  </w:style>
  <w:style w:type="character" w:customStyle="1" w:styleId="TitleChar">
    <w:name w:val="Title Char"/>
    <w:link w:val="Title"/>
    <w:rsid w:val="005A79E5"/>
    <w:rPr>
      <w:rFonts w:ascii="Segoe UI Black" w:hAnsi="Segoe UI Black" w:cs="Lucida Sans Unicode"/>
      <w:b/>
      <w:sz w:val="72"/>
      <w:szCs w:val="72"/>
      <w:lang w:eastAsia="en-GB"/>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qFormat/>
    <w:rsid w:val="007A067F"/>
  </w:style>
  <w:style w:type="character" w:customStyle="1" w:styleId="FooterChar">
    <w:name w:val="Footer Char"/>
    <w:link w:val="Footer"/>
    <w:rsid w:val="007A067F"/>
    <w:rPr>
      <w:rFonts w:ascii="Segoe UI" w:hAnsi="Segoe UI"/>
      <w:sz w:val="21"/>
      <w:lang w:eastAsia="en-GB"/>
    </w:rPr>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sz w:val="20"/>
    </w:rPr>
  </w:style>
  <w:style w:type="character" w:customStyle="1" w:styleId="FigureChar">
    <w:name w:val="Figure Char"/>
    <w:link w:val="Figure"/>
    <w:locked/>
    <w:rsid w:val="002B7BEC"/>
    <w:rPr>
      <w:rFonts w:ascii="Segoe UI" w:hAnsi="Segoe UI"/>
      <w:b/>
      <w:lang w:eastAsia="en-GB"/>
    </w:rPr>
  </w:style>
  <w:style w:type="character" w:styleId="FootnoteReference">
    <w:name w:val="footnote reference"/>
    <w:uiPriority w:val="99"/>
    <w:rPr>
      <w:vertAlign w:val="superscript"/>
    </w:rPr>
  </w:style>
  <w:style w:type="paragraph" w:customStyle="1" w:styleId="Table">
    <w:name w:val="Table"/>
    <w:basedOn w:val="Figure"/>
    <w:link w:val="TableChar"/>
    <w:qFormat/>
    <w:rsid w:val="00642868"/>
  </w:style>
  <w:style w:type="character" w:customStyle="1" w:styleId="TableChar">
    <w:name w:val="Table Char"/>
    <w:link w:val="Table"/>
    <w:locked/>
    <w:rsid w:val="002B7BEC"/>
    <w:rPr>
      <w:rFonts w:ascii="Segoe UI" w:hAnsi="Segoe UI"/>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qFormat/>
    <w:rsid w:val="00925892"/>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8814E8"/>
    <w:pPr>
      <w:pBdr>
        <w:top w:val="single" w:sz="4" w:space="12" w:color="auto"/>
        <w:left w:val="single" w:sz="4" w:space="12" w:color="auto"/>
        <w:bottom w:val="single" w:sz="4" w:space="12" w:color="auto"/>
        <w:right w:val="single" w:sz="4" w:space="12" w:color="auto"/>
      </w:pBdr>
      <w:spacing w:line="264" w:lineRule="auto"/>
      <w:ind w:left="568" w:right="284"/>
    </w:pPr>
  </w:style>
  <w:style w:type="paragraph" w:customStyle="1" w:styleId="IntroHead">
    <w:name w:val="IntroHead"/>
    <w:basedOn w:val="Heading1"/>
    <w:next w:val="Normal"/>
    <w:qFormat/>
    <w:rsid w:val="00053921"/>
    <w:pPr>
      <w:outlineLvl w:val="9"/>
    </w:pPr>
  </w:style>
  <w:style w:type="paragraph" w:customStyle="1" w:styleId="Source">
    <w:name w:val="Source"/>
    <w:basedOn w:val="Note"/>
    <w:next w:val="Normal"/>
    <w:qFormat/>
    <w:rsid w:val="00EF58A1"/>
  </w:style>
  <w:style w:type="paragraph" w:customStyle="1" w:styleId="Note">
    <w:name w:val="Note"/>
    <w:basedOn w:val="Normal"/>
    <w:next w:val="Normal"/>
    <w:link w:val="NoteChar"/>
    <w:qFormat/>
    <w:rsid w:val="00833CC9"/>
    <w:pPr>
      <w:spacing w:before="80"/>
      <w:ind w:left="284" w:hanging="284"/>
    </w:pPr>
    <w:rPr>
      <w:sz w:val="17"/>
    </w:rPr>
  </w:style>
  <w:style w:type="character" w:customStyle="1" w:styleId="NoteChar">
    <w:name w:val="Note Char"/>
    <w:link w:val="Note"/>
    <w:rsid w:val="00833CC9"/>
    <w:rPr>
      <w:rFonts w:ascii="Segoe UI" w:hAnsi="Segoe UI"/>
      <w:sz w:val="17"/>
      <w:lang w:eastAsia="en-GB"/>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paragraph" w:customStyle="1" w:styleId="Year">
    <w:name w:val="Year"/>
    <w:basedOn w:val="Subhead"/>
    <w:next w:val="Subhead"/>
    <w:qFormat/>
    <w:rsid w:val="00531E12"/>
    <w:rPr>
      <w:sz w:val="28"/>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qFormat/>
    <w:rsid w:val="00F140B2"/>
    <w:pPr>
      <w:numPr>
        <w:ilvl w:val="3"/>
        <w:numId w:val="5"/>
      </w:numPr>
      <w:spacing w:before="180"/>
    </w:pPr>
    <w:rPr>
      <w:szCs w:val="24"/>
    </w:rPr>
  </w:style>
  <w:style w:type="paragraph" w:customStyle="1" w:styleId="Letter">
    <w:name w:val="Letter"/>
    <w:basedOn w:val="Normal"/>
    <w:qFormat/>
    <w:rsid w:val="00F140B2"/>
    <w:pPr>
      <w:numPr>
        <w:ilvl w:val="4"/>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5"/>
        <w:numId w:val="5"/>
      </w:numPr>
      <w:spacing w:before="90"/>
    </w:pPr>
    <w:rPr>
      <w:rFonts w:eastAsia="Arial Unicode MS"/>
    </w:rPr>
  </w:style>
  <w:style w:type="paragraph" w:customStyle="1" w:styleId="Shadedboxbullet">
    <w:name w:val="Shaded box bullet"/>
    <w:basedOn w:val="Shadedboxtext"/>
    <w:qFormat/>
    <w:rsid w:val="001B13EC"/>
    <w:pPr>
      <w:numPr>
        <w:numId w:val="20"/>
      </w:numPr>
      <w:spacing w:before="90" w:line="240" w:lineRule="auto"/>
    </w:pPr>
  </w:style>
  <w:style w:type="character" w:customStyle="1" w:styleId="CommentTextChar">
    <w:name w:val="Comment Text Char"/>
    <w:basedOn w:val="DefaultParagraphFont"/>
    <w:link w:val="CommentText"/>
    <w:uiPriority w:val="99"/>
    <w:semiHidden/>
    <w:rsid w:val="00F51523"/>
    <w:rPr>
      <w:rFonts w:ascii="Segoe UI" w:hAnsi="Segoe UI"/>
      <w:lang w:eastAsia="en-GB"/>
    </w:rPr>
  </w:style>
  <w:style w:type="paragraph" w:styleId="CommentText">
    <w:name w:val="annotation text"/>
    <w:basedOn w:val="Normal"/>
    <w:link w:val="CommentTextChar"/>
    <w:uiPriority w:val="99"/>
    <w:semiHidden/>
    <w:unhideWhenUsed/>
    <w:rsid w:val="00F51523"/>
    <w:rPr>
      <w:sz w:val="20"/>
    </w:rPr>
  </w:style>
  <w:style w:type="character" w:customStyle="1" w:styleId="CommentSubjectChar">
    <w:name w:val="Comment Subject Char"/>
    <w:basedOn w:val="CommentTextChar"/>
    <w:link w:val="CommentSubject"/>
    <w:semiHidden/>
    <w:rsid w:val="00F51523"/>
    <w:rPr>
      <w:rFonts w:ascii="Segoe UI" w:hAnsi="Segoe UI"/>
      <w:b/>
      <w:bCs/>
      <w:lang w:eastAsia="en-GB"/>
    </w:rPr>
  </w:style>
  <w:style w:type="paragraph" w:styleId="CommentSubject">
    <w:name w:val="annotation subject"/>
    <w:basedOn w:val="CommentText"/>
    <w:next w:val="CommentText"/>
    <w:link w:val="CommentSubjectChar"/>
    <w:semiHidden/>
    <w:unhideWhenUsed/>
    <w:rsid w:val="00F51523"/>
    <w:rPr>
      <w:b/>
      <w:bCs/>
    </w:rPr>
  </w:style>
  <w:style w:type="paragraph" w:styleId="EndnoteText">
    <w:name w:val="endnote text"/>
    <w:basedOn w:val="Normal"/>
    <w:link w:val="EndnoteTextChar"/>
    <w:uiPriority w:val="99"/>
    <w:semiHidden/>
    <w:unhideWhenUsed/>
    <w:rsid w:val="00B66973"/>
    <w:rPr>
      <w:sz w:val="20"/>
    </w:rPr>
  </w:style>
  <w:style w:type="character" w:customStyle="1" w:styleId="EndnoteTextChar">
    <w:name w:val="Endnote Text Char"/>
    <w:basedOn w:val="DefaultParagraphFont"/>
    <w:link w:val="EndnoteText"/>
    <w:uiPriority w:val="99"/>
    <w:semiHidden/>
    <w:rsid w:val="00B66973"/>
    <w:rPr>
      <w:rFonts w:ascii="Segoe UI" w:hAnsi="Segoe UI"/>
      <w:lang w:eastAsia="en-GB"/>
    </w:rPr>
  </w:style>
  <w:style w:type="character" w:styleId="EndnoteReference">
    <w:name w:val="endnote reference"/>
    <w:basedOn w:val="DefaultParagraphFont"/>
    <w:uiPriority w:val="99"/>
    <w:semiHidden/>
    <w:unhideWhenUsed/>
    <w:rsid w:val="00B66973"/>
    <w:rPr>
      <w:vertAlign w:val="superscript"/>
    </w:rPr>
  </w:style>
  <w:style w:type="character" w:styleId="CommentReference">
    <w:name w:val="annotation reference"/>
    <w:basedOn w:val="DefaultParagraphFont"/>
    <w:uiPriority w:val="99"/>
    <w:semiHidden/>
    <w:unhideWhenUsed/>
    <w:rsid w:val="006C3353"/>
    <w:rPr>
      <w:sz w:val="16"/>
      <w:szCs w:val="16"/>
    </w:rPr>
  </w:style>
  <w:style w:type="paragraph" w:styleId="BalloonText">
    <w:name w:val="Balloon Text"/>
    <w:basedOn w:val="Normal"/>
    <w:link w:val="BalloonTextChar"/>
    <w:semiHidden/>
    <w:unhideWhenUsed/>
    <w:rsid w:val="00A07FC0"/>
    <w:rPr>
      <w:rFonts w:cs="Segoe UI"/>
      <w:sz w:val="18"/>
      <w:szCs w:val="18"/>
    </w:rPr>
  </w:style>
  <w:style w:type="character" w:customStyle="1" w:styleId="BalloonTextChar">
    <w:name w:val="Balloon Text Char"/>
    <w:basedOn w:val="DefaultParagraphFont"/>
    <w:link w:val="BalloonText"/>
    <w:semiHidden/>
    <w:rsid w:val="00A07FC0"/>
    <w:rPr>
      <w:rFonts w:ascii="Segoe UI" w:hAnsi="Segoe UI" w:cs="Segoe UI"/>
      <w:sz w:val="18"/>
      <w:szCs w:val="18"/>
      <w:lang w:eastAsia="en-GB"/>
    </w:rPr>
  </w:style>
  <w:style w:type="paragraph" w:styleId="TOC4">
    <w:name w:val="toc 4"/>
    <w:basedOn w:val="Normal"/>
    <w:next w:val="Normal"/>
    <w:autoRedefine/>
    <w:uiPriority w:val="39"/>
    <w:unhideWhenUsed/>
    <w:rsid w:val="006E0D1C"/>
    <w:pPr>
      <w:spacing w:after="100" w:line="259" w:lineRule="auto"/>
      <w:ind w:left="660"/>
    </w:pPr>
    <w:rPr>
      <w:rFonts w:asciiTheme="minorHAnsi" w:eastAsiaTheme="minorEastAsia" w:hAnsiTheme="minorHAnsi" w:cstheme="minorBidi"/>
      <w:sz w:val="22"/>
      <w:szCs w:val="22"/>
      <w:lang w:eastAsia="en-NZ"/>
    </w:rPr>
  </w:style>
  <w:style w:type="paragraph" w:styleId="TOC5">
    <w:name w:val="toc 5"/>
    <w:basedOn w:val="Normal"/>
    <w:next w:val="Normal"/>
    <w:autoRedefine/>
    <w:uiPriority w:val="39"/>
    <w:unhideWhenUsed/>
    <w:rsid w:val="006E0D1C"/>
    <w:pPr>
      <w:spacing w:after="100" w:line="259" w:lineRule="auto"/>
      <w:ind w:left="880"/>
    </w:pPr>
    <w:rPr>
      <w:rFonts w:asciiTheme="minorHAnsi" w:eastAsiaTheme="minorEastAsia" w:hAnsiTheme="minorHAnsi" w:cstheme="minorBidi"/>
      <w:sz w:val="22"/>
      <w:szCs w:val="22"/>
      <w:lang w:eastAsia="en-NZ"/>
    </w:rPr>
  </w:style>
  <w:style w:type="paragraph" w:styleId="TOC6">
    <w:name w:val="toc 6"/>
    <w:basedOn w:val="Normal"/>
    <w:next w:val="Normal"/>
    <w:autoRedefine/>
    <w:uiPriority w:val="39"/>
    <w:unhideWhenUsed/>
    <w:rsid w:val="006E0D1C"/>
    <w:pPr>
      <w:spacing w:after="100" w:line="259" w:lineRule="auto"/>
      <w:ind w:left="1100"/>
    </w:pPr>
    <w:rPr>
      <w:rFonts w:asciiTheme="minorHAnsi" w:eastAsiaTheme="minorEastAsia" w:hAnsiTheme="minorHAnsi" w:cstheme="minorBidi"/>
      <w:sz w:val="22"/>
      <w:szCs w:val="22"/>
      <w:lang w:eastAsia="en-NZ"/>
    </w:rPr>
  </w:style>
  <w:style w:type="paragraph" w:styleId="TOC7">
    <w:name w:val="toc 7"/>
    <w:basedOn w:val="Normal"/>
    <w:next w:val="Normal"/>
    <w:autoRedefine/>
    <w:uiPriority w:val="39"/>
    <w:unhideWhenUsed/>
    <w:rsid w:val="006E0D1C"/>
    <w:pPr>
      <w:spacing w:after="100" w:line="259" w:lineRule="auto"/>
      <w:ind w:left="1320"/>
    </w:pPr>
    <w:rPr>
      <w:rFonts w:asciiTheme="minorHAnsi" w:eastAsiaTheme="minorEastAsia" w:hAnsiTheme="minorHAnsi" w:cstheme="minorBidi"/>
      <w:sz w:val="22"/>
      <w:szCs w:val="22"/>
      <w:lang w:eastAsia="en-NZ"/>
    </w:rPr>
  </w:style>
  <w:style w:type="paragraph" w:styleId="TOC8">
    <w:name w:val="toc 8"/>
    <w:basedOn w:val="Normal"/>
    <w:next w:val="Normal"/>
    <w:autoRedefine/>
    <w:uiPriority w:val="39"/>
    <w:unhideWhenUsed/>
    <w:rsid w:val="006E0D1C"/>
    <w:pPr>
      <w:spacing w:after="100" w:line="259" w:lineRule="auto"/>
      <w:ind w:left="1540"/>
    </w:pPr>
    <w:rPr>
      <w:rFonts w:asciiTheme="minorHAnsi" w:eastAsiaTheme="minorEastAsia" w:hAnsiTheme="minorHAnsi" w:cstheme="minorBidi"/>
      <w:sz w:val="22"/>
      <w:szCs w:val="22"/>
      <w:lang w:eastAsia="en-NZ"/>
    </w:rPr>
  </w:style>
  <w:style w:type="paragraph" w:styleId="TOC9">
    <w:name w:val="toc 9"/>
    <w:basedOn w:val="Normal"/>
    <w:next w:val="Normal"/>
    <w:autoRedefine/>
    <w:uiPriority w:val="39"/>
    <w:unhideWhenUsed/>
    <w:rsid w:val="006E0D1C"/>
    <w:pPr>
      <w:spacing w:after="100" w:line="259" w:lineRule="auto"/>
      <w:ind w:left="1760"/>
    </w:pPr>
    <w:rPr>
      <w:rFonts w:asciiTheme="minorHAnsi" w:eastAsiaTheme="minorEastAsia" w:hAnsiTheme="minorHAnsi" w:cstheme="minorBidi"/>
      <w:sz w:val="22"/>
      <w:szCs w:val="22"/>
      <w:lang w:eastAsia="en-NZ"/>
    </w:rPr>
  </w:style>
  <w:style w:type="character" w:customStyle="1" w:styleId="UnresolvedMention1">
    <w:name w:val="Unresolved Mention1"/>
    <w:basedOn w:val="DefaultParagraphFont"/>
    <w:uiPriority w:val="99"/>
    <w:semiHidden/>
    <w:unhideWhenUsed/>
    <w:rsid w:val="006E0D1C"/>
    <w:rPr>
      <w:color w:val="605E5C"/>
      <w:shd w:val="clear" w:color="auto" w:fill="E1DFDD"/>
    </w:rPr>
  </w:style>
  <w:style w:type="character" w:customStyle="1" w:styleId="UnresolvedMention2">
    <w:name w:val="Unresolved Mention2"/>
    <w:basedOn w:val="DefaultParagraphFont"/>
    <w:uiPriority w:val="99"/>
    <w:semiHidden/>
    <w:unhideWhenUsed/>
    <w:rsid w:val="006631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1.png"/><Relationship Id="rId21" Type="http://schemas.openxmlformats.org/officeDocument/2006/relationships/footer" Target="footer7.xml"/><Relationship Id="rId42" Type="http://schemas.openxmlformats.org/officeDocument/2006/relationships/image" Target="media/image7.JPG"/><Relationship Id="rId63" Type="http://schemas.openxmlformats.org/officeDocument/2006/relationships/image" Target="media/image27.png"/><Relationship Id="rId84" Type="http://schemas.openxmlformats.org/officeDocument/2006/relationships/image" Target="media/image48.png"/><Relationship Id="rId138" Type="http://schemas.openxmlformats.org/officeDocument/2006/relationships/image" Target="media/image102.png"/><Relationship Id="rId159" Type="http://schemas.openxmlformats.org/officeDocument/2006/relationships/image" Target="media/image123.png"/><Relationship Id="rId170" Type="http://schemas.openxmlformats.org/officeDocument/2006/relationships/image" Target="media/image133.png"/><Relationship Id="rId191" Type="http://schemas.openxmlformats.org/officeDocument/2006/relationships/image" Target="media/image154.png"/><Relationship Id="rId205" Type="http://schemas.openxmlformats.org/officeDocument/2006/relationships/image" Target="media/image168.png"/><Relationship Id="rId226" Type="http://schemas.openxmlformats.org/officeDocument/2006/relationships/hyperlink" Target="https://www.health.govt.nz/your-health/conditions-and-treatments/diseases-and-illnesses/hiv-aids" TargetMode="External"/><Relationship Id="rId107" Type="http://schemas.openxmlformats.org/officeDocument/2006/relationships/image" Target="media/image71.png"/><Relationship Id="rId11" Type="http://schemas.openxmlformats.org/officeDocument/2006/relationships/footer" Target="footer2.xml"/><Relationship Id="rId32" Type="http://schemas.openxmlformats.org/officeDocument/2006/relationships/image" Target="media/image5.jpeg"/><Relationship Id="rId53" Type="http://schemas.openxmlformats.org/officeDocument/2006/relationships/image" Target="media/image18.png"/><Relationship Id="rId74" Type="http://schemas.openxmlformats.org/officeDocument/2006/relationships/image" Target="media/image38.png"/><Relationship Id="rId128" Type="http://schemas.openxmlformats.org/officeDocument/2006/relationships/image" Target="media/image92.png"/><Relationship Id="rId149" Type="http://schemas.openxmlformats.org/officeDocument/2006/relationships/image" Target="media/image113.png"/><Relationship Id="rId5" Type="http://schemas.openxmlformats.org/officeDocument/2006/relationships/webSettings" Target="webSettings.xml"/><Relationship Id="rId95" Type="http://schemas.openxmlformats.org/officeDocument/2006/relationships/image" Target="media/image59.png"/><Relationship Id="rId160" Type="http://schemas.openxmlformats.org/officeDocument/2006/relationships/image" Target="media/image124.png"/><Relationship Id="rId181" Type="http://schemas.openxmlformats.org/officeDocument/2006/relationships/image" Target="media/image144.png"/><Relationship Id="rId216" Type="http://schemas.openxmlformats.org/officeDocument/2006/relationships/image" Target="media/image179.png"/><Relationship Id="rId237" Type="http://schemas.openxmlformats.org/officeDocument/2006/relationships/hyperlink" Target="http://archive.stats.govt.nz/browse_for_stats/snapshots-of-nz/nz-social-indicators/Home/Health/prevalence-psych-distress.aspx" TargetMode="External"/><Relationship Id="rId22" Type="http://schemas.openxmlformats.org/officeDocument/2006/relationships/footer" Target="footer8.xml"/><Relationship Id="rId43" Type="http://schemas.openxmlformats.org/officeDocument/2006/relationships/image" Target="media/image8.png"/><Relationship Id="rId64" Type="http://schemas.openxmlformats.org/officeDocument/2006/relationships/image" Target="media/image28.png"/><Relationship Id="rId118" Type="http://schemas.openxmlformats.org/officeDocument/2006/relationships/image" Target="media/image82.png"/><Relationship Id="rId139" Type="http://schemas.openxmlformats.org/officeDocument/2006/relationships/image" Target="media/image103.png"/><Relationship Id="rId85" Type="http://schemas.openxmlformats.org/officeDocument/2006/relationships/image" Target="media/image49.png"/><Relationship Id="rId150" Type="http://schemas.openxmlformats.org/officeDocument/2006/relationships/image" Target="media/image114.png"/><Relationship Id="rId171" Type="http://schemas.openxmlformats.org/officeDocument/2006/relationships/image" Target="media/image134.png"/><Relationship Id="rId192" Type="http://schemas.openxmlformats.org/officeDocument/2006/relationships/image" Target="media/image155.png"/><Relationship Id="rId206" Type="http://schemas.openxmlformats.org/officeDocument/2006/relationships/image" Target="media/image169.png"/><Relationship Id="rId227" Type="http://schemas.openxmlformats.org/officeDocument/2006/relationships/hyperlink" Target="http://www.health.govt.nz/your-health/conditions-and-treatments/diseases-and-illnesses/meningococcal-disease-including-meningitis" TargetMode="External"/><Relationship Id="rId201" Type="http://schemas.openxmlformats.org/officeDocument/2006/relationships/image" Target="media/image164.png"/><Relationship Id="rId222" Type="http://schemas.openxmlformats.org/officeDocument/2006/relationships/hyperlink" Target="https://www.health.govt.nz/your-health/pregnancy-and-kids/first-year/helpful-advice-during-first-year/breastfeeding-perfect-you-and-your-baby" TargetMode="External"/><Relationship Id="rId243" Type="http://schemas.openxmlformats.org/officeDocument/2006/relationships/theme" Target="theme/theme1.xml"/><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header" Target="header9.xml"/><Relationship Id="rId38" Type="http://schemas.openxmlformats.org/officeDocument/2006/relationships/header" Target="header11.xml"/><Relationship Id="rId59" Type="http://schemas.openxmlformats.org/officeDocument/2006/relationships/image" Target="media/image23.png"/><Relationship Id="rId103" Type="http://schemas.openxmlformats.org/officeDocument/2006/relationships/image" Target="media/image67.png"/><Relationship Id="rId108" Type="http://schemas.openxmlformats.org/officeDocument/2006/relationships/image" Target="media/image72.png"/><Relationship Id="rId124" Type="http://schemas.openxmlformats.org/officeDocument/2006/relationships/image" Target="media/image88.png"/><Relationship Id="rId129" Type="http://schemas.openxmlformats.org/officeDocument/2006/relationships/image" Target="media/image93.png"/><Relationship Id="rId54" Type="http://schemas.openxmlformats.org/officeDocument/2006/relationships/image" Target="media/image19.png"/><Relationship Id="rId70" Type="http://schemas.openxmlformats.org/officeDocument/2006/relationships/image" Target="media/image34.png"/><Relationship Id="rId75" Type="http://schemas.openxmlformats.org/officeDocument/2006/relationships/image" Target="media/image39.png"/><Relationship Id="rId91" Type="http://schemas.openxmlformats.org/officeDocument/2006/relationships/image" Target="media/image55.png"/><Relationship Id="rId96" Type="http://schemas.openxmlformats.org/officeDocument/2006/relationships/image" Target="media/image60.png"/><Relationship Id="rId140" Type="http://schemas.openxmlformats.org/officeDocument/2006/relationships/image" Target="media/image104.png"/><Relationship Id="rId145" Type="http://schemas.openxmlformats.org/officeDocument/2006/relationships/image" Target="media/image109.png"/><Relationship Id="rId161" Type="http://schemas.openxmlformats.org/officeDocument/2006/relationships/image" Target="media/image125.png"/><Relationship Id="rId166" Type="http://schemas.openxmlformats.org/officeDocument/2006/relationships/image" Target="media/image130.png"/><Relationship Id="rId182" Type="http://schemas.openxmlformats.org/officeDocument/2006/relationships/image" Target="media/image145.png"/><Relationship Id="rId187" Type="http://schemas.openxmlformats.org/officeDocument/2006/relationships/image" Target="media/image150.png"/><Relationship Id="rId217" Type="http://schemas.openxmlformats.org/officeDocument/2006/relationships/hyperlink" Target="https://d3n8a8pro7vhmx.cloudfront.net/ashnz/pages/70/attachments/original/1518396379/2016_ASH_Y10_Snapshot_Maori_FINAL.pdf?1518396379"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75.png"/><Relationship Id="rId233" Type="http://schemas.openxmlformats.org/officeDocument/2006/relationships/hyperlink" Target="http://www.health.govt.nz/your-health/conditions-and-treatments/diseases-and-illnesses/cancer" TargetMode="External"/><Relationship Id="rId238" Type="http://schemas.openxmlformats.org/officeDocument/2006/relationships/hyperlink" Target="http://www.health.govt.nz/system/files/documents/pages/cn-2012-nmds-diabetes-v1&#8211;0.pdf" TargetMode="External"/><Relationship Id="rId23" Type="http://schemas.openxmlformats.org/officeDocument/2006/relationships/footer" Target="footer9.xml"/><Relationship Id="rId28" Type="http://schemas.openxmlformats.org/officeDocument/2006/relationships/header" Target="header7.xml"/><Relationship Id="rId49" Type="http://schemas.openxmlformats.org/officeDocument/2006/relationships/image" Target="media/image14.png"/><Relationship Id="rId114" Type="http://schemas.openxmlformats.org/officeDocument/2006/relationships/image" Target="media/image78.png"/><Relationship Id="rId119" Type="http://schemas.openxmlformats.org/officeDocument/2006/relationships/image" Target="media/image83.png"/><Relationship Id="rId44" Type="http://schemas.openxmlformats.org/officeDocument/2006/relationships/image" Target="media/image9.png"/><Relationship Id="rId60" Type="http://schemas.openxmlformats.org/officeDocument/2006/relationships/image" Target="media/image24.png"/><Relationship Id="rId65" Type="http://schemas.openxmlformats.org/officeDocument/2006/relationships/image" Target="media/image29.png"/><Relationship Id="rId81" Type="http://schemas.openxmlformats.org/officeDocument/2006/relationships/image" Target="media/image45.png"/><Relationship Id="rId86" Type="http://schemas.openxmlformats.org/officeDocument/2006/relationships/image" Target="media/image50.png"/><Relationship Id="rId130" Type="http://schemas.openxmlformats.org/officeDocument/2006/relationships/image" Target="media/image94.png"/><Relationship Id="rId135" Type="http://schemas.openxmlformats.org/officeDocument/2006/relationships/image" Target="media/image99.png"/><Relationship Id="rId151" Type="http://schemas.openxmlformats.org/officeDocument/2006/relationships/image" Target="media/image115.png"/><Relationship Id="rId156" Type="http://schemas.openxmlformats.org/officeDocument/2006/relationships/image" Target="media/image120.png"/><Relationship Id="rId177" Type="http://schemas.openxmlformats.org/officeDocument/2006/relationships/image" Target="media/image140.png"/><Relationship Id="rId198" Type="http://schemas.openxmlformats.org/officeDocument/2006/relationships/image" Target="media/image161.png"/><Relationship Id="rId172" Type="http://schemas.openxmlformats.org/officeDocument/2006/relationships/image" Target="media/image135.png"/><Relationship Id="rId193" Type="http://schemas.openxmlformats.org/officeDocument/2006/relationships/image" Target="media/image156.png"/><Relationship Id="rId202" Type="http://schemas.openxmlformats.org/officeDocument/2006/relationships/image" Target="media/image165.png"/><Relationship Id="rId207" Type="http://schemas.openxmlformats.org/officeDocument/2006/relationships/image" Target="media/image170.png"/><Relationship Id="rId223" Type="http://schemas.openxmlformats.org/officeDocument/2006/relationships/hyperlink" Target="http://www.health.govt.nz/publication/methodology-report-2016-17-new-zealand-health-survey" TargetMode="External"/><Relationship Id="rId228" Type="http://schemas.openxmlformats.org/officeDocument/2006/relationships/hyperlink" Target="http://www.health.govt.nz/your-health/conditions-and-treatments/diseases-and-illnesses/osteoporosis" TargetMode="External"/><Relationship Id="rId13" Type="http://schemas.openxmlformats.org/officeDocument/2006/relationships/footer" Target="footer3.xml"/><Relationship Id="rId18" Type="http://schemas.openxmlformats.org/officeDocument/2006/relationships/header" Target="header4.xml"/><Relationship Id="rId39" Type="http://schemas.openxmlformats.org/officeDocument/2006/relationships/footer" Target="footer16.xml"/><Relationship Id="rId109" Type="http://schemas.openxmlformats.org/officeDocument/2006/relationships/image" Target="media/image73.png"/><Relationship Id="rId34" Type="http://schemas.openxmlformats.org/officeDocument/2006/relationships/footer" Target="footer14.xml"/><Relationship Id="rId50" Type="http://schemas.openxmlformats.org/officeDocument/2006/relationships/image" Target="media/image15.png"/><Relationship Id="rId55" Type="http://schemas.openxmlformats.org/officeDocument/2006/relationships/image" Target="media/image20.png"/><Relationship Id="rId76" Type="http://schemas.openxmlformats.org/officeDocument/2006/relationships/image" Target="media/image40.png"/><Relationship Id="rId97" Type="http://schemas.openxmlformats.org/officeDocument/2006/relationships/image" Target="media/image61.png"/><Relationship Id="rId104" Type="http://schemas.openxmlformats.org/officeDocument/2006/relationships/image" Target="media/image68.png"/><Relationship Id="rId120" Type="http://schemas.openxmlformats.org/officeDocument/2006/relationships/image" Target="media/image84.png"/><Relationship Id="rId125" Type="http://schemas.openxmlformats.org/officeDocument/2006/relationships/image" Target="media/image89.png"/><Relationship Id="rId141" Type="http://schemas.openxmlformats.org/officeDocument/2006/relationships/image" Target="media/image105.png"/><Relationship Id="rId146" Type="http://schemas.openxmlformats.org/officeDocument/2006/relationships/image" Target="media/image110.png"/><Relationship Id="rId167" Type="http://schemas.openxmlformats.org/officeDocument/2006/relationships/image" Target="media/image131.png"/><Relationship Id="rId188" Type="http://schemas.openxmlformats.org/officeDocument/2006/relationships/image" Target="media/image151.png"/><Relationship Id="rId7" Type="http://schemas.openxmlformats.org/officeDocument/2006/relationships/endnotes" Target="endnotes.xml"/><Relationship Id="rId71" Type="http://schemas.openxmlformats.org/officeDocument/2006/relationships/image" Target="media/image35.png"/><Relationship Id="rId92" Type="http://schemas.openxmlformats.org/officeDocument/2006/relationships/image" Target="media/image56.png"/><Relationship Id="rId162" Type="http://schemas.openxmlformats.org/officeDocument/2006/relationships/image" Target="media/image126.png"/><Relationship Id="rId183" Type="http://schemas.openxmlformats.org/officeDocument/2006/relationships/image" Target="media/image146.png"/><Relationship Id="rId213" Type="http://schemas.openxmlformats.org/officeDocument/2006/relationships/image" Target="media/image176.png"/><Relationship Id="rId218" Type="http://schemas.openxmlformats.org/officeDocument/2006/relationships/hyperlink" Target="http://www.brnz.ac.nz/news-events/new-dementia-research-on-maori-led-by-maori" TargetMode="External"/><Relationship Id="rId234" Type="http://schemas.openxmlformats.org/officeDocument/2006/relationships/hyperlink" Target="http://www.health.govt.nz/your-health/conditions-and-treatments/mental-health/depression" TargetMode="External"/><Relationship Id="rId239" Type="http://schemas.openxmlformats.org/officeDocument/2006/relationships/footer" Target="footer18.xml"/><Relationship Id="rId2" Type="http://schemas.openxmlformats.org/officeDocument/2006/relationships/numbering" Target="numbering.xml"/><Relationship Id="rId29" Type="http://schemas.openxmlformats.org/officeDocument/2006/relationships/footer" Target="footer12.xml"/><Relationship Id="rId24" Type="http://schemas.openxmlformats.org/officeDocument/2006/relationships/hyperlink" Target="http://www.health.govt.nz/our-work/populations/maori-health/wai-2575-health-services-and-outcomes-kaupapa-inquiry" TargetMode="External"/><Relationship Id="rId40" Type="http://schemas.openxmlformats.org/officeDocument/2006/relationships/header" Target="header12.xml"/><Relationship Id="rId45" Type="http://schemas.openxmlformats.org/officeDocument/2006/relationships/image" Target="media/image10.png"/><Relationship Id="rId66" Type="http://schemas.openxmlformats.org/officeDocument/2006/relationships/image" Target="media/image30.png"/><Relationship Id="rId87" Type="http://schemas.openxmlformats.org/officeDocument/2006/relationships/image" Target="media/image51.png"/><Relationship Id="rId110" Type="http://schemas.openxmlformats.org/officeDocument/2006/relationships/image" Target="media/image74.png"/><Relationship Id="rId115" Type="http://schemas.openxmlformats.org/officeDocument/2006/relationships/image" Target="media/image79.png"/><Relationship Id="rId131" Type="http://schemas.openxmlformats.org/officeDocument/2006/relationships/image" Target="media/image95.png"/><Relationship Id="rId136" Type="http://schemas.openxmlformats.org/officeDocument/2006/relationships/image" Target="media/image100.png"/><Relationship Id="rId157" Type="http://schemas.openxmlformats.org/officeDocument/2006/relationships/image" Target="media/image121.png"/><Relationship Id="rId178" Type="http://schemas.openxmlformats.org/officeDocument/2006/relationships/image" Target="media/image141.png"/><Relationship Id="rId61" Type="http://schemas.openxmlformats.org/officeDocument/2006/relationships/image" Target="media/image25.png"/><Relationship Id="rId82" Type="http://schemas.openxmlformats.org/officeDocument/2006/relationships/image" Target="media/image46.png"/><Relationship Id="rId152" Type="http://schemas.openxmlformats.org/officeDocument/2006/relationships/image" Target="media/image116.png"/><Relationship Id="rId173" Type="http://schemas.openxmlformats.org/officeDocument/2006/relationships/image" Target="media/image136.png"/><Relationship Id="rId194" Type="http://schemas.openxmlformats.org/officeDocument/2006/relationships/image" Target="media/image157.png"/><Relationship Id="rId199" Type="http://schemas.openxmlformats.org/officeDocument/2006/relationships/image" Target="media/image162.png"/><Relationship Id="rId203" Type="http://schemas.openxmlformats.org/officeDocument/2006/relationships/image" Target="media/image166.png"/><Relationship Id="rId208" Type="http://schemas.openxmlformats.org/officeDocument/2006/relationships/image" Target="media/image171.png"/><Relationship Id="rId229" Type="http://schemas.openxmlformats.org/officeDocument/2006/relationships/hyperlink" Target="http://www.health.govt.nz/publication/position-paper-maori-health-analytics-age-standardisation" TargetMode="External"/><Relationship Id="rId19" Type="http://schemas.openxmlformats.org/officeDocument/2006/relationships/header" Target="header5.xml"/><Relationship Id="rId224" Type="http://schemas.openxmlformats.org/officeDocument/2006/relationships/hyperlink" Target="http://www.health.govt.nz/your-health/conditions-and-treatments/diseases-and-illnesses/arthritis" TargetMode="External"/><Relationship Id="rId240" Type="http://schemas.openxmlformats.org/officeDocument/2006/relationships/footer" Target="footer19.xml"/><Relationship Id="rId14" Type="http://schemas.openxmlformats.org/officeDocument/2006/relationships/image" Target="media/image3.png"/><Relationship Id="rId30" Type="http://schemas.openxmlformats.org/officeDocument/2006/relationships/header" Target="header8.xml"/><Relationship Id="rId35" Type="http://schemas.openxmlformats.org/officeDocument/2006/relationships/header" Target="header10.xml"/><Relationship Id="rId56" Type="http://schemas.openxmlformats.org/officeDocument/2006/relationships/image" Target="media/image21.png"/><Relationship Id="rId77" Type="http://schemas.openxmlformats.org/officeDocument/2006/relationships/image" Target="media/image41.png"/><Relationship Id="rId100" Type="http://schemas.openxmlformats.org/officeDocument/2006/relationships/image" Target="media/image64.png"/><Relationship Id="rId105" Type="http://schemas.openxmlformats.org/officeDocument/2006/relationships/image" Target="media/image69.png"/><Relationship Id="rId126" Type="http://schemas.openxmlformats.org/officeDocument/2006/relationships/image" Target="media/image90.png"/><Relationship Id="rId147" Type="http://schemas.openxmlformats.org/officeDocument/2006/relationships/image" Target="media/image111.png"/><Relationship Id="rId168" Type="http://schemas.openxmlformats.org/officeDocument/2006/relationships/image" Target="media/image132.png"/><Relationship Id="rId8" Type="http://schemas.openxmlformats.org/officeDocument/2006/relationships/header" Target="header1.xml"/><Relationship Id="rId51" Type="http://schemas.openxmlformats.org/officeDocument/2006/relationships/image" Target="media/image16.png"/><Relationship Id="rId72" Type="http://schemas.openxmlformats.org/officeDocument/2006/relationships/image" Target="media/image36.png"/><Relationship Id="rId93" Type="http://schemas.openxmlformats.org/officeDocument/2006/relationships/image" Target="media/image57.png"/><Relationship Id="rId98" Type="http://schemas.openxmlformats.org/officeDocument/2006/relationships/image" Target="media/image62.png"/><Relationship Id="rId121" Type="http://schemas.openxmlformats.org/officeDocument/2006/relationships/image" Target="media/image85.png"/><Relationship Id="rId142" Type="http://schemas.openxmlformats.org/officeDocument/2006/relationships/image" Target="media/image106.png"/><Relationship Id="rId163" Type="http://schemas.openxmlformats.org/officeDocument/2006/relationships/image" Target="media/image127.png"/><Relationship Id="rId184" Type="http://schemas.openxmlformats.org/officeDocument/2006/relationships/image" Target="media/image147.png"/><Relationship Id="rId189" Type="http://schemas.openxmlformats.org/officeDocument/2006/relationships/image" Target="media/image152.png"/><Relationship Id="rId219" Type="http://schemas.openxmlformats.org/officeDocument/2006/relationships/hyperlink" Target="http://www.healthnavigator.org.nz/health-a-z/a/anxiety/" TargetMode="External"/><Relationship Id="rId3" Type="http://schemas.openxmlformats.org/officeDocument/2006/relationships/styles" Target="styles.xml"/><Relationship Id="rId214" Type="http://schemas.openxmlformats.org/officeDocument/2006/relationships/image" Target="media/image177.png"/><Relationship Id="rId230" Type="http://schemas.openxmlformats.org/officeDocument/2006/relationships/hyperlink" Target="https://www.health.govt.nz/your-health/conditions-and-treatments/diseases-and-illnesses/tuberculosis-disease" TargetMode="External"/><Relationship Id="rId235" Type="http://schemas.openxmlformats.org/officeDocument/2006/relationships/hyperlink" Target="http://www.health.govt.nz/our-work/diseases-and-conditions/rheumatic-fever" TargetMode="External"/><Relationship Id="rId25" Type="http://schemas.openxmlformats.org/officeDocument/2006/relationships/header" Target="header6.xml"/><Relationship Id="rId46" Type="http://schemas.openxmlformats.org/officeDocument/2006/relationships/image" Target="media/image11.png"/><Relationship Id="rId67" Type="http://schemas.openxmlformats.org/officeDocument/2006/relationships/image" Target="media/image31.png"/><Relationship Id="rId116" Type="http://schemas.openxmlformats.org/officeDocument/2006/relationships/image" Target="media/image80.png"/><Relationship Id="rId137" Type="http://schemas.openxmlformats.org/officeDocument/2006/relationships/image" Target="media/image101.png"/><Relationship Id="rId158" Type="http://schemas.openxmlformats.org/officeDocument/2006/relationships/image" Target="media/image122.png"/><Relationship Id="rId20" Type="http://schemas.openxmlformats.org/officeDocument/2006/relationships/footer" Target="footer6.xml"/><Relationship Id="rId41" Type="http://schemas.openxmlformats.org/officeDocument/2006/relationships/footer" Target="footer17.xml"/><Relationship Id="rId62" Type="http://schemas.openxmlformats.org/officeDocument/2006/relationships/image" Target="media/image26.png"/><Relationship Id="rId83" Type="http://schemas.openxmlformats.org/officeDocument/2006/relationships/image" Target="media/image47.png"/><Relationship Id="rId88" Type="http://schemas.openxmlformats.org/officeDocument/2006/relationships/image" Target="media/image52.png"/><Relationship Id="rId111" Type="http://schemas.openxmlformats.org/officeDocument/2006/relationships/image" Target="media/image75.png"/><Relationship Id="rId132" Type="http://schemas.openxmlformats.org/officeDocument/2006/relationships/image" Target="media/image96.png"/><Relationship Id="rId153" Type="http://schemas.openxmlformats.org/officeDocument/2006/relationships/image" Target="media/image117.png"/><Relationship Id="rId174" Type="http://schemas.openxmlformats.org/officeDocument/2006/relationships/image" Target="media/image137.png"/><Relationship Id="rId179" Type="http://schemas.openxmlformats.org/officeDocument/2006/relationships/image" Target="media/image142.png"/><Relationship Id="rId195" Type="http://schemas.openxmlformats.org/officeDocument/2006/relationships/image" Target="media/image158.png"/><Relationship Id="rId209" Type="http://schemas.openxmlformats.org/officeDocument/2006/relationships/image" Target="media/image172.png"/><Relationship Id="rId190" Type="http://schemas.openxmlformats.org/officeDocument/2006/relationships/image" Target="media/image153.png"/><Relationship Id="rId204" Type="http://schemas.openxmlformats.org/officeDocument/2006/relationships/image" Target="media/image167.png"/><Relationship Id="rId220" Type="http://schemas.openxmlformats.org/officeDocument/2006/relationships/hyperlink" Target="http://www.healthnavigator.org.nz/health-a-z/c/chronic-pain/" TargetMode="External"/><Relationship Id="rId225" Type="http://schemas.openxmlformats.org/officeDocument/2006/relationships/hyperlink" Target="https://www.health.govt.nz/your-health/conditions-and-treatments/diseases-and-illnesses/dementia" TargetMode="External"/><Relationship Id="rId241" Type="http://schemas.openxmlformats.org/officeDocument/2006/relationships/fontTable" Target="fontTable.xml"/><Relationship Id="rId15" Type="http://schemas.openxmlformats.org/officeDocument/2006/relationships/image" Target="media/image4.png"/><Relationship Id="rId36" Type="http://schemas.openxmlformats.org/officeDocument/2006/relationships/footer" Target="footer15.xml"/><Relationship Id="rId57" Type="http://schemas.openxmlformats.org/officeDocument/2006/relationships/image" Target="media/image22.png"/><Relationship Id="rId106" Type="http://schemas.openxmlformats.org/officeDocument/2006/relationships/image" Target="media/image70.png"/><Relationship Id="rId127" Type="http://schemas.openxmlformats.org/officeDocument/2006/relationships/image" Target="media/image91.png"/><Relationship Id="rId10" Type="http://schemas.openxmlformats.org/officeDocument/2006/relationships/footer" Target="footer1.xml"/><Relationship Id="rId31" Type="http://schemas.openxmlformats.org/officeDocument/2006/relationships/footer" Target="footer13.xml"/><Relationship Id="rId52" Type="http://schemas.openxmlformats.org/officeDocument/2006/relationships/image" Target="media/image17.png"/><Relationship Id="rId73" Type="http://schemas.openxmlformats.org/officeDocument/2006/relationships/image" Target="media/image37.png"/><Relationship Id="rId78" Type="http://schemas.openxmlformats.org/officeDocument/2006/relationships/image" Target="media/image42.png"/><Relationship Id="rId94" Type="http://schemas.openxmlformats.org/officeDocument/2006/relationships/image" Target="media/image58.png"/><Relationship Id="rId99" Type="http://schemas.openxmlformats.org/officeDocument/2006/relationships/image" Target="media/image63.png"/><Relationship Id="rId101" Type="http://schemas.openxmlformats.org/officeDocument/2006/relationships/image" Target="media/image65.png"/><Relationship Id="rId122" Type="http://schemas.openxmlformats.org/officeDocument/2006/relationships/image" Target="media/image86.png"/><Relationship Id="rId143" Type="http://schemas.openxmlformats.org/officeDocument/2006/relationships/image" Target="media/image107.png"/><Relationship Id="rId148" Type="http://schemas.openxmlformats.org/officeDocument/2006/relationships/image" Target="media/image112.png"/><Relationship Id="rId164" Type="http://schemas.openxmlformats.org/officeDocument/2006/relationships/image" Target="media/image128.png"/><Relationship Id="rId169" Type="http://schemas.openxmlformats.org/officeDocument/2006/relationships/hyperlink" Target="http://www.health.govt.nz/publication/saving-lives-amenable-mortality-new-zealand-1996&#8211;2006" TargetMode="External"/><Relationship Id="rId185" Type="http://schemas.openxmlformats.org/officeDocument/2006/relationships/image" Target="media/image148.png"/><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143.png"/><Relationship Id="rId210" Type="http://schemas.openxmlformats.org/officeDocument/2006/relationships/image" Target="media/image173.png"/><Relationship Id="rId215" Type="http://schemas.openxmlformats.org/officeDocument/2006/relationships/image" Target="media/image178.png"/><Relationship Id="rId236" Type="http://schemas.openxmlformats.org/officeDocument/2006/relationships/hyperlink" Target="http://www.alz.co.uk/research/WorldAlzheimerReport2016.pdf" TargetMode="External"/><Relationship Id="rId26" Type="http://schemas.openxmlformats.org/officeDocument/2006/relationships/footer" Target="footer10.xml"/><Relationship Id="rId231" Type="http://schemas.openxmlformats.org/officeDocument/2006/relationships/hyperlink" Target="http://www.health.govt.nz/your-health/conditions-and-treatments/mental-health/anxiety" TargetMode="External"/><Relationship Id="rId47" Type="http://schemas.openxmlformats.org/officeDocument/2006/relationships/image" Target="media/image12.png"/><Relationship Id="rId68" Type="http://schemas.openxmlformats.org/officeDocument/2006/relationships/image" Target="media/image32.png"/><Relationship Id="rId89" Type="http://schemas.openxmlformats.org/officeDocument/2006/relationships/image" Target="media/image53.png"/><Relationship Id="rId112" Type="http://schemas.openxmlformats.org/officeDocument/2006/relationships/image" Target="media/image76.png"/><Relationship Id="rId133" Type="http://schemas.openxmlformats.org/officeDocument/2006/relationships/image" Target="media/image97.png"/><Relationship Id="rId154" Type="http://schemas.openxmlformats.org/officeDocument/2006/relationships/image" Target="media/image118.png"/><Relationship Id="rId175" Type="http://schemas.openxmlformats.org/officeDocument/2006/relationships/image" Target="media/image138.png"/><Relationship Id="rId196" Type="http://schemas.openxmlformats.org/officeDocument/2006/relationships/image" Target="media/image159.png"/><Relationship Id="rId200" Type="http://schemas.openxmlformats.org/officeDocument/2006/relationships/image" Target="media/image163.png"/><Relationship Id="rId16" Type="http://schemas.openxmlformats.org/officeDocument/2006/relationships/footer" Target="footer4.xml"/><Relationship Id="rId221" Type="http://schemas.openxmlformats.org/officeDocument/2006/relationships/hyperlink" Target="http://www.health.govt.nz/publication/dementia-supplementary-findings-lilacs-nz-section-five-service-use-and-common-health-conditions" TargetMode="External"/><Relationship Id="rId242" Type="http://schemas.openxmlformats.org/officeDocument/2006/relationships/glossaryDocument" Target="glossary/document.xml"/><Relationship Id="rId37" Type="http://schemas.openxmlformats.org/officeDocument/2006/relationships/image" Target="media/image6.jpeg"/><Relationship Id="rId58" Type="http://schemas.openxmlformats.org/officeDocument/2006/relationships/hyperlink" Target="http://www.health.govt.nz/system/files/documents/publications/gambling-results-of-the-201112-nzhs.pdf" TargetMode="External"/><Relationship Id="rId79" Type="http://schemas.openxmlformats.org/officeDocument/2006/relationships/image" Target="media/image43.png"/><Relationship Id="rId102" Type="http://schemas.openxmlformats.org/officeDocument/2006/relationships/image" Target="media/image66.png"/><Relationship Id="rId123" Type="http://schemas.openxmlformats.org/officeDocument/2006/relationships/image" Target="media/image87.png"/><Relationship Id="rId144" Type="http://schemas.openxmlformats.org/officeDocument/2006/relationships/image" Target="media/image108.png"/><Relationship Id="rId90" Type="http://schemas.openxmlformats.org/officeDocument/2006/relationships/image" Target="media/image54.png"/><Relationship Id="rId165" Type="http://schemas.openxmlformats.org/officeDocument/2006/relationships/image" Target="media/image129.png"/><Relationship Id="rId186" Type="http://schemas.openxmlformats.org/officeDocument/2006/relationships/image" Target="media/image149.png"/><Relationship Id="rId211" Type="http://schemas.openxmlformats.org/officeDocument/2006/relationships/image" Target="media/image174.png"/><Relationship Id="rId232" Type="http://schemas.openxmlformats.org/officeDocument/2006/relationships/hyperlink" Target="http://www.health.govt.nz/your-health/conditions-and-treatments/mental-health/bipolar-disorder" TargetMode="External"/><Relationship Id="rId27" Type="http://schemas.openxmlformats.org/officeDocument/2006/relationships/footer" Target="footer11.xml"/><Relationship Id="rId48" Type="http://schemas.openxmlformats.org/officeDocument/2006/relationships/image" Target="media/image13.png"/><Relationship Id="rId69" Type="http://schemas.openxmlformats.org/officeDocument/2006/relationships/image" Target="media/image33.png"/><Relationship Id="rId113" Type="http://schemas.openxmlformats.org/officeDocument/2006/relationships/image" Target="media/image77.png"/><Relationship Id="rId134" Type="http://schemas.openxmlformats.org/officeDocument/2006/relationships/image" Target="media/image98.png"/><Relationship Id="rId80" Type="http://schemas.openxmlformats.org/officeDocument/2006/relationships/image" Target="media/image44.png"/><Relationship Id="rId155" Type="http://schemas.openxmlformats.org/officeDocument/2006/relationships/image" Target="media/image119.png"/><Relationship Id="rId176" Type="http://schemas.openxmlformats.org/officeDocument/2006/relationships/image" Target="media/image139.png"/><Relationship Id="rId197" Type="http://schemas.openxmlformats.org/officeDocument/2006/relationships/image" Target="media/image160.png"/></Relationships>
</file>

<file path=word/_rels/footnotes.xml.rels><?xml version="1.0" encoding="UTF-8" standalone="yes"?>
<Relationships xmlns="http://schemas.openxmlformats.org/package/2006/relationships"><Relationship Id="rId3" Type="http://schemas.openxmlformats.org/officeDocument/2006/relationships/hyperlink" Target="http://www.health.govt.nz/publication/hiso-100012017-ethnicity-data-protocols" TargetMode="External"/><Relationship Id="rId2" Type="http://schemas.openxmlformats.org/officeDocument/2006/relationships/hyperlink" Target="http://datainfoplus.stats.govt.nz/Item/nz.govt.stats/5b6313fc-3ce3-434e-8ee7-6bac79305e53?_ga=2.92342621.1181817368.1531345437-953833498.1529353831" TargetMode="External"/><Relationship Id="rId1" Type="http://schemas.openxmlformats.org/officeDocument/2006/relationships/hyperlink" Target="http://archive.stats.govt.nz/browse_for_stats/population/estimates_and_projections/MaoriPopulationEstimates_HOTPAt30Jun17.asp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F79F068ED034AE9BC236A6B13398B72"/>
        <w:category>
          <w:name w:val="General"/>
          <w:gallery w:val="placeholder"/>
        </w:category>
        <w:types>
          <w:type w:val="bbPlcHdr"/>
        </w:types>
        <w:behaviors>
          <w:behavior w:val="content"/>
        </w:behaviors>
        <w:guid w:val="{BE531262-3641-413A-9862-8587D3234A4E}"/>
      </w:docPartPr>
      <w:docPartBody>
        <w:p w:rsidR="000758C9" w:rsidRDefault="00F049AA" w:rsidP="00F049AA">
          <w:pPr>
            <w:pStyle w:val="FF79F068ED034AE9BC236A6B13398B72"/>
          </w:pPr>
          <w:r w:rsidRPr="00A33968">
            <w:rPr>
              <w:rStyle w:val="PlaceholderText"/>
            </w:rPr>
            <w:t>[Title]</w:t>
          </w:r>
        </w:p>
      </w:docPartBody>
    </w:docPart>
    <w:docPart>
      <w:docPartPr>
        <w:name w:val="47D6545AD65E46FC92A8D4F4A2B9FA6C"/>
        <w:category>
          <w:name w:val="General"/>
          <w:gallery w:val="placeholder"/>
        </w:category>
        <w:types>
          <w:type w:val="bbPlcHdr"/>
        </w:types>
        <w:behaviors>
          <w:behavior w:val="content"/>
        </w:behaviors>
        <w:guid w:val="{46EE9BBA-20B6-49B4-9A2F-AE37E9ED32DB}"/>
      </w:docPartPr>
      <w:docPartBody>
        <w:p w:rsidR="00ED2FBF" w:rsidRDefault="0035030D" w:rsidP="0035030D">
          <w:pPr>
            <w:pStyle w:val="47D6545AD65E46FC92A8D4F4A2B9FA6C"/>
          </w:pPr>
          <w:r w:rsidRPr="00A3396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Black">
    <w:panose1 w:val="020B0A02040204020203"/>
    <w:charset w:val="00"/>
    <w:family w:val="swiss"/>
    <w:pitch w:val="variable"/>
    <w:sig w:usb0="E1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49AA"/>
    <w:rsid w:val="000758C9"/>
    <w:rsid w:val="000A66A0"/>
    <w:rsid w:val="001438C1"/>
    <w:rsid w:val="001B4D52"/>
    <w:rsid w:val="001D674E"/>
    <w:rsid w:val="00217351"/>
    <w:rsid w:val="002401E3"/>
    <w:rsid w:val="00276E24"/>
    <w:rsid w:val="00287285"/>
    <w:rsid w:val="003029D1"/>
    <w:rsid w:val="0035030D"/>
    <w:rsid w:val="0043784E"/>
    <w:rsid w:val="0048332E"/>
    <w:rsid w:val="0054557C"/>
    <w:rsid w:val="00616C74"/>
    <w:rsid w:val="00676653"/>
    <w:rsid w:val="006A3A2C"/>
    <w:rsid w:val="006A7189"/>
    <w:rsid w:val="007B4354"/>
    <w:rsid w:val="008306B4"/>
    <w:rsid w:val="009475C3"/>
    <w:rsid w:val="00992C74"/>
    <w:rsid w:val="009C3B0E"/>
    <w:rsid w:val="00AC18BC"/>
    <w:rsid w:val="00B51FC6"/>
    <w:rsid w:val="00B71E83"/>
    <w:rsid w:val="00B86A7B"/>
    <w:rsid w:val="00BB4023"/>
    <w:rsid w:val="00C5651B"/>
    <w:rsid w:val="00D438BF"/>
    <w:rsid w:val="00ED2FBF"/>
    <w:rsid w:val="00F049AA"/>
    <w:rsid w:val="00F253B8"/>
    <w:rsid w:val="00F3127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5030D"/>
    <w:rPr>
      <w:color w:val="808080"/>
    </w:rPr>
  </w:style>
  <w:style w:type="paragraph" w:customStyle="1" w:styleId="E8AD606CE52F46EFA67642D4974F4652">
    <w:name w:val="E8AD606CE52F46EFA67642D4974F4652"/>
    <w:rsid w:val="00F049AA"/>
  </w:style>
  <w:style w:type="paragraph" w:customStyle="1" w:styleId="E8AD606CE52F46EFA67642D4974F46521">
    <w:name w:val="E8AD606CE52F46EFA67642D4974F46521"/>
    <w:rsid w:val="00F049AA"/>
    <w:pPr>
      <w:spacing w:after="0" w:line="240" w:lineRule="auto"/>
      <w:jc w:val="right"/>
    </w:pPr>
    <w:rPr>
      <w:rFonts w:ascii="Segoe UI" w:eastAsia="Times New Roman" w:hAnsi="Segoe UI" w:cs="Times New Roman"/>
      <w:caps/>
      <w:sz w:val="15"/>
      <w:szCs w:val="20"/>
      <w:lang w:eastAsia="en-GB"/>
    </w:rPr>
  </w:style>
  <w:style w:type="paragraph" w:customStyle="1" w:styleId="3E5648CA8D4241A6A7A83E07CDEF471E">
    <w:name w:val="3E5648CA8D4241A6A7A83E07CDEF471E"/>
    <w:rsid w:val="00F049AA"/>
  </w:style>
  <w:style w:type="paragraph" w:customStyle="1" w:styleId="D8389D33873B4539ACBA5841B0642AEF">
    <w:name w:val="D8389D33873B4539ACBA5841B0642AEF"/>
    <w:rsid w:val="00F049AA"/>
  </w:style>
  <w:style w:type="paragraph" w:customStyle="1" w:styleId="06F76C6BEC3F4B60AF13D5E853C872C3">
    <w:name w:val="06F76C6BEC3F4B60AF13D5E853C872C3"/>
    <w:rsid w:val="00F049AA"/>
  </w:style>
  <w:style w:type="paragraph" w:customStyle="1" w:styleId="901094AC63BA48C898BF743A88C39335">
    <w:name w:val="901094AC63BA48C898BF743A88C39335"/>
    <w:rsid w:val="00F049AA"/>
  </w:style>
  <w:style w:type="paragraph" w:customStyle="1" w:styleId="8D8FE93A217640D4ADACDC016E0FE553">
    <w:name w:val="8D8FE93A217640D4ADACDC016E0FE553"/>
    <w:rsid w:val="00F049AA"/>
  </w:style>
  <w:style w:type="paragraph" w:customStyle="1" w:styleId="FA30304E6E3F448CB37D30DFF5467ED9">
    <w:name w:val="FA30304E6E3F448CB37D30DFF5467ED9"/>
    <w:rsid w:val="00F049AA"/>
  </w:style>
  <w:style w:type="paragraph" w:customStyle="1" w:styleId="99A66507DA024AB29CA5CD09D3983175">
    <w:name w:val="99A66507DA024AB29CA5CD09D3983175"/>
    <w:rsid w:val="00F049AA"/>
  </w:style>
  <w:style w:type="paragraph" w:customStyle="1" w:styleId="FF79F068ED034AE9BC236A6B13398B72">
    <w:name w:val="FF79F068ED034AE9BC236A6B13398B72"/>
    <w:rsid w:val="00F049AA"/>
  </w:style>
  <w:style w:type="paragraph" w:customStyle="1" w:styleId="EBA9CE7BFF774E1BB0C90E78A9965495">
    <w:name w:val="EBA9CE7BFF774E1BB0C90E78A9965495"/>
    <w:rsid w:val="000758C9"/>
  </w:style>
  <w:style w:type="paragraph" w:customStyle="1" w:styleId="A4B731662FF94AD7B1BA2CFEF01F1261">
    <w:name w:val="A4B731662FF94AD7B1BA2CFEF01F1261"/>
    <w:rsid w:val="000758C9"/>
  </w:style>
  <w:style w:type="paragraph" w:customStyle="1" w:styleId="47D6545AD65E46FC92A8D4F4A2B9FA6C">
    <w:name w:val="47D6545AD65E46FC92A8D4F4A2B9FA6C"/>
    <w:rsid w:val="0035030D"/>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95F9D-42BC-4070-9492-CC2B67CEB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TotalTime>
  <Pages>387</Pages>
  <Words>81391</Words>
  <Characters>463930</Characters>
  <Application>Microsoft Office Word</Application>
  <DocSecurity>0</DocSecurity>
  <Lines>3866</Lines>
  <Paragraphs>1088</Paragraphs>
  <ScaleCrop>false</ScaleCrop>
  <HeadingPairs>
    <vt:vector size="2" baseType="variant">
      <vt:variant>
        <vt:lpstr>Title</vt:lpstr>
      </vt:variant>
      <vt:variant>
        <vt:i4>1</vt:i4>
      </vt:variant>
    </vt:vector>
  </HeadingPairs>
  <TitlesOfParts>
    <vt:vector size="1" baseType="lpstr">
      <vt:lpstr>Wai 2575 Māori health trends report</vt:lpstr>
    </vt:vector>
  </TitlesOfParts>
  <Company>Microsoft</Company>
  <LinksUpToDate>false</LinksUpToDate>
  <CharactersWithSpaces>544233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Wai 2575 Māori health trends report</dc:title>
  <dc:creator>Ministry of Health</dc:creator>
  <cp:lastModifiedBy>Geneva Ruppert-Wise</cp:lastModifiedBy>
  <cp:revision>3</cp:revision>
  <cp:lastPrinted>2020-03-04T02:02:00Z</cp:lastPrinted>
  <dcterms:created xsi:type="dcterms:W3CDTF">2020-03-04T02:02:00Z</dcterms:created>
  <dcterms:modified xsi:type="dcterms:W3CDTF">2020-03-04T02:02:00Z</dcterms:modified>
</cp:coreProperties>
</file>