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Woburn Elderly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Woburn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April 2017</w:t>
      </w:r>
      <w:bookmarkEnd w:id="7"/>
      <w:r w:rsidRPr="009418D4">
        <w:rPr>
          <w:rFonts w:cs="Arial"/>
        </w:rPr>
        <w:tab/>
        <w:t xml:space="preserve">End date: </w:t>
      </w:r>
      <w:bookmarkStart w:id="8" w:name="AuditEndDate"/>
      <w:r w:rsidR="00A4268A">
        <w:rPr>
          <w:rFonts w:cs="Arial"/>
        </w:rPr>
        <w:t>21 April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This audit also included verifying as suitable to provide medical level care under their hospital certification</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Woburn is part of the Presbyterian Support Central Group (PSC) and provides rest home, hospital and dementia care for up to 105 residents.  On the day of audit there were 93 residents.  The service is managed by a facility manager, a clinical nurse manager and three clinical coordinators (one in each unit).  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has addressed five of the six shortfalls from the previous certification audit relating to quality and risk management systems and human resource management.  Improvements continue to be required in relation to the updating of consumers’ service delivery plans.  This audit has identified further improvements required around care plan interventions, planned activities, evaluation and medicine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ensures effective communication with all stakeholders including residents and families.  Complaints processes are implemented and complaints and concerns are managed and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PSC Woburn continues to implement the Presbyterian Support Services Central quality and risk management system that supports the provision of clinical care.  Key components of the quality management system link to the monthly senior team meetings.  An annual resident satisfaction survey is completed and resident meetings are held.  There are human resources policies including recruitment, selection, orientation and staff training and development.  The service has a documented induction programme.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information pack is made available to the resident and family/whānau prior to entry or on admission.  Unit coordinators and/or registered nurses are responsible for each stage of service provision. Initial assessments are completed by a registered nurse, including interRAI assessments.  The registered nurses complete care plans and evaluations within the required timeframes.  Care plans are based on the interRAI outcomes and other assessments.  Residents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There are medicine management policies and procedures in place.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 xml:space="preserve">Meals are prepared on-site and the menu has been reviewed by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one resident using an enabler and eight residents assessed as requiring the use of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resident/family.  The facility manager leads the investigation and management of complaints (verbal and written).  There is a complaint register that records activity.  Complaints are discussed at the monthly senior management team meeting and the two-monthly staff meetings.  Information on making a complaint and the forms are visible around the facility.  Eight documented complaints between August 2016 and March 2017 were reviewed.  Follow-up communication, investigation and outcomes were documented.  Discussion with residents and relatives confirmed they were aware of how to make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seven residents (four from the hospital and three from the rest home) and four family members (two hospital and two dementia) confirmed they were given time and explanation about services and procedures on admission.  Eden circles for residents/relatives have commenced and there are now monthly events/meetings held with relatives with an annual formal meeting.  The facility manager, clinical nurse manager and clinical coordinators have an open-door policy.  Accident/incident forms have a section to indicate if family have been informed (or not) of an accident/incident.  Eleven accident/incident forms sampled from February and March 2017 identify that family of ten residents were notified following a resident incident.  There was documentation in the file of the eleventh resident indicating that the family had requested to only be informed for some incidents.  Interviews with five healthcare assistants (HCA), three registered nurses (RN), three clinical coordinators and three managers confirmed that family members are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Home is part of the Presbyterian Support Central organisation (PSC).  The service provides rest home, hospital and dementia care levels for up to 105 residents (42 rest home, 43 hospital and 25 dementia).  On the day of audit there were 93 residents (37 rest home residents- including 1 respite, 34 hospital residents- including 1 respite and 1 palliative respite and 22 residents in the dementia unit).  There are 10 dual purpose beds; all are currently being used as rest home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were on the ARC contract. This audit also included verifying as suitable to provide medical level care under their hospital certification. </w:t>
            </w:r>
          </w:p>
          <w:p w:rsidR="00EB7645" w:rsidRPr="00BE00C7" w:rsidP="00BE00C7">
            <w:pPr>
              <w:pStyle w:val="OutcomeDescription"/>
              <w:spacing w:before="120" w:after="120"/>
              <w:rPr>
                <w:rFonts w:cs="Arial"/>
                <w:b w:val="0"/>
                <w:lang w:eastAsia="en-NZ"/>
              </w:rPr>
            </w:pPr>
            <w:r w:rsidRPr="00BE00C7">
              <w:rPr>
                <w:rFonts w:cs="Arial"/>
                <w:b w:val="0"/>
                <w:lang w:eastAsia="en-NZ"/>
              </w:rPr>
              <w:t>Woburn has a 2016-2017 business plan and a mission, vision and values statement defined.  The business plan outlines a number of goals for the year, each of which has defined objectives against quality, the Eden alternative and health and safety.  Progress towards goals (and objectives) is reported through the manager reports and taken to the senior management team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on day of audit was an interim manager who will leave on commencement of a newly appointed facility manager.  The new facility manager is due to commence in June 2017.  The facility manager (clinical) is supported by an experienced clinical nurse manager and three care coordinators who have been in their roles for some years.  The quality role is shared between the manager and clinical nurse manager.  The facility manager is supported by a regional manager.  A newly appointed regional manager will also be taking up this role in May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has an overall quality monitoring programme.  The monthly and annual reviews of this programme reflect the service’s ongoing progress around quality improvement.   There is a schedule for internal audits and benchmarking between PSC facilities occurs.  There is a meeting schedule including monthly senior management team meetings that includes discussion about accident and incident trends, internal audit outcomes, infection trends and complaints.  There is a collated corrective action report which is updated monthly till corrective actions are complete.  The collated corrective action report included actions arising from complaints and internal audits. The previous audit finding relating to 1.2.3.6 has been met.  Meetings are held as per schedule.  Quality data and analysis is shared with staff (placed on noticeboards) and corrective actions are signed out and evaluated for effectiveness.  The manager and care nurse manager write a quality report which is distributed for all staff to read and note corrective actions required.  However, a shortcoming was noted in the lack of specific corrective actions following an increase in the incidence of infections and high incidence of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meetings and Eden Alternative meetings have been held.  Health and safety, infection control and restraint meetings occur three-monthly. </w:t>
            </w:r>
          </w:p>
          <w:p w:rsidR="00EB7645" w:rsidRPr="00BE00C7" w:rsidP="00BE00C7">
            <w:pPr>
              <w:pStyle w:val="OutcomeDescription"/>
              <w:spacing w:before="120" w:after="120"/>
              <w:rPr>
                <w:rFonts w:cs="Arial"/>
                <w:b w:val="0"/>
                <w:lang w:eastAsia="en-NZ"/>
              </w:rPr>
            </w:pPr>
            <w:r w:rsidRPr="00BE00C7">
              <w:rPr>
                <w:rFonts w:cs="Arial"/>
                <w:b w:val="0"/>
                <w:lang w:eastAsia="en-NZ"/>
              </w:rPr>
              <w:t>Meetings with residents/family are held monthly in a social setting with the formal resident/family meeting held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and accidents/incidents are also being documented on an electronic database.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and this includes a health and safety rep that has completed health and safety training.  On day of audit, the role was being covered by the clinical nurse manager whilst another rep took lead of the committee.  Input from the central office health and safety adviser was being received.  Monthly reports are completed and reported to meetings and at the quarterly Health and Safety Committee meeting.  Health &amp; Safety meetings include identification of hazards and accident/incident reporting and trends.  Emergency plans ensure appropriate response in an emergency.  The previous audit finding relating to 1.2.3.9 has been met.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A document control system is in place.  The policy for the use of enablers aligns with the restraint minimisation and safe practice for the 2008 Health and Disability Sector Standards.  The medication policy around timeframes for staff for medication competencies aligns with the Ministry of Health medication guidelines.</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relative satisfaction surveys have been completed as per company schedule which included an analysis and the development of corrective action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collects a comprehensive set of data relating to adverse, unplanned and untoward events.  This includes the collection of incident and accident information.  This is able to be used for comparative purposes with fellow homes within the PSC group.  Senior team meeting minutes include feedback on incident and accident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accident and incident forms were reviewed.  All identified follow up by a registered nurse, however, all neuro observations documented following an incident where the resident had hit their head, were not documented as completed as per policy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service confirm that there is an awareness of the requirement to notify relevant authorities in relation to essential notifications and evidence of this occurring was sighted on audit.  A section 31 was submitted to the Ministry of Health in December 2016.  The matter was referred to the coroner and subsequently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which include recruitment.  Staff process requires that relevant checks are completed to validate the individual’s qualification, experience and veracity.  A copy of practising certificates is kept.  Seven staff files were reviewed (one clinical nurse manager, one cleaner, one administrator, one chaplain and three HCA’s).  Six files contained a current position description (the newly appointed chaplains position was being finalised).  All files contained employment agreements.  A schedule had been put in place to catch up and maintain annual appraisals (an action to remedy a previous finding).  Outstanding annual appraisals had been completed and the 2017 performance appraisal schedule was being adhered to.  The service is using the PSC recently introduced orientation programme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is being implemented.  The majority of HCA’s have completed an aged care education programme.  Staff attend annual compulsory study days which includes training around the Eden Alternative programme.  The clinical coordinators and RN’s are able to attend external training.  Eight hours of education or in-service education has been provided annually.  All individual records and attendance numbers are maintained.  A schedule of which staff have attended education is maintained and follow-up action and sessions are offered to ensure all staff receive the required training.  Ten of fourteen registered nurses are interRAI trained. There are thirteen healthcare assistants on the roster in the dementia unit and all have completed at minimum their Limited Credit Dementia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is a manual of competencies available to be used as required.  A number are mandatory (eg, handling and hand washing) and others are used as appropriate (eg, medication administration).</w:t>
            </w:r>
          </w:p>
          <w:p w:rsidR="00EB7645" w:rsidRPr="00BE00C7" w:rsidP="00BE00C7">
            <w:pPr>
              <w:pStyle w:val="OutcomeDescription"/>
              <w:spacing w:before="120" w:after="120"/>
              <w:rPr>
                <w:rFonts w:cs="Arial"/>
                <w:b w:val="0"/>
                <w:lang w:eastAsia="en-NZ"/>
              </w:rPr>
            </w:pPr>
            <w:r w:rsidRPr="00BE00C7">
              <w:rPr>
                <w:rFonts w:cs="Arial"/>
                <w:b w:val="0"/>
                <w:lang w:eastAsia="en-NZ"/>
              </w:rPr>
              <w:t>Previous findings relating to 1.2.7 have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and clinical nurse manager work full-time.  Registered nurses cover each 24-hour period in the hospital area.  Agency staff are used to provide cover for sickness if necessary.  The HCA numbers per area are adequate.  In the dementia unit, the clinical coordinator (RN) is rostered 40 hours per week plus there is additional RN support.  Interviews with HCA’s, residents and family members identify that staffing is adequate to meet the needs of residents.  Staff levels and skill mix are meeting contract and industry norm requirements.  Staffing levels are benchmarked against other PSC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(four rest home, four hospital- including one respite and four dementia).  There are policies available for safe medicine management that meet legislative requirements.  Not all medication charts sampled met legislative prescribing requirements.  The medication charts reviewed identified that the GP had reviewed all resident’s medication three-monthly and all allergies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medications have been assessed for competency on an annual basis.  Education around safe medication administration has been provided.  Staff were observed to be safely administering medications.  Registered nurses interviewed could describe their role regarding medication administration.  The service currently uses robotic packed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standing orders in use and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PSC Woburn are prepared and cooked on-site.  There is a five-weekly seasonal menu which had been reviewed by a dietitian.  A portable bain marie is used to deliver foods to the hospital and dementia dining rooms.  The rest home meals are plated and served from the kitchen to the adjacent dining room.  End cooked and holding food temperatures are recorded.  Fridge and freezer temperatures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Dietary needs are known with individual likes and dislikes accommodated.  Pureed, gluten free and diabetic desserts are provided.  Cultural and religious food preferences are met.  Nutritious snacks are available 24-hours a day for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 and hygiene and chemical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unit coordinator or registered nurse initiates a review and if required, GP, nurse practitioner or nurse specialist consultation.  The family members confirmed on interview they are notified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In the residents’ files reviewed, short-term care plans were commenced with a change in heath condition, but not all evaluated or linked to the long-term support plan (link 1.3.8.3).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Registered nurses were able to describe access for wound and continence specialist input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residents had interventions documented in the care plans to meet their assessed care needs.  Not all interventions documented in the care plans were followed. Behaviour monitoring forms are used (sighted) which described types of behaviour, possible triggers and the strategies for de-escalation that were used.  The monitoring charts are reviewed by the registered nurse.  The GP or nurse practitioner initiates specialist referrals to the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recreational team provide individual and group activities in the rest home, hospital and dementia care units seven days per week.  The recreation programme is supported by a team of volunteers.  The service has achieved two Eden principles (two and ten) and is looking to achieve additional principles (three - six) over the next twelve months.</w:t>
            </w:r>
          </w:p>
          <w:p w:rsidR="00EB7645" w:rsidRPr="00BE00C7" w:rsidP="00BE00C7">
            <w:pPr>
              <w:pStyle w:val="OutcomeDescription"/>
              <w:spacing w:before="120" w:after="120"/>
              <w:rPr>
                <w:rFonts w:cs="Arial"/>
                <w:b w:val="0"/>
                <w:lang w:eastAsia="en-NZ"/>
              </w:rPr>
            </w:pPr>
            <w:r w:rsidRPr="00BE00C7">
              <w:rPr>
                <w:rFonts w:cs="Arial"/>
                <w:b w:val="0"/>
                <w:lang w:eastAsia="en-NZ"/>
              </w:rPr>
              <w:t>The recreational programme provides individual and group activities that are meaningful and reflect ordinary patterns of life.  The residents were observed participating in group and individual activities during the audit.  Participation in the group programmes is voluntary.  There are regular outings/drives for all residents (as appropriate) and involvement in community events.  One-on-one activities occur for residents who are unable or choose not to be involved in activities.  The programme is displayed on noticeboards in all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and a recreational plan is developed.  Where recreational plans were sighted, these had been reviewed six-monthly at the same time as the care plans were reviewed.  In the dementia files sampled, the recreational plans did not cover the 24-hour period.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surveys and one-on-one feedback from residents (as appropriate) and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stated they were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care plan is evaluated at least six-monthly or earlier if there is a change in health status.  There was at least a three-monthly review by the GP or nurse practitioner.  Reassessments have been completed using interRAI LTCF and other relevant assessment tools for residents who have had a significant change in health status.  Not all care plans were updated following a change in care level.  Short-term care plans were in use.  However, the short-term care plans were not all evaluated and where required, the interventions added to the long- term care plan.  The previous audit finding related to evaluations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22 June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and analysed monthly to identify areas for improvement.  Corrective actions were not documented or implemented where infection rates were above the acceptable benchmark (link 1.2.3.8).  Infection control internal audits have been completed.  Trends are identified and quality initiatives are discussed at staff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  Systems are in place that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applicable to the service that complies with the Restraint Minimisation and Safe Practice Guideline 2008.  The organisational policy for restraint minimisation and enabler use ensures that enablers are voluntary, the least restrictive option and allows residents to maintain their independence.  There is a restraint and enabler register.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eight hospital residents using restraints (three lap belts and five bedrails) and one resident using an enabler (bed rail).  Documentation was reviewed for the nine residents on restraint and enabler and evidences assessment, authorisation, consent, planning, monitoring and review of the devices and aligns with the policy guidelines.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087"/>
        <w:gridCol w:w="6120"/>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data (falls, incidence of UTIs, respiratory infections and wounds) is collected, benchmarked with PSC facilities and shared with staff.  Data is provided to staff at meetings and in report format and covers areas requiring improvement (eg, corrective actions arising from audits relating to interRAI (updating) and all staff attending mandatory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Where the incidence of falls and infection rates (UTIs, respiratory, wounds) were above the benchmark, corrective actions were not consistently documented or implemented.   Incidence rates are provided to staff in report and graph form.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Where opportunities are identified for improvements, ensure that corrective actions are documented and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or nurse practitioner prescribes the medication for each resident.  There were two residents on anticoagulant therapy, who had a variable dose charted orally over a 30-day period, that was bracketed and group signed by the GP.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two residents on Warfarin had the variable daily dose individually charted and then bracketed and group signed by the GP.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medication is prescribed according to guidelines and legislative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completed on admission, when the support plan is reviewed and with a change in health condition.  The care plan is updated based on these assessments. In the files sampled, not all care plans had been updated following a change in health condition and not all interventions for assessed care needs were being documented or documented in sufficient detail to guide the care staff.  Not all required monitoring was being completed.  The sample size was extended for residents on hourly monitoring and this evidenced that their required monitoring was not being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In six of six (two rest home, two dementia and two hospital- including one respite) resident files sampled, interventions were not documented or not documented in sufficient detail to support care for: a) one hospital resident (hospital tracer) did not have interventions documented in sufficient detail for the management of a high falls and high pressure injury risk;  b) one hospital resident with type II diabetes on insulin with fluctuating blood sugars, had no emergency diabetic management plan documented;  c) one resident in the dementia unit with a 5 kg weight loss over 3 months and had no interventions documented to manage this weight loss (dementia tracer);  d) interventions in use were not documented for one resident in the dementia unit using a specialist cushion and no interventions were documented for the management of glucose intolerance;  e) one rest home resident with a history of a gastric ulcer and previous GI bleed had no interventions documented to monitor for this (rest home tracer);  f) one rest home resident with a history of wandering off-site did not have interventions documented in sufficient detail to guide the care staff and the required half hourly monitoring was not consistently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In three of five files sampled (one rest home and two dementia), the required monitoring as documented in the care plans was not consistently evidenced for: a) one rest home resident with a history of constipation; b) two dementia residents on monthly weighs; and c) five of five rest home residents (sample size extended) on hourly monitoring for position and or location checks.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Five of five hospital residents (from the random sample of accident and incident forms) who had an unwitnessed fall where it was suspected the resident may have hit their head, did not have neurological observations completed for the timeframes required by the organisational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interventions are documented for all assessed care needs, in sufficient detail to guide the care staff and that all interventions in use are documented.</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required monitoring is completed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neurological observations are completed for all unwitnessed falls as required by the organisational policies.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coordinator completes the activity profile and ‘tree of life’ when the resident is admitted, in consultation with the resident and their family (as appropriate).  A recreational plan is then developed for each resident and this is reviewed in conjunction with a review of the long-term care plan.  There are separate group programmes for each service level and the residents can also join in the activities that are provided by the day programme.  Not all residents in the dementia unit have a recreational plan documented for the 24-hour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two resident files sampled in the dementia unit did not have a 24-hour recreational plan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residents in the dementia unit have a 24-hour recreational plan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are updated at least six-monthly and evidence was sighted of multidisciplinary and family input into reviews of the care plan.  InterRAI and other assessments are completed following a significant change in health condition.  However, the care plans were not always updated following this assessment or a change in care needs.  Short-term care plans were evidenced in use for acute changes in health condition.  However, these were not always evaluated and signed out and where the event was ongoing, the interventions were not always added to the long-term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 three of six files sampled (two rest home and one dementia), the long-term care plan was not updated following a change in health condition, specifically: a) discontinuation of narcotic analgesia; b) a change in mobility; and c) an increase to two-person assistance for showering.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Three of six residents (two rest home and one hospital) did not have the short-term care plans evaluated and the interventions added to the long-term care plan for the management of wounds, infections and pain.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dementia resident had an interRAI assessment completed for a change in care level on the 27 March and was assessed as requiring hospital level care on the 11 April.  On the day of audit (9 days later), no changes had been made to the long-term care plan to reflect the increased care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long-term care plan is updated following a change in care needs.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short-term care plans are evaluated and signed out and where required, the long-term care plan is updated.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the long-term care plan is updated following a change in care level.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Woburn Elderly Care</w:t>
    </w:r>
    <w:bookmarkEnd w:id="58"/>
    <w:r>
      <w:rPr>
        <w:rFonts w:cs="Arial"/>
        <w:sz w:val="16"/>
        <w:szCs w:val="20"/>
      </w:rPr>
      <w:tab/>
      <w:t xml:space="preserve">Date of Audit: </w:t>
    </w:r>
    <w:bookmarkStart w:id="59" w:name="AuditStartDate1"/>
    <w:r>
      <w:rPr>
        <w:rFonts w:cs="Arial"/>
        <w:sz w:val="16"/>
        <w:szCs w:val="20"/>
      </w:rPr>
      <w:t>20 April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