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Jean Sandel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Jean Sandel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Jean Sandel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April 2017</w:t>
      </w:r>
      <w:bookmarkEnd w:id="7"/>
      <w:r w:rsidRPr="009418D4">
        <w:rPr>
          <w:rFonts w:cs="Arial"/>
        </w:rPr>
        <w:tab/>
        <w:t xml:space="preserve">End date: </w:t>
      </w:r>
      <w:bookmarkStart w:id="8" w:name="AuditEndDate"/>
      <w:r w:rsidR="00A4268A">
        <w:rPr>
          <w:rFonts w:cs="Arial"/>
        </w:rPr>
        <w:t>27 April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Jean Sandal is part of the Ryman Group of retirement villages and aged care facilities.  The service provides rest home, hospital and dementia level of care for up to 112 residents in the care centre and rest home level of care for up to 20 residents in serviced apartments.  On the day of audit, there were 109 residents in the care centre.  There were no rest home residents in the serviced apartments.  The service is managed by an experienced village manager who is a registered nurse.  </w:t>
      </w:r>
    </w:p>
    <w:p w:rsidRPr="00A4268A">
      <w:pPr>
        <w:spacing w:before="240" w:line="276" w:lineRule="auto"/>
        <w:rPr>
          <w:rFonts w:eastAsia="Calibri"/>
        </w:rPr>
      </w:pPr>
      <w:r w:rsidRPr="00A4268A">
        <w:rPr>
          <w:rFonts w:eastAsia="Calibri"/>
        </w:rPr>
        <w:t>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This audit has identified an area for improvement was identified around admission visits and interventions.   </w:t>
      </w:r>
    </w:p>
    <w:p w:rsidRPr="00A4268A">
      <w:pPr>
        <w:spacing w:before="240" w:line="276" w:lineRule="auto"/>
        <w:rPr>
          <w:rFonts w:eastAsia="Calibri"/>
        </w:rPr>
      </w:pPr>
      <w:r w:rsidRPr="00A4268A">
        <w:rPr>
          <w:rFonts w:eastAsia="Calibri"/>
        </w:rPr>
        <w:t xml:space="preserve">Continuous improvement has been maintained around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  Registered nursing cover is provided 24 hours, 7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and evaluations are completed by the registered nurses.  Care plans demonstrate service integration.  Resident and family interviewed confirmed they were involved in the care plan process and review.  The general practitioner completes reviews the residents at least three-monthly.</w:t>
      </w:r>
    </w:p>
    <w:p w:rsidRPr="00A4268A" w:rsidP="00621629">
      <w:pPr>
        <w:spacing w:before="240" w:line="276" w:lineRule="auto"/>
        <w:rPr>
          <w:rFonts w:eastAsia="Calibri"/>
        </w:rPr>
      </w:pPr>
      <w:r w:rsidRPr="00A4268A">
        <w:rPr>
          <w:rFonts w:eastAsia="Calibri"/>
        </w:rPr>
        <w:t xml:space="preserve">The activity team provide an Engage activities programme which is varied and interesting.  The Engage programme meets the abilities and recreational needs of the rest home, hospital and dementia care residents including a men’s group.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Individual and special dietary needs are accommodated.  Residents interviewed responded favourably to the food that is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restraint and no residents with an enabler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includes policies and procedures for the surveillance of infections. The infection prevention and control team holds integrated meetings with the health and safety team.  A monthly infection control report is completed monthly and forwarded to head office for analysis and benchmarking.  A six-monthly comparative summary is completed.  The service has had one outbreak since the last audit that was well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Jean Sandel.  The village manager has overall responsible for ensuring all complaints (verbal or written) are fully documented and investigated.  The facility has an up-to-date complaint register.  Concerns and complaints are discussed at relevant meetings.  There were five documented complaints made in 2016 and no complaints received in 2017 year to date.  Follow-up letters, investigation and outcome was documented.  Corrective actions have been implemented and any changes required were made as a result of the complaint.  Interviews with residents and relatives confirmed they were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and reporting forms that guide staff to their responsibility to notify family of any resident accident/incident that occurs.  The incident forms have a section to indicate if family have been informed (or not) of an accident/incident.  Fourteen incident forms reviewed for March 2017 identified that family were notified following a resident incident.  Interpreter policy and contact details of interpreters is available.  Non-subsidised residents are advised in writing of their eligibility and the process to become a subsidised resident should they wish to do so.  Three relatives interviewed (one rest home and two dementia) stated that they are informed when their family members health status changes.  The information pack is available in large print and this can be read to residents.  The information pack and admission agreement included payment for items not included in the services.  Five residents (three rest home and two hospital) interviewed stated that they were welcomed on entry and were given time and explanation about the services and procedures.  A specific introduction to the dementia unit booklet provides information for family, friends and visitors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Jean Sandel is a Ryman Healthcare retirement village providing rest home, hospital and dementia level care for up to 132 residents.  This includes 39 rest home level beds, 51 dual-purpose beds, 22 dementia level beds and 20 serviced apartments certified as able to provide rest home level care.  There were no residents receiving rest home care in the serviced apartments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Occupancy during the audit was 39 rest home residents in the ground floor rest home.  In the hospital on level 1, there was 16 rest home residents and 34 hospital level residents in the 51 dual-purpose beds and 22 residents in the 22-bed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on respite care and no residents under the medical services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developed at head office that guides quality improvement and risk management in the service.  Specific values have been determined for the facility.  The village quality objectives and quality initiatives for 2017 have been set, with evidence of monthly reviews and quarterly reporting to head office on progress towards meeting these objectives.  Evidence in staff and management meeting minutes reflect discussions around the 2017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Jean Sandel has been in the role since August 2015 and has a background in facility and regional management in aged care.  She is supported by an assistant manager, who carries out administrative functions and a clinical manager who oversees clinical care and support for the village manager.  The clinical manager been in the position for three months.  The wider Ryman management team that included a regional manager, supports the management team.  The village manager has maintained at least eight hours of professional development activities related to managing a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Jean Sandel has a well-established quality and risk management system that is directed by Ryman head office.  Quality and risk performance is reported across the facility meetings and to the organisation's management team.  Discussions with the management team (village manager, assistant manager and clinical manager) and staff and review of management and staff meeting minutes demonstrate their involvement in quality and risk activities.  Family meetings are held six-monthly and residents’ meetings are held every two months.  Minutes are maintained.  Annual resident and relative surveys are completed.  Quality improvement plans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There are clear guidelines and templates for reporting.  Management systems, policies and procedures are developed, implemented and regularly reviewed.  The facility has implemented processes to collect, analyse and evaluate data, which is utilised for service improvements.  Results are communicated to staff across a variety of meetings and reflect actions being implemented and signed off when completed.  The service has exceeded the required standard in this area.  Falls prevention strategies are in place that include: hi/lo beds; ongoing falls assessment and exercises by the physiotherapist; sensor mats; fall prevention pamphlets; and appropriate footwear.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(caregiver) is appointed who has completed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fourteen incident/accident forms from across all areas of the service, identified that all are fully completed and include follow up by a registered nurse (RN).  The clinical manager is involved in the adverse event process, with links to the applicable meetings (teamRyman, RN, care staff, health and safety/infection control).  This provides the opportunity to review any incidents as they occur.  The village manager is able to identify situations that would be reported to statutory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Nine staff files reviewed (one clinical manager, one clinical leader, one hospital unit coordinator, two RNs, three caregivers and one activities coordinator) provided evidence of signed contracts, job descriptions relevant to the role the staff member is in, induction, application form and reference checks.  Staff files reviewed included annual performance appraisals with eight week reviews completed for newly appointed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RN and enrolled nurse (EN) practising certificates are maintained within the facility.  Practising certificates for other health practitioners are retained to provide evidence of registration.  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Twelve care assistants work in the dementia unit.  All twelve care assistants have completed their dementia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Staff training records are maintained.  There are implemented competencies for RNs, ENs and care assistants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care centre is overseen by a full-time clinical manager.  Each service unit in the care centre has a full-time RN unit coordinator.  There is at least one RN and first aid trained member of staff on every shift.  Interviews with care assistants informed the RNs are supportive and approachable.  In addition, they reported there are sufficient staff on duty at all times.  Interviews with residents and relatives indicated there are generally sufficient staff to meet resident needs.  Agency staff can be used to cover unexpected absences.  The village manager and clinical manager, work full-time Monday to Friday and are on call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in the rest home unit (39 residents) AM shift: one RN, four caregivers; PM shift: three caregivers; and night shift: two caregivers (the RN in the hospital oversee the rest home unit in the PM and night shifts).  In the hospital unit (36 hospital and 13 rest home residents): AM shift: two RNs, nine caregivers; PM shift: two RNs, seven caregivers; and night shift: one RN, three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(21 residents): AM shift: one RN, two caregivers; PM shift: three caregivers (including one lounge carer); and night shift: two caregivers (the two RN’s in the hospital oversee the dementia unit in the PM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roster for the serviced apartments when there are rest home residents living there.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is completed by RN unit coordinator or enrolled nurse.  The backs of the blister packs were signed by the nurse checking the pack.  Registered nurses, enrolled nurses and senior caregivers who administer medications have been assessed for competency on an annual basis.  Care staff interviewed were able to describe their role in regard to medicine administration.  Education around safe medication administration has been provided.  Medications were stored safely.  Medication fridges were monitored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Six self-medicating residents in the rest home had been assessed and reviewed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on the electronic medication system.  All medication charts reviewed have ‘as required’ medications prescribed with an indication for use.  The effectiveness of ‘as required’ medications are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chef is supported by cook and kitchen assistants.  All staff have been trained in food safety and chemical safety.  There is an organisational four-weekly seasonal menu that had been designed in consultation with the company chef and the dietitian at organisational level.  The reviewed menu includes more meal choices for the midday meal and dinner.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such as residents with weight loss/weight gain or swallowing difficulties.  Resident likes, dislikes and dietary preferences were known.  Alternative foods are offered.  Cultural, religious and food allergies are accommodated.  Special diets such pureed/soft, diabetic desserts, vegetarian and gluten free are provided.   There are nutritional snacks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All foods were date labelled.  A cleaning schedule is maintained.  Feedback on the service is received from daily resident contact resident, resident meetings, surveys and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Not all care plans had been updated to reflect the changes in resident needs/supports.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residents with wounds (eleven hospital, seven rest home and two dementia care) including three facility acquired pressure injuries (two stage I and one stage II).  The pressure injuries had not been linked to the long-term care plans.  Adequate dressing supplies were sighted in the treatment rooms.  The service has access to the DHB wound nurse as required, however, the podiatrist recommendation for referral to the wound nurse had not been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activities coordinators to coordinate and deliver the Engage programme across the rest home, hospital and dementia care units.  An activity coordinator is based in the rest home Monday to Friday.  There is an activity coordinator and activity assistant based in the hospital to provide group and one-to-one activities seven days a week.  Two activity coordinators (one a diversional therapist and the other has dementia unit standards) share the seven-day week activity role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Activities include: sensational senses; triple A exercises; walks; baking; word games; news and views; and musical moments.  There are adequate resources available.  Daily contact is made with residents who choose not to be involved in the activity programme.  The men’s group meet fortnightly and include activities such as building bird houses.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interdenominational church services are held on-site.  Community visitors include entertainers, speakers and animal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Life experience forms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resident/relative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seven care plans reviewed had been evaluated by registered nurses’ six-monthly.  Two residents (one rest home and one hospital) had not been at the service six months.  Written evaluations describe the resident’s progress against the residents identified goals.  The multidisciplinary review involves the RN, GP, activities staff and resident/family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24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on the electronic system for all infections.  Infections are included on an electronic register and the infection prevention and control officer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A six-monthly trends analysis is completed and benchmarked against organisational key performance indicators for types of infection events.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norovirus outbreak January 2017 was well managed and included a debrief meeting to review overall management by staff and followed up with ongoing education.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 and no residents using an enabler.  Staff training has been provided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1"/>
        <w:gridCol w:w="1280"/>
        <w:gridCol w:w="3214"/>
        <w:gridCol w:w="5688"/>
        <w:gridCol w:w="20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reviews the residents at least three-monthly.  Admission visits for four resident files reviewed were within two working days.   More frequent medical review is evidenced in files of residents with more complex conditions or acute changes to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GP admission visits for three residents (one rest home, one hospital and one dementia care) admitted from the community were outside of the required two working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new residents are admitted by the GP within two working days when admitted from the community.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wound assessments and ongoing evaluations sighted (on the V-care system) for current wounds and three pressure injuries.  However, the care plans had not been updated to reflect a pressure injury.   Allied health professionals who were involved in the care of two residents made recommendations that have not been implemented.  Care plans for three of seven resident files reviewed were current and up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 care plans for three residents with facility acquired pressure injuries had not been updated to include the pressure injury and nursing cares required; (ii) The podiatrist made a recommendation for a rest home resident to be seen by the wound nurse for a stage I pressure injury of toe.  There was no evidence of a referral or action taken.  The physiotherapist recommended the trial of hip protectors for a rest home resident post falls with injury.  There was no evidence of follow up of physiotherapist recommendation; (iii) The care plans for the same rest home resident had not been updated to include a) health status following a hospital admission; and b) the falls risk had not been identified on the long-term care plan or reviewed post two falls with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 Ensure pressure injuries and interventions are linked to the long-term care plans; (ii) Ensure recommendations made by allied health professionals are followed up and implemented and; (iii) Ensure all care plans are updated to reflect the resident’s current health status.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13"/>
        <w:gridCol w:w="1280"/>
        <w:gridCol w:w="1740"/>
        <w:gridCol w:w="9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November 2016, the menu was reviewed to include more choice of meals at the midday meal and dinner.  The service has continued to improve its choices of pureed meals including pureed desserts.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introduced meal choices on four of the seven week days.  This will be increased to seven days a week with the employment of another chef.   There are three meal choices at the midday meal including a vegetarian option.  There are two dessert options one of which is suitable for diabetics.  The evening meal provides two options.  Residents complete daily menus which ensure choices are catered for.  There has been a focus on improving the pureed meals and these are now the same as the menu, although some vegetables may vary but the meats are the same.  There is continued weight monitoring of those residents on pureed meals.  Documented evidence of ten residents on pureed meals have gained one to three kgs over the last one to three months.  There is continuing feedback and discussion around meals through regular meetings and surveys.  Concerns raised have been actioned.  Residents and relative interviewed on the day of audit commented positively on the meals provided which has been validated in survey results and meeting minutes.  The service has continued to improve the meal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Jean Sandel Retirement Village Limited</w:t>
    </w:r>
    <w:bookmarkEnd w:id="58"/>
    <w:r>
      <w:rPr>
        <w:rFonts w:cs="Arial"/>
        <w:sz w:val="16"/>
        <w:szCs w:val="20"/>
      </w:rPr>
      <w:tab/>
      <w:t xml:space="preserve">Date of Audit: </w:t>
    </w:r>
    <w:bookmarkStart w:id="59" w:name="AuditStartDate1"/>
    <w:r>
      <w:rPr>
        <w:rFonts w:cs="Arial"/>
        <w:sz w:val="16"/>
        <w:szCs w:val="20"/>
      </w:rPr>
      <w:t>26 April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