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By The Lake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By The Lake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May 2017</w:t>
      </w:r>
      <w:bookmarkEnd w:id="7"/>
      <w:r w:rsidRPr="009418D4">
        <w:rPr>
          <w:rFonts w:cs="Arial"/>
        </w:rPr>
        <w:tab/>
        <w:t xml:space="preserve">End date: </w:t>
      </w:r>
      <w:bookmarkStart w:id="8" w:name="AuditEndDate"/>
      <w:r w:rsidR="00A4268A">
        <w:rPr>
          <w:rFonts w:cs="Arial"/>
        </w:rPr>
        <w:t>9 May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by the Lake provides rest home level care for up to 19 residents including 18 in serviced apartments. On the day of the audit there were 15 residents receiving rest home level care.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 xml:space="preserve">The village manager is an experienced registered nurse and manager and is supported by a clinical nurse lead (registered nurse) who oversees the clinical services.  </w:t>
      </w:r>
    </w:p>
    <w:p w:rsidRPr="00A4268A">
      <w:pPr>
        <w:spacing w:before="240" w:line="276" w:lineRule="auto"/>
        <w:rPr>
          <w:rFonts w:eastAsia="Calibri"/>
        </w:rPr>
      </w:pPr>
      <w:r w:rsidRPr="00A4268A">
        <w:rPr>
          <w:rFonts w:eastAsia="Calibri"/>
        </w:rPr>
        <w:t xml:space="preserve">There are quality systems and processes being implemented.  An induction and in-service training programme is in place to provide staff with appropriate knowledge and skills to deliver care.  The residents and relatives interviewed spoke positively about the care and support provided.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Summerset by the Lake provides care in a way that focuses on the individual resident.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by the Lake has an established quality and risk management system that supports the provision of clinical care.  Key components of the quality management system link to a number of meetings including monthly quality improvement meetings.  Annual surveys and monthly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There is a well-developed information pack available for residents and families/whānau at entry.  Assessments, resident centred care plans and evaluations were completed by the registered nurses within the required timeframes.  Risk assessment tools and monitoring forms were available and implemented.  Resident centred care plans were individualised and reflected the involvement of allied health professionals in the care of the resident.  </w:t>
      </w:r>
    </w:p>
    <w:p w:rsidRPr="00A4268A" w:rsidP="00621629">
      <w:pPr>
        <w:spacing w:before="240" w:line="276" w:lineRule="auto"/>
        <w:rPr>
          <w:rFonts w:eastAsia="Calibri"/>
        </w:rPr>
      </w:pPr>
      <w:r w:rsidRPr="00A4268A">
        <w:rPr>
          <w:rFonts w:eastAsia="Calibri"/>
        </w:rPr>
        <w:t xml:space="preserve">A diversional therapist coordinates and implements an integrated activity programme.  She is supported by a part-time recreational therapist.  The activities meet the individual recreational needs and preferences of the consumer groups.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three-monthly.  </w:t>
      </w:r>
    </w:p>
    <w:p w:rsidRPr="00A4268A" w:rsidP="00621629">
      <w:pPr>
        <w:spacing w:before="240" w:line="276" w:lineRule="auto"/>
        <w:rPr>
          <w:rFonts w:eastAsia="Calibri"/>
        </w:rPr>
      </w:pPr>
      <w:r w:rsidRPr="00A4268A">
        <w:rPr>
          <w:rFonts w:eastAsia="Calibri"/>
        </w:rPr>
        <w:t xml:space="preserve">The food service is contracted to an external company.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were documented processes for the management of waste and hazardous substances in place and incidents are reported in a timely manner.  Chemicals are stored safely throughout the facility.  The building has a current warrant of fitness.  Resident bedrooms are spacious and personalised.  There are sufficient numbers of communal toilet/showers.  There was sufficient space to allow the movement of residents around the facility using mobility aids or lazy boy chairs.  The hallways and communal areas were spacious and accessible.  The outdoor areas were safe and easily accessible and provide seating and shade.  The service has implemented policies and procedures for civil defence and other emergencies and six-monthly fire drills are conducted.  Housekeeping/laundry staff maintain a clean and tidy environment.  All laundry and linen was completed on-site.  There is plenty of natural light in all rooms and the environment comfortable with adequate ventilation and heating.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documented policies and procedures around restraint use and use of enablers. There is nil use of restraint and enablers.  Staff training around the use of restraint and enablers is provided and staff interviewed understand the philosophy of minimal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officer (clinical nurse leader) is responsible for coordinating and providing education and training for staff.  The infection control officer and infection control committee have attended training.  The infection control manual outlined the scope of the programme and included a comprehensive range of policies and guidelines.  The infection control officer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47"/>
        <w:gridCol w:w="1280"/>
        <w:gridCol w:w="96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(two caregivers, one registered nurse (CNL) and one recreational therapist) confirmed their familiarity with the Health and Disability Commissioner (HDC) Code of Health and Disability Services Consumers’ Rights (the Code).  Two residents receiving rest home level care and three relatives were interviewed and confirmed the services being provided are in line with the Code.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and specific consents were evident in the five resident files reviewed. Two caregivers and one registered nurse (CNL) interviewed confirm consent is obtained when delivering cares.  Resuscitation orders had been appropriately signed by the resident and general practitioner.  The service acknowledges the resident is for resuscitation in the absence of a signed directive by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family members (three) identifies that the service actively involves them in decisions that affect their relative’s lives.  Five long-term admission agreements were sighted and had been signed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provided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Activities programmes included opportunities to attend events outside of the facility including activities of daily living (eg, shopping and attending cafes and restaurants).  Interview with staff, residents and relatives informed residents are supported and encouraged to remain involved in the community and external groups.  Relative and friends are encouraged to be involved with the service and care.  Residents and relatives enjoy the new on-site cafe.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There is a complaint register that included relevant information regarding the complaint.  The number of complaints received each month is reported monthly to staff via the various meetings.  One complaint had been received since Oct 2015.  The complaint documentation included follow-up letters, investigation and resolution that had been completed within the required timeframes.  Corrective actions had been implemented and any changes required were made.  Along with additional auditing of resident satisfaction, specific to the area of complaint, resulting in a 97% satisfaction result.  The complaints policy changed in April 2017, requiring the use of the newly altered closing off form.  A complaints procedure is provided to residents within the information pack at entry.  Feedback forms are available for residents/relatives in various places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information to residents that include the Code, complaints and advocacy.  Information is given to the family or the enduring power of attorney (EPOA) to read to and/or discuss with the resident.  Residents and relatives interviewed identified they were well informed about the Code of Rights.  Monthly resident meetings provide the opportunity to raise concerns.  An annual residents/relatives survey is completed.  Advocacy and Code of Rights information is included in the information pack and is available at reception.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House rules and a code of conduct are signed by staff at commencement of employment.  Contact details of spiritual/religious advisors are available.  Residents and relatives interviewed reported that residents are able to choose to engage in activities and access community resources.  There is an elder abuse and neglect policy.  Staff education and training on abuse and neglect is undertaken and an advocate from Age Concern visits the facility weekly to meet with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Lake has a Māori health plan that includes a description of how they achieve the requirements set out in the contract.  There are supporting policies that provide recognition of Māori values and beliefs and identify culturally safe practices for Māori.  At the time of the audit, there were no residents that identified as Māori.  Links are established with local iwi.  Staff interviewed were able to describe how they can ensure they meet the cultural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Six-monthly multidisciplinary team meetings occur to assess if needs are being met.  Family are invited to attend.  Discussion with family/whānau confirms values and beliefs are considered.  Residents interviewed confirm that staff take into account their culture and values.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quality improvement meetings occur monthly and include discussions on professional boundaries and concerns as they arise.  Management provide guidelines and mentoring for specific situations.  Interviews with the village manager, clinical nurse lead and caregivers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positively about the care and support provided.  Staff have a sound understanding of principles of aged care and state that they feel supported by the village manager and clinical nurse lead.  All Summerset facilities have a master copy of policies which have been developed in line with current accepted best practice and are reviewed regularly.  The content of policy and procedures are sufficiently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improvement programme that includes performance monitoring against clinical indicators and benchmarking against like services within the group is undertaken.  There is evidence of education being supported outside of the training plan.  Services are provided at Summerset by the Lake that adheres to the Health and Disability Services Standards.  There are implemented competencies for caregivers and registered nurses including (but not limited to): insulin administration; medication; wound care; and manual handling.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resident’s health status and incidents/accidents.  The village manager talks weekly with residents in a group and resident meetings are held three-monthly.  An advocate from Age Concern runs the meetings and visits the site weekly.  The village manager and the clinical nurse lead have an open-door policy and this was evident on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produces a weekly “flyer” (newsletter) for residents and relatives along with a monthly newsletter.  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19 residents at rest home level care (18 of these are in Occupational Right Agreement apartments within the central building).  The 19th room is a single room with ensuite.  At the time of the audit, there were 15 residents in total in the licensed apartments at rest home level.  There were no residents under the respite contract.  All long-term residents were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Lake has a site-specific business plan 2017 and goals that is developed in consultation with the village manager, clinical nurse leader and regional operations manager.  The Summerset by the Lake quality plan is reviewed regularly throughout the year.  There is a full evaluation at the end of the year.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(RN) has been in the position for 19 months with 12 years’ previous experience managing in aged care.  The village manager is supported by a clinical nurse leader.  The clinical nurse leader has been in the position for seven months and has a background in district health board hospitals and practice nursing.  There is a regional operations manager who is available to support the facility and staff.  The village manager attends two-day organisational forums annually.  The village manager has attended at least eight hours of leadership professional development relevant to the role.  In 2017, the CNL had attended a national nurse/clinical management conference.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the clinical nurse leader will cover the village manager’s role.  The regional operations manager and the regional quality manager provide oversight and support.  The audit confirmed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by the Lake is implementing the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‘clinical audit, training and compliance’ calendar.  The calendar schedules the training and audit requirements for the month and the village manager completes a ‘best practice’ sheet confirming completion of requirements.  The best practice sheet reports (but not limited to): meetings held; induction/orientation; audits; competencies; and projects.  This is forwarded to head office as part of the ongoing monitoring programme. There is a meeting schedule including monthly quality improvement (full facility) meetings, that includes discussion about clinical indicators (eg, incident trends, infection rates).  Management meetings are held weekly, health and safety monthly and infection control three-monthly.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aspects of clinical care.  Issues arising from internal audits are developed into corrective action plans.  Monthly and annual analysis of results is completed and provided across the organisation.  Health and safety internal audits are completed.  There are monthly accident/incident benchmarking reports completed by the village manager that break down the data collected across the rest home and staff incidents/accidents.  Infection control is also included as part of benchmarking across the organisation.  Summerset’s regional quality manager analyses data collected via the monthly reports and corrective actions are required based on benchmarking outcomes.  </w:t>
            </w:r>
          </w:p>
          <w:p w:rsidR="00EB7645" w:rsidRPr="00BE00C7" w:rsidP="00BE00C7">
            <w:pPr>
              <w:pStyle w:val="OutcomeDescription"/>
              <w:spacing w:before="120" w:after="120"/>
              <w:rPr>
                <w:rFonts w:cs="Arial"/>
                <w:b w:val="0"/>
                <w:lang w:eastAsia="en-NZ"/>
              </w:rPr>
            </w:pPr>
            <w:r w:rsidRPr="00BE00C7">
              <w:rPr>
                <w:rFonts w:cs="Arial"/>
                <w:b w:val="0"/>
                <w:lang w:eastAsia="en-NZ"/>
              </w:rPr>
              <w:t>There is a health and safety and risk management programme in place including policies to guide practice.  The property manager is the health and safety officer (interviewed).  In 2016, Summerset implemented a risk management and safety system (RMSS), with enhanced reporting, investigation and workflow management of health and safety.  Summerset by the Lake introduced a site-specific health and safety plan/award, encouraging employee participation in health and safety which included: enhancing contractor safety; improving staff safety; reducing staff injuries; increase of training and education for staff on health and safety; improving the number of hazards and near misses reported; and preparedness for an emergency.</w:t>
            </w:r>
          </w:p>
          <w:p w:rsidR="00EB7645" w:rsidRPr="00BE00C7" w:rsidP="00BE00C7">
            <w:pPr>
              <w:pStyle w:val="OutcomeDescription"/>
              <w:spacing w:before="120" w:after="120"/>
              <w:rPr>
                <w:rFonts w:cs="Arial"/>
                <w:b w:val="0"/>
                <w:lang w:eastAsia="en-NZ"/>
              </w:rPr>
            </w:pPr>
            <w:r w:rsidRPr="00BE00C7">
              <w:rPr>
                <w:rFonts w:cs="Arial"/>
                <w:b w:val="0"/>
                <w:lang w:eastAsia="en-NZ"/>
              </w:rPr>
              <w:t>The resident/relative satisfaction survey (October 2016) showed a 95% satisfaction with service provided.  This was a satisfaction increase of over 22% from the previous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has been collected and analysed.  Discussions with the service confirmed that there is an awareness of the requirement to notify relevant authorities in relation to essential notifications.  Eleven resident related incident reports for January, February and March 2017 were reviewed (four falls, four skin tears, one blister and two incidents of residents wandering inappropriately).  All reports and corresponding resident files reviewed evidence that appropriate clinical care has been provided following an incident.  The incident reporting policy includes definitions and outlines responsibilities including immediate action, reporting, monitoring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Five staff files (one clinical nurse leader, one property manager/health and safety officer, one activities officer and two caregivers) were reviewed and all had relevant documentation relating to employment.  Performance appraisals had been completed annually.  The service has an orientation programme in place that provides new staff with relevant information for safe work practice.  The orientation programme includes documented competencies and induction checklists (sighted in files of one newly appointed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orientation process and believed new staff were adequately orientated to the service.  There is an annual education plan that is outlined on the ‘clinical audit, training and compliance calendar’.  Core competencies are completed and a record of completion is maintained on staff files and scanned into ‘Sway’.  Staff interviewed were aware of the requirement to complete competency training.  Caregivers complete an aged care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nurse leader manager work 40 hours per week (Monday to Friday).  The village manager is available on call for any operational issues and the nurse manager and clinical nurse leader (CNL) share the on-call responsibilities for clinical support.  The service provides 24-hour RN availability.  An additional registered nurse has been employed to work three days per week including weekends (commencing 15 May).  The RN is interRAI qualified which results in there being two interRAI qualified RNs on-site.  Allowing for the delivery of care packages to the village residents, there are two caregiving (or RN) staff available to rest home residents at all times.  A staff availability list ensures that staff sickness and vacant shifts are covered.  Caregivers interviewed confirmed that staff are replaced and with the commencement of the additional RN and additional carer covering the village, there is sufficient coverage.  Staffing levels and skills mix policy is the documented rationale for determining staffing levels and skill mixes for safe service delivery.  Residents and relatives interviewed stated that there was sufficient staff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 files are protected from unauthorised access by being held in a locked cupboard.  Care plans and notes were legible and where necessary signed (and dated) by a registered nurse.  Entries are legible, dated and signed by the relevant care assistant or registered nurse including designation.  Individual resident files demonstrate service integration.  There is an allied health section that contained general practitioner notes and the notes of allied health professionals and specialists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needs assessment completed prior to entry, that identifies the level of care required.  The clinical nurse leader (CNL) screens all potential enquiries to ensure the service can meet the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and three relatives stated that they received sufficient information on admission and discussion was held regarding the admission agreement.  The admission agreement reviewed aligns with a) -k) of the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exit, discharge and transfer policy that describes guidelines for death, discharge, transfer, documentation and follow up.  All relevant information is documented and communicated to the receiving health provider or service.  Follow 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The CNL and senior caregivers have completed annual medication competencies and education.  All medications were evidenced to been checked on delivery with any discrepancies fed back to the supplying pharmacy.  The service uses an electronic medication system.  Standing orders are not used.  There were residents self-medicating on the day of audit.  The medication fridge is monitored weekly.  Eye drops are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medication charts on the electronic medication system were reviewed.  The charts had photograph identification and allergy status recorded.  Alternative therapies had been prescribed.  The nurse manager monitors the missed medications.  </w:t>
              <w:br/>
              <w:t xml:space="preserve">All ten medication charts reviewed identified that the GP had reviewed the medication chart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provided by an on-site contracted service.  There is an eight-week rotating menu approved by the dietitian.  The menu includes resident preferences.  The variety of foods has been increased recently with positive comments from residents and relatives.  The chef manager (interviewed) is notified of any changes to resident’s dietary requirements.  Resident likes/dislikes and preferences are known and accommodated with alternative meal options.  Meals are plated and delivered in hot boxes to the dining room for rest home residents.  The cook receives a dietary profile for each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 freezer and end cooked food temperatures are recorded twice daily.  All foods are stored correctly and date labelled.  Cleaning schedules are maintained.  Chemicals are stored safely within the kitchen.  Staff were observed wearing correct personal protective clothing.  The chemical provider completes a functional test on the dishwasher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working in the kitchen have food handling certificates and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manager receives feedback from resident meetings, surveys and welcomes suggestions on the meal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service entry to residents should this occur, is communicated to the resident or family/whānau and they are referred to the original referral agent for further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support plan is developed with information from the initial assessment.  Clinical risk assessments are completed on admission where applicable and reviewed six-monthly as part of the interRAI assessment.  Outcomes of risk assessment tools are used to identify the needs, supports and interventions required to meet resident goals.  The interRAI assessment tool has been utilised for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centred care plans describe the individual support and interventions required to meet the resident goals.  The care plans reflect the outcomes of risk assessment tools and link with the interRAI assessment.  Care plans demonstrate service integration and include input from allied health practitioners.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in use for changes in health status.  These are evaluated regularly and either resolved or if an ongoing problem, added to the long-term care plan.  There is documented evidence of resident/family involvement in the care planning process.  Residents/relatives interviewed confirmed they participate in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CNL initiates a review and if required, a GP or nurse specialist consultation.  Relatives interviewed state their relative’s needs are met and they are kept informed of any health changes.  There was documented evidence in the resident files of family notification of any changes to health including infections, accidents/incidents and medication changes.  Residents interviewed state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There were no wounds on the day of audit. The CNL confirmed there is access to a wound care specialist at the DHB and district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for use including (but not limited to): pain monitoring; blood sugar levels; weight; food and fluid intake;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part-time recreational therapist (RT) for 15 hours per week across Monday to Friday (3 hours per day).  The RT is progressing through diversional therapy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is flexible and accommodates spontaneous activities.  Volunteers are involved in the programme.  Activities meet the recreational needs of the rest home residents including canine pet therapy, exercises and Tai Chi.  All serviced apartment residents are invited to attend group activities including entertainment and speakers.  There are fortnightly church services.  Residents are encouraged to maintain links with the community and enjoy inter-rest home lunches at the RSA, visits from the local school children and attending the village choir practises and performances.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meetings provide an opportunity for residents to feedback on the programme.  Quarterly meetings are held with the Age Concern advocate.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RT completes resident activity assessments, activity plans and six-monthly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are involved in the review of resident centred care plans.  Initial care plans for four residents’ files sampled had been evaluated by the CNL within three weeks of admission.  Written evaluations were completed six-monthly or earlier for resident health changes in all files reviewed.  One resident had not been at the service six months.  There is multidisciplinary (MDT) team involvement in the reviews including input from the GP and any allied health professionals involved in the resident’s care.  Families are invited to attend the MDT review and asked for input if they are unable to attend.  The GP completes three-monthly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The service provided examples of where a resident’s condition had changed and the resident was reassessed for a higher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 sheets were readily accessible for staff.  Chemicals were stored safely throughout the facility.  Personal protective clothing was available for staff and seen to be worn by staff when carrying out their duties on the day of audit.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on 28 November 2017.  There is a full-time property manager who oversees the property and gardening team and is available on call for facility matters.  The property manager is a health and safety representative for the facility.   Planned and reactive maintenance systems are in place and maintenance requests are generated through the Sway (Summerset way) online system.  All electrical equipment has been tested and tagged.  Essential contractors are available 24 hours.  Clinical equipment has had functional checks/calibration annually.  Hot water temperatures have been tested and recorded monthly with readings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in all areas to allow residents to pass each other safely.  There is safe access to all communal areas and outdoor areas.  The external areas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CNL state they have all the equipment required to safely provide the care documented in the care plans.  A hoist is available if needed for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serviced apartments have spacious full ensuites.  The fixtures, fittings, floors and wall surfaces are constructed from materials that can be easily cleaned.  Residents interviewed state staff respect their privacy when carrying out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to safely manoeuvre around the apartment and communal areas with the use of mobility aids.  The doors are wide enough for ambulance trolley access.  Residents and families are encouraged to personalise their apartments,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an open plan dining area and kitchenette and main lounge that can accommodate rest home residents and where most activities take place.  There is a sunroom/private lounge for resident and family use. There are seating alcoves within the facility.  The communal areas are easily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linen and personal clothing is laundered on-site by the caregivers.  The laundry is well equipped and all machinery has been serviced regularly.  There is personal protective equipment available.  The laundry has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trolleys sighted were well equipped and are kept in designated locked cupboards when not in use.  External (chemical provider) and internal audits monitor the effectiveness of laundry and cleaning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and equipment for responding to emergencies is provided.  There is an approved evacuation plan.  Fire evacuations are held six-monthly and the last drill was completed in February 2017.  There is staff on each shift with first aid training.  There is a civil defence and emergency plan in place.  The civil defence kit is readily accessible.  The facility is well prepared for civil emergencies and has emergency lighting, a store of emergency water and a gas BBQ for alternative cooking along with a three-burner hob for boiling water.  Emergency food supplies sufficient for three days are kept.  There is a store of supplies necessary to manage a pandemic. The call bell system is available in all areas and rings through to pagers carried by staff, plus show at the end of each corridor and above individual doors.  There is a three-hour backup for call bells in an emergency.  During the tour of the facility, residents were observed to have easy access to the call bells and residents interviewed stated their call bells were answered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evidences that the residents have adequate natural light in the bedrooms and communal rooms, safe ventilation and an environment that is maintained at a safe and comfortable temperature.  Underfloor heating can be individually controlled within the resident’s apartment.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that are current and reflected the Infect ion Control Standard SNZ HB 8134:2008, legislation and good practice.  These are across the Summerset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is responsible for coordinating and providing education and training to staff.  The induction package includes specific training around hand washing competencies and standard precautions.  Ongoing training occurs annually as part of the training calendar set at head office. The infection control officer has attended national Summerset group training.  Infection control meetings are held three-monthly.  The facility has access to Public Health, laboratory, GP’s and expertise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that are current and reflected the Infect ion Control Standard SNZ HB 8134:2008, legislation and good practice.  These are across the Summerset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is responsible for coordinating and providing education and training to staff.  The induction package includes specific training around hand washing competencies and standard precautions.  Ongoing training occurs annually as part of the training calendar set at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includes: a surveillance policy; a surveillance procedure; process for detection of infection; infections under surveillance; outbreaks; and quality and risk management.  Infection events are collected monthly and entered onto the SWAY electronic system.  The infection control officer provides infection control data, trends and relevant information to the Infection Control Committee.  Committee meeting minutes and graphs are displayed on the infection control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internal audits are completed and corrective actions raised for non-compliance.  There has been one confirmed norovirus outbreak in April 2016.  Relevant authorities were notified.  The service identified the need to increase outbreak management supplies and set up an outbreak cupboard.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Areas for improvement are identified, corrective actions developed and followed-up.  The facility is benchmarked against other Summerset facilities of similar size and benchmarking results are fed back to the infection control officer and used to identify areas for improvement.  Infection control audits are completed and corrective actions are signed off (sighted).  Surveillance results are used to identify infection control activities and education needs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restraints and enablers.  Staff receive mandatory training around restraint minimisation that includes annual competency assessments.  Annual restraint competency questionnaires ask staff to differentiate a restraint from an enabler.</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role is delegated to the village manager (RN).  There is nil restraint or enabler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By The Lake</w:t>
    </w:r>
    <w:bookmarkEnd w:id="58"/>
    <w:r>
      <w:rPr>
        <w:rFonts w:cs="Arial"/>
        <w:sz w:val="16"/>
        <w:szCs w:val="20"/>
      </w:rPr>
      <w:tab/>
      <w:t xml:space="preserve">Date of Audit: </w:t>
    </w:r>
    <w:bookmarkStart w:id="59" w:name="AuditStartDate1"/>
    <w:r>
      <w:rPr>
        <w:rFonts w:cs="Arial"/>
        <w:sz w:val="16"/>
        <w:szCs w:val="20"/>
      </w:rPr>
      <w:t>9 May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