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Scott Retirement Village Limited - Bob Scott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Scott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Scott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May 2017</w:t>
      </w:r>
      <w:bookmarkEnd w:id="7"/>
      <w:r w:rsidRPr="009418D4">
        <w:rPr>
          <w:rFonts w:cs="Arial"/>
        </w:rPr>
        <w:tab/>
        <w:t xml:space="preserve">End date: </w:t>
      </w:r>
      <w:bookmarkStart w:id="8" w:name="AuditEndDate"/>
      <w:r w:rsidR="00A4268A">
        <w:rPr>
          <w:rFonts w:cs="Arial"/>
        </w:rPr>
        <w:t>26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Bob Scott is part of the Ryman Group of retirement villages and aged care facilities.  They provide rest home, hospital and dementia level of care   for up to 115 residents in the care centre and rest home level of care for up to 30 residents in serviced apartments.  On the day of audit there were 70 residents including three rest home residents in the serviced apartments.  </w:t>
      </w:r>
    </w:p>
    <w:p w:rsidRPr="00A4268A">
      <w:pPr>
        <w:spacing w:before="240" w:line="276" w:lineRule="auto"/>
        <w:rPr>
          <w:rFonts w:eastAsia="Calibri"/>
        </w:rPr>
      </w:pPr>
      <w:r w:rsidRPr="00A4268A">
        <w:rPr>
          <w:rFonts w:eastAsia="Calibri"/>
        </w:rPr>
        <w:t>The service is managed by a village manager and clinical manager/registered nurse.  Both have been recently appointed and are supported by a regional manager with many years’ experience in aged care.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 xml:space="preserve">An area for improvement was identified around meetings, InterRAI assessments, care plans and an aspect of medication.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documented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  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Assessments, risk assessments, care plans and evaluations are completed by the registered nurses.  Care plans demonstrate service integration.  Resident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an activities programme which is varied and interesting for each resident group.  The engage programme meets the abilities and recreational needs of the group of residents including outings.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menu is designed by a dietitian at an organisational level.  Individual and special dietary needs are accommodated.  Nutritious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All bedrooms are single occupancy with ensuites.  There are adequate numbers of communal toilets.  There is sufficient space to allow the movement of residents around the facility.  The hallways and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was one resident with a restraint and no residents with an enabler at the time of the audit.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holds integrated meetings with the health and safety team.  A monthly infection control report is completed and forwarded to head office for analysis and benchmarking.  A six-monthly comparative summary is completed.  There have been no outbreaks in the care centre.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3"/>
        <w:gridCol w:w="1280"/>
        <w:gridCol w:w="97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Four managers (one village manager, one assistant to the manager, one clinical manager, one regional manager) and twelve care staff (three registered nurses (RNs), six caregivers (two rest home, two hospital and two dementia care) and three activities staff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nine resident files (three hospital including one respite resident and one resident under chronic medical illness, four rest home including one resident in the serviced apartments and two dementia care)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Discussion with a family member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of long-term residents have signed admission agreements and the respite care resident has signed a short-term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Bob Scott.  The village manager has overall responsibility for ensuring all complaints (verbal or written) are fully documented and investigated.  The facility has an up-to-date complaint register.  Concerns and complaints are discussed at relevant meetings.  One complaint was made in 2016 and two complaints received in 2017 year to date.  Follow-up letters, investigation and outcome were documented.  Corrective actions have been implemented and any changes required were made as a result of the complaint.  Interviews with residents and relatives confirmed they were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Five relatives (two rest home, two hospital and one dementia care) and seven residents (five rest home and two hospital) stated they were provided with information on admission which included the Code.  Large print posters of the Code and advocacy information are displayed throughout the facility.  The village manager and clinical manger reported having an open-door policy and described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local iwi and other community representative groups as requested by the resident/family.  Cultural needs are addressed in the care plan.  There were two residents who identified as Māori at the time of the audit.  One Māori resident file reviewed confirmed that Māori cultural values and beliefs are being met and are addressed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range of clinical indicator data are collected against each service level and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and reporting forms that guide staff to their responsibility to notify family of any resident accident/incident that occurs.  The incident forms have a section to indicate if family have been informed (or not) of an accident/incident.  Fourteen incident forms reviewed for April and May 2017 identified that family were notified following a resident incident.  Interpreter policy and contact details of interpreters is available.  Non-Subsidised residents are advised in writing of their eligibility and the process to become a subsidised resident should they wish to do so.  Relatives interviewed stated that they are informed when their family members health status changes.  The information pack is available in large print and this can be read to residents.  The information pack and admission agreement included payment for items not included in the services.  Residents interviewed stated that they were welcomed on entry and were given time and explanation about the services and procedures.  A specific introduction to the dementia unit booklet provides information for family, friends and visitors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Scott is a Ryman healthcare retirement village providing rest home, hospital and dementia level care for up to 115 residents.  The facility is across five levels. This includes 34 rest home level beds on level four, 41 dual-purpose beds (hospital and rest home) on level three and 40 dementia level beds (two 20 bed units) on level two.  The service has 30 serviced apartments certified as able to provide rest home level care.  Level one and level five are serviced apartments only. There are also serviced apartments across all floors.  There were three residents receiving rest home care in the serviced apartments on level three at the time of the audit.  Occupancy during the audit was 70 residents in total, 39 rest home level residents (including two in the dual-purpose beds and three in the serviced apartments), 15 hospital level residents (including one resident on respite care and one under 65 years with a chronic illness under the ARCC).  One dementia unit was open with 16 of 20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The organisation-wide objectives are translated at each Ryman service by way of the teamRyman programme that includes a schedule across the year.  The village quality objectives and quality initiatives for 2017 have been set with evidence of monthly reviews and quarterly reporting to head office on progress towards meeting these objectives.  Evidence in staff and management meeting minutes reflect discussions around the 2017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Bob Scott has been in the role since March 2017 and has an extensive background in facility management in aged care.  She is supported by an assistant to the manager, who carries out administrative functions and a clinical manager who oversees clinical care and support for the village manager.  The clinical manager been in the position for two months.  The managers are supported by a unit coordinator in each area.  The management team is also supported by the Ryman management team including the regional manager.  The regional manager was present on the days of the audit.  The village manager and clinical manager have both completed specific manager orientation with Ryman.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(RN) will fulfil the manager’s role during a temporary absence of the village manager with support from the regional manager and Ryman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Bob Scott has a well-established quality and risk management system that is directed by Ryman Christchurch.  Quality and risk performance is reported across the facility meetings and to the organisation's management team.  Discussions with the management team (village manager, assistant to the manager and clinical manager) and staff, and review of management and staff meeting minutes demonstrate their involvement in quality and risk activities.  Family meetings are held six monthly and residents’ meetings are held every two months.  Meeting minutes are available; however, the meetings have not occurred as scheduled.   Annual resident and relative surveys are completed.  The first resident satisfaction survey was completed in February 2017 with an overall satisfaction rate of 92.9%.  Quality improvement plans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Management systems, policies and procedures are developed, implemented and regularly reviewed.  The facility has implemented processes to collect, analyse and evaluate data, which is utilised for service improvements.  Results are communicated to staff across a variety of meetings and reflect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hi/lo beds, ongoing falls assessment and exercises by the physiotherapist, sensor mats, fall prevention pamphlets and appropriate footwear.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(café assistant) is appointed who is due to complete the health and safety training in June 2017.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fourteen incident/accident forms from across all areas of the service, identified that all are fully completed and include follow-up by a RN.  The clinical manager is involved in the adverse event process, with links to the applicable meetings (teamRyman, RN, care staff, health and safety/infection control).  This provides the opportunity to review any incidents as they occur.  The village manager and regional manager could identify situations that would be reported to statutory authorities including (but not limited to) infectious diseases, serious accidents and unexpected death.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Ten staff files reviewed (one clinical manager, one hospital unit coordinator, one rest home unit coordinator, two RNs, three caregivers, one kitchen manager and one activities coordinator) provided evidence of signed contracts, job descriptions relevant to the role the staff member is in, induction, application form and reference checks.  A register of RN and enrolled nurse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Six caregivers work in the dementia unit.  Five of the six caregivers have completed their dementia qualification. The caregiver that has not completed has commenced work within the last 12 months and is working towards completing their qualification.</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Staff training records are maintained.  There are implemented competencies for RNs, ENs and caregivers related to specialised procedures or treatments including medication competencies and insulin competencies.  Health practitioners and competencies policy outlines the requirements for validating professional competencies.  Copies of practising certificates are held by the village manager.  There are currently ten RNs working at Bob Scott.  Six of ten RNs are InterRAI trained, including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fulltime Monday to Friday and are on call 24/7.  Each service unit in the care centre has a RN/EN unit coordinator.  There is at least one RN and first aid trained member of staff on every shift.  Interviews with caregivers informed the RNs are supportive and approachable.  In addition, they reported there are sufficient staff on duty at all times.  Interviews with residents and relatives indicated that overall there was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Bob Scott is as follows; in the rest home unit on level four (34 rest home and four rest home residents in the serviced apartments) on the morning shift: there is one RN and four caregivers, afternoon shift: three caregivers, night shift: two caregivers, the RNs in the hospital oversee the rest home unit in the afternoon and night shifts.  In the hospital unit on level three (15 hospital and two rest home residents) on the morning shift: there are two RNs and nine caregivers, afternoon shift: two RNs and seven caregivers, night shift: one RN and three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dementia unit on level two, only one unit is open (16 residents) on the morning shift: there is one RN and two caregivers, afternoon shift: three caregivers (including one lounge carer), night shift: two caregivers, the RNs in the hospital oversee the dementia unit in the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Entries are legible, dated and signed by the relevant caregiver or registered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and short-term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is completed by the RN on delivery of medication and any errors fed back to pharmacy.  Registered nurses, enrolled nurses and senior caregivers who administer medications have been assessed for competency on an annual basis.  Care staff interviewed could describe their role in regard to medicine administration.  Education around safe medication administration has been provided.  Medications were stored safely in all the units.  Medication fridges were monitored daily.  Expiry dates of medications are checked weekly.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There was one rest home resident in the serviced apartment that had been assessed as competent to self-administer by the RN and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(eight rest home including two rest home in the serviced apartments, six hospital including one respite (paper based medication chart) and four dementia care) medication charts were reviewed on the electronic medication system.  All medication charts reviewed have ‘as needed’ medications prescribed with an indication for use.  The effectiveness of ‘as required’ medications are entered into the electronic medication system.  Oxygen had not been prescribed for one resident in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chef is supported by a cook and kitchen assistants.  All staff have been trained in food safety and chemical safety.  There is an organisational four weekly seasonal menu that had been designed in consultation with company chef and the dietitian at organisational level.  Menu sheets are completed for individual residents for the week ahead.  The menu offers two choices including a vegetarian dish.  Meals are plated in the main kitchen and delivered to the units in hot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pureed/soft, diabetic desserts and gluten free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daily and recorded.  All foods were date labelled.  A cleaning schedule is maintained.  Feedback on the service is received through direct feedback, resident meetings, surveys and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 assessments have been completed on admission and reviewed six monthly as part of the evaluation process.  The outcomes of InterRAI assessments and risk assessments (link 1.3.3.3) that were triggered were reflected in the care plans reviewed (link 1.3.5.2).  Additional assessments such as behavioural, wound and restraints were completed according to need.  Assessed needs and supports required were described in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Resident care plans were resident centred and support needs and interventions were documented to reflect the resident goals, however not all care plans had been updated to reflect the resident’s current health status.  Family members interviewed confirm care delivery and support by staff is consistent with their expectations.  Residents (if appropriate) and family stated they were involved in the care planning and review process.  Behaviour management including triggers, interventions and successful de-escalation techniques was included in the long-term care plan in two of the two dementia care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skin tears, two chronic ulcers and 10 facility pressure injuries.  A quality improvement plan is in place to reduce pressure injuries.  A RN/wound champion has been appointed.  There is access to a wound nurse at the DHB.  Adequate dressing supplies were sighted in the treatment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activity coordinators to coordinate and implement the Engage programme.  The hospital activity coordinator is a qualified caregiver and is supported by a weekend activity person to provide a seven-day week programme.  The rest home coordinator is progressing through the diversional therapy (DT) course and provides a Monday to Friday programme.  The dementia care unit activity person is a qualified DT and has completed dementia unit standards.  All activities persons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such as Triple A exercises.  Rest home residents in the serviced apartments attend either the serviced apartment programme or rest home programme.  There are adequate resources available.  Residents receive programmes in their rooms.  Daily contact is made with residents who choose not to be involved in the activity programme.  The service has goals for a men’s group to commence.  School children visit the residents’ fortnightly.  Special events and theme days are celebrated.  All residents can go on outings and a taxi van is hired for hospital residents in wheelchairs. Rest home residents enjoy inter-home visits. There are weekly integrated church services.  Residents in the dementia care unit attend facility activities as appropriate and under supervision and residents were observed going for supervised walks into the facility grounds and gardens.     Entertainers visits each unit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 monthly with the care plan review.  The resident/family/whānau as appropriate, are involved in the development of the activity plan.  Residents/relatives can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nine care plans had been evaluated by registered nurses six monthly.  Two residents had not been at the service six months (one rest home and one dementia care) and one resident was for respite care.  Written evaluations describe the resident’s progress against the residents identified goals.  The multidisciplinary review involves the RN, GP, activities staff and resident/family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9 March 2018.  The facility employs a fulltime maintenance person who has been involved in the construction of the building.   The maintenance person ensures daily maintenance requests are addressed.  He maintains a monthly planned maintenance schedule which has been signed as completed (sighted).  Essential contractors are available 24-hours.  Electrical testing and annual calibration is not yet due as all equipment was purchased new, less than one year ago.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safely access the outdoor gardens and courtyards.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units on the second floor each have an outdoor balcony deck with raised gardens and two entry/exit doors into the facility providing a walking pathway.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the rest home, hospital and dementia units are single occupancy and have full ensuites.  Fittings and fixtures are made of easy clean surfaces that meet infection control practice.  There are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the level of care to be provided and for the safe use and manoeuvring of mobility aids including hoists.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rest home and hospital units have a main lounge and family lounge.  The large main lounges have seating placed to allow for individual or group activities. The dining room in each unit is spacious.  The communal areas are easily accessible for residents using mobility aids or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area for the storage of cleaning and laundry chemicals for the laundry. The chemical provider monitors the use of chemicals and laundry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The service provides a clothes labelling service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Battery operated emergency lighting is in place which runs for at least two hours if not more.  The facility has an on-site diesel generator to run essential services.  There is a civil defence kit located on each level.  Supplies of stored drinkable water is stored in large holding tanks.  There is sufficient water stored to ensure three litres per day for three days per resident.  The facility has an approved fire evacuation plan and fire drills take place six-monthly.  The last fire evacuation drill occurred on 9 December 2016.  Smoke alarms, sprinkler system and exit signs are in place.  There are alternative cooking facilities available with three gas barbeques and gas hobs in the kitchen.  Gas heaters are available if required.  The call bell system is evident in residents’ rooms, lounge areas and toilets/bathrooms.  Serviced apartments have a call bell system, which is linked to staff pagers.  Staff advise that they conduct security checks at night, in addition to an external contractor.  A security camera is installed at the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underfloor heating.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sent out   annually from head office and directed via the quality programme.  The programme is reviewed annually at head office.  A six-month analysis is completed and reported to the governing body.  Infection control objectives for 2017 reflect the outcomes of surveillance and quality data.  The clinical manager is the infection control officer with a job description outlining the responsibilities for infection prevention and control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are offered the annual influenza vaccine. There are adequate hand sanitisers and infection control signage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is made up of a cross section of staff from areas of the service.  The infection control officer has completed infection control and prevention training on-line training.  The facility also has access to an infection prevention and control nurse specialist from the DHB, public health, GPs, local laboratory, infection control consultants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  All staff can access the electronic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is responsible for coordinating/providing education and training to staff.  The orientation/induction package includes specific training around hand hygiene and standard precautions and training is provided both at orientation and as part of the annual training schedule.  Hand hygiene competencies are completed.  Resident education occurs as part of providing daily cares.  Care plans can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officers complete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in the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was one resident with a restraint (chair brief) and no residents using an enabler.  Staff training has been provided around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 for the one hospital level resident using restraint was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evidenced in the resident’s file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conducted three-monthly and include family, evidenced in the residents’ file reviewed where restraint was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49"/>
        <w:gridCol w:w="1280"/>
        <w:gridCol w:w="4479"/>
        <w:gridCol w:w="4627"/>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(village manager, assistant to the manager and clinical manager) and staff, and review of management and staff meeting minutes demonstrate their involvement in quality and risk activities.  There had been no formal documented meetings from May - September 2016.  Three out of nine full facility meetings, four out of nine management, four out of nine RN/EN clinical meetings and six out of nine teamRyman meetings from September 2016 to May 2017 had not been completed as per annual meeting calendar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facility meetings have been completed as per annual meeting calendar schedule.  Required actions and resolutions identified in meetings have not been consistently documented, followed up or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facility meetings are completed as per annual meeting calendar schedule and any required actions are followed up or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of seventeen medication charts on the electronic medication system evidenced the medication had been administered as prescribed.  Medication charts met the prescribing requirements.  The GP had reviewed the medication charts three monthly. Oxygen had not been prescribed for one rest home resident in a serviced apartment.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rest home resident in the serviced apartments was on continuous oxygen long term via a concentrator.  The oxygen had not been charted on the medication chart.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oxygen therapy is prescribed on the medication chart.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long-term resident files were reviewed to determine timeframes around the first InterRAI assessment.  The file number was extended to nine long-term resident files.  Initial assessments, long-term care plans and the first InterRAI assessment had been completed within the required timeframes in six of nine long-term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long-term resident files reviewed (one hospital and two rest home) did not have an InterRAI assessment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new admissions have an InterRAI assessment completed within 21 days of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eight long-term care plans reviewed reflected the resident current needs and supports.  One respite care resident had a nursing assessment and care plan in place that met the resident’s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(1)Five long-term care plans did not reflect the resident’s current needs and supports.  Three hospital residents’ care plans did not document the following needs for residents:  (i) Pressure injury interventions did not reflect the assessed very high risk of pressure injury.  Ankle oedema and use of compression stockings as per GP notes was not included in the long-term care plan.  (ii) There was no pain assessment or pain management plan for a resident with a new pain requiring GP visits and analgesia. (iii) There were no documented interventions for a resident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(2)Two rest home residents care plans did not document the following needs for residents: (i) The pain management plan was not current (link rest home tracer).  (ii) A resident’s known pain and pain management was not documented in the long-term care plan.  For the same resident, the resident’s recommendation for hip protectors had not been followed 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long-term care plans reflect the outcomes of assessments and reflect the resident’s current needs and supports.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Scott Retirement Village Limited - Bob Scott</w:t>
    </w:r>
    <w:bookmarkEnd w:id="58"/>
    <w:r>
      <w:rPr>
        <w:rFonts w:cs="Arial"/>
        <w:sz w:val="16"/>
        <w:szCs w:val="20"/>
      </w:rPr>
      <w:tab/>
      <w:t xml:space="preserve">Date of Audit: </w:t>
    </w:r>
    <w:bookmarkStart w:id="59" w:name="AuditStartDate1"/>
    <w:r>
      <w:rPr>
        <w:rFonts w:cs="Arial"/>
        <w:sz w:val="16"/>
        <w:szCs w:val="20"/>
      </w:rPr>
      <w:t>25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