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Dementia Specialists Limited - Brooklands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Dementia Specialists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Brooklands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June 2017</w:t>
      </w:r>
      <w:bookmarkEnd w:id="7"/>
      <w:r w:rsidRPr="009418D4">
        <w:rPr>
          <w:rFonts w:cs="Arial"/>
        </w:rPr>
        <w:tab/>
        <w:t xml:space="preserve">End date: </w:t>
      </w:r>
      <w:bookmarkStart w:id="8" w:name="AuditEndDate"/>
      <w:r w:rsidR="00A4268A">
        <w:rPr>
          <w:rFonts w:cs="Arial"/>
        </w:rPr>
        <w:t>16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changed the bed status from 16 rest home and 12 secure dementia care to 14 rest home and 14 secure dementia care. The total number of beds available has not changed just the configuration of services.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Specialists Limited – Brooklands Rest Home and Memory Lane provides rest home level care for up to 28 residents, with 14 beds being dedicated secure dementia care beds. The service is privately owned and the management team consists of the owner/director, business manager, facility manager and clinical manager (registered nurse). </w:t>
      </w:r>
    </w:p>
    <w:p w:rsidRPr="00A4268A">
      <w:pPr>
        <w:spacing w:before="240" w:line="276" w:lineRule="auto"/>
        <w:rPr>
          <w:rFonts w:eastAsia="Calibri"/>
        </w:rPr>
      </w:pPr>
      <w:r w:rsidRPr="00A4268A">
        <w:rPr>
          <w:rFonts w:eastAsia="Calibri"/>
        </w:rPr>
        <w:t>The service has reconfigured the bed numbers from 16 rest home and 12 secure dementia care to 14 rest home and 14 secure dementia care. This has not changed the total capacity of the service which is 28 beds in total.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and staff. The general practitioner was not available for interview.</w:t>
      </w:r>
    </w:p>
    <w:p w:rsidRPr="00A4268A">
      <w:pPr>
        <w:spacing w:before="240" w:line="276" w:lineRule="auto"/>
        <w:rPr>
          <w:rFonts w:eastAsia="Calibri"/>
        </w:rPr>
      </w:pPr>
      <w:r w:rsidRPr="00A4268A">
        <w:rPr>
          <w:rFonts w:eastAsia="Calibri"/>
        </w:rPr>
        <w:t xml:space="preserve">This audit has resulted in a continuous improvement in good practice and identified two areas for improvements relating to human resources management and incomplete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 Residents and their families are provided with information about the Health and Disability Commissioner’s Code of Health and Disability Services Consumers’ Rights (the Code) and these are respected. Services providers support personal privacy, independence, individuality and dignity. Staff interact with residents in a respectful manner. The Brooklands Rest Home and Memory Care units are based on a resident centred model of care/service delivery that focuses on the resident’s normal lifestyle choices.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philosophy of the organisation.  Monitoring of the services provided to the governing body is regular and effective. There is an experienced and suitably qualified management team in place with clinical care being overseen by the clinical manager who is a registered nurse.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The appointment, orientation and management of staff which is based on current good practice is reflected in policy.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The service has a resident information management system in place which is appropriate to the service type and setting.</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service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Residents’ needs are assessed on admission, with reassessment occurring at least six monthly. Care plans/lifestyle plans are individualised, based on a range of information and accommodate any new problems that might arise. The files sampled demonstrated that the care provided and needs of residents were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The reconfiguration of the service did not require any change to the fire evacuation procedure as fire cells remain unchanged. 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The service was restraint free at the time of audit.  All documents for assessment, approval and monitoring processes are available, should restraint or enablers be used.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Surveillance data is compared against aged care benchmarking rates.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5"/>
        <w:gridCol w:w="1280"/>
        <w:gridCol w:w="91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and Memory Care has developed policies, procedures and processes to meet its obligations in relation to the Code of Health and Disability Services Consumers’ Rights (the Code).  Staff understood the requirements of the Code and were observed demonstrating respectful communication, encouraging independence, providing options, and maintaining dignity and privacy. Training on the Code is included as part of the orientation and in ongoing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understood the principles and practice of informed consent. Informed consent policies provide relevant guidance to staff. The resident’s files sampled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records. Staff were observed to gain consent for day to day care and encouraged the residents to be as independent as possible with their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supports the philosophy of normalisation of family and community participation (also refer to 1.1.8).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complaints forms are on display at the facility. Families and residents confirmed they know the processes to undertake to make a complaint. All complaints are assessed using a documented risk assessment matrix.</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ten months (since the current owner purchased the facility) and that actions taken, through to an agreed resolution, are documented and completed within the timeframes.  Action plans show any required follow up and improvements have been made where possible.  The facility and clinical managers are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reported being made aware of the Code and the Nationwide Health and Disability Advocacy Service as part of the admission information provided and in discussions with staff. The Code and information on advocacy services is displayed at the entrance, this also includes information on how to make a complaint and provide feedback.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going to community activities and participation in clubs of their choosing. The care plans/lifestyle plans included documentation related to the resident’s abilities, and strategies to maximise independence. The philosophy of the rest home and dementia unit (Memory Lane) incorporated the organisational philosophy of person centred care and services that maximise the resident’s independence, abilities and self-worth.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sampled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There are no current residents who identify as Māori, with management reporting there are no known barriers for Maori accessing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sampled of resident from other countries. The resident and family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harassment or exploitation and felt safe. The induction and ongoing education programmes include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a specific model of care related to residents living with dementia. The person centred approach, though developed for dementia level of care, is incorporated into the service delivery across the service, including the rest home residents. Residents are encouraged with independence and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are evidence based. The residents have input from external specialist services and allied health professionals, for example, hospice/palliative care team, wound care specialist, psychogeriatrician and mental health services for older persons.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all residents being able to speak English or staff able to provide interpretation as and when needed. The service has appropriate communication strategies for residents living with cognitive impairment.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will be reviewed annually, outline the purpose, values, scope, direction and goals of the organisation. The documents describe annual and longer term objectives and the associated operational plans. A sample of monthly reports to the owner/director showed adequate information to monitor performance is reported including occupancy, financial, staff retention, adverse events, health and safety, emerging risks and issues. The facility manager and the owner/director have a formalised weekly conference call which was confirmed in minutes sighted. Daily informal phone calls are made to the owner/director to ensure they are kept up to date on the day to day activities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business manager, clinical manager who is a registered nurse, and a facility manager. All members of the management team hold relevant qualifications. The clinical manager has worked at the facility since November 2016, firstly as the clinical nurse leader and then as the clinical manager since May 2017. Responsibilities and accountabilities are defined in a job description and individual employment agreement.  Members of the management team and the owner/director confirmed knowledge of the sector, regulatory and reporting requirements. All members of the management team maintain their knowledge via ongoing education, both clinical and non-clinical, according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24 hour registered nurse cover on call process in place which the clinical manager stated is sustainable with assistance from an experienced casual registered nurse who undertakes this process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Related Residential Care (ARRC) contract with Taranaki District Health Board (TDHB) for rest home level care including secure dementia care and respite care.  All 24 residents were receiving services under the ARRC contract (13 secure dementia care and 11 rest home level care) at the time of audit. There were no respite care residents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business manager is absent, the role is undertaken by the owner/director. When the facility manager is away, the clinical manager and business manager share the required duties under delegated authority. During absences of the clinical manager, the role is undertaken by a casual relief registered nurse who is experienced in the sector and able to take responsibility for any clinical issues that may arise (This person is the previous clinical manager who resigned to work in a different area of health). Staff reported the current arrangements work 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and family satisfaction survey, monitoring of outcomes, clinical incidents including infections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 and staff meetings. Staff reported their involvement in quality and risk management activities through internal audit activities. Relevant corrective actions are developed and implemented to address any shortfalls. For example, when resident falls increased, a full review was undertaken and it was noted one resident was having multiple falls. Actions documented included the use of non-slip socks and hip protectors, a GP medical review, physiotherapy input and review of the walking equipment, family involvement and education related to the need to use a walking frame at all times. A sign was placed on the resident’s walking frame and on the wall above the bed reminding the resident to ‘take me with you’ as a visual prompt. This has resulted in a reduced number of falls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have been undertaken. The most recent survey undertaken in February 2017 showed that a corrective action was undertaken related to residents wishing to have more gravy and sauces with their meals. This has resulted in a full array of condiments, including gravy, being provided with main meals, which residents can use to their liking.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All interRAI assessments are undertaken by the clinical manager.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described the processes for the identification, monitoring, review and reporting of risks and development of mitigation strategies. The business and facility managers are familiar with the Health and Safety at Work Act (2015) and have implemented requirements.  A current risk register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accident/incidents forms reviewed showed these were fully completed, incidents were investigated, action plans developed and actions followed-up in a timely manner.  Adverse event data is collated, analysed and reported to the management team including the owner/director.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 based audits, and any other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related to staff orientation includes all necessary components relevant to the role. With the exception of two staff, it was reported that the orientation process prepared staff well for their role. Six of seven staff records reviewed show documentation is not fully completed to show that all aspects of the orientation process have been undertaken by each staff member. Performance reviews have been undertaken after a three-month period and occur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working in the dementia care area have either completed or are enrolled in the required education. The clinical manager (RN) is trained and competent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The on-call is undertaken by the clinical manager for clinical matters and the facility manager deals with non-clinical issues. The casual RN relieves the clinical manager for on-call as required. Care staff reported there were adequate staff available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supported this. Observations and review of four weeks rosters confirmed adequate staff cover has been provided, with staff replaced in any unplanned absence.  At least one staff member on duty has a current first aid certificate. The clinical manager works on-site Monday to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and personal information was completed in the residents’ files sampled for review. Clinical notes were current, with reference made in the resident’s file or care plan regarding any related forms (such as behaviour monitoring, wound treatment plans and short term care plans). The residents’ files contained records from the GP, allied health or another external service provider. The residents’ records sampled included interRAI assessment information entered. The progress note records were legible with the name and designation of the person making the entry identifiable in most instances. There is an overall improvement required in the completing of care and staff forms and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or GP for residents accessing respite care. There were no resident receiving respite care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assessments and signed admission agreements in accordance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 transfer form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the transfer form and discharge information from the acute care hospital when the resident returned to the service.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Medicines are supplied to the facility in a pre-packaged format from a contracted pharmacy. The RN checks medicines against the prescription. All medicines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Best practice prescribing practices were noted and include the prescriber’s signature and date recorded on the commencement and discontinuation of medicines and all requirements for pro re nata (PRN) medicines. The required three monthly GP review was consistently recorded on the medicine chart.  Standing orders are used, were current and complied with guidelines. There is an implemented process for comprehensive analysis of any medicine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assist with medicine management have a current competency assessment. There were no residents who self-administered medicines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changes to reconfiguration of the service has not had any impact on the medicine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contractor/qualified chef/cook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Memory Lane have unrestricted access to food and fluids to meet their nutritional needs. Though there are ranges of meal times, residents in both the rest home and memory care may eat at whatever time suits them.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residents and family members interviewed, satisfaction surveys and resident meeting minutes. Residents were seen to be given sufficient time to eat their meal in an unhurried fashion and those requiring assistance had this provided. Though there are ranges of meal times, residents may eat at whatever time suits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changes to reconfiguration of the service have not had any impact on the kitchen services. The main kitchen remains in the same location, with the kitchenette in Memory Lane being able to cater for the additional two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The service maintains a waiting list for potential residents.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challenging behaviours and depression scale), to identify any deficits and to inform care planning. The sample of lifestyle plans reviewed had an integrated range of resident-related information. All residents have current interRAI assessments completed.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lifestyle plans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plans evidenced service integration with progress notes, activities notes, with medical and allied health professionals’ notations clearly written, informative and relevant. Any change in care required is documented and verbally passed on to relevant staff. Residents and families reported participation in the development and ongoing evaluation of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their plan of care. The attention to meeting a diverse range of resident’s individualised needs was evident in all areas of service provision. The staff interviewed verified that medical input is sought in a timely manner, and supporting the resident is based on the resident’s individual needs and capabilities. Care staff confirmed that care was provided as outlined in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planned activities, the resident is encouraged to participate in meaningful activities throughout the day and night. The activities programme is provided by an activities coordinator, with input from other staff, volunteers and residents assisting with the planned and spontaneous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activities meaningful to themselves.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living in Memory Lane are specific to the needs and abilities of the people living there. Activities are offered at times when residents are most physically active and/or restless. As part of the normalisation philosophy at the service, many activities include both rest home and residents living in Memory Lane.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necessary, and for unresolved problems, long term care plans are added to and updated.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Residents may choose which medical practitioner they use. If the need for other non-urgent services are indicated or requested, the GP or RN sends a referral to seek specialist input. Copies of referrals were sighted in residents’ files, including to oncology and general surgery. The resident and the family/whānau are kept informed of the referral process, as verified by documentation and interviews. Any acute/urgent referrals are attended to immediately, such as sending the resident to accident and emergency in an ambulance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02 August 2017)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management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maintenance book which showed any maintenance requests made were actioned promptly. This was confirmed during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There are appropriate secure outdoor areas for residents in the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separate staff and visitor toilet facilities. Appropriately secured and approved handrails are provided in the toilet/shower areas, and other equipment/accessories are available to promote residents’ independence.  The bathrooms have been updated and an additional bathroom installed in the secure dementia care wing as part of the increase of two beds in this wing.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At the time of audit, all bedrooms were single occupancy. Management confirmed that the double bedroom in the secure dementia care unit and three double bedrooms in the rest home will only be used with consent of the residents and/or family. Rooms are personalised with furnishings, photos and other personal items displayed. As part of the refurbishment process, residents were asked to choose their own bedroom wallpaper.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bedrooms which have been converted from rest home to secure dementia care occurred by moving the locked door from one existing wall to another wall. It is a natural continuation of the existing secure dementia unit. No changes were required to the fire evacuation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Activities were sighted in both lounge areas at the time of audit   The dining and lounge areas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lounge/dining area in the rest home has been reconfigured to accommodate the use of the two existing bedrooms to become part of the secure dementia care unit. It remains spacious enough to cater for 14 rest home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lounge/dining area in the secure dementia care unit is open plan and caters for up to 14 dementia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area as part of the care staff duties. Care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is undertaken as part of the care staff daily duties. Management stated this is currently under review and a letter sighted explaining the proposed process had been sent to all staff. Staff education related to safe chemical handling is undertaken by the off-site chemical provider, last presented in March 2017. Chemicals were stored in secure areas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resident and family feedback.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02 March 1988 and there have been no changes to the building footprint since this time. Management confirmed they checked with the fire service about the need to update the evacuation plan related to the secure dementia care unit and no changes were required. A trial evacuation takes place six-monthly with a copy sent to the New Zealand Fire Service, the most recent being on 10 April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28 residents.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Doors and windows are locked at a predetermined time by staff on duty. The external doors in the secure dementia care unit are alarmed during the night only to alert staff if a resident goes outside.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ceiling mounted electric heaters controlled by a thermostat.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current infection control manual, with input from external specialists. The infection control programme and manual are reviewed annually as part of the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IPC coordinator, whose role and responsibilities are defined in a job description. Infection control matters, including surveillance results and key performance indicators are reported monthly to the director, and tabled at the quality meeting. This committee includes representatives from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about how long they must stay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has appropriate skills, knowledge and qualifications for the role. They have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is accessed from the infection control team at the DHB,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The policies and procedures are developed by an infection prevention and control consultancy agency. Policies were last reviewed in 2017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IPC coordinator and external specialists.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For example, when an increase in infections occurred, additional education was conducted on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subjects such as encouraging fluids, reminders about handwashing, and advice about remaining in their room if they are unwell.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scabies. The IPC coordinator reviews all reported infections and these were documented. New infections and any required management plan are discussed at handover, to ensure early intervention occurs, with short term care plans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Data is benchmarked against recognised guides for aged care. Where there has been an increase in infections, corrective actions are implemented.  An example of this was when there was an increase in urinary tract infections, and a corrective action plan was implemented. No infections were recorded in the subsequent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(RN) stated they would provide support and oversight for enabler and restraint management should it be used. They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 facility was restraint and enabler free. The last use of any form of restraint shown in the restraint register occurred in 2015. Policy states that enablers should be the least restrictive and used voluntarily at the request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management stated that restraint would only be used as a last resort when all alternatives have been explored. Staff education and a questionnaire related to safe restraint use was completed by 16 clinical staff in May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579"/>
        <w:gridCol w:w="2026"/>
        <w:gridCol w:w="20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orientation/induction programme documented which covers the essential components of the service provided. Most staff interviewed confirmed their orientation/induction period prepared them for the roles they undertake. Two staff stated that they had a very short orientation which only covered emergency procedures and then they were counted as a rostered staff member. Both staff had worked in the health care arena previously and were experienced caregivers. They stated that they were able to undertake their roles safely and they were ‘buddied’ with another experienced caregiver.  Incomplete sign off of staff orientation documentation supports the staff interview findings.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new service providers have their orientation/induction completed. Six of seven staff files reviewed had incomplete documentation to show that orientation had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that all new staff have completed the orientation/induction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had several forms related to bowel and pain management that were not fully completed. There was inconsistent terminology and abbreviations used in the forms and progress notes. There was an inconsistent use of, and unclear definition of the pain scales that are recorded in the residents’ progress notes. Some of the forms related to medication management interventions and fridge temperature records were not fully completed. All progress notes sampled contained the date, time and name/signature of the person making the entry, though one staff member consistently did not write their designation. In six of the seven staff files sampled the recruitment, orientation and training records was not fully completed (also refer to 1.2.7.4).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Forms related to resident care/interventions, environment recordings and staff orientation records were incomplete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information is entered consistently and accurately into records.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667"/>
        <w:gridCol w:w="5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and Memory Care has been recognised at the national level for the implementation of Hogeweyk, a resident centred social approach to service delivery. The design, decoration and daily living activities inside and outside the home are tailored to create a familiar and normal lifestyle for the residents. The residents are encouraged with their independence and participation in activities that they have normally participated in. This has resulted in the reduction of challenging behaviours, with the residents being supported to attend previous community activities (such as volunteer work, clubs and external exercise programmes). The service has also evidenced that with the reduction in challenging behaviours, the partners and families of the residents could engage in more frequent and meaningful relationships. The families and staff also reported increases in resident happiness and self-worth, with the residents participating in activities that they have previously enjoyed, such as mowing lawns, mechanical repairs, gardening, looking after animals and daily household duties. This participation is decreasing the number and severity of challenging behaviours that the residents had previously exhibited.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individual examples were evidenced on how residents that were at increased risk of admission to higher care psychogeriatric care could be effectively cared for at Brooklands. Brooklands is continuing to report positive outcomes for residents with dementia, their family/whānau and staff through the implementation of their model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implementing the organisational philosophy of dementia care, in both the memory care unit and the rest home, is rated beyond the expected full attainment. The service’s approach and philosophy is gaining positive results in the reduction of challenging behaviours and increasing ‘normal’ community and family participation with the residents. The service has conducted a continuous quality improvement plan since the opening of the memory care unit with improvements in the education programme, increased staff knowledge, and confidence and skill in assisting residents with their independence and community/family participation. With the model of care and philosophy implemented at the service, the projects have a documented review process which includes the analysis and reporting of findings. Improvements in individual resident reduction in challenging behaviours, participation in ‘normal’ activities of daily living and increased connection with family and community have been measured as part of the care evaluation processes. The overall quality improvement project includes documenting that positive outcomes have been measured through staff, resident and relative satisfaction surveys.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Dementia Specialists Limited - Brooklands Rest Home</w:t>
    </w:r>
    <w:bookmarkEnd w:id="58"/>
    <w:r>
      <w:rPr>
        <w:rFonts w:cs="Arial"/>
        <w:sz w:val="16"/>
        <w:szCs w:val="20"/>
      </w:rPr>
      <w:tab/>
      <w:t xml:space="preserve">Date of Audit: </w:t>
    </w:r>
    <w:bookmarkStart w:id="59" w:name="AuditStartDate1"/>
    <w:r>
      <w:rPr>
        <w:rFonts w:cs="Arial"/>
        <w:sz w:val="16"/>
        <w:szCs w:val="20"/>
      </w:rPr>
      <w:t>15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