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Charles Fleming Retirement Village Limited - Charles Fleming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Charles Fleming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Charles Fleming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June 2017</w:t>
      </w:r>
      <w:bookmarkEnd w:id="7"/>
      <w:r w:rsidRPr="009418D4">
        <w:rPr>
          <w:rFonts w:cs="Arial"/>
        </w:rPr>
        <w:tab/>
        <w:t xml:space="preserve">End date: </w:t>
      </w:r>
      <w:bookmarkStart w:id="8" w:name="AuditEndDate"/>
      <w:r w:rsidR="00A4268A">
        <w:rPr>
          <w:rFonts w:cs="Arial"/>
        </w:rPr>
        <w:t>7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Charles Fleming provides rest home, hospital and dementia level care for up to 120 residents in the care centre.  There are also 20 serviced apartments certified for rest home level of care.  On the day of the audit there were 110 residents including two in the serviced apartments.  The service is managed by an experienced non-clinical village manager who has been in the role two years.  She is supported by a clinical manager who has been in the role 11 months and was previously the hospital unit coordinator. The residents and relatives interviewed all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This certification audit identified an area for improvement around care plan interventions. </w:t>
      </w:r>
    </w:p>
    <w:p w:rsidRPr="00A4268A">
      <w:pPr>
        <w:spacing w:before="240" w:line="276" w:lineRule="auto"/>
        <w:rPr>
          <w:rFonts w:eastAsia="Calibri"/>
        </w:rPr>
      </w:pPr>
      <w:r w:rsidRPr="00A4268A">
        <w:rPr>
          <w:rFonts w:eastAsia="Calibri"/>
        </w:rPr>
        <w:t xml:space="preserve">There are two areas of continuous improvement awarded for good practice in the reduction in falls and reduction of respiratory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has a comprehensive admission pack that includes information on all the levels of care and services provided.  Registered nurses are responsible for all stages in the provision of care including InterRAI assessments, risk assessments, development of care plans and evaluations.  Resident files demonstrate service integration.  Residents and family interviewed confirmed they were involved in the care plan process and review and were informed of any changes in resident health status.  The general practitioner completes an admission visit and reviews the residents at least three 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Nutritious snacks are available 24 hours in the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are single occupancy with ensuites.  There are adequate numbers of communal toilets.  There is sufficient space to allow the movement of residents around the facility. The hallways and communal areas were spacious and accessible.  The outdoor areas were safe and easily accessible. There is an emergency management plan in place and adequate civil defence supplies in the event of an emergency.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for the safe assessment and review of restraint and enabler use.  During the audit five residents were using restraints and no residents were using an enabler.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holds integrated meetings with the health and safety team.  A monthly infection control report is completed and forwarded to head office for analysis and benchmarking.  A six-monthly comparative summary is completed.  The infection prevention and control programme includes policies and procedures to guide staff. Surveillance data identifies trends and areas for improvement. Organisational benchmarking occurs.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6"/>
        <w:gridCol w:w="1280"/>
        <w:gridCol w:w="97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Three managers (one village manager, one clinical manager and one regional manager) and seventeen care staff; five registered nurses (RNs); nine caregivers (three dementia, three hospital and three rest home) and three activities staff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consents were viewed for wound photographs and influenza vaccines. Written consents were sighed as part of the 11 resident file reviews (four hospital including one respite, four rest home including one resident in a serviced apartment and three dementia care including one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of long-term residents have signed admission agreements and the three respite care residents have signed a short-term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readily available.  Information about complaints is provided on admission.  Interviews with residents and family confirmed their understanding of the complaints process.  Staff interviewed could describe the process around reporting complaints.  There is a complaint’s register that includes written and verbal complaints, dates and actions taken and demonstrates that complaints are being managed in a timely manner.  There were four complaints made in 2016 and three received in 2017 year to date.  All complaints reviewed were documented as resolved.  Corrective actions have been implemented and any changes required were made because of the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Four relatives (one rest home, two hospital and one dementia) and eight residents (six rest home and two hospital) stated they were provided with information on admission which included the Code.  Large print posters of the Code and advocacy information are displayed throughout the facility.  The village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occurring in May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local iwi (Te Runanga O Atiawa Ki Wakaronotai) and other community representative groups as requested by the resident/family.  Cultural needs are addressed in the care plan.  There was one resident who identified as Māori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(formerly known as head office) for collating, monitoring and benchmarking between facilities.  Indicators include resident incidents by type, resident infections by type, staff incidents or injuries by type and resident and relative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provided to staff via the various meetings as determined by the Ryman programme (previously known as Ryman Accreditation Programme RAP).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 arises.  Evidence of families being kept informed is documented on the electronic database and in the residents’ progress notes.  All family interviewed stated they were well-informed.  Fourteen incident/accident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Fleming is a Ryman retirement village located in Waikanae.  The service provides care for up to 120 residents at hospital, rest home and dementia level care.  On the day of audit there were 110 residents in total (including one rest home level of care and one rest home respite care resident in the serviced apartments).  There were 40 (of 40 beds) rest home residents on level one (ground level), 38 (of 40 beds) hospital level residents (including one hospital resident on respite) on level two and 30 (of 40 beds) dementia care residents (including one dementia care resident on respite) across the two 20 bed dementia care units on level three.  There are 20 serviced apartments certified for rest home level of care.  There were two rest home level of care residents in the serviced apartments (one long-term and one respite care). </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2017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Charles Fleming is non-clinical and has been in the role for since April 2015.  She is supported by a clinical manager/registered nurse (RN) who has been in the role for eleven months and has worked at Charles Fleming for two years as the hospital coordinator.  She is also supported by a regional manager and an assistant manager.  The regional manager was present during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from the regional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Charles Fleming has a well-established quality and risk management system that is directed by Ryman Christchurch.  Quality and risk performance is reported across the facility meetings and to the organisation's management team.  Discussions with the management team (village manager and clinical manager) and staff, and review of management and staff meeting minutes demonstrate their involvement in quality and risk activities.  Family meetings are held six monthly and residents’ meetings are held every two months.  Meeting minutes are maintained.  Annual resident and relative surveys are completed.  The first resident satisfaction survey was completed in February 2017 with an overall satisfaction rate of 89.2%.  Quality improvement plans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There are clear guidelines and templates for reporting.  Management systems, policies and procedures are developed, implemented and regularly reviewed.  The facility has implemented processes to collect, analyse and evaluate data, which is utilised for service improvements.  Results are communicated to staff across a variety of meetings and reflect actions being implemented and signed off when completed.  Falls prevention strategies are in place that include, hi/lo beds, ongoing falls assessment, sensor mats, fall prevention pamphlets and appropriate footwear.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(senior caregiver) is appointed and they completed the health and safety training in April 2017.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fourteen incident/accident forms from across all areas of the service, identified that all are fully completed and include follow-up by a RN.  The clinical manager is involved in the adverse event process, with links to the applicable meetings (teamRyman, RN, staff, health and safety/infection control).  This provides the opportunity to review any incidents as they occur.  The village manager and regional manager were able to identify situations that would be reported to statutory authorities including (but not limited to) infectious diseases, serious accidents and unexpected death.  A section 31 form was sighted for the reporting of a non-facility acquired grade 4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Fourteen staff files reviewed (one clinical manager, one hospital unit coordinator, one rest home unit coordinator, one dementia unit coordinator, two RNs, five caregivers, one laundry person, one kitchen manager and one activities coordinator) provided evidence of signed contracts, job descriptions relevant to the role the staff member is in, induction, application form and reference checks.  A register of RN and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Twenty caregivers work in the dementia unit.  Nineteen of the twenty caregivers have completed their dementia qualification. The caregiver that has not completed has commenced work within the last 12 months and is working towards completing their qualification.</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Staff training records are maintained.  There are implemented competencies for RNs, ENs and caregivers related to specialised procedures or treatments including medication competencies and insulin competencies.  Health practitioners and competencies policy outlines the requirements for validating professional competencies.  There are currently 20 RNs working at Charles Fleming.  Ten of 20 RNs are InterRAI trained, including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 time Monday to Friday and are on call 24/7.  Each service unit in the care centre has a RN/EN unit coordinator.  There is at least one RN and first aid trained member of staff on every shift.  Interviews with caregivers informed that RNs are supportive and approachable.  In addition, they reported there are sufficient staff on duty at all times.  Interviews with residents and relatives indicated there are generally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Charles Fleming is as follows; in the rest home unit on level one (40 rest home residents including two rest home residents in the serviced apartments) on the AM shift: there is one RN and four caregivers, PM shift: four caregivers, night shift: two caregivers, the RNs in the hospital oversee the rest home unit in the PM and night shifts.  In the hospital unit on level two (38 hospital residents) on the AM shift: there are two RNs and eight caregivers, PM shift: two RNs and seven caregivers, night shift: one RN and three caregivers.  In the dementia units on level three (30 dementia residents, there are 15 residents in each unit) on the AM shift: there is one RN and four caregivers (including one lounge carer), PM shift: five caregivers (including one lounge carer), night shift: three caregivers, the RNs in the hospital oversee the dementia unit in the PM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Entries are legible, dated and signed by the relevant care assistant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Specific information around dementia care services is included in the information pack as applicable for dementia care admissions.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and short-term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of monthly blister packs is completed by two RNs and any errors fed back to pharmacy.  Registered nurses, enrolled nurses and senior care assistants who administer medications have been assessed for competency on an annual basis.  The service uses an electronic medication system. Care staff interviewed could describe their role in regard to medicine administration.  Education around safe medication administration has been provided.  Medications were stored safely in all four units (rest home, serviced apartments, hospital and dementia care). Medication fridges were monitored weekly.  All eye drops and creams in medication trolleys were dated on opening.  There were no self-medicating residents in any units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were reviewed on the electronic medication system. Two paper based respite care medication charts were reviewed.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head chef is supported by an assistant chef and kitchen assistants.  Staff have been trained in food safety and chemical safety.  Project “delicious” was commenced November 2016.  Menus are completed one week in advance and offer a choice of two main dishes for the midday and evening meal plus a vegetarian option.  Resident dislikes are accommodated.  Diabetic desserts and gluten free diets are accommodated.  The seasonal menu has been designed in consultation with the dietitian at an organisational level.  Meals are delivered in hot boxes and served from bain-maries in the kitchenettes.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Alternative foods are offered.  Cultural, religious and food allergies are accommodated.  Nutritious snacks are available 24 hours in the dementia unit.  High protein drinks and fluids were viewed in the unit fridges.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survey and direct contact with the food services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 assessments have been completed on admission and reviewed six monthly as part of the evaluation process.  The outcomes of InterRAI assessments and risk assessments that have been triggered were reflected in the care plans reviewed.  Additional assessments such as behavioural, wound and restraints were completed according to need.  Assessed needs and supports required were described in care plans (link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 outlines objectives of nursing care, setting goals, and details of implementation required to ensure the resident’s individual needs are met (link 1.3.6.1).  There was documented evidence of resident/family/whānau involvement in the care planning process in the long-term and respite care resident files reviewed.  Residents and relatives interviewed confirmed they were involved in the care planning process.  Care plans included involvement of allied health professionals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however not all interventions have been implemented.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20 residents with wounds (three dementia care, 10 hospital and seven rest home). There were two facility acquired pressure injuries (one stage one and one stage two) and one community acquired stage four pressure injury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wound care champion who has attended relevant education.  Registered nurses interviewed could describe access to the DHB wound nurse or district nurses if required.  The GP reviews wounds three monthly or earlier if there are signs of infection or non-healing.  Chronic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of activities staff (two with diversional therapy qualifications, one in diversional therapy training and two activities coordinators) coordinate and implement the Engage activities programme across the rest home, hospital and dementia units. The programme is Monday to Friday in the rest home and seven days week in the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attend on-site and organisational in-services relevant to their roles.  Activities staff hold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including Triple AAA exercises, themes events and celebrations, indoor bowls, sensory activities, outings and drives.  A facility van is available for outings for all residents. The rest home resident in the serviced apartments attends the serviced apartment programme and has the opportunity to attend rest home activities.  The hospital lounge area has seating placed for large and smaller group activities.  One-on-one activities occur as well as regular wheelchair walks out in the gardens.  Daily contact is made with residents who choose not to be involved in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unit are taken for daily walks (observed) around the downstairs gardens and grounds as weather permits.  Activities are based on music and meaningful household activities and hobbies such as wool winding and gardening.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involvement includes entertainers, speakers, volunteers, church services and weekly canine friend’s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 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had been evaluated by registered nurses for long-term residents who had been at the service six months and longer. Written evaluations for long-term residents describe the resident’s progress against the residents identified goals and any changes are updated on the long-term care plan.  The multidisciplinary review involves the RN, clinical manager, GP, care assistant, activities staff and other allied health professionals involved in the care of the resident. Record of the MDT review was evident in the resident files reviewed.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Relevant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March 2018. The building is three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head of maintenance person who attends health and safety committee meetings.  The maintenance person ensures daily maintenance requests are addressed.  A 12-monthly planned maintenance schedule is maintained.  Essential contractors are available 24 hours.  Electrical testing is completed annually.  Annual calibration and functional checks of medical equipment is completed by an external contractor.  Hot water temperatures in resident areas are monitored three monthly, as part of the environmental audit.  Temperature recordings reviewed were maintained below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Residents were observed to safely access the outdoor gardens and courtyards.  Seating and shade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care unit has an outdoor balcony with seating, shade and raised gardens.  There are safe walking pathways out of both units and residents can enter either unit.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and have full ensuites.  There were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were of an appropriate size to allow care to be provided and for the safe use and manoeuvring of mobility and transferring aids such as hoists.   Residents are encouraged to personalise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has the rest home beds on the first floor, hospital beds on the second floor and two dementia care units on the third floor. The rest home and hospital have a large main lounge, smaller library lounge and a family room for visitors with tea making facilities.  The large main lounges have seating placed to allow for individual or group activities. The rest home and hospital have a separate dining room from the lounge.  Each dementia care unit has an open plan lounge and dining room with a safe kitchenette area. There are seating alcoves with items of memorabilia.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chemical provider monitors the effectiveness of chemicals in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Cleaning trolleys are kept in locked designated areas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Battery operated emergency lighting is in place which runs for at least two hours.  The facility has an on-site diesel generator to run essential services.  There is a civil defence kit located on each level.  Supplies of stored drinkable water is stored in large holding tanks. There is sufficient water stored to ensure three litres per day for three days per resident. The facility has an approved fire evacuation plan and fire drills take place six-monthly.  The last fire evacuation drill occurred on 1 June 2017.  Smoke alarms, sprinkler system and exit signs are in place.  There are alternative cooking facilities available with three gas barbeques and gas hobs in the kitchen.  Gas heaters are available if required. The call bell system is evident in resident’s rooms, lounge areas and toilets/bathrooms.  Serviced apartments have a call bell system, which is linked to staff pagers.  Staff advise that they conduct security checks at night, in addition to an external contractor.  A security camera is installed at the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underfloor heating.  All resident rooms and communal areas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set out annually from head office and directed via the quality programme.  The programme is reviewed annually and a six-month analysis is completed by the infection control and prevention office/clinical manager which is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There are adequate hand sanitisers and signage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 section of staff from areas of the service.  The infection control officer has completed the MOH on-line infection control education.  The two-day Ryman conference infection control indicators, prevention and analysis/trends of infections.  The facility also has access to an infection prevention and control nurse specialist from the DHB,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comprehensive infection prevention and control policies that were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orientation/induction package includes specific training around hand </w:t>
            </w:r>
          </w:p>
          <w:p w:rsidR="00EB7645" w:rsidRPr="00BE00C7" w:rsidP="00BE00C7">
            <w:pPr>
              <w:pStyle w:val="OutcomeDescription"/>
              <w:spacing w:before="120" w:after="120"/>
              <w:rPr>
                <w:rFonts w:cs="Arial"/>
                <w:b w:val="0"/>
                <w:lang w:eastAsia="en-NZ"/>
              </w:rPr>
            </w:pPr>
            <w:r w:rsidRPr="00BE00C7">
              <w:rPr>
                <w:rFonts w:cs="Arial"/>
                <w:b w:val="0"/>
                <w:lang w:eastAsia="en-NZ"/>
              </w:rPr>
              <w:t>hygiene and standard precautions and training is provided both at orientation and as part of the annual training schedule.  All staff complete hand hygiene audits.  Infection control is an agenda item on the full facility and clinical meeting agenda.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five residents with restraints (two bed rails and three chair briefs) and no residents using an enabler.  Staff training has been provided around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files of the five hospital level residents using restraint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evidenced in the five resident files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conducted three-monthly and include family, evidenced in the five resident files reviewed where restraint was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23"/>
        <w:gridCol w:w="1280"/>
        <w:gridCol w:w="4538"/>
        <w:gridCol w:w="4160"/>
        <w:gridCol w:w="24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neurological observations (unwitnessed falls or identified head injuries), food and fluid charts, restraint monitoring, blood sugar levels and behaviour charts.  Progress notes document changes in health and significant events, however a shortfall was identified around interventions.  Residents and relatives confirm their expectations are met and they are kept informed of any changes to health.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There was no evidence of two hourly repositioning for three hospital residents as per the care plans. 2) There was no pain assessment for one hospital resident on regular analgesia.  3) The wearing of hip protectors for one rest home resident (assessed at medium risk of falls) had not been followed up as per physiotherapist recommendation.  4) The pain management plans for two dementia care residents did not reflect their current pain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there is documented evidence of two hourly repositioning for residents as identified in care plans.  2) Ensure pain assessments are completed.  3) Ensure physiotherapist recommendations are followed up.  4) Ensure pain management plans are current.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3529"/>
        <w:gridCol w:w="7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quality and risk management process in place.  A range of clinical indicator data are collected against each service level and reported through to Ryman Christchurch (formerly known as head office) for collating, monitoring and benchmarking between facilities.  Indicators include resident incidents by type, resident infections by type, staff incidents or injuries by type and resident and relative satisfaction.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r w:rsidRPr="00BE00C7">
              <w:rPr>
                <w:rFonts w:cs="Arial"/>
                <w:b w:val="0"/>
                <w:lang w:eastAsia="en-NZ"/>
              </w:rPr>
              <w:t>Charles Fleming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Fleming is active in analysing data collected monthly, around accidents and incidents, infection control, restraint etc.  As a result of quality data, the village manager and clinical manager discuss the data at the monthly staff meetings and any identified trends or issues.  Any identified common themes around incidents/infections etc. results in further education and toolbox sessions.  Charles Fleming implemented a falls prevention and management QIP in April 2016 which focused on identifying strategies for the reduction of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Strategies included; residents experiencing frequent falls had a traffic light and red dot identification system, intentional rounding, decluttering of resident rooms and that call bells are within reach, continued falls prevention education for all staff and falls data analysis discussed weekly and available for all staff to view.  Documentation reviewed identified that strategies were regularly evaluated. The outcome achieved was that the total of rest home resident falls for 1 April 2016 was at 10, the total of falls reduced by 50% for March 2017 to 5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include identifying trends, corrective actions and evaluations of quality improvements.  Monthly and annual comparisons for infections are made and graphed which are displayed for staff. The service is benchmarked against other organisational facilities.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August 2016, the service experienced a peak in respiratory illness that affected 19 residents.  An internal review of the resident’s signs and symptoms against the standard definitions identified that nine residents had a viral illness which resolved within 48 hours but had been treated with antibiotics.  Four residents developed chest infections requiring ongoing treatment. The service identified a quality improvement project around reducing the spread of respiratory illnesses and focused on education for staff and residents and encouraging residents and staff to have flu vaccines. Education sessions were held in May 2017 and included a hand hygiene audit with 100% compliance.  Infection control sessions were held at handovers and included weekly reviews of all infections.  Staff interviewed are knowledgeable in how infections can be contained to prevent the spread of infections and included keeping themselves well.  Staff numbers receiving the flu vaccine were up 16% from last year. The number of respiratory infections are tracking lower for 2017 to date in comparison with 2016.  Numbers are below or close to the organisational key performance indicator for respiratory infections. The service has been successful to date in reducing the numbers of respiratory infections.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Charles Fleming Retirement Village Limited - Charles Fleming Retirement Village</w:t>
    </w:r>
    <w:bookmarkEnd w:id="58"/>
    <w:r>
      <w:rPr>
        <w:rFonts w:cs="Arial"/>
        <w:sz w:val="16"/>
        <w:szCs w:val="20"/>
      </w:rPr>
      <w:tab/>
      <w:t xml:space="preserve">Date of Audit: </w:t>
    </w:r>
    <w:bookmarkStart w:id="59" w:name="AuditStartDate1"/>
    <w:r>
      <w:rPr>
        <w:rFonts w:cs="Arial"/>
        <w:sz w:val="16"/>
        <w:szCs w:val="20"/>
      </w:rPr>
      <w:t>6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