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Palms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June 2017</w:t>
      </w:r>
      <w:bookmarkEnd w:id="7"/>
      <w:r w:rsidRPr="009418D4">
        <w:rPr>
          <w:rFonts w:cs="Arial"/>
        </w:rPr>
        <w:tab/>
        <w:t xml:space="preserve">End date: </w:t>
      </w:r>
      <w:bookmarkStart w:id="8" w:name="AuditEndDate"/>
      <w:r w:rsidR="00A4268A">
        <w:rPr>
          <w:rFonts w:cs="Arial"/>
        </w:rPr>
        <w:t>23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plans to reconfigure 38 rest home rooms (41 beds) in the existing rest home building to dual purpose rooms. This reconfiguration would result in a total bed number of 123 comprising of 22 hospital, 21 rest home and 80 dual purpose beds.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Palms Lifecare provides rest home and hospital level of care for up to 123 residents and is operated by Heritage Healthcare Limited. At the time of audit there were 103 residents living at the facility. The service is located within a wider retirement living community. </w:t>
      </w:r>
    </w:p>
    <w:p w:rsidRPr="00A4268A">
      <w:pPr>
        <w:spacing w:before="240" w:line="276" w:lineRule="auto"/>
        <w:rPr>
          <w:rFonts w:eastAsia="Calibri"/>
        </w:rPr>
      </w:pPr>
      <w:r w:rsidRPr="00A4268A">
        <w:rPr>
          <w:rFonts w:eastAsia="Calibri"/>
        </w:rPr>
        <w:t xml:space="preserve">This audit consisted of a certification audit and a partial provisional audit. The partial provisional audit was to assess the preparedness of the services to provide an increase in hospital level of care in the existing rest home building. The reconfiguration is planned to be staged with a gradual increase to hospital level of care as the rest home rooms become available. The audit verified there are appropriate processes, environment and staff levels to provide for the increased numbers of residents at hospital level of care. The service and the head office have documented systems to meet the needs of the increased number of residents at hospital level of care. </w:t>
      </w:r>
    </w:p>
    <w:p w:rsidRPr="00A4268A">
      <w:pPr>
        <w:spacing w:before="240" w:line="276" w:lineRule="auto"/>
        <w:rPr>
          <w:rFonts w:eastAsia="Calibri"/>
        </w:rPr>
      </w:pPr>
      <w:r w:rsidRPr="00A4268A">
        <w:rPr>
          <w:rFonts w:eastAsia="Calibri"/>
        </w:rPr>
        <w:t xml:space="preserve">There were no improvements required from both the certification and partial provisional audits.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interacted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by the Palms Lifecare management and the Heritage Lifecare Limited (HLL) is regular and effective. An experienced and suitably qualified team manage the facility. There is a documented transition plan for the reconfiguration of the service. </w:t>
      </w:r>
    </w:p>
    <w:p w:rsidRPr="00A4268A">
      <w:pPr>
        <w:spacing w:before="240" w:line="276" w:lineRule="auto"/>
        <w:rPr>
          <w:rFonts w:eastAsia="Calibri"/>
        </w:rPr>
      </w:pPr>
      <w:r w:rsidRPr="00A4268A">
        <w:rPr>
          <w:rFonts w:eastAsia="Calibri"/>
        </w:rPr>
        <w:t xml:space="preserve">Since Heritage Lifecare Limited took over the operation of the service, Palms Lifecare has been in the process of implementing the HLL quantity and risk management systems, including their policies and procedures. 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meets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Services are provided in two adjacent buildings. Both buildings provide a clean, safe, secure environment that is appropriate to rest home level and hospital level of care. There are no changes required to the building to reconfigure the bed usage. The rooms sighted for reconfiguration are appropriate for either rest home or hospital level care. </w:t>
      </w:r>
    </w:p>
    <w:p w:rsidRPr="00A4268A">
      <w:pPr>
        <w:spacing w:before="240" w:line="276" w:lineRule="auto"/>
        <w:rPr>
          <w:rFonts w:eastAsia="Calibri"/>
        </w:rPr>
      </w:pPr>
      <w:r w:rsidRPr="00A4268A">
        <w:rPr>
          <w:rFonts w:eastAsia="Calibri"/>
        </w:rPr>
        <w:t>Residents, visitors and staff are protected from harm as a result of exposure to waste, infectious or hazardous substances generated during service delivery. Laundry and cleaning services are conducted onsite by employed staff. There are adequate numbers of toilets, showers, and bathing facilities in each building.</w:t>
      </w:r>
    </w:p>
    <w:p w:rsidRPr="00A4268A">
      <w:pPr>
        <w:spacing w:before="240" w:line="276" w:lineRule="auto"/>
        <w:rPr>
          <w:rFonts w:eastAsia="Calibri"/>
        </w:rPr>
      </w:pPr>
      <w:r w:rsidRPr="00A4268A">
        <w:rPr>
          <w:rFonts w:eastAsia="Calibri"/>
        </w:rPr>
        <w:t xml:space="preserve">Documentation identifies that all processes are maintained to meet the requirements of the building warrant of fitness and emergency management systems.  </w:t>
      </w:r>
    </w:p>
    <w:p w:rsidRPr="00A4268A">
      <w:pPr>
        <w:spacing w:before="240" w:line="276" w:lineRule="auto"/>
        <w:rPr>
          <w:rFonts w:eastAsia="Calibri"/>
        </w:rPr>
      </w:pPr>
      <w:r w:rsidRPr="00A4268A">
        <w:rPr>
          <w:rFonts w:eastAsia="Calibri"/>
        </w:rPr>
        <w:t>Planned and reactive maintenance is documented. Systems are in place for essential, emergency and security services, including a disaster and emergency management plan. No changes are required to the emergency and evacuation scheme for the reconfiguration of bed usage. Residents reported a timely staff response to call bells. Security is maintained.</w:t>
      </w:r>
    </w:p>
    <w:p w:rsidRPr="00A4268A">
      <w:pPr>
        <w:spacing w:before="240" w:line="276" w:lineRule="auto"/>
        <w:rPr>
          <w:rFonts w:eastAsia="Calibri"/>
        </w:rPr>
      </w:pPr>
      <w:r w:rsidRPr="00A4268A">
        <w:rPr>
          <w:rFonts w:eastAsia="Calibri"/>
        </w:rPr>
        <w:t xml:space="preserve">All residents have access to outdoor areas with shaded areas.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in use at the time of audit. The use of enablers is voluntary for the safety of residents in response to individual requests. There were no restraints in use.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36"/>
        <w:gridCol w:w="1280"/>
        <w:gridCol w:w="90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Staff provided examples of the involvement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lodge a complaint.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complaints have been received over the past year and that actions taken, through to an agreed resolution, are documented and completed within the required timeframes. Action plans show any required follow up and improvements have been made where possible. The facility manager, with support from the clinical services manager and head office support,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several complaints received from external sources since the previous audit, with the service implementing corrective actions to make improvements to the areas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 being made aware of the Code and the Nationwide Health and Disability Advocacy Service (Advocacy Service) as part of the admission information provided and discussions with staff. The Code is displayed in main entrance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attending community activities and participation in clubs of their choosing.  Care plans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and this was evidenced throughout residents’ long term care plans.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and their whānau interviewed reported that staff acknowledge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discussions between staff, relatives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Palms Lifecare is operated by Heritage Lifecare Limit (HLL). The operating systems, including monitoring systems, policies and procedures are centralised across the HLL group. Palms Lifecare has been going through a change management process since HLL commenced operation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business plan for 2017-18 contains the organisational mission, values and goals. The plan is reviewed on an annual basis. There are HLL goals, as well as site specific goals for Palms Lifecare. There is ongoing monitoring through weekly operations reports to the HLL senior management, monthly clinical/quality indicators, and monthly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rest home and hospital level of care for up to 123 residents. The service plans to convert 38 rooms in the existing rest home (42 beds) to dual service beds (either rest home or hospital care). There are two adjacent buildings, one being a two storey building that provides rest home and hospital level of care for up to 60 residents. The other building currently provides rest home level of care for up to 63 residents. At the time of audit there were 57 residents in the rest home building (all rest home level of care) and 48 residents in the dual-purpose building (38 hospital, 8 rest home and 2 younger people). Services are provided to meet the individual needs of each of the residents. Palms Lifecare is located within a wider retirement living complex. The service delivery to the rest home/hospital is separated from the retirement living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Palms Lifecare management consists of a facility manager and a clinical services manager. Job descriptions were sighted for both roles. The facility manager has the overall responsibility for the entire complex (including the retirement village) with the clinical service manager having the clinical oversight for the rest home and hospital services. There is an interim registered nurse in the clinical nurse manager role till the role can be filled permanently. The facility manager has a background with management of disability services. Both the facility manager and interim clinical services manager are suitably qualified and experienced to perform their respective roles. In addition to the onsite management team, Palms Lifecare has support from the senior management team at HLL. The facility manager has attended over eight hours’ education in the last 12 months related to management of aged care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families report satisfaction with the services provided at Palms Lifecare.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chart identifies the facility manager is replaced by the clinical nurse manager during temporary absences. In addition to the clinical services manager taking on the role, support is provided by Heritage Lifecare Limited head office. Heritage Lifecare Limited does have a designated nurse manager who can take on the management role during temporary absences. Heritage Lifecare Limited has a monitoring process to support clinical staff transition to management roles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 family and staff satisfaction survey, monitoring of outcomes, clinical incidents including infections and pressure injuries. Palms Lifecare has been transitioning to the HLL quality and risk system since they began the operation of the service. The HLL quality and risk system has been fully implemented since May 2017, with quality indictor monitoring since October 2016.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and reports sampled confirmed weekly and monthly review and analysis of quality indicators and that related information is reported and discussed at the quality and risk team meetings and staff meetings. Staff reported their involvement in quality and risk management activities through audit activities and meetings. The staff interviewed reported that they have seen positive changes with the implementation of the HLL quality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HLL internal audit schedule was commenced in May 2017, with the facility manager reporting that Palms Lifecare will also conduct the internal audits that are on the plan from January to Aril 2017. From the internal audits and quality data sampled, relevant corrective actions have been developed and implemented to address any shortfalls. Resident and family satisfaction surveys are completed annually. The most recent resident, family and staff survey showed actions have been implemented to address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assessment tool and process and pressure injury management. Policies are based on best practice and are current. The document control system ensures a systematic and regular review process, referencing of relevant sources, approval, distribution and removal of obsolete documents. As Palms Lifecare have been transitioning to the HLL policies and procedures, education has been conducted with staff to inform them of the changed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hazard register was sampled.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and the electronic database. A sample of incident forms reviewed showed these were fully completed, incidents were investigated, action plans developed and actions followed-up in a timely manner. Adverse event data is collated, analysed and reported to the Palms Lifecare management team, as well as the HLL senior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for pressure injuries. They advised there have been several notifications of significant events made to the relevant authorities (section 31 notifications) since the previous audit. These motivations were related to pressure injuries, corners inquest, police infestations and wandering residents. The notifications sampled evidence appropriate corrective actions have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and annual practising certificates (APCs) are validated on employment and annually. The service maintains a folder of current APCs, sighted for all staff and contractors who require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files evidence that appropriate employment processes are implemented, such as, recruitment, interview and reference checking. Performance reviews are conducted after three months of employment, then at least annually, as confirmed in the staff files reviewed. There is a schedule and timetable for managing performance reviews through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initial three-day orientation to the service that all new staff complete. There is then role specific orientation for the different roles within the service. The initial general orientation includes: the essential and emergency systems; handling concerns and complaints; cultural best practice; infection control; incidents/accident reporting; managing challenging behaviours; and restraint minimisation. Each staff file reviewed evidenced an orientation and induction into their role. Staff reported that the orientation and induction gave them a good understanding of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access to an in-service education programme and external education that is appropriate to the level of care provided. The education plan covers the required contractual education, as well as specific education related to the needs of the service and the resident care. There are three RNs and the clinical services manager who are trained and competent to undertake interRAI assessments. A further two RNs have commenced the training, with another two RNs booked to start the interRAI training. The education is appropriate to cover the needs of residents for the proposed increase in the number of residents at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they are supported and encouraged with maintaining their knowledge and skills.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clearly documented policy on staffing levels and skill mix to meet the needs of residents requiring rest home and hospital level of care. The staffing numbers are based on safe staffing indicators. Heritage Lifecare Limited provide a report to the facility manager to ensure the staffing skill mix complies with safe staffing indicators. The rosters sampled meet or exceeded contractual requirements for the different levels of care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is at least one staff member on duty each shift who has current first aid qualifications. There is appropriate staffing level for activities, cooking, cleaning and laundry. Staff are replaced for annual and sick leave.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that staffing levels and skill mix will increase as the hospital level of care resident numbers increase with the proposed reconfiguration of bed usage. There is planned to be a registered nurse on duty 24 hours a day, when hospital level of care commences. The caregiving staffing will also increase in a staged process to match the increase in the hospital level of care. The Palms Lifecare and HHL management team members interviewed reported that the safe staffing level indicators will be met as the increase in hospital level of care increases.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and electronic databases.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to provide rest home, hospital, and respite care. On the day of audit there were 65 residents receiving rest home level care and 38 residents receiving hospital level care along with two residents under the age of 65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evidence of verbal and written handover and communication with the NASC team.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 The current systems and methods for providing residents medication needs are suitable for the provision of increase in hospital level care.  There are no proposed changes to the medication systems.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registers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 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 Appropriate processes are in place to ensure this is managed in a safe manner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kitchen manager, cooks and kitchen team, and is in line with recognised nutritional guidelines for older people.  The menu follows summer and winter patterns and was last reviewed by a qualified dietitian 24 April 2016.  Recommendations made at that time have been implemented.   The current systems and methods for providing residents’ nutritional needs are suitable for the provision of increased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kitchen manager and facility manager stated that are working with the district council to have an approved food safety plan and registration issued by July 2017.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Staff have recently completed a ‘master class’ in pureed food, and plan to have moulded texture modified food to increase residents’ satisfaction in presentation.  Special equipment, to meet resident’s nutritional needs, is available.  The facility has two kitchens.  The kitchen manager stated that the rest-home kitchen flooring is due to be fully renovated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April 2017 resident satisfaction survey showed that 79% of residents were overall happy with the food service.  Residents were seen to be given sufficient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as a means to identify any deficits and to inform care planning. The sample of care plans reviewed had an integrated range of resident-related information.  All residents have an interRAI assessments completed by three trained interRAI assessors on site. Two RN’s are currently in training and two further staff are booked for upcoming training. There are ten interRAI assessments that are due to be completed this month. Five of those interRAI assessments are completed but remain in draft awaiting assessor sign of and the remaining five are due to be completed this week.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very good.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three trained diversional therapists holding the national Certificate in Diversional Therapy.  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The current systems and methods for providing residents recreational needs are suitable for the provision of an increase in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families/whānau are involved in evaluating and improving the programme through residents’ meetings, satisfaction surveys. Residents interviewed confirmed they find the programme enjoyable.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mental health services for older persons, and the NASC team.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the safe and appropriate storage and disposal of waste, infectious or hazardous substances that complies with current legislation. Chemicals are securely stored in the laundry area. There is appropriate personal protective equipment (PPE) and clothing in the laundry and cleaning areas. The education related to handling of waste or hazardous substances is part of the orientation and ongoing in-service education programme. The manager reports that it is not envisaged that there will be a need to make changes to the management of waste and hazardous substances as part of the reconfiguration of bed usage.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building has a current building warrant of fitness displayed. There are no required changes to the building as part of the reconfiguration of bed usage.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have been monitored monthly, these being within safe guidelines. Medical equipment has annual calibration, last conducted within the last year. The electrical equipment is test and tagged. The annual service of the wheelchairs and hoist was sighted. The maintenance worker conducts a monthly compliance check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promotes safe mobility, with secure hand rails in the hallways and floor surfaces that are intact and do not present a trip hazard. Each wing has access to external areas.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reported satisfaction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building has sufficient toilet and showers is each of the wings. The rooms in the rest home building have ensuite toilets and basins, with additional disability accessible shared toilet and showering facilities. The amenities across the service are suitable for residents at rest home or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the 38 rooms for reconfiguration are large enough for the needs of residents at rest home or hospital level of care. There is adequate space in the rooms for the resident, staff and mobility equipment. The rooms have wide doors in which mobility equipment can be manoeuvred through. Each resident’s room visited had the resident’s personal items, and provided enough space for the resident to mobilise and staff to perform their duties. The residents and families reported satisfaction with the personal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building has separated lounge and dining areas. There are several small lounges and sitting areas throughout the service. Residents’ rooms also provided areas for residents to relax or entertain in privacy. The residents’ report satisfaction with the access to dining and lounge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and laundry is conducted by specific housekeeping staff. The facility manager reports that it is not envisaged that there will be a need to make changes to the cleaning and laundry services because of the reconfiguration of bed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processes in place for ensuring the cleanliness and sanitising of the reusable equipment (such as bed pans). There is secure storage of the bulk chemical supply in the laundry area. Staff demonstrated knowledge on the use of chemicals.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and cleaning processes are monitored for effectiveness through the internal audit programme and resident/family satisfaction surveys. The residents reported satisfaction with the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evacuation scheme for each of the buildings. There will be no changes to the layout of the building with the reconfiguration of the bed usage.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and emergency equipment has a monthly inspection as well as annual certification by an external contractor. Emergency and security training is provided as part of staff orientation and ongoing in-service education. Evacuation drills are conducted at least six monthly. Staff demonstrated knowledge on how to respond in emergency or civil defence situations.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bottled gas for cooking and emergency lighting in the event of mains failure. There is a water tank and bottled drinking water that is accessible in emergency situations.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room, toilet and bathing facility has access to a call bell. The call bell system has a light and audible alert through a pager system, when activated. Staff responded promptly when the call bell was tested. The residents reported satisfaction with the time frames in which call bells are answered.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night staff member has a checklist to ensure the entrances, doors and windows are secure. Staff and residents reported satisfaction with the security arrangements. The entrances and car park are monitored by a security camera system. There is signage to notify people that there is a security camera system installed.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areas used by residents and families are ventilated and heated. Each resident’s room and hallway have central heating and at least one window or sliding door for light and ventilation. The residents reported satisfaction with the heating, lighting and ventilation.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infection control nurse and interim clinical nurse manager.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interim clinical nurse manager, and tabled at the quality/risk committee meeting.  This committee includes the interim clinical nurse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is three weeks into to her role and has appropriate skills, knowledge and qualifications.  The interim clinical nurse manager states that the IPC nurse is booked to undertake external training in infection prevention and control in July 2017.    Additional support and information is accessed from the interim clinical nurse manager,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April 2017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and the upper and lower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manager/quality, IPC committee and at staff meetings.  Data is benchmarked externally with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(there is no recorded restraint use in 2017). One resident was using an enabler. The enabler is the least restrictive and used voluntarily at the resident’s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Palms Lifecare</w:t>
    </w:r>
    <w:bookmarkEnd w:id="58"/>
    <w:r>
      <w:rPr>
        <w:rFonts w:cs="Arial"/>
        <w:sz w:val="16"/>
        <w:szCs w:val="20"/>
      </w:rPr>
      <w:tab/>
      <w:t xml:space="preserve">Date of Audit: </w:t>
    </w:r>
    <w:bookmarkStart w:id="59" w:name="AuditStartDate1"/>
    <w:r>
      <w:rPr>
        <w:rFonts w:cs="Arial"/>
        <w:sz w:val="16"/>
        <w:szCs w:val="20"/>
      </w:rPr>
      <w:t>22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