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Masonic Care Limited - Horowhenua Masonic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Masonic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Horowhenua Masonic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July 2017</w:t>
      </w:r>
      <w:bookmarkEnd w:id="7"/>
      <w:r w:rsidRPr="009418D4">
        <w:rPr>
          <w:rFonts w:cs="Arial"/>
        </w:rPr>
        <w:tab/>
        <w:t xml:space="preserve">End date: </w:t>
      </w:r>
      <w:bookmarkStart w:id="8" w:name="AuditEndDate"/>
      <w:r w:rsidR="00A4268A">
        <w:rPr>
          <w:rFonts w:cs="Arial"/>
        </w:rPr>
        <w:t>6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HealthCERT has requested that specific reference to the reconfiguration of services be included in this audit. The service is currently changing part of one of the units by reconfiguring three rest home bedrooms into one dual purpose bedroom with an ensuite and two care suites under an occupied rights agreement. When completed, the total number of available beds will remain at 76.</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Horowhenua Masonic Village can provide residential care for up to 76 residents. On the first day of this audit there were 70 beds occupied, including residents under an occupational right agreement. The facility is operated by Masonic Care Limited.  </w:t>
      </w:r>
    </w:p>
    <w:p w:rsidRPr="00A4268A">
      <w:pPr>
        <w:spacing w:before="240" w:line="276" w:lineRule="auto"/>
        <w:rPr>
          <w:rFonts w:eastAsia="Calibri"/>
        </w:rPr>
      </w:pPr>
      <w:r w:rsidRPr="00A4268A">
        <w:rPr>
          <w:rFonts w:eastAsia="Calibri"/>
        </w:rPr>
        <w:t>This certification audit has been undertaken to establish compliance with the Health and Disability Services Standard and the district health board contract.  The audit process included review of policies and procedures, review of residents’ and staff files, observations and interviews with residents, families, management, staff, a general practitioner and other allied health professionals.</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 xml:space="preserve">Resident who identify as Māori have their needs met in a manner that respects their cultural values and beliefs.  There is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The service has strong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village manager and clinical nurse manager are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Masonic Care Limited is the governing body and is responsible for the service provided.  A strategic business plan and quality and risk management systems are fully implemented at Horowhenua Masonic Village. The documented scope, direction, goals, values, and a mission statement were reviewed. Systems are in place for monitoring the service provided including regular reporting by the village manager to the governing body.</w:t>
      </w:r>
    </w:p>
    <w:p w:rsidRPr="00A4268A">
      <w:pPr>
        <w:spacing w:before="240" w:line="276" w:lineRule="auto"/>
        <w:rPr>
          <w:rFonts w:eastAsia="Calibri"/>
        </w:rPr>
      </w:pPr>
      <w:r w:rsidRPr="00A4268A">
        <w:rPr>
          <w:rFonts w:eastAsia="Calibri"/>
        </w:rPr>
        <w:t xml:space="preserve">The facility is managed by an experienced and suitably qualified manager who is supported by a clinical nurse manager and three charge nurses. The clinical nurse manager is responsible for the oversight of the clinical service in the facility. </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Accident/incident forms and meeting minutes evidenced corrective action plans are developed, implemented, monitored and signed off as being completed to address the issue/s that require improvement.  Quality, health and safety, various staff and resident meetings are held on a regular basis.</w:t>
      </w:r>
    </w:p>
    <w:p w:rsidRPr="00A4268A">
      <w:pPr>
        <w:spacing w:before="240" w:line="276" w:lineRule="auto"/>
        <w:rPr>
          <w:rFonts w:eastAsia="Calibri"/>
        </w:rPr>
      </w:pPr>
      <w:r w:rsidRPr="00A4268A">
        <w:rPr>
          <w:rFonts w:eastAsia="Calibri"/>
        </w:rPr>
        <w:t xml:space="preserve">The hazard register evidenced review and updating of risks and the addition of new risks. The health and safety representative has completed an update on the Health and Safety at Work Act (2015) requirements.     </w:t>
      </w:r>
    </w:p>
    <w:p w:rsidRPr="00A4268A">
      <w:pPr>
        <w:spacing w:before="240" w:line="276" w:lineRule="auto"/>
        <w:rPr>
          <w:rFonts w:eastAsia="Calibri"/>
        </w:rPr>
      </w:pPr>
      <w:r w:rsidRPr="00A4268A">
        <w:rPr>
          <w:rFonts w:eastAsia="Calibri"/>
        </w:rPr>
        <w:t>There are policies and procedures on human resources management. Human resources processes are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 xml:space="preserve">The documented rationale for determining staffing levels and skill mixes is based on best practice.  Registered nurses are rostered on duty at all times. The clinical nurse manager, charge nurses and the village manager are on call after hours.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Registered nurses are on duty 24 hours each day in the facility and are supported by care and allied health staff and a designated general practitioner.   On call arrangements for support from registered nurses are in place.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overseen by a diversional therapist,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All building and plant complies with legislation.  A current building warrant of fitness is displayed. A preventative and reactive maintenance programme includes equipment and electrical checks.</w:t>
      </w:r>
    </w:p>
    <w:p w:rsidRPr="00A4268A">
      <w:pPr>
        <w:spacing w:before="240" w:line="276" w:lineRule="auto"/>
        <w:rPr>
          <w:rFonts w:eastAsia="Calibri"/>
        </w:rPr>
      </w:pPr>
      <w:r w:rsidRPr="00A4268A">
        <w:rPr>
          <w:rFonts w:eastAsia="Calibri"/>
        </w:rPr>
        <w:t>Part of one of the units is currently being reconfigured to provide one bigger bedroom with a full ensuite that will be dual purpose (accommodation for rest home or hospital level care) and two care suites under an occupational right agreement.</w:t>
      </w:r>
    </w:p>
    <w:p w:rsidRPr="00A4268A">
      <w:pPr>
        <w:spacing w:before="240" w:line="276" w:lineRule="auto"/>
        <w:rPr>
          <w:rFonts w:eastAsia="Calibri"/>
        </w:rPr>
      </w:pPr>
      <w:r w:rsidRPr="00A4268A">
        <w:rPr>
          <w:rFonts w:eastAsia="Calibri"/>
        </w:rPr>
        <w:t>Single accommodation is provided. Adequate numbers of additional bathrooms and toilets are available. There are several lounges, dining areas and alcoves. External areas for sitting and shading is provided.</w:t>
      </w:r>
    </w:p>
    <w:p w:rsidRPr="00A4268A">
      <w:pPr>
        <w:spacing w:before="240" w:line="276" w:lineRule="auto"/>
        <w:rPr>
          <w:rFonts w:eastAsia="Calibri"/>
        </w:rPr>
      </w:pPr>
      <w:r w:rsidRPr="00A4268A">
        <w:rPr>
          <w:rFonts w:eastAsia="Calibri"/>
        </w:rPr>
        <w:t>An appropriate call bell system is available and security and emergency systems are in place.</w:t>
      </w:r>
    </w:p>
    <w:p w:rsidRPr="00A4268A">
      <w:pPr>
        <w:spacing w:before="240" w:line="276" w:lineRule="auto"/>
        <w:rPr>
          <w:rFonts w:eastAsia="Calibri"/>
        </w:rPr>
      </w:pPr>
      <w:r w:rsidRPr="00A4268A">
        <w:rPr>
          <w:rFonts w:eastAsia="Calibri"/>
        </w:rPr>
        <w:t>Protective equipment and clothing is provided and used by staff. Chemicals, soiled linen and equipment were safely stored. Laundry is washed on site and off site. Cleaning and laundry systems are audited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 and one resident using an enabler during the audit. Appropriate documentation including a current restraint register was in place.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resource nurse, aims to prevent and manage infections. There are terms of reference for the infection control committee which meets monthly.  Specialist infection prevention and control advice is able to be accessed from an external infection control advisory group.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9"/>
        <w:gridCol w:w="1280"/>
        <w:gridCol w:w="91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consent for photographs, outings, names on doors and the collection and sharing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records.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aware of how to access the Advocacy Service. A residents’ advocate runs the residents’ meetings, and interview verifies discussion on the service comes up at meetings. The advocate is available to assists residents with accessing services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there is complaints information and forms available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showed 27 complaints have been received since the previous audit. Actions taken, through to an agreed resolution, was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(VM) and the clinical nurse manager (CNM) are responsible for the management of complaints and follow up. The quality coordinator is responsible for keeping the register up to date. Staff interviewed confirmed a good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VM and CNM reported there have been no investigations by the Health and Disability Commissioner, the Ministry of Health, District Health Board (DHB), Accident Compensation Corporation (ACC), Coroner or Police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discussion with staff and discussion with the residents’ advocate at residents’ meetings.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enabling resident’s opportunity for privacy when requested. All residents have a single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maximising opportunities for residents to be independent, enabling participation in decisions that concern residents and participation in outings and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to Māori residents.  Guidance on tikanga best practice is available. The Maori health framework group operating within the facility initiates a Maori perspective in all aspects of the facilities management and are recognised as an integral part of the day to day operations. Local Maori health services support the organisation. Two residents who identified as being of Maori descent, had their needs to not identify with the Maori culture recognised. Their culture was about being free to access family and spiritual needs as and when they saw fit.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employment agreement.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physiotherapist, tissue viability nurse, dietician, services for older people, occupational therapist, speech language therapist, infection control advisors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have access to on line learning sites to support contemporary good practice. Three RNs have the support of the organisation to undertake post graduate training to enable improved resident outcomes around medication management and prescribing.</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evidence of the organisation’s commitment to improving the provision of quality care in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working in collaboration with the local District Health Board (DHB), other aged care providers and the hospice to pilot a project focussing on supportive education and quality palliative care (Sequal). The organisation is involved in trialling a variety of initiatives to identify the best management strategies to ensure quality palliative care is provided irrespective of the setting. A phone interview with the project leader supported the organisation’s input and commitment to the project.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(CNM) is working with the renal unit at the DHB to improve outcomes for residents in aged care facilities receiving dialysis. This has resulted in an on-line learning package being available to assist nurses in aged care working with these residents.</w:t>
            </w:r>
          </w:p>
          <w:p w:rsidR="00EB7645" w:rsidRPr="00BE00C7" w:rsidP="00BE00C7">
            <w:pPr>
              <w:pStyle w:val="OutcomeDescription"/>
              <w:spacing w:before="120" w:after="120"/>
              <w:rPr>
                <w:rFonts w:cs="Arial"/>
                <w:b w:val="0"/>
                <w:lang w:eastAsia="en-NZ"/>
              </w:rPr>
            </w:pPr>
            <w:r w:rsidRPr="00BE00C7">
              <w:rPr>
                <w:rFonts w:cs="Arial"/>
                <w:b w:val="0"/>
                <w:lang w:eastAsia="en-NZ"/>
              </w:rPr>
              <w:t>Both these initiatives are ongoing and results are not able to be evaluated at this stage.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via the national interpreter service when required. Staff knew how to do so, although reported this was rarely required due to all present residents being either able to speak English or family members being available for residents whom English is not their first language.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communicating effectively with residents and family.  There was appropriate communication for the needs of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Masonic Care Limited is governed by a board of trustees who meet throughout the year.  The village manager reports to the chief executive officer (CEO) monthly and the CEO presents a combined report to the board which includes a wide range of subjects including facility performance, care reporting, HDC investigations and sector issues. The village manager and CEO confirmed this. The CEO advised they have weekly contact with the village manager.</w:t>
            </w:r>
          </w:p>
          <w:p w:rsidR="00EB7645" w:rsidRPr="00BE00C7" w:rsidP="00BE00C7">
            <w:pPr>
              <w:pStyle w:val="OutcomeDescription"/>
              <w:spacing w:before="120" w:after="120"/>
              <w:rPr>
                <w:rFonts w:cs="Arial"/>
                <w:b w:val="0"/>
                <w:lang w:eastAsia="en-NZ"/>
              </w:rPr>
            </w:pPr>
            <w:r w:rsidRPr="00BE00C7">
              <w:rPr>
                <w:rFonts w:cs="Arial"/>
                <w:b w:val="0"/>
                <w:lang w:eastAsia="en-NZ"/>
              </w:rPr>
              <w:t>A strategic plan 2016-2021 includes a purpose, vision, mission statement, values and operating environment. A flow chart sets out several goals for the organisation, as well as the monitoring and reporting processes against these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philosophy is in an understandable form and is available to residents and their family / representative and other services involved in referring people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an experienced village manager (VM) who has been in this position for eight years. The village manager is supported by a clinical nurse manager who is a registered nurse and was appointed to their current position in 2011.  The CNM is responsible for oversight of clinical care.</w:t>
            </w:r>
          </w:p>
          <w:p w:rsidR="00EB7645" w:rsidRPr="00BE00C7" w:rsidP="00BE00C7">
            <w:pPr>
              <w:pStyle w:val="OutcomeDescription"/>
              <w:spacing w:before="120" w:after="120"/>
              <w:rPr>
                <w:rFonts w:cs="Arial"/>
                <w:b w:val="0"/>
                <w:lang w:eastAsia="en-NZ"/>
              </w:rPr>
            </w:pPr>
            <w:r w:rsidRPr="00BE00C7">
              <w:rPr>
                <w:rFonts w:cs="Arial"/>
                <w:b w:val="0"/>
                <w:lang w:eastAsia="en-NZ"/>
              </w:rPr>
              <w:t>Review of the managers' personal files and interview of the VM and CNM evidenced they have undertaken on going education in relevant areas.</w:t>
            </w:r>
          </w:p>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has recently won two categories in the Kapiti-Horowhenua business awards; winner of the medium-large business 2016 and employer of choice achievement award.</w:t>
            </w:r>
          </w:p>
          <w:p w:rsidR="00EB7645" w:rsidRPr="00BE00C7" w:rsidP="00BE00C7">
            <w:pPr>
              <w:pStyle w:val="OutcomeDescription"/>
              <w:spacing w:before="120" w:after="120"/>
              <w:rPr>
                <w:rFonts w:cs="Arial"/>
                <w:b w:val="0"/>
                <w:lang w:eastAsia="en-NZ"/>
              </w:rPr>
            </w:pPr>
            <w:r w:rsidRPr="00BE00C7">
              <w:rPr>
                <w:rFonts w:cs="Arial"/>
                <w:b w:val="0"/>
                <w:lang w:eastAsia="en-NZ"/>
              </w:rPr>
              <w:t>Horowhenua Masonic Village is certified to provide hospital level, and rest home level care, including 13 dual purpose beds. On the day of this audit there were 35 hospital level care residents and 35 rest home level care residents. This includes six residents under the ‘Occupational Right to Occupy Agreement’. There are currently three residents with either an intellectual and/or physical disability, two of whom are under the age of 65 years and one resident is aged 65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contracts with the DHB for ‘Complementary Care Services’ – a dedicated respite bed funded at hospital level, ‘Aged care residential Care’, and ‘Health Recovery Beds’. A contract is also held with the Ministry of Health for an ‘Outcome Agreement’ for the residents with intellectual and/or physical disabilities, under the age of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village manager, the clinical nurse manager deputises with support from the administer and quality coordinator. When the CNM is absent, a charge nurse takes responsibility for clinical overview. The VM and the CNM confirmed their responsibility and authority for these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2017 guides the quality programme and includes goals and objectives. An internal audit programme is in place and internal audits completed for 2016 and 2017 were reviewed, along with processes for identification of risks. Risks are identified, and there is a hazard register that identifies health and safety risks as well as risks associated with human resources management, legislative compliance, contractual risks and clinical risk.  A health and safety manual is available that includes relevant policies and procedures. The health and safety coordinator is responsible for hazards and demonstrated a sound understanding of health and safety requirements. Staff confirmed they understood and implemented documented hazard identification processes.</w:t>
            </w:r>
          </w:p>
          <w:p w:rsidR="00EB7645" w:rsidRPr="00BE00C7" w:rsidP="00BE00C7">
            <w:pPr>
              <w:pStyle w:val="OutcomeDescription"/>
              <w:spacing w:before="120" w:after="120"/>
              <w:rPr>
                <w:rFonts w:cs="Arial"/>
                <w:b w:val="0"/>
                <w:lang w:eastAsia="en-NZ"/>
              </w:rPr>
            </w:pPr>
            <w:r w:rsidRPr="00BE00C7">
              <w:rPr>
                <w:rFonts w:cs="Arial"/>
                <w:b w:val="0"/>
                <w:lang w:eastAsia="en-NZ"/>
              </w:rPr>
              <w:t>Management, infection control, health and safety, staff, unit and RN/EN meetings are held monthly and minutes were reviewed. The village manager, clinical nurse manager and quality manager stated quality data is discussed at the various meetings. Review of meeting minutes and interviews of staff confirmed this. Care staff reported that copies of meeting minutes are available for them to review in the staff areas.</w:t>
            </w:r>
          </w:p>
          <w:p w:rsidR="00EB7645" w:rsidRPr="00BE00C7" w:rsidP="00BE00C7">
            <w:pPr>
              <w:pStyle w:val="OutcomeDescription"/>
              <w:spacing w:before="120" w:after="120"/>
              <w:rPr>
                <w:rFonts w:cs="Arial"/>
                <w:b w:val="0"/>
                <w:lang w:eastAsia="en-NZ"/>
              </w:rPr>
            </w:pPr>
            <w:r w:rsidRPr="00BE00C7">
              <w:rPr>
                <w:rFonts w:cs="Arial"/>
                <w:b w:val="0"/>
                <w:lang w:eastAsia="en-NZ"/>
              </w:rPr>
              <w:t>Clinical indicators and quality improvement data is recorded on various registers and forms and were reviewed. Quality improvement data included adverse event forms, internal audits, meeting minutes, satisfaction surveys and health and safety. There was documented evidence of data being collected, collated, analysed to identify trends and reported. Corrective action plans are being developed, implemented, monitored and signed off as being completed. Benchmarking is also provided by an external agency and with other facilities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Relevant standards are identified and included in the policies and procedures manuals.  Policies and procedures reviewed are relevant to the scope and complexity of the service, reflect current accepted good practice, and reference legislative requirements. The ‘Risk Management Policy’ includes interRAI requirements.  Policies and procedures are available with systems in place for reviewing and updating the policies and procedures. All policies and procedures were current.  Staff confirmed they are advised of updated policies and that they provide appropriate guidance for the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Horowhenua Masonic is part of a project with the Arohanui Hospice relating to palliative care. The project is in response to the recognition by the Ministry of Health for the need to provide quality palliative care to all, regardless of diagnosis or care setting.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documenting adverse, unplanned or untoward events on an accident/incident form that includes completed neurological observations and falls risk assessments completed following accidents/incidents as appropriate. These are collated by the quality coordinator. The original forms are kept in the residents’ files.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policy.  Residents’ files evidenced communication with families following adverse events involving the resident, or any change in the resident’s condition.  Families confirmed they are advised in a timely manner following any adverse event or change in their relative’s condition. The satisfaction surveys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confirmed this.  Policy and procedures comply with essential notification reporting.  The VM and CNM advised there have been two essential notifications (Section 31) made to the Ministry of Health and notification to the local DHB relating to an infection outbreak,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 job descriptions which outline accountability, responsibilities and authority, employment agreements,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education is a strength of the service. The programme is the responsibility of the CNM who has developed innovative ways of encouraging staff to attend sessions.  In-service education is provided for staff in several ways, including on line learning, compulsory study days and specific topics relating to residents’ health status at handovers. External speakers are utilised. Staff also attend other external education. Individual records of education including current competencies are held on staff files and electronically. Attendance records are maintained and show high levels of attendance. Six RNs are interRAI trained and have current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 CNM advised a New Zealand Qualification Authority education programme will shortly be re-introduced for staff to complete. Three staff members are assessors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Three senior RNs are enrolled into postgraduate studies at Massey University to become nurse prescribers. Seven of the 16 RNs have achieved achieved proficient professional development recognition programme(PDRP), four RNs have achieved at competent level and two RNs are currently completing the nursing entry to practice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and all new staff are required to complete this prior to their commencement of care to residents. The entire orientation process, including completion of competencies, takes up to six weeks to complete and staff performance is reviewed at the end of this period and annually thereafter.  Orientation for staff covers the essential components of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to provide safe service delivery.  Registered nurse cover is provided 24 hours, seven days a week.  On call after hours is provided by the VM, CNM and charge nurses. The minimum number of staff on duty is during the night and consists of one RN and three caregivers.  The RN is responsible for the whole facility and each unit has a caregiver.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reported it is envisaged that staffing levels will not need to be increased following the reconfiguration of the three bedrooms. Review of the rosters confirmed staffing levels on the morning and afternoon shifts throughout the facility are high for both RNs and care givers.</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reported there is good staff cover and that they can get through their work. RNs and selected staff a have a current first aid certificate.  Residents and families reported staff provide them or their relative with a high level of care. The annual resident and family satisfaction surveys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tab/>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meet with CNM. They are also provided with written information about the service and the admission process. The organisation seeks information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‘pink envelope’ system to facilitate transfer of residents to and from acute care services. There is open communication between all services, the resident and the family.  At the time of transition between services, appropriate information, including medication records, medication documentation, progress notes and advanced directive is provided for the ongoing management of the resident.  All referrals are documented in the progress notes. An example reviewed of a patient recently transferred to the local acute care facility showed a planned and co-ordinated approach.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self-administering non-blister packed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CNM and recorded on an accident/incident form. The resident and/or the designated representative are advised. There is a process for comprehensive analysis of any medication errors, and compliance with this process is verified. Evidence was sighted of a reduction in medication errors since the implementation of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are current and comply with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planned by a qualified dietitian, who is on site fortnightly, in May 2017.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The cook has undertaken a safe food handling qualification, with kitchen assistants completing relevant food handling training, provided by the dietician.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and overseen by the dietician.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 There is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CNM.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cultural, spiritual and nutritional screening, as a means to identify any deficits and to inform care planning. The sample of care plans reviewed had an integrated range of resident-related information.  All residents under the Aged Related Residential Care contract (ARCC) have current interRAI assessments completed by one of six trained interRAI assessors on site. The service provides on-site dietittian services to all residents requiring specialist input with nutritional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who is supported by three recreation officers.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residents needs change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 events with other aged care facilities, outings to view the new motorway, attendance at community events and visits by community groups or entertainers. The activities programme is discussed following each event and residents’ input is sought and responded to.  Resident and family satisfaction surveys demonstrated satisfaction with the programme and that information is used to improve the range of activities offered. A previous request for activities to be provided over the weekends has been addressed. Residents interviewed confirmed they find the programme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interRAI/clinical reassessment or as residents’ needs change.  Evaluations are documented by the RN. Where progress is different from expected, the service responds by initiating changes to the plan of care. Short term care plans were consistently reviewed for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and include web-based consultations. Referrals are followed up on a regular basis by the registered nurse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the management of waste and hazardous substances. Incidents are reported in a timely manner.  Policies and procedures specify labelling requirements in line with legislation.  Safety data sheets were sighted throughout the facility and accessible for staff.  The hazard register is current. </w:t>
            </w:r>
          </w:p>
          <w:p w:rsidR="00EB7645" w:rsidRPr="00BE00C7" w:rsidP="00BE00C7">
            <w:pPr>
              <w:pStyle w:val="OutcomeDescription"/>
              <w:spacing w:before="120" w:after="120"/>
              <w:rPr>
                <w:rFonts w:cs="Arial"/>
                <w:b w:val="0"/>
                <w:lang w:eastAsia="en-NZ"/>
              </w:rPr>
            </w:pPr>
            <w:r w:rsidRPr="00BE00C7">
              <w:rPr>
                <w:rFonts w:cs="Arial"/>
                <w:b w:val="0"/>
                <w:lang w:eastAsia="en-NZ"/>
              </w:rPr>
              <w:t>There was protective clothing and equipment in the sluice rooms and laundry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at the entrance to the facility that expires 1 June 2018.  The internal and external areas are maintained, safe and appropriate to the resident group and setting. Each unit has a sheltered courtyard with seating and shade.  Residents interviewed confirmed they can move freely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Part of unit two is currently being reconfigured to provide one bigger bedroom with a full ensuite that will be dual purpose (accommodation for rest home or hospital level care) and two care suites under an occupational right agreement. The VM advised these rooms will be finished and occupied by the beginning of August. A certificate of public use was sighted for the re-configuration.</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 high standard.  Maintenance is undertaken by four maintenance people.  The testing and tagging of electrical equipment and calibration of bio-medical equipment was current.</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have a mix of full ensuites or ensuites with a toilet and wash hand basin. There are adequate numbers of additional bathrooms and toilets throughout the facility with engaged/vacant signage. Residents and families reported that there are sufficient toilets and they are easy to access. The reconfigured bedrooms have full ensuites.</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suites are spacious with a mix of other rooms large and some smaller. Personal space is provided for residents and staff to move safely around in all the bedrooms.  Residents and families spoke positively about their or their relative’s accommodation.  Rooms are personalised with furnishings, photos and other personal adornments.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in the facility to store mobility aids such as mobility scooters, wheelchairs and walkers.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Numerous areas are provided for residents to frequent for activities, dining, relaxing and for privacy.  Residents, families and staff confirmed and observation evidenced these areas are easily accessed. Furniture is appropriate to the setting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 linen and towels are contracted out to an external laundry company and all other laundry is washed on site. Residents and families reported the laundry is managed well and residents’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to a high standard. There are dedicated cleaners on site who have received appropriate education.  The cleaners demonstrated a sound knowledge of processes. Residents and families stated the facility is always clean. The satisfaction surveys confirmed this. Chemicals are stored securely. All chemicals were in appropriately labelled containers. Cleaning and laundry processes are monitored through the internal audit programme and by personnel from the external company that supplies the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letter from the NZ Fire Service dated 9 April 2013 confirmed the fire evacuation scheme remains approved and operative. There is an evacuation policy on emergency and security situations that covers all service groups at the facility.  A fire drill takes place six-monthly. The orientation programme includes fire and security education.  Staff confirmed their awareness of emergency procedures. All required fire equipment was sighted and all equipment had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on duty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cell phones and gas BBQs. Back up lighting and a generator are available should there be a power outage.</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alert staff.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Contractors must sign in and out of the facility. The external doors are alarmed at dusk and an external company completes checks throughout the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ORA care suites have call bells in the ensuites, bedrooms and living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Heating is provided by heat pumps, water filled heaters and underfloor heating. Residents are provided with safe ventilation, and an environment that is maintained at a safe and comfortable temperature. All resident areas are provided with natural light. Residents and families reported the temperature is always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an external advisor. The IPC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three charge nurses is the designated IPC resource nurse, whose role and responsibilities are defined in a job description. Infection control matters, including surveillance results, are reported monthly to the IPC committee.  This committee includes the CNM, IPC resource nurse, the health and safety officer, quality co-ordinator and representatives from food services and household management. Surveillance data is presented at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resource nurse has appropriate skills, knowledge and qualifications for the role, and has been in this role for eight years.  She has attended relevant study days in IPC, as verified in training records sighted. The organisation has an external IPC advisor, with well-established expertise networks to guide them in any IPC related concerns. The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resource nurse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last reviewed in 2016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appropriate to the setting.  Hand washing and sanitiser dispensers are readily available around the facility.  Staff interviewed verified knowledge of IPC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IPC annual plan. Interviews, observation and documentation verified staff have received education in infection prevention and control at orientation and ongoing education sessions.  Education is provided by suitably qualified registered nurses, and the IPC resource nurse.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when an outbreak of Norovirus occurred recently.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during hot weather and isolation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and management is documented in the residents’ clinical records and on infection reporting form. New infections and any required management plan are discussed at handover, to ensure early intervention occurs. The IPC resource nurse reviews all reported infections.  Monthly surveillance data is collated, recorded in the electronic IPC management system and analysed to identify any trends, possible causative factors and required actions. Results of the surveillance programme are shared with staff via quality meetings, staff meetings and at resident handovers as confirmed in meeting minutes sighted and interviews with staff.</w:t>
            </w:r>
          </w:p>
          <w:p w:rsidR="00EB7645" w:rsidRPr="00BE00C7" w:rsidP="00BE00C7">
            <w:pPr>
              <w:pStyle w:val="OutcomeDescription"/>
              <w:spacing w:before="120" w:after="120"/>
              <w:rPr>
                <w:rFonts w:cs="Arial"/>
                <w:b w:val="0"/>
                <w:lang w:eastAsia="en-NZ"/>
              </w:rPr>
            </w:pPr>
            <w:r w:rsidRPr="00BE00C7">
              <w:rPr>
                <w:rFonts w:cs="Arial"/>
                <w:b w:val="0"/>
                <w:lang w:eastAsia="en-NZ"/>
              </w:rPr>
              <w:t>Graphs are produced that identify trends for the current year, and comparisons against previous years and this is reported to the CNM, IPC committee and quality committee.  Data is benchmarked externally and within the group. Benchmarking has provided assurance that infection rates in the facility are at a rate comparable with other similar facilities. Monitoring of antibiotic use is included in surveillance analysis.</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norovirus outbreak was reviewed and demonstrated a thorough process for investigation and follow up.  Learnings from the previous outbreak in 2014 had been incorporated into practice. Comparisons of the events, verify the recent event was well managed and the outbreak was well contained.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that the use of restraint is actively minimised. There were nine residents using restraint and one resident using an enabler during the audit. The restraint coordinator is one of the charge nurses and demonstrated good knowledge relating to restraint minimisation. The restraint/enabler register is current and updated. The policies and procedures have definitions of restraints and enablers. Staff demonstrated good knowledge about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forms part of the RN/EN meetings. Restraint is also discussed at the staff meetings.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job description for the restraint coordinator was evident in the charge nurses file. Responsibilities of the restraint coordinator and approval group are clearly outlined. Restraints to be used by residents are approved by the restraint approval group prior to commencing the restraint, this includes the resident’s GP. The GP completes three-monthly reviews of the restraints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discussed in the quality and staff meetings. Staff confirmed their knowledge of the restraint processes. The restraint coordinator provides a quarterly restraint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completed prior to commencing any restraint.  Risk factors are identified in the assessment and the purpose of the chosen restraint was documented. A care plan for restraint is developed that include objectives, goals and interventions. Long term care plans reviewed clearly documented desired outcomes.  Staff demonstrated good knowledge in maintaining culturally safe practice when completing assessments for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Safe use of restraint is actively promoted. There is a current and updated restraint/enabler register. The restraint care plans include any risk factors and ensures the resident’s safety while using restraint.  Staff demonstrated good knowledge about restraints and strategies to promote resident safety while using restraint. There are restraint minimisation policies and procedures that are accessible for all staff to read. There were no restraint-related injuries reported. There were monitoring forms for all residents who are using restraint and these were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evaluated at least three-monthly by the restraint coordinator and the resident’s care plan six monthly. Consents and evaluation forms were signed by the GP and the resident’s family/EPOA. The evaluation form included the effectiveness of the restraint and the risks documented in the care plans. Staff confirmed their feedback was obtained by the restraint coordinator when evaluating the restraint in use. The restraint approval group evaluated the restraints in use at RN/EN meetings. Meeting minutes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and the restraint approval group is responsible for monitoring and reviewing restraint. Restraint is also monitored through the internal audit programme. Identified issues are discussed at the management and RN/EN meetings and any corrective actions put in place. The facility has low-low beds and sensor mats in place to assist in reducing the use of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Masonic Care Limited - Horowhenua Masonic Village</w:t>
    </w:r>
    <w:bookmarkEnd w:id="58"/>
    <w:r>
      <w:rPr>
        <w:rFonts w:cs="Arial"/>
        <w:sz w:val="16"/>
        <w:szCs w:val="20"/>
      </w:rPr>
      <w:tab/>
      <w:t xml:space="preserve">Date of Audit: </w:t>
    </w:r>
    <w:bookmarkStart w:id="59" w:name="AuditStartDate1"/>
    <w:r>
      <w:rPr>
        <w:rFonts w:cs="Arial"/>
        <w:sz w:val="16"/>
        <w:szCs w:val="20"/>
      </w:rPr>
      <w:t>5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