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Avonlea Dementia Care Limited - Avonlea Dementia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Avonlea Dementia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Avonlea Dementia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July 2017</w:t>
      </w:r>
      <w:bookmarkEnd w:id="7"/>
      <w:r w:rsidRPr="009418D4">
        <w:rPr>
          <w:rFonts w:cs="Arial"/>
        </w:rPr>
        <w:tab/>
        <w:t xml:space="preserve">End date: </w:t>
      </w:r>
      <w:bookmarkStart w:id="8" w:name="AuditEndDate"/>
      <w:r w:rsidR="00A4268A">
        <w:rPr>
          <w:rFonts w:cs="Arial"/>
        </w:rPr>
        <w:t>11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Avonlea Dementia Care provides hospital (medical, geriatric and psychogeriatric) and dementia level care for up to 65 residents including one funded respite bed.  The service is divided into six separate units - a secure psychogeriatric unit, four secure dementia units and a hospital unit.  Occupancy on the days of audit was 61 residents. </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the review of policies and procedures, the review of residents and staff files, observations, and interviews with family, management and staff.</w:t>
      </w:r>
    </w:p>
    <w:p w:rsidRPr="00A4268A">
      <w:pPr>
        <w:spacing w:before="240" w:line="276" w:lineRule="auto"/>
        <w:rPr>
          <w:rFonts w:eastAsia="Calibri"/>
        </w:rPr>
      </w:pPr>
      <w:r w:rsidRPr="00A4268A">
        <w:rPr>
          <w:rFonts w:eastAsia="Calibri"/>
        </w:rPr>
        <w:t xml:space="preserve">An operations manager and clinical manager, manage the service on a day-to-day basis.  The operations manager has been in the role for 18 months, having previously managed at another Dementia Care New Zealand (DCNZ) facility.  The clinical manager is an experienced registered nurse and has been in the role for four years.  They are supported by an organisational management team from DCNZ.  Staff interviewed and documentation reviewed identified that the service continues to provide hospital (medical and geriatric), dementia care and psychogeriatric services that are appropriate to meet the needs and interests of the resident group.  The resident and families interviewed all spoke positively about the care and support provided.  </w:t>
      </w:r>
    </w:p>
    <w:p w:rsidRPr="00A4268A">
      <w:pPr>
        <w:spacing w:before="240" w:line="276" w:lineRule="auto"/>
        <w:rPr>
          <w:rFonts w:eastAsia="Calibri"/>
        </w:rPr>
      </w:pPr>
      <w:r w:rsidRPr="00A4268A">
        <w:rPr>
          <w:rFonts w:eastAsia="Calibri"/>
        </w:rPr>
        <w:t>The audit identified that improvement is required around documentation for sliding scale medication and review of assessments and plans for returning respite care residents.</w:t>
      </w:r>
    </w:p>
    <w:p w:rsidRPr="00A4268A">
      <w:pPr>
        <w:spacing w:before="240" w:line="276" w:lineRule="auto"/>
        <w:rPr>
          <w:rFonts w:eastAsia="Calibri"/>
        </w:rPr>
      </w:pPr>
      <w:r w:rsidRPr="00A4268A">
        <w:rPr>
          <w:rFonts w:eastAsia="Calibri"/>
        </w:rPr>
        <w:t>The service is commended for achieving continuous improvements in the areas of good practice, quality initiatives, and engagement of residents through pet therapy and reduction of infection rates.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Avonlea Dementia Care provides care in a way that focuses on the individual resident.  Cultural and spiritual assessment is undertaken on admission and during the review processes.  Policies are implemented to support individual rights such as: privacy, dignity, abuse/neglect, culture, values and beliefs, complaints, advocacy and informed consent.  Information about the Code of Health and Disability Services Consumer Rights (the Code) and related services is readily available to residents and families.  Care plans accommodate the choices of residents and/or their family.  Complaints processes are implemented and managed in line with the Code.  The resident and families interviewed verified ongoing involvement with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quality and risk management programme is embedded into practice.  Corrective actions are implemented and evaluated where opportunities for improvements are identified.  Residents receive appropriate services from suitably qualified staff.  Human resources are managed in accordance with good employment practice.  An orientation programme is in place for new staff.  An education and training plan is implemented and includes in-service education and competency assessments.  A professional development process is in situ for regulated staff.  Registered nursing cover is provided twenty four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comprehensive information booklet is available for residents/families at entry, which includes information on the service philosophy, services provided and practices particularly to the secure units.  The operations manager takes primary responsibility for managing entry to the service with assistance from the clinical manager.  Initial assessments are completed by a registered nurse, including interRAI assessments.  The registered nurses complete care plans and evaluations.  Care plans reviewed were based on the interRAI outcomes and other assessments.  </w:t>
      </w:r>
    </w:p>
    <w:p w:rsidRPr="00A4268A" w:rsidP="00621629">
      <w:pPr>
        <w:spacing w:before="240" w:line="276" w:lineRule="auto"/>
        <w:rPr>
          <w:rFonts w:eastAsia="Calibri"/>
        </w:rPr>
      </w:pPr>
      <w:r w:rsidRPr="00A4268A">
        <w:rPr>
          <w:rFonts w:eastAsia="Calibri"/>
        </w:rPr>
        <w:t xml:space="preserve">The activity programme includes meaningful activities that meet the recreational needs and preferences of each resident.  Individual activity plans are developed in consultation with resident/family.  </w:t>
      </w:r>
    </w:p>
    <w:p w:rsidRPr="00A4268A" w:rsidP="00621629">
      <w:pPr>
        <w:spacing w:before="240" w:line="276" w:lineRule="auto"/>
        <w:rPr>
          <w:rFonts w:eastAsia="Calibri"/>
        </w:rPr>
      </w:pPr>
      <w:r w:rsidRPr="00A4268A">
        <w:rPr>
          <w:rFonts w:eastAsia="Calibri"/>
        </w:rPr>
        <w:t>Meals are prepared in the main kitchen and delivered in hot boxes to each unit.  The menu is varied and appropriate.  Individual and special dietary needs are catered for.  Alternative options are provided.  The resident and relatives interviewed were complimentary about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 facility is divided into six separate units.  Residents’ rooms are of sufficient space to allow services to be provided and for the safe use and manoeuvring of mobility aids.  Residents can and do, bring in their own furnishings for their rooms.  There are lounge and dining areas in each unit.  Furniture is appropriate to the setting and arranged in a way that allows residents to mobilise.  There is a designated laundry, which includes storage of cleaning and laundry chemicals.  Chemicals and cleaning trolleys are stored securely when not in use.  The service has implemented policies and procedures for civil defence and other emergencies.  Communal living areas and resident rooms are appropriately heated and ventilated.  Residents have access to natural light in their rooms and there is adequate external light in communal areas.  External garden areas are available with suitable pathways, security, seating and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There were seven residents using restraints and no residents utilising enablers.  A register is maintained by the restraint coordinator/registered nurse (RN).  Residents using restraints are reviewed monthly in the registered nurses meeting.  Staff regularly receive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for the size and complexity of the service.  The infection control nurse (registered nurse) is responsible for coordinating the infection control programme and providing education and training for staff.  The infection control manual outlines the scope of the programme and includes a comprehensive range of policies and guidelines.  Information is obtained through surveillance to determine infection control activities.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52"/>
        <w:gridCol w:w="1280"/>
        <w:gridCol w:w="95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Avonlea has policies and procedures that align with the requirements of the Code of Health and Disability Services Consumer Rights (the Code).  Six caregivers (two from the dementia units, two from the psychogeriatric unit and two from the hospital unit), three diversional therapists and three registered nurses (RN) were able to describe how they incorporate resident choice into their activities of daily living.  The service actively encourages residents to have choices and this includes voluntary participation in daily activities as confirmed on interview with one resident (only one resident (hospital) was competent to be interviewed) and four relatives (one dementia unit, one psychogeriatric and two hospital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 is obtained for collection, storage, release, access and sharing of information, photograph for identification and social display and consent for outings.  All files reviewed (four dementia, two psychogeriatric, two hospital) included completed consents.  There was documented evidence of discussion with the enduring power of attorney (EPOA) where the general practitioner has made a medically indicated not for resuscitation status.  Copies of the residents’ advance directive where applicable is on file.  </w:t>
            </w:r>
          </w:p>
          <w:p w:rsidR="00EB7645" w:rsidRPr="00BE00C7" w:rsidP="00BE00C7">
            <w:pPr>
              <w:pStyle w:val="OutcomeDescription"/>
              <w:spacing w:before="120" w:after="120"/>
              <w:rPr>
                <w:rFonts w:cs="Arial"/>
                <w:b w:val="0"/>
                <w:lang w:eastAsia="en-NZ"/>
              </w:rPr>
            </w:pPr>
            <w:r w:rsidRPr="00BE00C7">
              <w:rPr>
                <w:rFonts w:cs="Arial"/>
                <w:b w:val="0"/>
                <w:lang w:eastAsia="en-NZ"/>
              </w:rPr>
              <w:t>All files reviewed of residents in the secure units (four dementia, two psychogeriatric) had copies of the EPOA on file.  Interviews with staff (hospital), a resident and families state they have input in care and are given choices on daily basis.  Long-term care plans and 24-hour multidisciplinary care plans demonstrate resident choice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and/or families are provided with a copy of the Code of Health and Disability Services Consumer Rights and Advocacy pamphlet on admission.  Interviews with family confirmed they were aware of their right to access advocacy.  Advocacy pamphlets are displayed in the main corridor.  Advocacy is regularly discussed at resident/relatives’ meetings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opportunities for the family/EPOA to be involved in decisions.  The resident files sampled included information on the resident’s family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relatives confirmed that visiting can occur at any time and families are encouraged to be involved with the service and care.  Residents are supported to maintain former activities and interests in the community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Information about complaints is provided on admission.  Management operates an open-door policy.  Interview with one hospital resident and relatives confirmed an understanding of the complaints process.  There is an up-to-date online complaint register.  There have been ten complaints (verbal and written) received from January 2016 to current date.  All complaints reviewed had noted investigation, timeframes and corrective actions, including letters of acknowledgement.  The response to an HDC complaint received in May 2017 was sighted.  No further follow-up by the service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provided to residents on entry that includes information on how to make a complaint, Code of Rights pamphlet, advocacy and Health &amp; Disability (HDC) Commission.  Relatives are informed of any liability for payment of items not included in the scope of the service.  This is included in the service agreement.  Family members interviewed confirmed they received all the relevant information during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guide practice in respect of independence, privacy and respect.  Resident preferences are identified during the admission and care planning process with family involvement.  Staff were observed to be respectful of residents’ personal privacy by knocking on doors prior to entering resident rooms.  The resident and families interviewed confirmed staff respect their privacy, and support residents in making choice where able.  Staff have completed education around privacy, dignity and elder protection.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Ltd has a Māori health plan and a cultural safety policy that includes a description of how they will achieve the requirements set out in A3.1 (a) to (e) of the aged related residential care contact (ARRC).  Residents who identify as Māori have this recorded on file with an individual health care plan tailored to meet Māori cultural requirements.  Resident files sampled confirmed this.  Linkages with Māori community groups are available and accessed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family are invited to be involved in care planning and any beliefs or values are discussed and incorporated into the care plan.  Care plans sampled included the residents’ values, spiritual and cultural beliefs.  Six monthly reviews occur to assess if the resident’s needs are being met.  Discussion with one resident and family members confirmed values and beliefs are considered.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seven staff files sampled.  Staff comply with confidentiality and the code of conduct.  The registered nurses and allied health professionals practice within their scope of practice.  Management and staff meetings include discussions on professional boundaries and concerns/complaints as they arise (minutes sighted).  Interviews with the operations managers, the clinical manager, registered nurses and care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Avonlea policies and procedures meet the health and disability safety sector standards.  Staff stated they are made aware of new/reviewed policies and sign to say they have read them.  An environment of open discussion is promoted.  Staff report that the operations manager and clinical manager are approachable and supportive.  Allied health professionals are available to provide input into resident care.  Staff complete relevant workplace competencies.  The registered nurses have access to external training.  A quality monitoring programme is implemented and it monitors contractual and standards compliance and the quality of service delivery.  The service monitors its performance through resident/relatives’ meetings, quality meetings, infection control meetings, health and safety meetings, staff appraisals, satisfaction audits, education and competencies, complaints and incident management.  Family members interviewed spoke very positively about the care provided and were well informed and supported.  There are clear ethical and professional standards and boundaries within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 environment of good practice.  The clinical manager and registered nurses are encouraged to undertake research and develop projects to improve outcomes and satisfaction for residents and their families.  Some projects have resulted in a reduction in staff injuries, a reduction in bruising and the development of a sensory/memory room to provide a place to take residents who are agitated and to assist them to de-escalate, and a place for families to go with residents with items from the past providing conversation starters for families.  Other projects have included an end of life project to improve the end of life experience for residents and families, the development of a pressure injury awareness week, a reduction in pressure injuries and a trial of a product that has resulted in improved skin integrity for residents.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exceeded the required standard around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and for residents who do not have any family to notify.  The manager and registered nurses confirmed family are kept informed.  Relatives stated they are notified promptly of any incidents/accidents.  Families receive newsletters that keep them informed on facility matters and events.  Incident and accident forms sampled and files reviewed evidenced that family are notified following adverse events or when there is a change in resident’s condition.  Resident/family meetings encourage open discussion around the services provided (meeting minutes sighted).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care for up to 65 residents requiring hospital, psychogeriatric and secure dementia (rest home) level care.  On the day of the audit, there were ten residents at hospital level care, nine in the psychogeriatric home and forty-two in the four secure dementia homes (including two on respite care).  The service has one funded respite dementia bed.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11-bed psychogeriatric unit, a 10-bed hospital unit, an 8-bed dementia unit, a 16-bed dementia unit and two 10-bed dementia units.</w:t>
            </w:r>
          </w:p>
          <w:p w:rsidR="00EB7645" w:rsidRPr="00BE00C7" w:rsidP="00BE00C7">
            <w:pPr>
              <w:pStyle w:val="OutcomeDescription"/>
              <w:spacing w:before="120" w:after="120"/>
              <w:rPr>
                <w:rFonts w:cs="Arial"/>
                <w:b w:val="0"/>
                <w:lang w:eastAsia="en-NZ"/>
              </w:rPr>
            </w:pPr>
            <w:r w:rsidRPr="00BE00C7">
              <w:rPr>
                <w:rFonts w:cs="Arial"/>
                <w:b w:val="0"/>
                <w:lang w:eastAsia="en-NZ"/>
              </w:rPr>
              <w:t>There is a strong focus within the organisation to promote independence, to value the lives of residents and staff and this is supported by the vision and values statement of the organisation.  DCNZ has an overall 2016 – 2017 business/strategic plan based on “our services”, “our people”, “our environment” and the “sharing of experiences”.  The business plan is regularly reviewed.  The organisation has a philosophy of care, which includes a mission statement.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been in the role for four years. The clinical manager reports to the national clinical manager and the clinical director. The clinical manager attended and presented at the biannual DCNZ National Forums in advanced nursing practice, competency driven (total of 40 hours annually).  The operations manager (non-clinical) of Avonlea has been in the role for 18-months and was previously operations manager of another DCNZ facility.  The operations manager reports to the operational management leader at head office.  The operational manager is supported by an organisational quality systems manager, education coordinator, a national clinical manager and a clinical director and the owners/directors at head office.  The operations manager has attended at least eight hours of professional development including health and safety transition training.  The operations manager attends DCNZ seminars and has completed more than eight hours training related to managing a rest home and hospital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operations manager, the clinical manager covers the operations manager’s role. During the temporary absence of the clinical manager a senior registered nurse covers for the clinical manager under the supervision of the clinical manager from a sister company of DCNZ located in Christchurch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Avonlea.  The quality programme is managed by the operations manager and clinical manager.  A quality systems manager for the organisation oversees the quality programme ensuring all aspects of quality management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that there is discussion about quality data at various facility meetings including monthly quality improvement meetings and clinical meetings.  There is documented evidence in meeting minutes of quality data, trends and analysis.  Minutes and the staff monthly bulletin (displayed on the staff noticeboard) contain topical information and quality data.  Organisational policies meet all current requirements and are reviewed at head office.  Staff have access to the policy manuals.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The operations manager completes environmental and non-clinical audits.  The clinical manager undertakes all clinical audits.  The internal audit programme continues to be implemented and all issues identified had corrective action plans and resolutions.  The quality systems manager completes compliance site audits.   </w:t>
            </w:r>
          </w:p>
          <w:p w:rsidR="00EB7645" w:rsidRPr="00BE00C7" w:rsidP="00BE00C7">
            <w:pPr>
              <w:pStyle w:val="OutcomeDescription"/>
              <w:spacing w:before="120" w:after="120"/>
              <w:rPr>
                <w:rFonts w:cs="Arial"/>
                <w:b w:val="0"/>
                <w:lang w:eastAsia="en-NZ"/>
              </w:rPr>
            </w:pPr>
            <w:r w:rsidRPr="00BE00C7">
              <w:rPr>
                <w:rFonts w:cs="Arial"/>
                <w:b w:val="0"/>
                <w:lang w:eastAsia="en-NZ"/>
              </w:rPr>
              <w:t>Annual welfare, guardian surveys were completed in October 2016.  Results were published in the family newsletter.  Quality improvements raised and implemented were an increase in activities and ensuring cultural preferences and special dietary needs are captured and communicated to staff.  The service has a cultural advisor on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Committee which comprises of a health and safety officer, health and safety representative, manual handling advisor, restraint coordinator and care staff.  All committee members have completed external health and safety education.  Health and safety objectives for 2017 are known by staff and include a reduction of staff accidents and minimisation of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The implantation of quality initiatives has exceeded the required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An online incident/accident register is maintained.  The clinical manager investigates accidents and near misses and analysis of incident trends occurs.  There is a discussion of incidents/accidents at quality improvement and clinical meetings including actions to minimise recurrence.  A registered nurse conducts clinical follow-up of residents.  Fourteen incident forms reviewed demonstrated that all appropriate clinical follow-up and investigation had occurred following incidents.  Discussions with the operations manager and clinical manager confirmed that there is an awareness of the requirement to notify relevant authorities in relation to essential notifications and were able to provide examples.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management policies in place.  This includes that the recruitment and staff selection process requires that relevant checks are completed to validate the individual’s qualifications, experience and veracity.  Current practising certificates were sighted.  Eight staff files were reviewed (one clinical manager, two registered nurses, three healthcare assistants, one diversional therapist and one cook) and there was evidence that reference checks and police vetting were completed before employment.  Annual staff appraisals were evident in all staff files reviewed for those who have been with the service over twelve months.  The service has a comprehensive orientation programme in place that provides new staff with relevant information for safe work practice.  Completed orientation was evidenced and staff described the orientation programme.  The service uses the “Best Friends” approach to caring for residents and staff complete an in-service education programme on this approach to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2016 has been completed and the plan for 2017 is being implemented.  The service identified not all staff were able to attend education sessions and developed a workbook.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developed a user-friendly caregiver orientation workbook that includes a self-directed learning package that aligns with the first year of education requirements.  The workbook includes the policy and comprehension questionnaire.  A second-year workbook has been developed to cover the mandatory requirements of the two-yearly training calendar.  Staff receive this workbook at their first annual appraisal.</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registered nurses are able to attend external training, including sessions provided by the local DHB.  The clinical managers within the organisation attend biannual DCNZ National Forums in advanced nursing practice, competency driven (total of 40 hours annually).  Eight hours of staff development or in-service education has been provided annually.  All RNs have completed first aid training.  The organisation has an education coordinator who is a registered psychiatric nurse.  The clinical director leads the professional development project across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There are 43 healthcare assistants who work in the hospital, dementia and psychogeriatric units.  Thirty-nine healthcare assistants have completed the required dementia unit education modules.  Four healthcare assistants are in the process of completing national dementia unit modules and have been employed for less than twelve months.</w:t>
            </w:r>
          </w:p>
          <w:p w:rsidR="00EB7645" w:rsidRPr="00BE00C7" w:rsidP="00BE00C7">
            <w:pPr>
              <w:pStyle w:val="OutcomeDescription"/>
              <w:spacing w:before="120" w:after="120"/>
              <w:rPr>
                <w:rFonts w:cs="Arial"/>
                <w:b w:val="0"/>
                <w:lang w:eastAsia="en-NZ"/>
              </w:rPr>
            </w:pPr>
            <w:r w:rsidRPr="00BE00C7">
              <w:rPr>
                <w:rFonts w:cs="Arial"/>
                <w:b w:val="0"/>
                <w:lang w:eastAsia="en-NZ"/>
              </w:rPr>
              <w:t>Seven of ten registered nurses have achieved and maintained interRAI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Avonlea roster identifies there is sufficient staffing cover for the safe provision of care for dementia, psychogeriatric and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11-bed psychogeriatric unit, a 10-bed hospital unit, an 8-bed dementia unit, a 16-bed dementia unit and two 10-bed dementia units.</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(RN) works full-time Monday to Friday and is available on-call 24/7.  Additionally, there is a registered nurse on duty on each shift, seven days per week.  In both the hospital unit and psychogeriatric unit.  The RN in the hospital unit oversees the dementia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home manager (senior healthcare assistant) on duty in each of the dementia units on morning and afternoon shifts.  They are supported by a healthcare assistant on these shifts.  On night duty, there is one healthcare assistant on duty in each dementia unit. </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and psychogeriatric units two healthcare assistants support the RNs on the morning and afternoon shifts.  A registered nurse is on duty in the psychogeriatric unit and another is on duty in the hospital unit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visible and available to meet resident’s needs, as reported by one hospital resident and family members interviewed.  Staff interviewed stated that overall the staffing levels are satisfactory and that the managers provide good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held securely in the nurses’ stations.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 staff.  Individual resident files demonstrate service integration with only medication charts held on the electronic medication management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by the needs assessment coordinators and where required by the psychogeriatric team.  The operations and clinical managers liaise closely with the assessing teams to ensure Avonlea can meet the prospective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that they received sufficient information on the services provided and are appreciative of the staff support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Admission agreements reviewed in files sampled align with the ARRC and aged residential hospital specialised services (ARHSS) contracts.  Exclusions from the service are included in the admission agreement and the information provided at entry includes examples of how services can be accessed that were not included in the agreement.  Admission agreements had been signed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The facility uses the transfer from hospital to residential aged care form that works in reverse when residents are transferred to a DHB acute hospital.  Relatives are notified if transfers occur.  A file was reviewed of a hospital resident that was transferred acutely to the DHB hospital following a fall.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policy and procedures that follows recognised standards and guidelines for safe medicine management practice with the exception of documentation around sliding scale insulin documentation.  Two registered nurses check medications on delivery against the medication charts.  RNs and medication competent caregivers administer medications and they have completed annual medication competencies and education.  </w:t>
            </w:r>
          </w:p>
          <w:p w:rsidR="00EB7645" w:rsidRPr="00BE00C7" w:rsidP="00BE00C7">
            <w:pPr>
              <w:pStyle w:val="OutcomeDescription"/>
              <w:spacing w:before="120" w:after="120"/>
              <w:rPr>
                <w:rFonts w:cs="Arial"/>
                <w:b w:val="0"/>
                <w:lang w:eastAsia="en-NZ"/>
              </w:rPr>
            </w:pPr>
            <w:r w:rsidRPr="00BE00C7">
              <w:rPr>
                <w:rFonts w:cs="Arial"/>
                <w:b w:val="0"/>
                <w:lang w:eastAsia="en-NZ"/>
              </w:rPr>
              <w:t>There were no self-medicating residents.  The standing orders meet legislative requirements.  All medications are stored safely.  The medication fridge temperature is monitored.</w:t>
            </w:r>
          </w:p>
          <w:p w:rsidR="00EB7645" w:rsidRPr="00BE00C7" w:rsidP="00BE00C7">
            <w:pPr>
              <w:pStyle w:val="OutcomeDescription"/>
              <w:spacing w:before="120" w:after="120"/>
              <w:rPr>
                <w:rFonts w:cs="Arial"/>
                <w:b w:val="0"/>
                <w:lang w:eastAsia="en-NZ"/>
              </w:rPr>
            </w:pPr>
            <w:r w:rsidRPr="00BE00C7">
              <w:rPr>
                <w:rFonts w:cs="Arial"/>
                <w:b w:val="0"/>
                <w:lang w:eastAsia="en-NZ"/>
              </w:rPr>
              <w:t>All electronic medication charts reviewed had photo identification and allergies noted.  There were no gaps in the administration signing sheets.  ‘As required’ medications had prescribed indications for use.  The 16 medication charts had been reviewed three-monthly by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kitchen service manual is located in the kitchen, which covers all aspects of food preparation, kitchen management, food safety, kitchen cleaning, and kitchen procedures.  All kitchen staff have attended food safety and hygiene, chemical safety and relevant in-service training.  There is a kitchenette in the dining areas in each unit where food is served up to residents.  Containers of food are transported in hot boxes to the kitchenettes, where caregivers plate and serve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nutritional assessment for each new resident and is notified of any changes, special diets or weight loss.  Pureed and normal diets are provided.  Resident likes and dislikes are known and alternative foods are offered.  Cultural and spiritual needs are met.  There were adequate fluids sighted in the kitchenette fridges and supplement protein drinks are available.  There is daily monitoring of hot food temperatures, fridge and freezer temperatures, dishwasher rinse temperatures and delivery temperatures for chilled/frozen goods.  All perishable foods in the kitchen fridges and freezer were dated.  The dry good store has all goods sealed and labelled.  Goods are rotated with the delivery of food items.  The cook was observed wearing appropriate personal protective clothing.  Weights are monitored monthly or more frequently if required.  Residents assessed by the dietitian who require supplements received these and this is recorded in the resident’s file.  The dietitian visits regularly for review of resident nutritional status and needs and notes are included in resident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residents is recorded should this occur and communicated to the resident and family (as appropriate).  The operations manager reported that the referring agency would be advised when a resident is declined access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gathered at admission is used to develop care needs and supports to provide best care for the residents.  A range of paper-based assessments are completed as well as interRAI assessments.  Assessments include (but not limited to); nutritional assessment, continence, and abbey pain.  Risk assessment tools are reviewed at least three-monthly.  InterRAI assessments have been completed for all residents and reviewed at least three – six-monthly.  The outcomes of interRAI assessments including the risk assessments were reflected in the long-term care plans reviewed.  The diversional therapists and other activities staff completes a comprehensive social assessment and comprehensive activity care plan in consultation with the resident/family. </w:t>
            </w:r>
          </w:p>
          <w:p w:rsidR="00EB7645" w:rsidRPr="00BE00C7" w:rsidP="00BE00C7">
            <w:pPr>
              <w:pStyle w:val="OutcomeDescription"/>
              <w:spacing w:before="120" w:after="120"/>
              <w:rPr>
                <w:rFonts w:cs="Arial"/>
                <w:b w:val="0"/>
                <w:lang w:eastAsia="en-NZ"/>
              </w:rPr>
            </w:pPr>
            <w:r w:rsidRPr="00BE00C7">
              <w:rPr>
                <w:rFonts w:cs="Arial"/>
                <w:b w:val="0"/>
                <w:lang w:eastAsia="en-NZ"/>
              </w:rPr>
              <w:t>Residents with identified behaviours that challenge included behaviour assessment and management plans in place.</w:t>
            </w:r>
          </w:p>
          <w:p w:rsidR="00EB7645" w:rsidRPr="00BE00C7" w:rsidP="00BE00C7">
            <w:pPr>
              <w:pStyle w:val="OutcomeDescription"/>
              <w:spacing w:before="120" w:after="120"/>
              <w:rPr>
                <w:rFonts w:cs="Arial"/>
                <w:b w:val="0"/>
                <w:lang w:eastAsia="en-NZ"/>
              </w:rPr>
            </w:pPr>
            <w:r w:rsidRPr="00BE00C7">
              <w:rPr>
                <w:rFonts w:cs="Arial"/>
                <w:b w:val="0"/>
                <w:lang w:eastAsia="en-NZ"/>
              </w:rPr>
              <w:t>The two psychogeriatric residents’ files reviewed included an individual assessment that included identifying diversional, motivation, and recreational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developed by the RNs in consultation with the resident (as appropriate), family and care staff.  The outcomes of interRAI assessments form the basis of the long-term care plan.  Short-term care plans are used for short-term needs.  The care plans sampled included documented interventions to meet the resident’s assessed care needs.  The long-term care plans reviewed demonstrated allied health input into the resident’s care and well-being.  Family members interviewed confirmed they are involved in the care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Two files reviewed of residents in the psychogeriatric (PG) unit and three long-term residents across the dementia units all had identified current abilities, level of independence, identified needs and specific behavioural management strategies documented within their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Behaviours that challenge have been identified through the assessment process.  Twenty-four-hour multidisciplinary care plans describe the resident’s usual signs of wellness, changes and triggers, interventions and de-escalation techniques (including activities), for the management of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charts and behaviour monitoring were sighted in use for exacerbation of resident behaviours or new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integrated.  Physiotherapist assessment, management plans and dietitian assessment and plans where reflected in the LTCPs.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against the care plan each shift at handover (witnessed).  If external nursing or allied health advice is required, the RNs will initiate a referral (e.g., to the district nurse, wound care specialist, or the mental health nurses).  If external medical advice is required, this will be actioned by the GPs.  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wounds currently being managed by the service and the wound care nurse was involved with the management of PIs for one hospital resident and recently referred for another resident with an ulcer.  All wounds have been reviewed in appropriate timeframes.  </w:t>
            </w:r>
          </w:p>
          <w:p w:rsidR="00EB7645" w:rsidRPr="00BE00C7" w:rsidP="00BE00C7">
            <w:pPr>
              <w:pStyle w:val="OutcomeDescription"/>
              <w:spacing w:before="120" w:after="120"/>
              <w:rPr>
                <w:rFonts w:cs="Arial"/>
                <w:b w:val="0"/>
                <w:lang w:eastAsia="en-NZ"/>
              </w:rPr>
            </w:pPr>
            <w:r w:rsidRPr="00BE00C7">
              <w:rPr>
                <w:rFonts w:cs="Arial"/>
                <w:b w:val="0"/>
                <w:lang w:eastAsia="en-NZ"/>
              </w:rPr>
              <w:t>There is specialist input into the residents’ care in the psychogeriatric unit as needed.  There is evidence in the medical notes of GP communication with the psychogeriatrician in regard to medication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team and diversional therapist could describe strategies for the provisions of a low stimulus environment.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sighted for food/fluid, behaviours, turning charts and pain.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four full time diversional therapists and five part-time diversional therapists in training provide an activities programme for part of each day in each of the units.  Care staff on duty are involved in individual activities with the residents as observed on the day of audit.  There are resources available to staff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for the psychogeriatric residents is focused on individual and small group activities that are meaningful including household tasks, reminiscing and sensory activities such as massage and foot spas, baking, garden walks, games, music and movies.  </w:t>
            </w:r>
          </w:p>
          <w:p w:rsidR="00EB7645" w:rsidRPr="00BE00C7" w:rsidP="00BE00C7">
            <w:pPr>
              <w:pStyle w:val="OutcomeDescription"/>
              <w:spacing w:before="120" w:after="120"/>
              <w:rPr>
                <w:rFonts w:cs="Arial"/>
                <w:b w:val="0"/>
                <w:lang w:eastAsia="en-NZ"/>
              </w:rPr>
            </w:pPr>
            <w:r w:rsidRPr="00BE00C7">
              <w:rPr>
                <w:rFonts w:cs="Arial"/>
                <w:b w:val="0"/>
                <w:lang w:eastAsia="en-NZ"/>
              </w:rPr>
              <w:t>In all units programmes regularly revolve around ‘theme weeks’ with most activities in that week relating to the theme of the week.</w:t>
            </w:r>
          </w:p>
          <w:p w:rsidR="00EB7645" w:rsidRPr="00BE00C7" w:rsidP="00BE00C7">
            <w:pPr>
              <w:pStyle w:val="OutcomeDescription"/>
              <w:spacing w:before="120" w:after="120"/>
              <w:rPr>
                <w:rFonts w:cs="Arial"/>
                <w:b w:val="0"/>
                <w:lang w:eastAsia="en-NZ"/>
              </w:rPr>
            </w:pPr>
            <w:r w:rsidRPr="00BE00C7">
              <w:rPr>
                <w:rFonts w:cs="Arial"/>
                <w:b w:val="0"/>
                <w:lang w:eastAsia="en-NZ"/>
              </w:rPr>
              <w:t>Entertainment is scheduled regularly in each unit.  There is a weekly van outing for residents.  The activities staff have current first aid certificates.  The service has a wheelchair van and at least two staff attend all van outings.  The service has developed a programme with a trained therapy dog that has increased communication and engagement with a number of residents.  This has exceeded the required standard.</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activity plan, 24-hour MDT care plan, progress notes and attendance charts are maintained.  Resident and family meetings are held.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social history is completed on or soon after admission and information gathered from the relative (and resident, as able) is included in the activity care plan.  A 24-hour MDT care plan is reviewed at least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were observed at various times throughout the day diverting residents from behaviours.  The programme observed was appropriate for older people with mental health conditions and dementia.  Activities were observed to be occurring in the lounges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demonstrated that the long-term care plans were evaluated at least three-monthly (or earlier if there was a change in health status) for hospital and psychogeriatric residents and at least six-monthly (or earlier if there was a change in health status) for dementia care residents.  Care plan evaluations describe progress to meeting goals.  There was at least a three-monthly review by the GP.  Overall changes in health status were documented and followed up.  Reassessments have been completed using interRAI for all residents who have had a significant change in health status since 1 July 2015.  Short-term care plans sighted were evaluated and resolved or added to the long-term care plan if the problem is ongoing, as sighted in resident files sampled.  Where progress is different from expected, the service has updated changes in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 RNs initiate referrals to nurse specialists, dietitian and other allied health services.  Other specialist referrals are made by the GPs.  Referrals and options for care were discussed with the family, as evidenced in medical notes.  The staff provided examples of where a resident’s condition had changed and the resident was reassessed.  There was one resident in the dementia unit awaiting reassessment for a higher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waste management.  Residents, staff and visitors are protected from harm through safe practice.  There is an approved system in place for the safe disposal of sharps.  Chemicals are labelled with manufacturer labels.  There are designated areas for storage of chemicals and chemicals are stored securely.  Laundry and sluice rooms are locked when not in use.  Product use information is available.  Protective equipment including gloves, aprons, and goggles are available for use by staff.  Staff interviewed were familiar with accepted waste management principles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Avonlea is divided into six units, known as homes.  There are four dementia units, one psychogeriatric unit and one hospital unit.  The facility displays a current building warrant of fitness, which expires on 1 July 2018.  A staff member provides general maintenance.  There is a scheduled maintenance plan in place.  Contractors are contacted when required.  The service employs a property manager to oversee the maintenance programme.  Hot water temperature checks are conducted weekly.  Hot water is provided at up to 45 degrees Celsius maximum in resident areas.  Medical equipment has been checked and calibrated and testing and tagging of electrical equipment has been conducted.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safely mobilising throughout the facility.  There is easy access to the outdoors from each home.  The interior courtyards and gardens are well maintained with safe paving, outdoor shaded seating, lawn and gardens.  The residents can access secure outdoor areas.  Interviews with the registered nurses and the caregivers confirmed that there was adequate equipment to carry out the cares according to the residents’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mixture of full ensuite, shared ensuite and communal facilities are provided.  There are sufficient communal toilets adjacent to the lounge and dining areas.  The number of visitor and resident communal toilets provided is adequate.  Hand washing and drying facilities are located adjacent to the toilets.  Liquid soap and paper towels are available in all toilets.  Fixtures, fittings and floor and wall surfaces are made of accepted materials to support good hygiene and infection prevention and control practices.  The communal toilets and showers are well signed and identifiable and include vacant/engaged and in-use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rooms are spacious enough to meet the assessed needs of residents.  Residents are able to manoeuvre mobility aids around their bed and personal space areas.  All beds are of an appropriate height for the residents.  Caregivers interviewed reported that rooms have sufficient space to allow cares to take place.  Bedrooms are personalised.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communal lounges and dining areas in each unit.  There are also smaller sitting areas for residents and families to access.  Communal areas in each unit are used for activities, recreation and dining activities.  All six dining rooms are spacious, and located directly off the kitchen/servery area.  All areas are easily accessible for residents.  The furnishings and seating are appropriate.  Residents were seen to be moving freely both with and without assistance throughout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systems for monitoring the effectiveness and compliance with the service policies and procedures.  There is a separate laundry area where all laundry items are processed by caregivers.  Staff attend safe chemical handling and infection prevention and control education and there is appropriate protective clothing available.  Cleaners are employed seven days a week.  Manufacturer’s data safety charts are available for reference if needed in an emergency.  Family interviewed reported satisfaction with the laundry service and cleanliness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fire and emergency procedures manual.  New Zealand Fire Service has approved the evacuation scheme for Avonlea in November 1994.  Six-monthly fire drills are conducted.  There is a trained person with a first aid certificate on each shift.  Fire safety training has been provided.  There is a call bell system in place.  A civil defence kit is stocked and checked monthly.  Water is stored, sufficient for at least three days.  Alternative heating and cooking facilities are available.  Emergency lighting is installed.  Staff conduct checks of the building in the evenings to ensure the facility is safe and secure.  There are emergency management plans in place to ensure health, civil defence and other emergencies are included.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Heating throughout the facility is managed from the operations manager’s office.  Windows open for ventilation.  The general living areas and resident rooms were appropriately heated and ventilated.  Family interviewed stated the environment is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Avonlea has an established infection control (IC) programme that is being implemented.  The infection control programme is appropriate for the size, complexity and degree of risk associated with the service and has been linked into the incident reporting system.  The clinical manager is the designated infection control nurse with support from the registered nurses and national clinical manager.  The IC team meets as part of the quality team meeting to review infection control matters.  Minutes are available for staff.  Regular audits have been conducted and education has been provided for staff.  The infection control programme has been reviewed annually.  IC is supported through expert national education bi-annually.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Avonlea.  The infection control (IC) nurse has maintained their practice by attending infection control updates.  The infection control team (the quality team) is representative of the facility.  External resources and support are available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committed to the ongoing education of staff and residents.  Education is facilitated by the infection control nurse who has completed training to ensure knowledge of current practice.  All infection control training has been documented and a record of attendance has been maintained.  Visitors are advised of any outbreaks of infection and are advised not to attend until the outbreak had been resolved.  Information is provided to residents and visitors that are appropriate to their needs and this was documented in medical records.  Education around infection prevention and control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Individual infection report forms and short-term care plans are completed for all resident infections.  Infections are collated in a monthly register and a monthly report is completed by the infection control coordinator.  There are standard definitions of infections in place appropriate to the complexity of service provided.  Infection control data is collated monthly and reported at the quality, infection control and staff meetings.  The surveillance of infection data assists in evaluating compliance with infection control practices.  The infection control programme is linked with the quality management programme.  Internal infection control audits also assist the service in evaluating infection control needs.  There is close liaison with the GPs that advise and provide feedback/information to the service.  Systems in place are appropriate to the size and complexity of the facility.  Benchmarking occurs against other Dementia Care New Zealand facilities.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exceeded the required standard around an implemented plan that has reduced urinary tract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 policy includes comprehensive restraint procedures.  Interviews with caregivers and nursing staff confirmed their understanding of restraints and enablers.  There were no residents using enablers on the day of audit.  There were three residents using restraint in the dementia units (one t-belt and two ‘arm restraints’) and four in the psychogeriatric unit (one arm restraint and three t-belts).  When a resident requires a staff member to gently hold their arms to calm the resident and allow essential cares to be undertaken this is documented as ‘arm restraint’ and is only used after a full restraint assessment, discussion with the family and involvement of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for restraint are outlined in the restraint policy and include roles and responsibilities for the restraint coordinator (RN) and approval group.  A restraint approval group meets six-monthly.  The group includes the restraint coordinator, clinical manager, operations manager, DT, company educator and a family representative.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are undertaken by the restraint coordinator/RN in partnership with the resident and their family.  Restraint assessments are based on information in the care plan, family, staff and GP consultation and during observations.  Three files sampled for residents with restraint demonstrated that the restraint assessment tool is completed for residents requiring an approved restraint for safety.  There is provision for emergency restraint if required for safety of the residents, other residents/staff.</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family and staff is evident through multidisciplinary meetings and facility meetings.  Three restraint files reviewed included completed assessments that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approval process that is described in the restraint minimisation policy.  Monitoring and observation is included in the restraint policy.  The restraint coordinator is a 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family, restraint coordinator and GP.  Internal audits are completed three-monthly, ensuring all restraint processes are completed as per the restraint policy and procedures.  The restraint coordinator reports that each episode of restraint is monitored at predetermined intervals, depending on individual risk to that resident.  Monitoring is documented on a specific restraint monitoring form (sighted).  All restraints are only used intermittently with each of the three records sampled having frequent days when restraint is not used at all.</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This has been completed for all residents requiring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monthly in the registered nurses meeting and six-monthly as part of the multi-disciplinary review for the resident on restraint.  Families are included as part of this review.  A review of three files of residents using restraints identified that evaluations were up-to-date.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monthly facility quality meetings, RN meetings, staff meetings and six-monthly restraint meetings, restraints are discussed and reviewed.  Any incidents of emergency physical restraint (which are infrequent and documented, and investigated through the incident reporting system) are also reviewed at these meetings.  Meeting minutes include a review of the restraint and challenging behaviour education and training programme for staff.  Staff receive orientation in restraint use on employment.  There is internal benchmarking.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4463"/>
        <w:gridCol w:w="5177"/>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16 electronic medication files sampled had prescribed medications documented including appropriate prescribing for PRN medications.  The prescribing documentation was inadequate for one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in the dementia unit currently on a sliding scale (SS) Novarapid.  Advised that the electronic system does not have the ability to document the sliding scale instruction.  Therefore the system refers to the sliding scale document in resident file.  The SS document in the residents file includes a line through the bedtime SS dose.  However, it is unclear if it is discontinued as it is not signed and staff interviewed were unsure.  Records reviewed did not consistency document what dose of Novarapid was given by the staff administering medication and what the current BSL was.  This was followed up with the diabetes physician and addressed on the day of audit.  Progress notes and paper-based BSL monitoring charts identified appropriate management of the resident to manage risk.  There has been increased monitoring of resident BSLs due to refusal to have food/meals at times and also refusal to have insulin and therefore this finding has been identified as low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instructions for all current medication is clearly documented and administration of extra insulin is clearly documented by staff on the medication record.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long-term resident files sampled had a comprehensive suite of assessments completed on admission.  The respite resident file sampled was for a resident who had regular respite admissions.  A comprehensive assessment had been completed on the first admission (six months prior to the audit) but documented reviews had not been completed for subsequent admissions including the current admission.  The sample was expanded to a second resident with more than one respite admission and the same issue occurred in this file.  Staff interviewed (a registered nurse and two healthcare assistants reported that neither resident had experienced a change in needs since their initial admission.  There was no evidence to indicate that this documentation issue had compromised the care of the residents so the risk is assessed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two respite resident files sampled did not have assessments and care plans reviewed for each ongoing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assessments and care plans are reviewed each time a resident is admitted.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803"/>
        <w:gridCol w:w="59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Dementia Care New Zealand encourages a culture of best practice.  Staff, particularly registered nurses and clinical managers are supported to attend external education and to undertake research to gain ideas to develop projects to improve resident outcomes and satisfaction.  An example of this is the project to reduce pressure injuries.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2016, the team at Avonlea developed a goal to decrease facility acquired pressure injuries.  A plan was developed and implemented.  Initiatives to achieve the outcome included providing increased staff education around preventing and treating pressure injuries and wound care information and informal and ongoing education from the clinical manager.  A competency package relating to pressure injuries was developed and completed by all staff, including registered nurses.  Staff bulletins included reminders about pressure injury prevention and discussion around this began being included in handovers.  Alert stickers were developed and are placed in communication books to alert staff of residents at risk.  As a result of these interventions the number of pressure injuries between January and June 2017 was reduced from the previous six-month period by 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Benchmarking reports are generated throughout the year and an annual review of the data is completed.  Quality improvement forms are utilised at Avonlea and document actions that have improved outcomes or efficiencies in the facility.  The service continues to collect data to support the implementation of corrective action plans.  Responsibilities for corrective actions are identified.  There is also a number of ongoing quality improvements identified through meeting minutes and as a result of analysis of quality data collected.  The service is proactive in developing and implementing quality initiatives.  All meetings include feedback on quality data where opportunities for improvement are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active in analysing data collected monthly, around accidents and incidents, infection control, restraint etc.  As a result of quality data collected, the clinical manager feeds back monthly to staff at handover and staff meetings, issues arising and identified trends or issues.  Any identified common themes around incidents/infections etc. results in further education and updates at handovers between shifts and meetings.  Documentation reviewed identified that strategies are regularly evaluated.  Avonlea focused on reducing instances of bruising of an unknown cause and falls prevention in 2016 – 2017 YTD.</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the following strategies that have included (but not limited to): (i) a workshop for RNs and healthcare assistants on careful manual handling, (ii) compulsory in-service on disturbing behaviour management to highlight the importance of completion of behaviour monitoring charts and (iii) and physiotherapist review requested, for those residents identified at risk to reduce instances of harm or injury caused by resident behaviour.  A recent review of data, (5 June 2017) evidenced that the instances of bruising of an unknown cause had reduced by 30% in the last six month period.</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the following strategies around falls prevention that included: (i) a falls competency package, (ii) education sessions on falls prevention, importance of hydration, (iii) falls mapping, (iv) purchase of equipment, for example, sensor mats, (v) physiotherapy review of residents following a fall and (vi) encouraging and/or assisting residents to participate in the exercise programme.  As a result of the strategies implemented, the facility has remained below the organisational target range of 6.38 falls per 1000 bed nights at 5.18 over a twelve-month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with three diversional therapists demonstrated that they are continually trying different approaches to improve outcomes for residents.  Examples include gardening projects, one to one interventions and regular visits from a trained therapy dog.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2016 DCNZ developed the Magic Merlin Project to enable an animal assist/therapy approach to a cluster of Christchurch homes.  A puppy was chosen through an identified selected breeding programme in NZ to include the key desirable traits required for this specialised work.</w:t>
            </w:r>
          </w:p>
          <w:p w:rsidR="00EB7645" w:rsidRPr="00BE00C7" w:rsidP="00BE00C7">
            <w:pPr>
              <w:pStyle w:val="OutcomeDescription"/>
              <w:spacing w:before="120" w:after="120"/>
              <w:rPr>
                <w:rFonts w:cs="Arial"/>
                <w:b w:val="0"/>
                <w:lang w:eastAsia="en-NZ"/>
              </w:rPr>
            </w:pPr>
            <w:r w:rsidRPr="00BE00C7">
              <w:rPr>
                <w:rFonts w:cs="Arial"/>
                <w:b w:val="0"/>
                <w:lang w:eastAsia="en-NZ"/>
              </w:rPr>
              <w:t>Avonlea Home as part of the DCNZ Christchurch cluster group has received the benefit of being included in the project.  Individual consumer therapy plus a wider and general animal contact experience has ensued.</w:t>
            </w:r>
          </w:p>
          <w:p w:rsidR="00EB7645" w:rsidRPr="00BE00C7" w:rsidP="00BE00C7">
            <w:pPr>
              <w:pStyle w:val="OutcomeDescription"/>
              <w:spacing w:before="120" w:after="120"/>
              <w:rPr>
                <w:rFonts w:cs="Arial"/>
                <w:b w:val="0"/>
                <w:lang w:eastAsia="en-NZ"/>
              </w:rPr>
            </w:pPr>
            <w:r w:rsidRPr="00BE00C7">
              <w:rPr>
                <w:rFonts w:cs="Arial"/>
                <w:b w:val="0"/>
                <w:lang w:eastAsia="en-NZ"/>
              </w:rPr>
              <w:t>The regular visits from Merlin have resulted in many observed moments of enjoyment and engagement for residents which are difficult to measure in an objective manner.  However, tangible improvements have included a significant reduction in agitation and behaviours for five specific residents who have received regular visits from Merlin, and six residents who previously did not speak or spoke unintelligibly have engaged with Merlin and his trainer, speaking to Merlin without signs of confusion and discussing and reminiscing verbally about pets they had owned in the past and then more general reminiscence about the past.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infection monitoring policy.  Monthly infection data is collected for all infections based on signs and symptoms of infection.  All infections are individually logged monthly.  The data has been monitored and evaluated monthly and annually and is benchmarked internally.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the following strategies around reducing the incidents of urinary tract infections (UTIs) that included: (i) education on the importance of hydration, (ii) education session presented by a microbiologist at clinical managers’ study day on the prevention and management of UTIs, (iii) introduction of extra fluid rounds in warmer weather and (iv) establishing a toileting regime that meets individual resident’s needs.  As a result of the strategies implemented, the facility has remained below the organisational target range of 1.51 UTIs per 1000 bed nights at 1.00 in hospital level care, 0.01 psychogeriatric level of care and 1.36 dementia level care over a twelve-month period.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Avonlea Dementia Care Limited - Avonlea Dementia Care</w:t>
    </w:r>
    <w:bookmarkEnd w:id="58"/>
    <w:r>
      <w:rPr>
        <w:rFonts w:cs="Arial"/>
        <w:sz w:val="16"/>
        <w:szCs w:val="20"/>
      </w:rPr>
      <w:tab/>
      <w:t xml:space="preserve">Date of Audit: </w:t>
    </w:r>
    <w:bookmarkStart w:id="59" w:name="AuditStartDate1"/>
    <w:r>
      <w:rPr>
        <w:rFonts w:cs="Arial"/>
        <w:sz w:val="16"/>
        <w:szCs w:val="20"/>
      </w:rPr>
      <w:t>10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