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Highlands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Highlands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August 2017</w:t>
      </w:r>
      <w:bookmarkEnd w:id="7"/>
      <w:r w:rsidRPr="009418D4">
        <w:rPr>
          <w:rFonts w:cs="Arial"/>
        </w:rPr>
        <w:tab/>
        <w:t xml:space="preserve">End date: </w:t>
      </w:r>
      <w:bookmarkStart w:id="8" w:name="AuditEndDate"/>
      <w:r w:rsidR="00A4268A">
        <w:rPr>
          <w:rFonts w:cs="Arial"/>
        </w:rPr>
        <w:t>9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Metlifecare Limited Highlands Hospital provides rest home and hospital level care for up to 40 residents. The service is operated by Metlifecare Limited and managed by a nurse manager who reports to the village manager. There is a village co-located with the care facility which is not included in this audit. </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and staff. A general practitioner was not available for interview on the day of audit. </w:t>
      </w:r>
    </w:p>
    <w:p w:rsidRPr="00A4268A">
      <w:pPr>
        <w:spacing w:before="240" w:line="276" w:lineRule="auto"/>
        <w:rPr>
          <w:rFonts w:eastAsia="Calibri"/>
        </w:rPr>
      </w:pPr>
      <w:r w:rsidRPr="00A4268A">
        <w:rPr>
          <w:rFonts w:eastAsia="Calibri"/>
        </w:rPr>
        <w:t xml:space="preserve">This audit has resulted in seven areas identified for improvement relating to quality and risk management, adverse event reporting, staff education, service provision timeframes, care planning and activities. </w:t>
      </w:r>
    </w:p>
    <w:p w:rsidRPr="00A4268A">
      <w:pPr>
        <w:spacing w:before="240" w:line="276" w:lineRule="auto"/>
        <w:rPr>
          <w:rFonts w:eastAsia="Calibri"/>
        </w:rPr>
      </w:pPr>
      <w:r w:rsidRPr="00A4268A">
        <w:rPr>
          <w:rFonts w:eastAsia="Calibri"/>
        </w:rPr>
        <w:t xml:space="preserve">The service has fully addressed improvements related to enquiry information, staff appraisals, and maintenance.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family/whānau is promoted and was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w:t>
      </w:r>
    </w:p>
    <w:p w:rsidRPr="00A4268A">
      <w:pPr>
        <w:spacing w:before="240" w:line="276" w:lineRule="auto"/>
        <w:rPr>
          <w:rFonts w:eastAsia="Calibri"/>
        </w:rPr>
      </w:pPr>
      <w:r w:rsidRPr="00A4268A">
        <w:rPr>
          <w:rFonts w:eastAsia="Calibri"/>
        </w:rPr>
        <w:t xml:space="preserve">Adverse events are documented.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Staff performance reviews are up to date. There is an annual training/education calendar in place which is organisational wide.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has systems and processes to assess, plan and evaluate the care needs of residents requiring hospital and rest home level care. Staff are qualified to perform their roles and deliver all aspects of service delivery. The residents’ care plan format includes the needs, outcomes and/or goals. The organisation uses a mix of electronic and paper based assessment tools. </w:t>
      </w:r>
    </w:p>
    <w:p w:rsidRPr="00A4268A" w:rsidP="00621629">
      <w:pPr>
        <w:spacing w:before="240" w:line="276" w:lineRule="auto"/>
        <w:rPr>
          <w:rFonts w:eastAsia="Calibri"/>
        </w:rPr>
      </w:pPr>
      <w:r w:rsidRPr="00A4268A">
        <w:rPr>
          <w:rFonts w:eastAsia="Calibri"/>
        </w:rPr>
        <w:t xml:space="preserve">There is an activities plan. </w:t>
      </w:r>
    </w:p>
    <w:p w:rsidRPr="00A4268A" w:rsidP="00621629">
      <w:pPr>
        <w:spacing w:before="240" w:line="276" w:lineRule="auto"/>
        <w:rPr>
          <w:rFonts w:eastAsia="Calibri"/>
        </w:rPr>
      </w:pPr>
      <w:r w:rsidRPr="00A4268A">
        <w:rPr>
          <w:rFonts w:eastAsia="Calibri"/>
        </w:rPr>
        <w:t xml:space="preserve">A safe medication prescribing, administration and storage system was observed. The registered nursing staff have been assessed as competent to perform their role. </w:t>
      </w:r>
    </w:p>
    <w:p w:rsidRPr="00A4268A" w:rsidP="00621629">
      <w:pPr>
        <w:spacing w:before="240" w:line="276" w:lineRule="auto"/>
        <w:rPr>
          <w:rFonts w:eastAsia="Calibri"/>
        </w:rPr>
      </w:pPr>
      <w:r w:rsidRPr="00A4268A">
        <w:rPr>
          <w:rFonts w:eastAsia="Calibri"/>
        </w:rPr>
        <w:t>The menu plans have been reviewed by a dietitian. Each resident is assessed by the RN and clinical manager on admission for any identified needs in relation to nutritional status, weight, likes and dislikes. The kitchen complies with current food safety legislation and guidelines.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All areas of the building are maintained. 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a restraint free environment. No enablers nor restraints were in use at the time of audit.  A comprehensive assessment, approval and monitoring process is identified in policy and procedure should they be required.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79"/>
        <w:gridCol w:w="1280"/>
        <w:gridCol w:w="97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10 complaints have been received over the past year and that actions taken, through to an agreed resolution, have been documented and completed within the timeframes.  Action plans showed any required follow-up and improvements have been made where possible. The nurse manager is responsible for complaints management and follow-up.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district health board (DHB) complaint was received in July 2016. A full investigation was completed by October 2016 and the complaint was closed following the recommendations being implemented by the service. These related to staff ongoing education and manual handling training. There were no open complaints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reported they were kept well informed about any changes to their/their relative’s status. However, this is not always documented as identified on incident and accident forms sighted. Refer comment in criterion 1.2.4.3.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demonstrated knowledge of how to access interpreter services, although reported this was rarely required due to staff being able to provide interpretation as and when needed and the use of family members.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described annual and longer-term objectives and the associated operational plans. A sample of monthly reports to the senior management committee at Metlifecare head office, who then report directly to the board of directors, showed adequate information to monitor performance is reported including financial performance, occupancy, quality data outcomes, complaints, behavioural issues, health and safety, resident weight loss, interRAI, staffing, emerging risks and issues. Quarterly reporting occurs against the business plan to show actions taken towards meeting identified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service is managed by a nurse manager who holds relevant qualifications and has been in the role for four months. Responsibilities and accountabilities are defined in a job description and individual employment agreement.  The overall management of the service is undertaken by the village manager who is experienced in the role. The facility manager was not on duty on the day of audit. The facility manager’s staff file identifies that they have completed post graduate education and been in previous senior management roles for five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Long Term Support Chronic Health Conditions – Residential and Respite and Age Related Residential Care and Short Term Respite (Interim Care). One resident was receiving services under the interim care contract and 32 hospital and 4 rest home level care residents were receiving services under the Age Related Residential Care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 regular patient satisfaction survey, monitoring of outcomes, health and safety, clinical incidents including infections and pressure injuries.  Not all required actions are taken to maintain the documented requirements for quality and risk management. Internal audits are not up to date and corrective action planning is not always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key quality indicators such as event reporting, complaints, infection control, health and safety and restraint information, is reported and discussed at the senior management and staff meetings. Staff reported their understanding of quality and risk management activities and confirmed they are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(July 2017) showed that the service gained an 86% overall satisfaction rating which has improved from 70% in 2016.  The issues which gained the lowest ratings, such as complaints management and activities have been identified as opportunities for improvement. Corrective actions are yet to be put in place to show how improvement will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which is managed from head office,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described the processes for the identification, monitoring, review and reporting of risks and development of mitigation strategies. The manager is familiar with the Health and Safety at Work Act (2015) and has implemented requirements. The Health and Safety Committee meeting minutes identify actions taken for all identified hazards.  They also review the hazard register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that incident forms are still not consistently completed. This was an area identified for improvement in the previous audit and remains open. Adverse event data is collated, analysed and reported to senior management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RN described essential notification reporting requirements, including for pressure injuries.  Evidence of required reporting sighted. In May 2017 the service reported a stage 4 pressure injury to the Ministry of Health and in July 2017 an infectious outbreak was correctly notified.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police investigations or coroner’s inquests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were being consistently implemented and records were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by head office. Additional, site specific education is added to the calendar.  The education documented has not all been undertaken. Staff confirmed that since April 2017 very little ongoing education has occurred.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either completed or commenced a New Zealand Qualification Authority education programme to meet the requirements of the provider’s agreement with the DHB. Staff were concerned that they have not been able to continue with their studies in 2017. A staff member is the internal assessor for the programme.  When discussed with the village manager and senior RN it was confirmed that tool box education is undertaken to address issues that occur and owing to staff shortages and a change of nurse manager the set programme has not been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trained and competent registered nurses (2) who are maintaining their annual competency requirements to undertake interRAI assessments. Records reviewed identify what training staff have completed. All staff records reviewed identified that annual performance appraisals were up to date. This was an area identified for improvement in the previous audit and has been fully addressed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Currently the facility has a high bureau staff usage but evidence was sighted that they are actively recruiting. This process was delayed owing to a recent infection outbreak (July-August 2017). </w:t>
            </w:r>
          </w:p>
          <w:p w:rsidR="00EB7645" w:rsidRPr="00BE00C7" w:rsidP="00BE00C7">
            <w:pPr>
              <w:pStyle w:val="OutcomeDescription"/>
              <w:spacing w:before="120" w:after="120"/>
              <w:rPr>
                <w:rFonts w:cs="Arial"/>
                <w:b w:val="0"/>
                <w:lang w:eastAsia="en-NZ"/>
              </w:rPr>
            </w:pPr>
            <w:r w:rsidRPr="00BE00C7">
              <w:rPr>
                <w:rFonts w:cs="Arial"/>
                <w:b w:val="0"/>
                <w:lang w:eastAsia="en-NZ"/>
              </w:rPr>
              <w:t>With the exception of the activities coordinator role, which is currently vacant, observations and review of a four-week roster cycle confirmed adequate clinical staff cover has been provided, with staff replaced in any unplanned absence.  At least one staff member on duty has a current first aid certificate and there is 24 hour/seven days a week RN coverage. (Refer comments in standard 1.3.7). The village manager confirmed the service has advertised for an activities coordinator as part of their recruitment drive.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family/whānau are encouraged to visit the facility prior to admission and are provided with written information about the service; this addresses the previous area for improvement at 1.3.1.4. Family members interviewed stated they were satisfied with the admission process and the information that had been made available to them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sampled were within the recommended range. There are no vaccines stored onsite.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are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standing orders or residents who were self-administering their medications. There were appropriate processes in place to provide guidance on self-administration, should a resident be assessed as competent to perform this role.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analysis of any medication errors, though this was not consistently evidenced (refer to 1.2.4)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the kitchen located in the retirement village. The menu has been reviewed by a dietitian to reflect recognised nutritional guidelines for older people. 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 The service has been implementing a project related to the serving of food, to create a homelier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staff interviewed and observations of care did reflect the needs of the residents are being met. Improvements are required in the level of detail and accuracy of the interventions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role was vacant at the time of audit. There are activities provided as part of the retirement village and assistance from the care staff. Three residents and two families commented that they felt most of the activities provided were not of interest to them. Two residents and a family did comment that the ‘special events’ such as birthday celebrations were of ‘exceptional’ quality.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Two of the residents’ files sampled (with admission over six months) did not have an evaluation within the last six months (refer to the corrective action at 1.3.3.3).  In the other files sampled the formal care plan evaluations did occur every six months in conjunction with the six-monthly interRAI reassessment, or as residents’ needs change.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five of the six files sampled, where progress was different from expected, the service responded by initiating changes to the plan of care (refer to corrective actions at 1.3.6.1). Short term care plans were noted for infections, wounds and challenging behaviours. When necessary, and for unresolved problems, long term care plans are added to and updated. Residents and family/whānau interviewed provided examples of involvement in evaluation of progress and any resulting changes and family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09 March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lounge area, doctors’ clinic and bathrooms have all been refurbished. Appropriate systems are in place to ensure the residents’ physical environment and facilities are fit for their purpose and maintained.  This was an area identified for improvement in the previous audit and is now fully met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identity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facility and Metlifecare organisational management. Data is benchmarked externally within the group and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log for a recent gastrointestinal infection outbreak was reviewed and demonstrated the appropriate transmission based precautions and reporting to public health/DHB. The samples that were sent to the diagnostic laboratory have not yet been confirmed.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education and oversight for enabler and restraint management in the facility and demonstrated a sound understanding of the organisation’s policies, procedures and practice and her role and responsibilities. Staff interviewed had a very good understanding of safe restraint use should it be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states that enablers are voluntary and the least restrictive option to meet the needs of residents with the intention of promoting or maintaining independence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The restraint register identifies the facility has been restraint free since 2015.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72"/>
        <w:gridCol w:w="1280"/>
        <w:gridCol w:w="7537"/>
        <w:gridCol w:w="1667"/>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clearly described quality and risk management system. Key components of quality data are collected and reviewed. Outcomes are shared with staff and senior management. Staff reported that the internal audit system and corrective action follow-up has not been maintained owing to a recent change in nurse manager. Senior staff who fill in for the nurse manager complete parts of the quality and risk requirements but they do not undertake internal audits, put corrective actions in place or enter required data into the electronic reporting system (V-care).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aspects of the quality and risk management system is implemented.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organisational quality and risk management system is fully implemented by service providers.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planning was evident related to complaints management and internal audits up to April 2017. Most incident forms showed what actions are to be taken, such as short-term care planning is to be put in place. However, when one resident’s file was reviewed, the short-term care plan had not been updated since May 2017. Refer comments in 1.3.3.3. Not all areas that require corrective actions are completed on the form. One example related to an incident which occurred on 4 August 2017 where the medication keys went missing. It is documented on an incident form but no corrective actions are documented. The senior RN was able to verbalise actions that were taken but nothing is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planning is not consistently undertaken.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corrective action plans are put in place to address areas requiring improvement.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 all incidents and accidents using specific forms. Families confirm they are kept well informed. Refer comments in 1.1.9. The incident and accident forms sighted do not all indicate if the family have been informed and when a corrective action is required the information is not always shown on the form or converted onto a corrective action form. Refer comments in criterion 1.2.3.8.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incident forms identify if family have been notified and not all opportunities for service improvement are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incident and accident forms are fully completed to meet policy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ongoing educational calendar which identifies ongoing education for service providers. This covers all aspects of service delivery. The documented education was completed as per the calendar until April 2017. From April 2017 limited education has occurred and the documented education programme has not been followed. This is confirmed by staff during interview. Staff who are working through aged care educational papers have not been able to complete any papers in 2017. There is evidence that tool box educational sessions are presented at handover to address areas of concern.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calendar in place is not followed by the service. Limited staff education has occurred since April 2017.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organisational the education calendar is implemented by the service.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demonstrated knowledge of individual resident care requirements but this was not well documented. Five of the six files sampled had shortfalls in meeting some aspect of time frames for assessment, evaluation and review. Two of the files sampled did not evidence the GP reviews being conducted monthly or three-monthly when assessed as stable. One recently admitted resident’s file did not evidence an admission assessment or contain an interim care plan. Two files, of residents with admission over six months, did not have an evaluation conducted within the last six months. A review of the interRAI records evidenced that there are three assessments that are two weeks overdue for re-assessment. The organisation requires short term care plans to be evaluated at least monthly, this was not evidenced in one file.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the six residents’ files sampled did not consistently meet the organisational and contractual requirements for assessments, planning, evaluation and review of the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the timeframes for assessment, planning, GP reviews and evaluation of care meet organisational and contractual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resident and families reported that attention to meeting a diverse range of resident’s individualised needs was evident in all areas of service provision. A range of equipment and resources was available, suited to the levels of care provided and in accordance with the residents’ needs. In the three files sampled using tracer methodology there was a difference between what was documented in the interventions required and what the assessed needs were. The resident admitted under the interim care contract had not had a care plan developed (admission within the past week). The progress notes and referral information did record the care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hospital level of care residents and one rest home resident had inconsistent information in the care plans related to mobility, culture, vision and skin interventions (including one pressure injury). The families and residents did report overall satisfaction with the care provided, with some comments related to improvements in aspects of care and service that could be improved (such as the cleaning of teeth and the laundry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the six files sampled did not have care plans that reflected the resident’s current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the care plan interventions are consistent with the needs of the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activities programme. However, as the activities coordinator role is currently vacant, (refer comments in 1.2.8.), at the time of audit it is only being partially implemented by care staff. There was limited documented evidence that planned activities were being provided in April and May 2017. No documentation was available from May to the date of audit.  Interviews with residents and management confirmed activities were provided, though three of the four residents interviewed report that they only attended a ‘couple of the activities’ as most were not of interest to them. There was high praise for the special events that did occur, such as birthday and Christmas celebrations.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sampled did contain a social/diversional assessment and history undertaken on admission to ascertain residents’ needs, interests, abilities and social requirements. The resident’s activity needs are evaluated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attendance sheets sampled in the resident’s files did not record that there were activities conducted from 7 April 2017 to 30 May 2017.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the five residents (and two of the five families) reported that the overall activities provided (apart from special celebrations), were not meaningful to the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activities are consistently meaningful to the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Highlands Hospital</w:t>
    </w:r>
    <w:bookmarkEnd w:id="58"/>
    <w:r>
      <w:rPr>
        <w:rFonts w:cs="Arial"/>
        <w:sz w:val="16"/>
        <w:szCs w:val="20"/>
      </w:rPr>
      <w:tab/>
      <w:t xml:space="preserve">Date of Audit: </w:t>
    </w:r>
    <w:bookmarkStart w:id="59" w:name="AuditStartDate1"/>
    <w:r>
      <w:rPr>
        <w:rFonts w:cs="Arial"/>
        <w:sz w:val="16"/>
        <w:szCs w:val="20"/>
      </w:rPr>
      <w:t>9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