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Addington Lifestyle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Addington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July 2017</w:t>
      </w:r>
      <w:bookmarkEnd w:id="7"/>
      <w:r w:rsidRPr="009418D4">
        <w:rPr>
          <w:rFonts w:cs="Arial"/>
        </w:rPr>
        <w:tab/>
        <w:t xml:space="preserve">End date: </w:t>
      </w:r>
      <w:bookmarkStart w:id="8" w:name="AuditEndDate"/>
      <w:r w:rsidR="00A4268A">
        <w:rPr>
          <w:rFonts w:cs="Arial"/>
        </w:rPr>
        <w:t>12 July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Addington Lifestyle Care (Oceania Healthcare Limited) can provide care for up to 97 residents. This certification audit was conducted against the Health and Disability Service Standards and the service contract with the district health board. Occupancy on the day of the audit was 95. The service provides rest home, hospital and dementia level care.</w:t>
      </w:r>
    </w:p>
    <w:p w:rsidRPr="00A4268A">
      <w:pPr>
        <w:spacing w:before="240" w:line="276" w:lineRule="auto"/>
        <w:rPr>
          <w:rFonts w:eastAsia="Calibri"/>
        </w:rPr>
      </w:pPr>
      <w:r w:rsidRPr="00A4268A">
        <w:rPr>
          <w:rFonts w:eastAsia="Calibri"/>
        </w:rPr>
        <w:t>The audit process included the review of policies and procedures, the review of residents and staff files, and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The business and care manager is responsible for the overall management of the facility and is supported by the regional and executive management team. Service delivery is monitored.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Services Consumers' Rights, the complaints process and the Nationwide Health and Disability Advocacy Service, is accessible in information packs and displayed within the service. Residents and family members confirmed they are informed and their rights are met, staff are respectful of their needs and communication and feedback is appropriate. </w:t>
      </w:r>
    </w:p>
    <w:p w:rsidRPr="00A4268A">
      <w:pPr>
        <w:spacing w:before="240" w:line="276" w:lineRule="auto"/>
        <w:rPr>
          <w:rFonts w:eastAsia="Calibri"/>
        </w:rPr>
      </w:pPr>
      <w:r w:rsidRPr="00A4268A">
        <w:rPr>
          <w:rFonts w:eastAsia="Calibri"/>
        </w:rPr>
        <w:t>Residents, families and enduring power of attorney are provided with information required prior to giving informed consent. Time is provided if any discussions and explanation are required relating to the Health and Disability Commissioner's Code of Health and Disability Services Consumers' Rights.</w:t>
      </w:r>
    </w:p>
    <w:p w:rsidRPr="00A4268A">
      <w:pPr>
        <w:spacing w:before="240" w:line="276" w:lineRule="auto"/>
        <w:rPr>
          <w:rFonts w:eastAsia="Calibri"/>
        </w:rPr>
      </w:pPr>
      <w:r w:rsidRPr="00A4268A">
        <w:rPr>
          <w:rFonts w:eastAsia="Calibri"/>
        </w:rPr>
        <w:t>A complaints register is maintained. Complaints are managed as per timeframes in the Health and Disability Commissioner Code of Health and Disability Services Consumers' Rights.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Oceania Healthcare Limited is the governing body and is responsible for the service provided at Addington Lifestyle Care. The business and care manager is a registered nurse, holds a current practicing certificate, and is qualified and experienced in management systems and processes. The clinical manager is new to the role and is supported by the clinical and quality manager (regional), the operations manager (regional) and the senior clinical and quality manager (national) regarding oversight of clinical care. </w:t>
      </w:r>
    </w:p>
    <w:p w:rsidRPr="00A4268A">
      <w:pPr>
        <w:spacing w:before="240" w:line="276" w:lineRule="auto"/>
        <w:rPr>
          <w:rFonts w:eastAsia="Calibri"/>
        </w:rPr>
      </w:pPr>
      <w:r w:rsidRPr="00A4268A">
        <w:rPr>
          <w:rFonts w:eastAsia="Calibri"/>
        </w:rPr>
        <w:t>Oceania Healthcare Limited has a documented quality and risk management system that supports the provision of clinical care at the service. Policies are reviewed at support office and are current. Quality and risk performance is reported through meetings at the facility and monitored by the organisation's management team through the business status reports. Benchmarking reports are produced that include incidents/accidents, infections, complaints and clinical indicators. Resident information is identifiable, accurately recorded, current, confidential, accessible when required and securely stored.</w:t>
      </w:r>
    </w:p>
    <w:p w:rsidRPr="00A4268A">
      <w:pPr>
        <w:spacing w:before="240" w:line="276" w:lineRule="auto"/>
        <w:rPr>
          <w:rFonts w:eastAsia="Calibri"/>
        </w:rPr>
      </w:pPr>
      <w:r w:rsidRPr="00A4268A">
        <w:rPr>
          <w:rFonts w:eastAsia="Calibri"/>
        </w:rPr>
        <w:t>There are human resource policies implemented around recruitment, selection, orientation, staff training and development. Staff, residents and family confirmed that staffing levels are adequate and residents and relatives have access to staff when needed. Staff are allocated to support residents as per their individual needs.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organisation works closely with the local Needs Assessment and Service Coordination Service and health services for older people at the district health board. When a vacancy occurs, sufficient and relevant information is provided to the potential resident/family to facilitate the admission.</w:t>
      </w:r>
    </w:p>
    <w:p w:rsidRPr="00A4268A" w:rsidP="00621629">
      <w:pPr>
        <w:spacing w:before="240" w:line="276" w:lineRule="auto"/>
        <w:rPr>
          <w:rFonts w:eastAsia="Calibri"/>
        </w:rPr>
      </w:pPr>
      <w:r w:rsidRPr="00A4268A">
        <w:rPr>
          <w:rFonts w:eastAsia="Calibri"/>
        </w:rPr>
        <w:t>Residents’ needs are assessed by the multidisciplinary team within the required timeframes on admission. There are registered nurses are on duty 24 hours a day in the facility. Registered nurses are supported by the clinical manager, healthcare assistants and allied health staff, including the physiotherapist, pharmacist, podiatrist and two contracted general practitioners. On-call arrangements for support from senior staff are in place and after hours general practitioner cover is available. Shift handovers and communication handover sheets guide continuity of care and service provision.</w:t>
      </w:r>
    </w:p>
    <w:p w:rsidRPr="00A4268A" w:rsidP="00621629">
      <w:pPr>
        <w:spacing w:before="240" w:line="276" w:lineRule="auto"/>
        <w:rPr>
          <w:rFonts w:eastAsia="Calibri"/>
        </w:rPr>
      </w:pPr>
      <w:r w:rsidRPr="00A4268A">
        <w:rPr>
          <w:rFonts w:eastAsia="Calibri"/>
        </w:rPr>
        <w:t>The person centred care plans are individualised, based on a comprehensive and integrated range of clinical information. Short-term care plans are developed to manage any new problems that might arise. All residents’ records reviewed demonstrated that needs, goals and outcomes are identified and reviewed on a regular basis. Residents and families interviewed reported being well informed and involved in the evaluations and care planning, and that the care provided is of a high standard. Residents are referred or transferred to other health services as required, with appropriate handovers.</w:t>
      </w:r>
    </w:p>
    <w:p w:rsidRPr="00A4268A" w:rsidP="00621629">
      <w:pPr>
        <w:spacing w:before="240" w:line="276" w:lineRule="auto"/>
        <w:rPr>
          <w:rFonts w:eastAsia="Calibri"/>
        </w:rPr>
      </w:pPr>
      <w:r w:rsidRPr="00A4268A">
        <w:rPr>
          <w:rFonts w:eastAsia="Calibri"/>
        </w:rPr>
        <w:t>The planned activity programme is delivered by two activities coordinators. The staff provide residents with a variety of activities and group activities and maintains and promotes their links with the community. A facility van is available for outings.</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are consistently implemented using and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A food safety plan and policies guide food service delivery, supported by staff with food safety qualifications. The kitchen was well organised, and meets food safety standards.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All building and plant comply with legislation, with a current building warrant of fitness in place. The environment is appropriate to the needs of the residents. A preventative and reactive maintenance programme includes equipment and electrical checks.</w:t>
      </w:r>
    </w:p>
    <w:p w:rsidRPr="00A4268A">
      <w:pPr>
        <w:spacing w:before="240" w:line="276" w:lineRule="auto"/>
        <w:rPr>
          <w:rFonts w:eastAsia="Calibri"/>
        </w:rPr>
      </w:pPr>
      <w:r w:rsidRPr="00A4268A">
        <w:rPr>
          <w:rFonts w:eastAsia="Calibri"/>
        </w:rPr>
        <w:t>Residents are provided with accessible and safe external areas. Residents’ rooms are of an appropriate size to allow for care to be provided and for the safe use and manoeuvring of mobility aids. Essential emergency and security systems are in place and fire drills are completed every six months. Call bells are available to all residents and are monitored monthly.</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Four enabler and four restraints are in use at the time of the audit. Restraint is only used as a last resort. A comprehensive assessment, approval and monitoring process with regular reviews occurs. Enabler use is voluntary for the safety of residents in response to individual requests. Staff receive education at orientation/induction to the service and annually. Education includes all required aspects of restraint and enabler use, alternatives to restraint and dealing with difficult and challenging behaviours. Staff interviewed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is led by an experienced infection control nurse who has attended relevant training for this role. The policies and procedures have been reviewed and terms of reference have been updated to guide staff. The infection control committee meets monthly. Specialist infection prevention and control advice is able to be accessed from the district health board; microbiologist; infectious disease physicians and other experts as required. The infection prevention and control programme is reviewed annually.</w:t>
      </w:r>
    </w:p>
    <w:p w:rsidRPr="00A4268A">
      <w:pPr>
        <w:spacing w:before="240" w:line="276" w:lineRule="auto"/>
        <w:rPr>
          <w:rFonts w:eastAsia="Calibri"/>
        </w:rPr>
      </w:pPr>
      <w:r w:rsidRPr="00A4268A">
        <w:rPr>
          <w:rFonts w:eastAsia="Calibri"/>
        </w:rPr>
        <w:t>Staff demonstrated good principles and practice around infection control, which is guided and supported by reference to the infection control manual. Regular education is provided.</w:t>
      </w:r>
    </w:p>
    <w:p w:rsidRPr="00A4268A">
      <w:pPr>
        <w:spacing w:before="240" w:line="276" w:lineRule="auto"/>
        <w:rPr>
          <w:rFonts w:eastAsia="Calibri"/>
        </w:rPr>
      </w:pPr>
      <w:r w:rsidRPr="00A4268A">
        <w:rPr>
          <w:rFonts w:eastAsia="Calibri"/>
        </w:rPr>
        <w:t>Aged care specific infection surveillance is undertaken, analysed, trended, benchmarked and results are reported through all levels of the organisation. Follow-up action is taken as and when needed.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95"/>
        <w:gridCol w:w="1280"/>
        <w:gridCol w:w="946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long-term care facilities, with infection prevention definitions reflecting a focus on symptoms rather than laboratory results. The infection control nurse interviewed reported the following is included in surveillance for example, urinary tract infections, soft tissue, fungal, eye, gastro-intestinal, the upper and lower respiratory tract and other skin conditions. When an infection is identified, a record of this is documented on the infection reporting form used by the service provider. The infection control nurse reviews all of the reported infections. Monthly data is collated and analysed to identify any trends, positive causative factors and required actions. All results of surveillance are reported to the clinical manager for the monthly key performance indicator reporting to support office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The results of surveillance are shared with staff via staff meetings (minutes sighted) and at staff handovers. Handover was observed in the hospital between shifts and examples of infection prevention and control issues were explained by the registered nurse providing the handover to ensure early intervention occurs. Graphs are produced that identify trends for the current year and a summary is documented. Data is benchmarked with other services in the organisation and this provides assurance that infection rates in the facility are below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that they receive services that meet their needs and they receive information relative to their needs. Staff receive education on the Health and Disability Commissioner Code of Health and Disability Services Consumers' Rights (the Code) during their induction to the service and through the annual mandatory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have had training in the Code during the previous 12 months and interviews with the staff confirmed their understanding of the Code. Examples were provided on ways the Code is implemented in their everyday practice including: maintaining residents' privacy; informed consent; giving residents choices; encouraging independence and ensuring residents can continue to practice their own personal values and beliefs. </w:t>
            </w:r>
          </w:p>
          <w:p w:rsidR="00EB7645" w:rsidRPr="00BE00C7" w:rsidP="00BE00C7">
            <w:pPr>
              <w:pStyle w:val="OutcomeDescription"/>
              <w:spacing w:before="120" w:after="120"/>
              <w:rPr>
                <w:rFonts w:cs="Arial"/>
                <w:b w:val="0"/>
                <w:lang w:eastAsia="en-NZ"/>
              </w:rPr>
            </w:pPr>
            <w:r w:rsidRPr="00BE00C7">
              <w:rPr>
                <w:rFonts w:cs="Arial"/>
                <w:b w:val="0"/>
                <w:lang w:eastAsia="en-NZ"/>
              </w:rPr>
              <w:t>The auditors noted courteous and polite attitudes towards residents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and procedure that directs staff in relation to gathering of informed consent. Resident files identified informed consent is obtained. Interviews with staff confirmed their understanding of informed consent processes. Staff ensure that all residents are aware of treatment and interventions planned for them, and the resident and/or significant others are included in the planning of that care. </w:t>
            </w:r>
          </w:p>
          <w:p w:rsidR="00EB7645" w:rsidRPr="00BE00C7" w:rsidP="00BE00C7">
            <w:pPr>
              <w:pStyle w:val="OutcomeDescription"/>
              <w:spacing w:before="120" w:after="120"/>
              <w:rPr>
                <w:rFonts w:cs="Arial"/>
                <w:b w:val="0"/>
                <w:lang w:eastAsia="en-NZ"/>
              </w:rPr>
            </w:pPr>
            <w:r w:rsidRPr="00BE00C7">
              <w:rPr>
                <w:rFonts w:cs="Arial"/>
                <w:b w:val="0"/>
                <w:lang w:eastAsia="en-NZ"/>
              </w:rPr>
              <w:t>Service information pack includes information regarding informed consent. The BCM and CM discuss informed consent processes with residents and their families during the admission process. The policy and procedure includes guidelines for consent for resuscitation/advance directives. Resuscitation orders are completed for residents when applicable.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information relating to advocacy services is available at the entrance to the facility and in information packs provided to residents and family on admission to the service. Written information on the role of advocacy services is also provided to complainants at the time when their complaint is acknowledged. Staff training regarding advocacy services was last provided in 2017 and as a component of the Oceania annual ‘grow, educate and motivate’ (GEM) training programme.</w:t>
            </w:r>
          </w:p>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advocate visits the service, as confirmed by the management team. Family and residents confirmed the service provides opportunities for the family/EPOA to be involved in decisions and they state they are informed about advocacy services. Family members in the dementia unit confirmed they act as advocates for their family member and also for other residents if they identify any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and residents may have visitors of their choice at any time. The facility is secured in the evenings and visitors can arrange to visit after doors are locked. Families confirmed they could visit at any time and are always made to feel welcome. </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to maintain family and friend networks. Residents' files reviewed demonstrated that progress notes and the content of care plans include regular outings and appointments.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complaints policy and procedures are in line with the Code and include periods for responding to a complaint. Complaint forms are available at the entrance. A complaints register is in place and the register includes: the date the complaint is received; the source of the complaint; a description of the complaint; and the date the complaint is resolved. </w:t>
            </w:r>
          </w:p>
          <w:p w:rsidR="00EB7645" w:rsidRPr="00BE00C7" w:rsidP="00BE00C7">
            <w:pPr>
              <w:pStyle w:val="OutcomeDescription"/>
              <w:spacing w:before="120" w:after="120"/>
              <w:rPr>
                <w:rFonts w:cs="Arial"/>
                <w:b w:val="0"/>
                <w:lang w:eastAsia="en-NZ"/>
              </w:rPr>
            </w:pPr>
            <w:r w:rsidRPr="00BE00C7">
              <w:rPr>
                <w:rFonts w:cs="Arial"/>
                <w:b w:val="0"/>
                <w:lang w:eastAsia="en-NZ"/>
              </w:rPr>
              <w:t>Evidence relating to each lodged complaint is held in the complaints folder and register. Complaints reviewed indicated complaints are investigated promptly and issues are resolved in a timely manner. Staff, residents and family confirmed they knew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The BCM is responsible for managing complaints and residents and family stated that these are dealt with as soon as they are identified. Residents and family members were able to describe their rights and advocacy services particularly in relation to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There has been one complaint lodged with the Christchurch District Health Board which has been closed out. There have been no complaints lodged with the Health and Disability Commissioner or any other external authorities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and care manager (BCM) and the clinical manager (CM) discuss the Code with residents and their family on admission. Discussion relating to the Code is included on the agenda and discussed at the residents’ meetings.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interviews confirmed their rights are being upheld by the service. Information on the Code is given to next of kin or enduring power of attorney (EPOA) to read and discuss with the resident in private. The posters identifying residents’ rights and advocacy services are displayed in the facility in te reo Māori and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Addington Lifestyle Care has a philosophy that promotes dignity, respect and quality of life. The service ensures that each resident has the right to privacy and dignity. The residents’ personal belongings are used to decorate their rooms. Discussions of a private nature are held in the resident’s room and there are areas in the facility which can be used for private meetings.</w:t>
            </w:r>
          </w:p>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confirmed that cultural and/or spiritual values and individual preferences are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available for staff to assist them in managing resident practices and/or expressions of sexuality and intimacy in an appropriate and discreet manner with strategies documented to manage any inappropriate behaviour if there are any issues for a resident. </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assistants report that they knock on bedroom doors prior to entering rooms, ensure doors are shut when cares are being given and do not hold personal discussions in public areas. This was observed on the days of the audit. Residents and families confirmed that residents’ privacy is respected.</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committed to the prevention and detection of abuse and neglect by ensuring provision of quality care. Staff receive annual training on abuse and neglect and can describe signs. There are no documented incidents of abuse or neglect in the business status reports or on the incidents reviewed in residents’ files. Residents, staff, family and the general practitioner confirmed there was no evidence of abuse or neglect. Staff confirmed they are aware of the need to ensure residents are not exploited, neglected or abused. Staff can describe the process for escalating any issues.</w:t>
            </w:r>
          </w:p>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confirmed that cultural and/or spiritual values and individual preferences are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cultural responsiveness policy which outlines the processes for working with people from other cultures. A Māori health plan outlines how to work with Māori and the relevance of the Treaty of Waitangi. The rights of the residents/family to practise their own beliefs are acknowledged in the Māori health plan.</w:t>
            </w:r>
          </w:p>
          <w:p w:rsidR="00EB7645" w:rsidRPr="00BE00C7" w:rsidP="00BE00C7">
            <w:pPr>
              <w:pStyle w:val="OutcomeDescription"/>
              <w:spacing w:before="120" w:after="120"/>
              <w:rPr>
                <w:rFonts w:cs="Arial"/>
                <w:b w:val="0"/>
                <w:lang w:eastAsia="en-NZ"/>
              </w:rPr>
            </w:pPr>
            <w:r w:rsidRPr="00BE00C7">
              <w:rPr>
                <w:rFonts w:cs="Arial"/>
                <w:b w:val="0"/>
                <w:lang w:eastAsia="en-NZ"/>
              </w:rPr>
              <w:t>A review of residents’ files confirmed that specific cultural needs are identified in the residents’ care plans. The BCM stated that a kaumātua can be accessed by the service to support staff on tikanga protocols and general advice via the Christchurch District Health Board. Staff are aware of the importance of whānau in the delivery of care for the Māori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are involved in the assessment and the care planning processes. Staff and resident interviews confirmed there are choices for residents regarding their care and services. Information gathered during assessment includes the resident’s cultural values and beliefs. The initial care plan, the long-term care plan and interRAI assessment are based on this information.</w:t>
            </w:r>
          </w:p>
          <w:p w:rsidR="00EB7645" w:rsidRPr="00BE00C7" w:rsidP="00BE00C7">
            <w:pPr>
              <w:pStyle w:val="OutcomeDescription"/>
              <w:spacing w:before="120" w:after="120"/>
              <w:rPr>
                <w:rFonts w:cs="Arial"/>
                <w:b w:val="0"/>
                <w:lang w:eastAsia="en-NZ"/>
              </w:rPr>
            </w:pPr>
            <w:r w:rsidRPr="00BE00C7">
              <w:rPr>
                <w:rFonts w:cs="Arial"/>
                <w:b w:val="0"/>
                <w:lang w:eastAsia="en-NZ"/>
              </w:rPr>
              <w:t>Staff are familiar with how translating and interpreting services can be accessed. Residents in the service did not require interpreting services on audit days.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Addington Lifestyle Care implements the Oceania Healthcare Limited (Oceania) policies and procedures based on good practice, current legislation and guidelines. Staff training includes discussion of the staff code of conduct and prevention of inappropriate care. Interviews confirmed awareness of how to identify and manage discrimination, abuse and neglect, harassment and exploitation. There were no complaints recorded in the complaints register for the previous 12 months relating any form of discrimination. </w:t>
            </w:r>
          </w:p>
          <w:p w:rsidR="00EB7645" w:rsidRPr="00BE00C7" w:rsidP="00BE00C7">
            <w:pPr>
              <w:pStyle w:val="OutcomeDescription"/>
              <w:spacing w:before="120" w:after="120"/>
              <w:rPr>
                <w:rFonts w:cs="Arial"/>
                <w:b w:val="0"/>
                <w:lang w:eastAsia="en-NZ"/>
              </w:rPr>
            </w:pPr>
            <w:r w:rsidRPr="00BE00C7">
              <w:rPr>
                <w:rFonts w:cs="Arial"/>
                <w:b w:val="0"/>
                <w:lang w:eastAsia="en-NZ"/>
              </w:rPr>
              <w:t>Job descriptions outline the responsibilities of position, including ethical issues relevant to the role. Staff complete orientation and induction which includes recognition of discrimination, abuse and neglect. Staff confirmed their understanding of professional boundaries.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Oceania policies to guide practice. The policies align with the Health and Disability Services Standards.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quality framework includes their internal audit programme. Benchmarking occurs across all the Oceania facilities. There is a training programme for all staff and managers are encouraged to complete management training.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expressed a high level of satisfaction with the care delivered.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Accident/incidents, the complaints procedure and the open disclosure procedure alert staff to their responsibility to notify family/EPOA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Procedures guide staff on the process to ensure full and frank open disclosure is available. Family are informed if the resident has an incident/accident, has a change in health or a change in needs, as evidenced in completed accident/incident forms. Family confirmed they are invited to the care planning meetings for their family member and can attend the residents’ meetings. Families confirmed they are well informed. Family contact is recorded in residents’ files.</w:t>
            </w:r>
          </w:p>
          <w:p w:rsidR="00EB7645" w:rsidRPr="00BE00C7" w:rsidP="00BE00C7">
            <w:pPr>
              <w:pStyle w:val="OutcomeDescription"/>
              <w:spacing w:before="120" w:after="120"/>
              <w:rPr>
                <w:rFonts w:cs="Arial"/>
                <w:b w:val="0"/>
                <w:lang w:eastAsia="en-NZ"/>
              </w:rPr>
            </w:pPr>
            <w:r w:rsidRPr="00BE00C7">
              <w:rPr>
                <w:rFonts w:cs="Arial"/>
                <w:b w:val="0"/>
                <w:lang w:eastAsia="en-NZ"/>
              </w:rPr>
              <w:t>Residents sign an admission agreement on entry to the service. This provides clear information around what is paid for by the service and by the resident. The admission agreements reviewed were signed on the day of admission. Family of residents in the dementia unit state they can raise any issues on behalf of their family member and believe these are followed up promptly.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Addington Lifestyle Care is part of the Oceania Healthcare Limited (Oceania) with the executive management team providing support to the service. Communication between the service and managers occurs monthly with the clinical and quality manager providing support during the audit. The monthly business status report provides the executive management with progress against identified indicators.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organisation’s mission statement and philosophy are displayed at the entrance to the facility. Information in booklets are given to new residents and staff training is provided annually.</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business and care manager (BCM) supported by a clinical manager (CM). The BCM has been in the role for four years .The CM has been in the position for five weeks, holds a current annual practising certificate and is supported by the clinical and quality manager (CQM). The management team is well supported in their roles and have completed appropriate induction and orientation to their roles. The facility can provide care for up to 97 residents for rest home, hospital, dementia, young people with disability and respite care.</w:t>
            </w:r>
          </w:p>
          <w:p w:rsidR="00EB7645" w:rsidRPr="00BE00C7" w:rsidP="00BE00C7">
            <w:pPr>
              <w:pStyle w:val="OutcomeDescription"/>
              <w:spacing w:before="120" w:after="120"/>
              <w:rPr>
                <w:rFonts w:cs="Arial"/>
                <w:b w:val="0"/>
                <w:lang w:eastAsia="en-NZ"/>
              </w:rPr>
            </w:pPr>
            <w:r w:rsidRPr="00BE00C7">
              <w:rPr>
                <w:rFonts w:cs="Arial"/>
                <w:b w:val="0"/>
                <w:lang w:eastAsia="en-NZ"/>
              </w:rPr>
              <w:t>On the first day of audit there were 95 residents living at the facility including 25 residents requiring rest home level of care, 42 residents requiring hospital level of care and 28 requiring dementia level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of the BCM, the CM is responsible for the day to day operation of the service and is supported by a senior registered nurse, the regional CQM and the regional operations manager. In the absence of the CM, the BCM with the support and help of the regional CQM, ensures continuity of clinical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Addington Lifestyle Care uses the Oceania Healthcare Limited (Oceania) quality and risk management framework that is documented to guide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organisational policies and procedures are available to staff and guide service delivery. The policies and procedures are relevant to the scope and complexity of the service; reflect current accepted good practice, and reference legislative requirements. The Oceania management group reviews all policies with input from relevant personnel. New and revised policies are presented to staff to read and sign to evidence they have read and understood the policy. Staff confirm they are advised of updated policies and those policies and procedures provide appropriate guidance for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The service delivery is monitored through number of clinical indicators such as: complaints; incidents and accidents; surveillance of infections; pressure injuries; falls; medication errors and implementation of an internal audit programme. Completed audits for 2016 and 2017, clinical indicators and quality improvement data is recorded on various registers and forms. Quality improvement data provides evidence that data is being collected, collated and analysed to identify trends. Where required, corrective action plans are developed, implemented and evaluated.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communication with all staff, residents and family through the facility’s meetings. Staff meetings evidence all aspects of quality improvement, risk management and clinical indicators are discussed. Staff report that they are kept informed of quality improvements. Copies of meeting minutes are available for review for staff unable to attend the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satisfaction survey for family and residents in 2017 shows they are satisfied with services provided and this was confirmed by residents and family interviewed. </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and procedures are documented along with a hazard management programme. There is a hazard register that identifies health and safety risks as well as risks associated with human resource management, legislative compliance, contractual risks and clinical risk.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BCM is aware of situations in which the service is required to report and notify statutory authorities, including unexpected deaths, police attending the facility, sentinel events, infectious disease outbreaks and changes in key management roles. Evidence was sighted confirming that the Ministry of Health had been notified of the new CM appointment.</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and review of documentation evidence that staff document adverse, unplanned or untoward events on an accident/incident form which are signed off by the BCM. There have been no deaths referred to the coroner or essential notifications to Ministry of Health and district health board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in relation to human resource management are available and implemented. The skills and knowledge required for each position is documented in job descriptions. These were reviewed on staff files along with employment agreements, reference checks, police vetting and completed orientations. Current copies of annual practising certificates were reviewed for all staff and contractors that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mandatory education and training programme with an annual training schedule documented. Staff are also supported to complete education via external education providers. Staff have completed training around pressure injuries in 2016 and 2017. Individual staff attendance records and attendance records for each education session were reviewed and evidenced ongoing education is provided. Nine registered nurses have completed interRAI assessments training and competencies. An appraisal schedule is in place and current staff appraisals were in the staff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is available and new staff are required to demonstrate competency on a number of tasks, including personal cares. The staff orientation covers the essential components of the service provided. Healthcare assistants confirm their role in supporting and buddying new staff. </w:t>
            </w:r>
          </w:p>
          <w:p w:rsidR="00EB7645" w:rsidRPr="00BE00C7" w:rsidP="00BE00C7">
            <w:pPr>
              <w:pStyle w:val="OutcomeDescription"/>
              <w:spacing w:before="120" w:after="120"/>
              <w:rPr>
                <w:rFonts w:cs="Arial"/>
                <w:b w:val="0"/>
                <w:lang w:eastAsia="en-NZ"/>
              </w:rPr>
            </w:pPr>
            <w:r w:rsidRPr="00BE00C7">
              <w:rPr>
                <w:rFonts w:cs="Arial"/>
                <w:b w:val="0"/>
                <w:lang w:eastAsia="en-NZ"/>
              </w:rPr>
              <w:t>Annual competencies are required to be completed by clinical staff. There was evidence in the clinical staff files reviewed of competencies relating to: hoists; oxygen use; hand washing; wound management; medication management; moving and handling; restraint; nebuliser; blood sugar level testing; insulin administration; and assisting residents to shower.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policy is the foundation for workforce planning. Staffing levels are reviewed for anticipated workloads, identified numbers and appropriate skill mix, or as required due to changes in the services provided and the number of residents. Rosters sighted reflected staffing levels meet resident acuity and bed occupancy. </w:t>
            </w:r>
          </w:p>
          <w:p w:rsidR="00EB7645" w:rsidRPr="00BE00C7" w:rsidP="00BE00C7">
            <w:pPr>
              <w:pStyle w:val="OutcomeDescription"/>
              <w:spacing w:before="120" w:after="120"/>
              <w:rPr>
                <w:rFonts w:cs="Arial"/>
                <w:b w:val="0"/>
                <w:lang w:eastAsia="en-NZ"/>
              </w:rPr>
            </w:pPr>
            <w:r w:rsidRPr="00BE00C7">
              <w:rPr>
                <w:rFonts w:cs="Arial"/>
                <w:b w:val="0"/>
                <w:lang w:eastAsia="en-NZ"/>
              </w:rPr>
              <w:t>There are 83 staff, including the management team, clinical staff, a diversional therapist, and household staff. There is always a registered nurse on each shift. The BCM and CM are on call after hours. Residents and families confirmed staffing is adequate to meet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privacy and confidentiality of residents’ records. Relevant resident care documentation can be accessed in a timely manner. The service retains relevant and appropriate information to identify residents and track records. Information containing sensitive resident information is not displayed in a way that could be viewed by other residents or members of the public. Archived records are securely stored and easily retrievable. </w:t>
            </w:r>
          </w:p>
          <w:p w:rsidR="00EB7645" w:rsidRPr="00BE00C7" w:rsidP="00BE00C7">
            <w:pPr>
              <w:pStyle w:val="OutcomeDescription"/>
              <w:spacing w:before="120" w:after="120"/>
              <w:rPr>
                <w:rFonts w:cs="Arial"/>
                <w:b w:val="0"/>
                <w:lang w:eastAsia="en-NZ"/>
              </w:rPr>
            </w:pPr>
            <w:r w:rsidRPr="00BE00C7">
              <w:rPr>
                <w:rFonts w:cs="Arial"/>
                <w:b w:val="0"/>
                <w:lang w:eastAsia="en-NZ"/>
              </w:rPr>
              <w:t>All components of the residents’ records reviewed include the residents’ unique identifiers. The clinical records are integrated and include information such as medical notes, assessment information and reports from other health professionals. Medication charts are kept separate from residents’ files. Resident files and medication charts are accessed by authorised personnel only.</w:t>
            </w:r>
          </w:p>
          <w:p w:rsidR="00EB7645" w:rsidRPr="00BE00C7" w:rsidP="00BE00C7">
            <w:pPr>
              <w:pStyle w:val="OutcomeDescription"/>
              <w:spacing w:before="120" w:after="120"/>
              <w:rPr>
                <w:rFonts w:cs="Arial"/>
                <w:b w:val="0"/>
                <w:lang w:eastAsia="en-NZ"/>
              </w:rPr>
            </w:pPr>
            <w:r w:rsidRPr="00BE00C7">
              <w:rPr>
                <w:rFonts w:cs="Arial"/>
                <w:b w:val="0"/>
                <w:lang w:eastAsia="en-NZ"/>
              </w:rPr>
              <w:t>Residents’ progress notes are completed on every shift, detailing resident response to service provision and progress towards identified goals. Entries made by the service providers in the progress notes identify the name and designation of the person making the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This was verified with copies of the authority and approval being kept in each resident’s individual record reviewed. Prospective residents and/or their families are encouraged to visit the facility prior to admission and meet with the business and care manager (BCM). This was observed during the audit. The residents/family/representative are also provided with written information about the service and the admission process. The organisation seeks updates and information from the NASC Service and/or the general practitioner for residents accessing respite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Resident records reviewed contained demographic detail and assessments completed. Signed and dated resident admission agreements are held separately as per Oceania policy in the BCM’s office and are locked in a filing cabinet. Legislative and contractual requirements are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services uses the DHBs ‘yellow envelope’ system to facilitate a transfer to the DHB to and from acute services. An escort is arranged as necessary. A copy of the medication record and the information record of the resident is also included in the envelope at the time of transfer. Exit, discharge or transfer is managed in a planned and coordinated manner by the registered nurses. The GP commented during interview on this process and was satisfied with the care provided by staff. Staff demonstrated open communication between all services, the resident and the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The service is using an electronic medication management system which was observed in the dementia unit on the day of the audit. The staff observed demonstrated knowledge and a clear understanding of the role and responsibilities related to each stage of medicine management. All staff who administer medicines are competent to perform the function they manage.</w:t>
            </w:r>
          </w:p>
          <w:p w:rsidR="00EB7645" w:rsidRPr="00BE00C7" w:rsidP="00BE00C7">
            <w:pPr>
              <w:pStyle w:val="OutcomeDescription"/>
              <w:spacing w:before="120" w:after="120"/>
              <w:rPr>
                <w:rFonts w:cs="Arial"/>
                <w:b w:val="0"/>
                <w:lang w:eastAsia="en-NZ"/>
              </w:rPr>
            </w:pPr>
            <w:r w:rsidRPr="00BE00C7">
              <w:rPr>
                <w:rFonts w:cs="Arial"/>
                <w:b w:val="0"/>
                <w:lang w:eastAsia="en-NZ"/>
              </w:rPr>
              <w:t>Medication is supplied from a contracted pharmacy in a pre-packaged format. These medications are checked by the receiving registered nurses in each service, against the prescription. Clinical pharmacy audits are performed six monthly by the contracted pharmacy. No medications sighted were out of date. A system for return of medicines to pharmacy is in place.</w:t>
            </w:r>
          </w:p>
          <w:p w:rsidR="00EB7645" w:rsidRPr="00BE00C7" w:rsidP="00BE00C7">
            <w:pPr>
              <w:pStyle w:val="OutcomeDescription"/>
              <w:spacing w:before="120" w:after="120"/>
              <w:rPr>
                <w:rFonts w:cs="Arial"/>
                <w:b w:val="0"/>
                <w:lang w:eastAsia="en-NZ"/>
              </w:rPr>
            </w:pPr>
            <w:r w:rsidRPr="00BE00C7">
              <w:rPr>
                <w:rFonts w:cs="Arial"/>
                <w:b w:val="0"/>
                <w:lang w:eastAsia="en-NZ"/>
              </w:rPr>
              <w:t>Drugs are stored securely in the hospital in accordance with requirements. The drugs are checked weekly by two registered nurses where appropriate and this documented in red ink in the drug register reviewed. Six month stock checks are completed and a stamp is used to verify this check and balances are correct.</w:t>
            </w:r>
          </w:p>
          <w:p w:rsidR="00EB7645" w:rsidRPr="00BE00C7" w:rsidP="00BE00C7">
            <w:pPr>
              <w:pStyle w:val="OutcomeDescription"/>
              <w:spacing w:before="120" w:after="120"/>
              <w:rPr>
                <w:rFonts w:cs="Arial"/>
                <w:b w:val="0"/>
                <w:lang w:eastAsia="en-NZ"/>
              </w:rPr>
            </w:pPr>
            <w:r w:rsidRPr="00BE00C7">
              <w:rPr>
                <w:rFonts w:cs="Arial"/>
                <w:b w:val="0"/>
                <w:lang w:eastAsia="en-NZ"/>
              </w:rPr>
              <w:t>The medicine fridges are checked and temperatures are recorded daily. Temperatures were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The electronic system is password access only. All allergies are documented in red or any other alerts as required. The three monthly review is consistently recorded and this was verified in the sample of residents medication records reviewed. Prescribing in line with best practice was noted, including the management for pro re nata (PRN) medicines.</w:t>
            </w:r>
          </w:p>
          <w:p w:rsidR="00EB7645" w:rsidRPr="00BE00C7" w:rsidP="00BE00C7">
            <w:pPr>
              <w:pStyle w:val="OutcomeDescription"/>
              <w:spacing w:before="120" w:after="120"/>
              <w:rPr>
                <w:rFonts w:cs="Arial"/>
                <w:b w:val="0"/>
                <w:lang w:eastAsia="en-NZ"/>
              </w:rPr>
            </w:pPr>
            <w:r w:rsidRPr="00BE00C7">
              <w:rPr>
                <w:rFonts w:cs="Arial"/>
                <w:b w:val="0"/>
                <w:lang w:eastAsia="en-NZ"/>
              </w:rPr>
              <w:t>There are no residents who self-administer medications at the time of the audit. Appropriate processes are in place to ensure this is managed in a safe manner, should it be needed.</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are reported to the clinical manager and recorded on an incident form as per protocol. The resident and/or the designated representative would be advised should an error occur. There is a process for comprehensive analysis of any medication errors and compliance with this process was verified.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food service operations policies, guidelines and appendices were current. Job descriptions for the executive chef and assistants are clearly documented in the manual to guide staff. The food service is provided on site by the executive chef and kitchen team and is line with recognised nutritional guidelines for older people. The menu is reviewed by the organisation’s national dietitian and this has been completed in the last two years. Any recommendations made at the time have been implemented. The service has a summer and winter menu. The daily menu is documented on the whiteboard in the dining rooms in each service areas. Special events are catered for such as the ‘mid-winter Christmas lunch’ on the day of the audit.</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Ministry of Primary Industries. Food temperatures, including high risk items, are monitored appropriately and recorded as part of the plan. The executive chef and eight of ten staff have completed all food safety and hand hygiene requirements including NZQA recognised qualifications. The two staff who have not completed the food safety course have recently been employed and have completed orientation for working in the kitchen. Certificates are displayed on the kitchen education board.</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nurses perform a nutritional assessment for each resident on admission to the facility and a dietary profile is developed. A copy is given to the executive chef and a copy is retained in the resident’s individual record. The personal preferences, any special diets and modified texture requirements are made known to kitchen staff and accommodated in the daily meal plan. Residents in the secure unit have access to food and fluids to meet their nutritional needs at all times. Special equipment and resources to meet resident’s nutritional needs is readily available.</w:t>
            </w:r>
          </w:p>
          <w:p w:rsidR="00EB7645" w:rsidRPr="00BE00C7" w:rsidP="00BE00C7">
            <w:pPr>
              <w:pStyle w:val="OutcomeDescription"/>
              <w:spacing w:before="120" w:after="120"/>
              <w:rPr>
                <w:rFonts w:cs="Arial"/>
                <w:b w:val="0"/>
                <w:lang w:eastAsia="en-NZ"/>
              </w:rPr>
            </w:pPr>
            <w:r w:rsidRPr="00BE00C7">
              <w:rPr>
                <w:rFonts w:cs="Arial"/>
                <w:b w:val="0"/>
                <w:lang w:eastAsia="en-NZ"/>
              </w:rPr>
              <w:t>There is sufficient staff on duty in the dining rooms at meal times to ensure assistance is available to residents as needed. Resident satisfaction with meals was evidenced in the resident/family satisfaction survey completed annually and confirmed during interviews with the executive chef, activities coordinators, residents and family members.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at the time, the local NASC is advised to ensure the prospective resident and family are supported to find an appropriate care alternative. When the needs of a resident change, a referral for reassessment to the NASC is made and a new placement found in consultation with the resident and whānau/family.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documented using validated recognised nursing assessment tools such as the Abbey Pain Scale, Braden Scale, fall risk, skin integrity, nutritional screening and nutritional supplement screening and depression scale as means to identify any deficits and to inform care planning. The sample of PCCPs reviewed have an integrated range of resident related information. All residents have current interRAI assessments completed by one of nine registered nurses who are trained interRAI assessors on 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PCCPs reflected the support needs of residents and the outcomes of the integrated assessment process and other relevant clinical information. The PCCPs evidence service integration with the progress records, activities records, medical and allied health professional’s notations clearly documented, informative and relevant. Any change in care required is documented and verbally passed on to staff concerned. Resident and families reported participation in the development and ongoing evaluation of the care plans. The PCCPs are signed by family/resident and staff who have assisted in the care of the resident, for example, the activities coordinator, the physiotherapist, healthcare assistant and the registered nurse evaluating the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to residents was consistent with their needs, goals and the plan of care. The attention to meeting a diverse range of resident’s individualised needs was evident in all areas of service provision. The GP interviewed, verified medical input is sought in a timely manner, medical orders are followed, and care is well managed. Registered nurses and healthcare assistants interviewed confirmed that care was provided as outlined in the documentation. A range of equipment and resources were available, suited to the level of care provided and in accordance with the residents’ identified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currently by two activities coordinators. A diversional therapist has been employed and will be commencing the role as per the roster sighted. The activities coordinators interviewed discussed the recreational assessment which is completed when residents are admitted. The purpose of the recreational assessment is to ascertain residents’ needs, interests, abilities and social requirements. Activities assessments are regularly reviewed to help formulate an activities programme/calendar that is meaningful to the residents. The residents’ activity needs are evaluated six monthly or more often if required.</w:t>
            </w:r>
          </w:p>
          <w:p w:rsidR="00EB7645" w:rsidRPr="00BE00C7" w:rsidP="00BE00C7">
            <w:pPr>
              <w:pStyle w:val="OutcomeDescription"/>
              <w:spacing w:before="120" w:after="120"/>
              <w:rPr>
                <w:rFonts w:cs="Arial"/>
                <w:b w:val="0"/>
                <w:lang w:eastAsia="en-NZ"/>
              </w:rPr>
            </w:pPr>
            <w:r w:rsidRPr="00BE00C7">
              <w:rPr>
                <w:rFonts w:cs="Arial"/>
                <w:b w:val="0"/>
                <w:lang w:eastAsia="en-NZ"/>
              </w:rPr>
              <w:t>The planned weekly activities calendar sighted matches the skills, likes, dislikes and interests identified in the assessment information. The activities calendars are displayed in all services and residents receive a copy as well. Activities reflect residents’ goals, ordinary patterns of life and include normal community activities. Individual, group and one-on-one activities are offered across all services. Examples include craft activities, exercises to music, housie, newspaper reading, happy hour and sing-a-long sessions. External outings in the community are offered. Entertainment and visitors from the community make up a significant part of the activities programme reviewed.</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regularly and residents’ input is sought and responded to. Resident and family surveys demonstrated satisfaction with the programme and confirmed information is used to improve the range of activities offered. Residents interviewed stated they find the programme fun and interesting.</w:t>
            </w:r>
          </w:p>
          <w:p w:rsidR="00EB7645" w:rsidRPr="00BE00C7" w:rsidP="00BE00C7">
            <w:pPr>
              <w:pStyle w:val="OutcomeDescription"/>
              <w:spacing w:before="120" w:after="120"/>
              <w:rPr>
                <w:rFonts w:cs="Arial"/>
                <w:b w:val="0"/>
                <w:lang w:eastAsia="en-NZ"/>
              </w:rPr>
            </w:pPr>
            <w:r w:rsidRPr="00BE00C7">
              <w:rPr>
                <w:rFonts w:cs="Arial"/>
                <w:b w:val="0"/>
                <w:lang w:eastAsia="en-NZ"/>
              </w:rPr>
              <w:t>Activities for residents in the secure dementia unit are specific to the needs and abilities of the individual people living there. Activities are offered at times when residents are most physically active and/or restless. This is reflective on the 24 hour assessment wheel utilised. Adequate resources are provided by the activities coordinators to meet the needs of individual residents. The activities programme for the dementia unit had been signed off by the previous diversional therapist before they resigned from this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records. The healthcare assistants interviewed understood about reporting any changes observed to the registered nurse or the 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Formal care evaluations occur six monthly in conjunction with the six monthly interRAI reassessment or as residents’ needs change. Evaluations are documented by the registered nurse. Where progress is different than expected, the service responds by initiating changes to the PCCP. Short-term care plans were reviewed as clinically indicated and examples of short term care plans being implemented were for infections, pressure injury and wound care management. According to the degree of risk noted during the assessment process, these plans are evaluated daily, weekly or fortnightly.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There are two resident doctors but residents may choose to use another medical practitioner. The GP interviewed discussed the referral process and as required sends a referral to seek specialist input as required for a resident. Copies of referrals were reviewed in resident’s records, including referrals to inpatient services at the DHB, renal specialists, radiology, outpatient clinics and other services. The GP commented that the response to referrals at the DHB is positive and the DHB responses are received in a timely manner. Referrals are followed up as required and any appointments are noted in the communication books in each service area. The resident and family are kept well informed of the referral process. Any acute/urgent referrals are attended to immediately, such as sending a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and incidents are reported on in a timely manner. Policies and procedures specify labelling requirements in line with legislation including the requirements for labels to be clear, accessible to read and free from damage.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Material safety data sheets are available throughout the facility and accessible for staff. The hazard register is current. Staff receive training and education in safe and appropriate handling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that is appropriate to the recognized risks. During a tour of the facility, protective clothing and equipment was observed in all high-risk areas. Chemicals are stored in a designated shed with chemical hazard signs.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There have been no building modifications since the last audit, although there has been refurbishment of the facility as part of the Oceania’s facilities upgrade programme, including an upgrade to the kitchen and one of the garden courtyards.</w:t>
            </w:r>
          </w:p>
          <w:p w:rsidR="00EB7645" w:rsidRPr="00BE00C7" w:rsidP="00BE00C7">
            <w:pPr>
              <w:pStyle w:val="OutcomeDescription"/>
              <w:spacing w:before="120" w:after="120"/>
              <w:rPr>
                <w:rFonts w:cs="Arial"/>
                <w:b w:val="0"/>
                <w:lang w:eastAsia="en-NZ"/>
              </w:rPr>
            </w:pPr>
            <w:r w:rsidRPr="00BE00C7">
              <w:rPr>
                <w:rFonts w:cs="Arial"/>
                <w:b w:val="0"/>
                <w:lang w:eastAsia="en-NZ"/>
              </w:rPr>
              <w:t>There is a planned and reactive maintenance schedule implemented. The service has an annual test and tag programme and this is up to date, with checking and calibrating of clinical equipment annually. Interviews with staff and observation of the facility confirmed there is adequate equipment.</w:t>
            </w:r>
          </w:p>
          <w:p w:rsidR="00EB7645" w:rsidRPr="00BE00C7" w:rsidP="00BE00C7">
            <w:pPr>
              <w:pStyle w:val="OutcomeDescription"/>
              <w:spacing w:before="120" w:after="120"/>
              <w:rPr>
                <w:rFonts w:cs="Arial"/>
                <w:b w:val="0"/>
                <w:lang w:eastAsia="en-NZ"/>
              </w:rPr>
            </w:pPr>
            <w:r w:rsidRPr="00BE00C7">
              <w:rPr>
                <w:rFonts w:cs="Arial"/>
                <w:b w:val="0"/>
                <w:lang w:eastAsia="en-NZ"/>
              </w:rPr>
              <w:t>There are quiet areas throughout the facility for residents and visitors to meet and there are areas that provide privacy when required. There are three internal courtyards and lawns, areas with shade and outdoor table and chairs. The external areas are maintained and appropriate to the resident group and setting. The environment is conducive to the range of activities undertaken in the areas. Residents are protected from risks associated with being outside. Residents confirm they are able to move freely in and around the facility and that the accommodation meets their needs.</w:t>
            </w:r>
          </w:p>
          <w:p w:rsidR="00EB7645" w:rsidRPr="00BE00C7" w:rsidP="00BE00C7">
            <w:pPr>
              <w:pStyle w:val="OutcomeDescription"/>
              <w:spacing w:before="120" w:after="120"/>
              <w:rPr>
                <w:rFonts w:cs="Arial"/>
                <w:b w:val="0"/>
                <w:lang w:eastAsia="en-NZ"/>
              </w:rPr>
            </w:pPr>
            <w:r w:rsidRPr="00BE00C7">
              <w:rPr>
                <w:rFonts w:cs="Arial"/>
                <w:b w:val="0"/>
                <w:lang w:eastAsia="en-NZ"/>
              </w:rPr>
              <w:t>The secure unit for residents with dementia has one entrance with key pad access internally and one exit into a secure courtyard.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have an en suite bathroom. Toilets and showers are of an appropriate design. The fixtures, fittings, floors and wall surfaces are constructed from materials that can be easily cleaned. Hot water temperatures are monitored monthly and are maintained at a safe temperature.</w:t>
            </w:r>
          </w:p>
          <w:p w:rsidR="00EB7645" w:rsidRPr="00BE00C7" w:rsidP="00BE00C7">
            <w:pPr>
              <w:pStyle w:val="OutcomeDescription"/>
              <w:spacing w:before="120" w:after="120"/>
              <w:rPr>
                <w:rFonts w:cs="Arial"/>
                <w:b w:val="0"/>
                <w:lang w:eastAsia="en-NZ"/>
              </w:rPr>
            </w:pPr>
            <w:r w:rsidRPr="00BE00C7">
              <w:rPr>
                <w:rFonts w:cs="Arial"/>
                <w:b w:val="0"/>
                <w:lang w:eastAsia="en-NZ"/>
              </w:rPr>
              <w:t>Communal toilets have a system that indicates if it they are vacant or occupied. Appropriately secured and approved handrails are provided along with other equipment/accessories that are required to promote resident independence.</w:t>
            </w:r>
          </w:p>
          <w:p w:rsidR="00EB7645" w:rsidRPr="00BE00C7" w:rsidP="00BE00C7">
            <w:pPr>
              <w:pStyle w:val="OutcomeDescription"/>
              <w:spacing w:before="120" w:after="120"/>
              <w:rPr>
                <w:rFonts w:cs="Arial"/>
                <w:b w:val="0"/>
                <w:lang w:eastAsia="en-NZ"/>
              </w:rPr>
            </w:pPr>
            <w:r w:rsidRPr="00BE00C7">
              <w:rPr>
                <w:rFonts w:cs="Arial"/>
                <w:b w:val="0"/>
                <w:lang w:eastAsia="en-NZ"/>
              </w:rPr>
              <w:t>Auditors observed residents being supported to access communal toilets and showers, in ways that are respectful and dignified.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personal space provided in all bedrooms to allow residents and staff to move around within the room safely. Equipment was sighted in rooms with sufficient space for the equipment, staff and the resident. </w:t>
            </w:r>
          </w:p>
          <w:p w:rsidR="00EB7645" w:rsidRPr="00BE00C7" w:rsidP="00BE00C7">
            <w:pPr>
              <w:pStyle w:val="OutcomeDescription"/>
              <w:spacing w:before="120" w:after="120"/>
              <w:rPr>
                <w:rFonts w:cs="Arial"/>
                <w:b w:val="0"/>
                <w:lang w:eastAsia="en-NZ"/>
              </w:rPr>
            </w:pPr>
            <w:r w:rsidRPr="00BE00C7">
              <w:rPr>
                <w:rFonts w:cs="Arial"/>
                <w:b w:val="0"/>
                <w:lang w:eastAsia="en-NZ"/>
              </w:rPr>
              <w:t>Rooms are personalised with furnishings, photos and other personal adornments and the service encourages residents to make the suite their own. There are designated areas to store mobility aids, hoists and wheelchairs.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lounge/dining areas including areas that can be used for activities. All areas are easily accessed by residents and staff. Residents can access areas for privacy, if required. Furniture is appropriate to the setting and arranged in a manner which enables residents to mobilise freely. </w:t>
            </w:r>
          </w:p>
          <w:p w:rsidR="00EB7645" w:rsidRPr="00BE00C7" w:rsidP="00BE00C7">
            <w:pPr>
              <w:pStyle w:val="OutcomeDescription"/>
              <w:spacing w:before="120" w:after="120"/>
              <w:rPr>
                <w:rFonts w:cs="Arial"/>
                <w:b w:val="0"/>
                <w:lang w:eastAsia="en-NZ"/>
              </w:rPr>
            </w:pPr>
            <w:r w:rsidRPr="00BE00C7">
              <w:rPr>
                <w:rFonts w:cs="Arial"/>
                <w:b w:val="0"/>
                <w:lang w:eastAsia="en-NZ"/>
              </w:rPr>
              <w:t>The dining areas have ample space for residents. Residents can choose to have their meals in their room. The dementia unit has its own dining room and lounge area, with residents in the dementia unit encouraged to join in some activities held in the main hospital/rest home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policies and procedures are documented and implemented. </w:t>
            </w:r>
          </w:p>
          <w:p w:rsidR="00EB7645" w:rsidRPr="00BE00C7" w:rsidP="00BE00C7">
            <w:pPr>
              <w:pStyle w:val="OutcomeDescription"/>
              <w:spacing w:before="120" w:after="120"/>
              <w:rPr>
                <w:rFonts w:cs="Arial"/>
                <w:b w:val="0"/>
                <w:lang w:eastAsia="en-NZ"/>
              </w:rPr>
            </w:pPr>
            <w:r w:rsidRPr="00BE00C7">
              <w:rPr>
                <w:rFonts w:cs="Arial"/>
                <w:b w:val="0"/>
                <w:lang w:eastAsia="en-NZ"/>
              </w:rPr>
              <w:t>Linen service is conducted at another Oceania facility. There are processes in place for collection, transportation and delivery of linen and residents’ personal clothing. The effectiveness of the cleaning and laundry services is audited via the internal audit programme. The cleaner was able to articulate the cleaning processes in line with policy during interview.</w:t>
            </w:r>
          </w:p>
          <w:p w:rsidR="00EB7645" w:rsidRPr="00BE00C7" w:rsidP="00BE00C7">
            <w:pPr>
              <w:pStyle w:val="OutcomeDescription"/>
              <w:spacing w:before="120" w:after="120"/>
              <w:rPr>
                <w:rFonts w:cs="Arial"/>
                <w:b w:val="0"/>
                <w:lang w:eastAsia="en-NZ"/>
              </w:rPr>
            </w:pPr>
            <w:r w:rsidRPr="00BE00C7">
              <w:rPr>
                <w:rFonts w:cs="Arial"/>
                <w:b w:val="0"/>
                <w:lang w:eastAsia="en-NZ"/>
              </w:rPr>
              <w:t>There are safe and secure storage areas, and staff have appropriate and adequate access to these areas as required. Chemicals are labelled and stored safely within these areas. Sluice rooms are available for the disposal of soiled water/waste. Hand washing facilities are available throughout the facility.</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stated they were satisfied with the cleaning service. The business and care manager stated there are areas requiring improvement around the laundry service and corrective actions are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systems are in place for essential, emergency and security services. Policy and procedures documenting service provider/contractor identification requirements along with policy/procedures for visitor identification are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New Zealand Fire Service letter approving the fire evacuation scheme dated 2013 was sighted. Trial evacuations are held six monthly. Emergency and security management education is provided at orientation and as part of the in-service education programme. Information in relation to emergency and security situations is readily available/displayed for staff and residents. The emergency equipment is accessible, stored correctly, current and stocked to a level appropriate to the service setting. </w:t>
            </w:r>
          </w:p>
          <w:p w:rsidR="00EB7645" w:rsidRPr="00BE00C7" w:rsidP="00BE00C7">
            <w:pPr>
              <w:pStyle w:val="OutcomeDescription"/>
              <w:spacing w:before="120" w:after="120"/>
              <w:rPr>
                <w:rFonts w:cs="Arial"/>
                <w:b w:val="0"/>
                <w:lang w:eastAsia="en-NZ"/>
              </w:rPr>
            </w:pPr>
            <w:r w:rsidRPr="00BE00C7">
              <w:rPr>
                <w:rFonts w:cs="Arial"/>
                <w:b w:val="0"/>
                <w:lang w:eastAsia="en-NZ"/>
              </w:rPr>
              <w:t>There is a call bell system in place that is used by the residents, family and staff members to summon assistance, when required. Call bells are available in all resident areas. Call bells are monitored by the maintenance staff monthly. Residents confirmed they have a call bell system in place, which is accessible and staff respond to it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Procedures are in place to ensure the service is responsive to resident feedback in relation to heating and ventilation, wherever practicable. Residents and family confirmed the facility is maintained at an appropriate temperature. Residents are provided with adequate natural light, safe ventilation, and an environment that is maintained at a safe and comfortable temperature. There are safe designated smoking areas for the staff and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by the implementation of an appropriate infection prevention and control programme. The organisation has a comprehensive and current infection prevention and control manual which was reviewed in March 2017 and is available to guide staff.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A registered nurse is the designated infection control nurse, whose role and responsibilities are defined in a job description. All infection control matters, including surveillance results, are reported monthly to the clinical manager and tabled at the quality and staff meetings. The infection prevention and control committee includes the infection control nurse and representatives from all service areas.</w:t>
            </w:r>
          </w:p>
          <w:p w:rsidR="00EB7645" w:rsidRPr="00BE00C7" w:rsidP="00BE00C7">
            <w:pPr>
              <w:pStyle w:val="OutcomeDescription"/>
              <w:spacing w:before="120" w:after="120"/>
              <w:rPr>
                <w:rFonts w:cs="Arial"/>
                <w:b w:val="0"/>
                <w:lang w:eastAsia="en-NZ"/>
              </w:rPr>
            </w:pPr>
            <w:r w:rsidRPr="00BE00C7">
              <w:rPr>
                <w:rFonts w:cs="Arial"/>
                <w:b w:val="0"/>
                <w:lang w:eastAsia="en-NZ"/>
              </w:rPr>
              <w:t>IPC signage is used at the main entrance to the facility as required especially in the winter months or if there is an infection outbreak at the facility. The infection control manual provides guidance for staff about how long they must stay away from work if they are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has appropriate skills, knowledge and qualifications for the role, and been in this role for one year. The infection control nurse has attended relevant study days and has completed the Ministry of Health online infection prevention and control training and the certificate was sighted. Well established local networks with the infection control team at the DHB are available as well as expert advice from the local laboratory and GP if required. The infection control nurse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nurse confirmed the availability of resources to support the programme and manage any outbreak of an infection. There have been no infection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were last reviewed March 2017 and include appropriate referencing. Staff were observed following organisational policies such as use of appropriate hand sanitizers, good hand-washing techniques and use of disposable personal protective equipment such as gloves, aprons and hats appropriate for the setting. Hand washing and sanitizer dispensers are readily available around the facility in all areas of service provision.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Priorities for staff education are outlined in the infection control programme annual plan. Interviews, observation and documentation verified staff have received education in infection prevention and control at orientation/induction and ongoing education sessions. Education is provided by suitably qualified registered nurses, and the infection control nurse. The infection control nurse reported that one of the infection control nurse specialists from the DHB provides education on a regular basis for staff and oversees this facility as part of the community service provided by the DHB. Content of the training is documented and attendance records are maintained. The training is evaluated to ensure it is relevant, current and understood.</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one-on-one basis and has included reminders mostly about hand washing or advice about staying in their own room if they are unwell.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minimisation management in the facility. The restraint coordinator attended training as evidenced by certificates in the restraint manual. The clinical manager, a senior registered nurse and the quality care manager for the service were interviewed and demonstrated a sound understanding of the organisation’s policies, procedures and practice, roles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four residents were using restraints and four were using enablers which were the least restrictive and used voluntarily at their request. A similar process for the use of restraints is used for enablers. This provides for a robust process which ensures the ongoing safety and wellbeing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restraint records of those residents who have approved restraints and from interviews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made up of the restraint coordinator, another registered nurse, the GP and the clinical manager, are responsible for the approval of the use of restraints and the restraint processes as defined in policy. The Oceania Restraint Minimisation and Safe Practice Handbook and policies. It was evident from review of restraint approval minutes, review of residents’ records and interview with staff, that there are clear lines of accountability, all restraints have been approved and the overall use of restraints is being monitored and analysed.</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family/enduring power of attorney or representatives involved in the decision making, as is required by the organisation’s policies and procedures, was on file in each case. Use of a restraint or an enabler is included in the care planning process and documented in the PCCPs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in the requirements of the standard. The initial assessment is undertaken by the registered nurse with the restraint coordinator’s involvement, and input from the resident’s family/whānau/enduring power of attorney. The staff interviewed described the documented process. Families interviewed confirmed their involvement. The general practitioner has involvement in the final decision on the safety of the use of the restraint. The assessment process identified the underlying aetiology, history of restraint use, cultural considerations, alternatives and associated risks. A new form was introduced March 2017 for enabler assessments called the ‘enabler assessment authorisation and plan’. The desired outcome was to ensure the residents’ safety and security. Completed assessments were sighted in the records of residents who were using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restraints is actively minimised. The staff interviewed explained how the resident can be safely supported and other suitable alternatives can be introduced such as use of low beds and sensor mats. These options are explored before the use of a restraint is implemented. When restraints are in use, frequent monitoring occurs to ensure the resident remains safe. Records reviewed contained the necessary details, access to advocacy is provided if requested and all processes ensure respect, dignity and privacy is maintained. This is included in the PCCP under restraint/enabler use. Monitoring forms reviewed recorded that this has occurred.</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updated every two months and reviewed at each restraint approval group meeting. The register was reviewed and contained all residents currently using a restraint/enabler and sufficient information is recorded to provide an auditable record.</w:t>
            </w:r>
          </w:p>
          <w:p w:rsidR="00EB7645" w:rsidRPr="00BE00C7" w:rsidP="00BE00C7">
            <w:pPr>
              <w:pStyle w:val="OutcomeDescription"/>
              <w:spacing w:before="120" w:after="120"/>
              <w:rPr>
                <w:rFonts w:cs="Arial"/>
                <w:b w:val="0"/>
                <w:lang w:eastAsia="en-NZ"/>
              </w:rPr>
            </w:pPr>
            <w:r w:rsidRPr="00BE00C7">
              <w:rPr>
                <w:rFonts w:cs="Arial"/>
                <w:b w:val="0"/>
                <w:lang w:eastAsia="en-NZ"/>
              </w:rPr>
              <w:t>All staff have undertaken training as part of the orientation/induction process. Healthcare assistants have all received training at the organisations ‘grow, educate and motivate’ (GEM) study days provided annually. Registered nurses received training at the study days for enrolled and registered nurses. The dates were evidenced on the training calendar and training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residents’ records evidenced the individual use of restraints is reviewed and evaluated during the six monthly PCCP and interRAI reviews, six monthly restraint evaluations and at the restraint approval group meetings. Families interviewed confirmed their involvement in the evaluation process and their satisfaction with the restraint process.</w:t>
            </w:r>
          </w:p>
          <w:p w:rsidR="00EB7645" w:rsidRPr="00BE00C7" w:rsidP="00BE00C7">
            <w:pPr>
              <w:pStyle w:val="OutcomeDescription"/>
              <w:spacing w:before="120" w:after="120"/>
              <w:rPr>
                <w:rFonts w:cs="Arial"/>
                <w:b w:val="0"/>
                <w:lang w:eastAsia="en-NZ"/>
              </w:rPr>
            </w:pPr>
            <w:r w:rsidRPr="00BE00C7">
              <w:rPr>
                <w:rFonts w:cs="Arial"/>
                <w:b w:val="0"/>
                <w:lang w:eastAsia="en-NZ"/>
              </w:rPr>
              <w:t>The evaluation includes all requirements of the standard, including future options to eliminate restraint use, the impact and outcomes achieved, if the policy and procedure was followed and if documentation was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committee undertakes a six monthly review of all restraint use which includes all requirements of the standard. Six monthly restraint meetings and reports are completed and individual use of restraint use is reported to the quality and staff meetings. The clinical manager reports monthly key performance indicators to the business and care manager who reports onto the organisation’s support office. Minutes of meetings include analysis and evaluation of the amount and type of restraint use in the facility, whether alternatives to restraint have been considered, the effectiveness of the restraint use, the competency of staff, the appropriateness of restraint/enabler education and feedback from the doctors, staff and families. A six-monthly internal audit is carried out also informs these meetings. Any changes to policies, guidelines, education and processes are implemented if indicated. Data reviewed, minutes and interviews with the clinical manger, registered nurses and the clinical and quality manager, confirmed the use of restraint has been greatly reduced and maintained.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Addington Lifestyle Care</w:t>
    </w:r>
    <w:bookmarkEnd w:id="58"/>
    <w:r>
      <w:rPr>
        <w:rFonts w:cs="Arial"/>
        <w:sz w:val="16"/>
        <w:szCs w:val="20"/>
      </w:rPr>
      <w:tab/>
      <w:t xml:space="preserve">Date of Audit: </w:t>
    </w:r>
    <w:bookmarkStart w:id="59" w:name="AuditStartDate1"/>
    <w:r>
      <w:rPr>
        <w:rFonts w:cs="Arial"/>
        <w:sz w:val="16"/>
        <w:szCs w:val="20"/>
      </w:rPr>
      <w:t>11 July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