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Glenwood Masonic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Glenwood Masonic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July 2017</w:t>
      </w:r>
      <w:bookmarkEnd w:id="7"/>
      <w:r w:rsidRPr="009418D4">
        <w:rPr>
          <w:rFonts w:cs="Arial"/>
        </w:rPr>
        <w:tab/>
        <w:t xml:space="preserve">End date: </w:t>
      </w:r>
      <w:bookmarkStart w:id="8" w:name="AuditEndDate"/>
      <w:r w:rsidR="00A4268A">
        <w:rPr>
          <w:rFonts w:cs="Arial"/>
        </w:rPr>
        <w:t>31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Glenwood Masonic Hospital provides residential care for up to 54 residents who require rest home and hospital level care. On the day of audit 44 beds were occupied.  The service is managed by a facility manager and an acting clinical nurse leader.  Residents and families interviewed spoke positively about the care provided.</w:t>
      </w:r>
    </w:p>
    <w:p w:rsidRPr="00A4268A">
      <w:pPr>
        <w:spacing w:before="240" w:line="276" w:lineRule="auto"/>
        <w:rPr>
          <w:rFonts w:eastAsia="Calibri"/>
        </w:rPr>
      </w:pPr>
      <w:r w:rsidRPr="00A4268A">
        <w:rPr>
          <w:rFonts w:eastAsia="Calibri"/>
        </w:rPr>
        <w:t>This unannounced surveillance audit has been undertaken to establish compliance with specified parts of the Health and Disability Services Standards and the district health board contract.  The audit process included review of policies and procedures, review of residents’ and staff files, observations and interviews with residents, families, management, staff and a nurse practitioner.</w:t>
      </w:r>
    </w:p>
    <w:p w:rsidRPr="00A4268A">
      <w:pPr>
        <w:spacing w:before="240" w:line="276" w:lineRule="auto"/>
        <w:rPr>
          <w:rFonts w:eastAsia="Calibri"/>
        </w:rPr>
      </w:pPr>
      <w:r w:rsidRPr="00A4268A">
        <w:rPr>
          <w:rFonts w:eastAsia="Calibri"/>
        </w:rPr>
        <w:t>The previous requirement relating to initial assessments and care plans not being developed within the required timeframes has been addressed. There are no areas that requires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residents’ rights, access to interpreter services and how to lodge a complaint is available to residents and their families.  The complaints register is current and all complaints have been entered. Residents and their families reported their satisfaction with the open communication with staff.</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and quality and risk management systems are fully implemented and documented scope, direction, goals, values, and a mission statement were reviewed. Systems are in place for monitoring the service provided including regular reporting by the facility manager to the chief executive officer.</w:t>
      </w:r>
    </w:p>
    <w:p w:rsidRPr="00A4268A">
      <w:pPr>
        <w:spacing w:before="240" w:line="276" w:lineRule="auto"/>
        <w:rPr>
          <w:rFonts w:eastAsia="Calibri"/>
        </w:rPr>
      </w:pPr>
      <w:r w:rsidRPr="00A4268A">
        <w:rPr>
          <w:rFonts w:eastAsia="Calibri"/>
        </w:rPr>
        <w:t xml:space="preserve">The facility is managed by an experienced and suitably qualified facility manager.  The facility manager is a registered nurse and is supported by an acting clinical nurse leader/registered nurse. The clinical nurse leader is responsible for oversight of the clinical service. </w:t>
      </w:r>
    </w:p>
    <w:p w:rsidRPr="00A4268A">
      <w:pPr>
        <w:spacing w:before="240" w:line="276" w:lineRule="auto"/>
        <w:rPr>
          <w:rFonts w:eastAsia="Calibri"/>
        </w:rPr>
      </w:pPr>
      <w:r w:rsidRPr="00A4268A">
        <w:rPr>
          <w:rFonts w:eastAsia="Calibri"/>
        </w:rPr>
        <w:t>Quality improvement data is collected, collated, analysed to identify trends and reported back to staff. There is an internal audit programme in place and internal audits have been completed.  Corrective action plans have been developed to address areas identified as requiring improvement. Risks have been identified and the hazard register is up to date.  Adverse events are documented on accident/incident forms.</w:t>
      </w:r>
    </w:p>
    <w:p w:rsidRPr="00A4268A">
      <w:pPr>
        <w:spacing w:before="240" w:line="276" w:lineRule="auto"/>
        <w:rPr>
          <w:rFonts w:eastAsia="Calibri"/>
        </w:rPr>
      </w:pPr>
      <w:r w:rsidRPr="00A4268A">
        <w:rPr>
          <w:rFonts w:eastAsia="Calibri"/>
        </w:rPr>
        <w:t>Policies and procedures on human resources management are followed. Current annual practising certificates for health professionals who require them were on file.  An in-service education programme for staff via on-line learning and other training sessions is provided. Staff are also encouraged to complete the New Zealand Qualifications Authority Unit Standards. Review of staff records evidenced individual education records are maintained.</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and acting clinical nurse leader are rostered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Registered nurses are on duty 24 hours each day in the facility and are supported by care and allied health staff, a designated general practitioner and a nurse practitioner.  On call arrangements for support from senior staff are in place.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overseen by a diversional therapist,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A food control plan and policies guide food service delivery, supported by staff with food safety qualifications. The kitchen was well organised, clean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Building and plant complies with legislation.  A current building warrant of fitness is displayed. There have been no alterations to the building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for restraint minimisation and safe practice are in place. There are currently residents safely </w:t>
      </w:r>
    </w:p>
    <w:p w:rsidRPr="00A4268A">
      <w:pPr>
        <w:spacing w:before="240" w:line="276" w:lineRule="auto"/>
        <w:rPr>
          <w:rFonts w:eastAsia="Calibri"/>
        </w:rPr>
      </w:pPr>
      <w:r w:rsidRPr="00A4268A">
        <w:rPr>
          <w:rFonts w:eastAsia="Calibri"/>
        </w:rPr>
        <w:t>using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4"/>
        <w:gridCol w:w="1280"/>
        <w:gridCol w:w="10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complaints and there are appropriate systems in place to manage the complaints processes. A complaints register is maintained that included 14 complaints since the previous audit. These were managed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Complaints policies and procedures are compliant with Right 10 of the Code of Health and Disability Services Consumers’ Rights (the Code) . Systems are in place to ensure residents and their family are advised on entry to the facility of the complaint processes and the Code. Residents and families demonstrated an understanding and awareness of these processes. The complaints process was readily accessible and/or displayed.  Review of quality and staff meeting minutes provided evidence of reporting of any complaints to staff.  Care staff confirmed this information is reported to them via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FM advised there have been no investigations by outside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evidence of open disclosure and effective communication with residents and families. Communication was documented in family communication sheets, on the accident/incident forms and in the residents’ progress notes. Evidence was sighed of resident and family input into the care planning process. Family members stated they were informed in a timely manner about any changes to the resident’s status. A quarterly newsletter is also provided to residents and families that keep them up to date with news at Glenwood Hospital.</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advised there is a list of interpreters at the facility. Interpreter services can also be accessed from the local DHB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board of trustees who meet 11 times throughout the year.  A strategic business plan for the group includes a scope, direction, goals of the organisation, values, and a mission statement as well as the monitoring and reporting processes against these systems. Glenwood Hospital has a business plan with specific goals. The groups facility managers meet quarterly with the CEO and a wide range of topics are discussed.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and mission statement are in an understandable form and are available to residents and their family / representative and other services involved in referring people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CEO discuss the service at least weekly and meet on site regularly. The FM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who is a registered nurse, has extensive experience in the aged care sector and has been in this position since June 2015. The facility manager is supported by an acting clinical nurse leader who is a registered nurse and was appointed to their current position in October 2016. Prior to this appointment the acting clinical nurse leader (ACNL) was a RN on the floor at Glenwood Hospital.  The ACNL is responsible for oversight of clinical care. Interview of the FM and ACNL and review of their personal files evidenced they have undertaken on-going education in relevant areas. </w:t>
            </w:r>
          </w:p>
          <w:p w:rsidR="00EB7645" w:rsidRPr="00BE00C7" w:rsidP="00BE00C7">
            <w:pPr>
              <w:pStyle w:val="OutcomeDescription"/>
              <w:spacing w:before="120" w:after="120"/>
              <w:rPr>
                <w:rFonts w:cs="Arial"/>
                <w:b w:val="0"/>
                <w:lang w:eastAsia="en-NZ"/>
              </w:rPr>
            </w:pPr>
            <w:r w:rsidRPr="00BE00C7">
              <w:rPr>
                <w:rFonts w:cs="Arial"/>
                <w:b w:val="0"/>
                <w:lang w:eastAsia="en-NZ"/>
              </w:rPr>
              <w:t>The care planning policy includes the requirement for interRAI assessments. Seven of the nine RNs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Glenwood Hospital is certified to provide hospital and rest home level care.  There were 25 hospital level care residents and 18 rest home level care residents. This includes six residents under the ‘Occupational Right Agreement’ (ORA) and three residents under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contracts with the DHB to provide Aged Related Residential Care, ‘Health Recovery Programme’, ‘Long Term Support – Chronic Health Conditions’ ‘Residential Care for Palliative Care Patients’ and ‘Respite Services’. Contracts are also held with the Ministry of Health and ACC for the three residents under the age of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is used to guide the quality programme.  Purpose, goals and objectives and scope are included in the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was completed in 2017 and results indicated that residents and families were satisfied to very satisfied with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Completed audits for 2017, clinical indicators and quality improvement data was recorded on various registers and forms.  Review of the quality improvement data provided evidence the data was being collected, collated, and analysed to identify trends and corrective actions are developed, implemented and evaluated. Quality data is benchmarked including graphs, by an external agency and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Management, quality (including infection control, health and safety and restraint), staff and RN/EN meetings are held monthly and minutes were reviewed. The FM and quality coordinator stated quality data is discussed at the various meetings.  There was documented evidence of reporting on various clinical indicators and quality and risk issues in these meetings.  Staff reported that copies of meeting minutes and graphs are available for them to review in the handover room.  This was confirmed by observations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 current accepted good practice, and reference legislative requirements.  Policies / procedures are reviewed and were current.  Staff confirmed they are advised of updated policies and that the policies and procedures provided appropriate guidance for the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manual is available.  Risks are identified, and there is a hazard register that identifies health and safety risks as well as risks associated with human resources management, legislative compliance, contractual risks and clinical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documenting adverse, unplanned or untoward events on an accident/incident form. The ACNL and FM review these and the quality coordinator is responsible for inputing the data electronically.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condition.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The FM stated they are aware of essential notification reporting to external agencies. Staff stated they are made aware of their essential notification responsibilities through job descriptions, policies and procedures, and professional codes of conduct. Review of staff files confirmed this. Policy and procedures comply with essential notification reporting. The FM reported there have been essential notifications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human resources management.  Annual practising certificates for all health professionals who require them were current.  The skills and knowledge required for each position was documented in job descriptions which outline accountability, responsibilities and authority. These were reviewed along with employment agreements, confidentiality statements, professional boundaries guidelines and acceptable behaviour in the workforce.  Individual records of education were maintained for each staff member and were reviewed. Staff files evidenced reference checking and police vetting have been undertaken prior to employment.</w:t>
            </w:r>
          </w:p>
          <w:p w:rsidR="00EB7645" w:rsidRPr="00BE00C7" w:rsidP="00BE00C7">
            <w:pPr>
              <w:pStyle w:val="OutcomeDescription"/>
              <w:spacing w:before="120" w:after="120"/>
              <w:rPr>
                <w:rFonts w:cs="Arial"/>
                <w:b w:val="0"/>
                <w:lang w:eastAsia="en-NZ"/>
              </w:rPr>
            </w:pPr>
            <w:r w:rsidRPr="00BE00C7">
              <w:rPr>
                <w:rFonts w:cs="Arial"/>
                <w:b w:val="0"/>
                <w:lang w:eastAsia="en-NZ"/>
              </w:rPr>
              <w:t>The community and education coordinator is responsible for oversight of the in-service education programme.  The education programmes for 2017 was reviewed and evidenced education is provided via online training either on site in a group setting or after hours. Other training sessions not covered on-line are provided, as well as external education. The local DHB also provides opportunities for RNs to attend on-going education. Staff responsible for medication management have current medication competencies and clinical staff have current restraint competencies.</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An enrolled nurse is the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and all new staff are required to complete this within two months of employment.  Staff performance is reviewed at the end of the orientation, goals are set and a performance appraisal is completed annually thereafter.  Orientation for staff covers the essential components of the service provided.  Staff confirmed they have completed an orientation.  Care staff also confirmed their attendance at on-going in-service education and that their performance appraisals are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who self-administer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Acting Clinical Nurse Leader (ACNL)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were current and complied with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a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control plan and registration issued by the Masterton City Council (exp. 31-03-2018).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Resident satisfaction surveys and resident meeting minutes note ongoing concerns in regard to the desired needs of individual residents; evidence verified these are continually being addressed.</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sufficient time to eat their meal in an unhurried fashion and those requiring assistance had this provided. There is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NP interviewed, verified that medical input is sought in a timely manner and that medical orders are followed.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with support from a recreation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residents needs change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 residents’ goals, ordinary patterns of life and include normal community activities. Individual, group activities and regular events are offered.  The activities programme is discussed at the minuted residents’ meetings and indicated residents’ input is sought and responded to.  Resident and family satisfaction surveys demonstrated dissatisfaction with the programme only being offered five days a week. This feedback has been addressed, with the programme now operating seven days a week. Feedback from meetings is also used to improve the range of activities offered. Residents interviewed confirmed they find the programme interesting and it addresses their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younger residents focus around assisting them to access interest groups in the community, and evidence verified the needs of the younger residents are being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were consistently reviewed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that expires on the 27 August 2018. There have been no structural alterations undertaken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including the management of the infection is documented in the residents’ clinical records and on an infection reporting form. New infections and any required management plan are discussed at handover, to ensure early intervention occurs. The infection control nurse reviews all reported infections.  Monthly surveillance data is collated, recorded in the electronic resident management system and analysed to identify any trends, possible causative factors and required actions. Results of the surveillance programme are shared with staff via quality meetings, staff meetings and at resident handovers as confirmed in meeting minutes sighted and interviews with staff.</w:t>
            </w:r>
          </w:p>
          <w:p w:rsidR="00EB7645" w:rsidRPr="00BE00C7" w:rsidP="00BE00C7">
            <w:pPr>
              <w:pStyle w:val="OutcomeDescription"/>
              <w:spacing w:before="120" w:after="120"/>
              <w:rPr>
                <w:rFonts w:cs="Arial"/>
                <w:b w:val="0"/>
                <w:lang w:eastAsia="en-NZ"/>
              </w:rPr>
            </w:pPr>
            <w:r w:rsidRPr="00BE00C7">
              <w:rPr>
                <w:rFonts w:cs="Arial"/>
                <w:b w:val="0"/>
                <w:lang w:eastAsia="en-NZ"/>
              </w:rPr>
              <w:t>Data is benchmarked internally within the group and externally by an external provider.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to ensure the use of restraint is actively minimised.  There were eight residents using restraint and three residents using an enabler during the audit.  The restraint coordinator is the ACNL. In-service education relating to restraint and challenging behaviour has been provided to all staff.  Restraint usage is an agenda item for the management, quality, staff and RN/ EN meetings.  Staff demonstrated good knowledge of restraint and enabler processes.  Residents’ files evidenced completed documentation relating to restraint and enabler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Glenwood Masonic Hospital</w:t>
    </w:r>
    <w:bookmarkEnd w:id="58"/>
    <w:r>
      <w:rPr>
        <w:rFonts w:cs="Arial"/>
        <w:sz w:val="16"/>
        <w:szCs w:val="20"/>
      </w:rPr>
      <w:tab/>
      <w:t xml:space="preserve">Date of Audit: </w:t>
    </w:r>
    <w:bookmarkStart w:id="59" w:name="AuditStartDate1"/>
    <w:r>
      <w:rPr>
        <w:rFonts w:cs="Arial"/>
        <w:sz w:val="16"/>
        <w:szCs w:val="20"/>
      </w:rPr>
      <w:t>31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