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Metlifecare Limited - The Orchards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Metlifecare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Orchards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August 2017</w:t>
      </w:r>
      <w:bookmarkEnd w:id="7"/>
      <w:r w:rsidRPr="009418D4">
        <w:rPr>
          <w:rFonts w:cs="Arial"/>
        </w:rPr>
        <w:tab/>
        <w:t xml:space="preserve">End date: </w:t>
      </w:r>
      <w:bookmarkStart w:id="8" w:name="AuditEndDate"/>
      <w:r w:rsidR="00A4268A">
        <w:rPr>
          <w:rFonts w:cs="Arial"/>
        </w:rPr>
        <w:t>8 August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Metlifecare Limited - The Orchards provides rest home and hospital level care for up to 36 residents. The service is operated by Metlifecare Limited and managed by a nurse manager. There is also a village at the same site which is not included in this audit. The village manager oversees non-clinical areas and the nurse manager, supported by a senior registered nurse oversee all clinical service areas.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senior management from Metlifecare and a general practitioner.  </w:t>
      </w:r>
    </w:p>
    <w:p w:rsidRPr="00A4268A">
      <w:pPr>
        <w:spacing w:before="240" w:line="276" w:lineRule="auto"/>
        <w:rPr>
          <w:rFonts w:eastAsia="Calibri"/>
        </w:rPr>
      </w:pPr>
      <w:r w:rsidRPr="00A4268A">
        <w:rPr>
          <w:rFonts w:eastAsia="Calibri"/>
        </w:rPr>
        <w:t xml:space="preserve">This audit has resulted in a continuous improvement in food services. There are no areas requiring improvement as a result of this audit. Since the previous audit, improvements have been made to communication, quality and risk management, adverse event reporting, staff education, service provision timeframes, continuity of service delivery, assessment processes, care planning, activities, evaluation of care and restraint management. All areas identified for improvement at the previous audit have been addressed and are now fully embedded into everyday practice.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family/whānau is promoted and was confirmed to be effective. There is access to interpreting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sampled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One enabler was in use at the time of audit.  There were no restraints being used.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20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5"/>
        <w:gridCol w:w="1280"/>
        <w:gridCol w:w="104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three complaints have been received over the past year and that actions taken, through to an agreed resolution, are documented and completed within the timeframes.  Action plans show any required follow-up and improvements have been made where possible.  All complaints are entered electronically into the register and oversight occurs at organisational level.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responsible for complaints management and follow-up at a facility level. All staff interviewed confirmed a sound understanding of the complaint process and what actions are required. There has been one complaint received from external sources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One complaint received from the Health and Disability Commissioner which was open at the previous audit was closed in November 2016. All three follow-up actions were fully documented as corrective actions and signed off as completed. They related to communication with families, care planning and indwelling catheter management.</w:t>
            </w:r>
          </w:p>
          <w:p w:rsidR="00EB7645" w:rsidRPr="00BE00C7" w:rsidP="00BE00C7">
            <w:pPr>
              <w:pStyle w:val="OutcomeDescription"/>
              <w:spacing w:before="120" w:after="120"/>
              <w:rPr>
                <w:rFonts w:cs="Arial"/>
                <w:b w:val="0"/>
                <w:lang w:eastAsia="en-NZ"/>
              </w:rPr>
            </w:pPr>
            <w:r w:rsidRPr="00BE00C7">
              <w:rPr>
                <w:rFonts w:cs="Arial"/>
                <w:b w:val="0"/>
                <w:lang w:eastAsia="en-NZ"/>
              </w:rPr>
              <w:t>In October 2016, an anonymous complaint was sent to the Health and Disability Commissioner, the Waitemata District Health Board, the Chief Executive Officer of Metlifecare and the Nursing Council of New Zealand related to some staff issues. This has been fully investigated and was closed on the 25 November 2016 with no follow-up actions required. Related documentation was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open complaints at the time of this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audit identified areas for improvement related to the implementation and follow-up of care interventions; this has now been addressed. The caregivers and nursing staff reported there have been improvements in the communication between the staff and what is recorded in the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hospice/palliative care team, diabetes nurse specialist, wound care specialist, psychogeriatrician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examples of good practice observed during the audit included the resident directed philosophy to service provision and the falls prevention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family/whānau reported they were kept well informed about any changes to their/their relative’s status, were advised in a timely manner about any incidents or accidents and outcomes of regular and any urgent medical reviews. This has addressed the previous area requiring improvement.  This was also evident in residents’ records sampled.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demonstrated knowledge of how to access interpreter services, although reported this was rarely required due to all residents being able to communicate effectively in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 annual and longer-term objectives and the associated operational plans. A sample of monthly reports which go to the senior clinical committee and then the clinical nurse director who reports to the board of directors, showed adequate information to monitor performance is reported including financial performance, emerging risks and issues, quality data outcomes and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nurse manager who is a registered nurse with a current practising certificate. They hold relevant qualifications with over 20 years’ experience in the aged care sector and have been in the role for two years. Responsibilities and accountabilities are defined in a job description and individual employment agreement.  The nurse manager confirmed knowledge of the sector, regulatory and reporting requirements and maintains currency through ongoing education such as attendance at clinical symposiums, leadership courses and one on one coaching. The nurse manager is supported by the village manager and a senior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an Age Related Residential care contract with the Waitemata District Health Board and all 33 residents present on the day of audit were receiving services under this contract at the time of audit. There were four rest home and 29 hospital level care residents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health and safety, a regular patient satisfaction survey, monitoring of outcomes, clinical incidents including infections, wound care and pressure injury management, food services, maintenance, resident transfers, laundry and cleaning, staff education and policy and procedure updates.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areas identified for improvement in this standard at the previous audit and The Orchards could clearly demonstrate the implementation of all quality and risk management systems are now firmly embedded into everyday practice. Reporting and recording of data is detailed and easily auditable. No inaccuracy of reported or recorded incidents/data were found and this standard is now fully met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were very detailed, and along with quality data outcomes, they confirmed regular review and analysis of quality indicators and that related information is reported and discussed at senior staff team meetings, organisational clinical review meetings and all staff meetings. Staff reported their involvement in quality and risk management activities through audit activities and awareness and involvement in corrective actions and facility based quality improvement projects. The results of the satisfaction survey have been discussed at staff meetings and the staff are asked to contribute to possible solutions for improving services. (This was documented in meeting minutes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Relevant corrective actions are developed and implemented to address any shortfalls. Resident and family satisfaction surveys are completed annually. The most recent survey (2017) showed that the service gained a 91% overall satisfaction rating. Issues that gained a lower rating in the survey are being followed up using continuous quality improvement processes. Examples sighted included family involvement in the process for making a complaint which gained a 68% satisfaction result and how complaints are dealt with gained a 76% rating. The follow up to be taken includes the development of a wall chart showing the complaints process and how complaints are dealt with. The chart is to be placed in each resident’s bedroom for all family and visitors to see. Food services were also identified as an area for opportunity for improvement. A new dietary programme and processes have been implemented by the service resulting in a continuous improvement. (Refer comments in criteria 1.3.13.)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maintained at organisational level and all policies and procedures sighted were up to date and reflected current good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committee in place with a representative from each service discipline. It is chaired by the village manager. Hazards and risks are identified and managed by the committee. All risks, hazards and near miss incidents are entered into an electronic risk management event system and Metlifecare head office have oversight of all issues that arise. The Metlifecare organisation have completed a health and safety audit (AS/NZS 4801: 2001) and gained a three-year compliance (23 February 2017 to 23 February 2020). This standard sets auditable criteria for all of Metlifecare facilities’ occupational health and safety management system, such as the registration and management of all contractors, identification of each area’s hazards and overall risk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area related to the reporting and recording of incidents and accidents which was identified for improvement in the previous audit has been fully addressed by the service. Corrective actions implemented include additional staff education related to reporting of incidents and accidents, more frequent internal audits of resident files and incident forms using a newly developed robust audit tool. The nurse manager undertakes regular reviews of clinical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document all adverse and near miss events on an accident/incident form. A sample of incidents forms reviewed showed these were fully completed, incidents were investigated, action plans developed and actions followed-up in a timely manner.  Examples sighted in all files reviewed and short-term care plans were in place for wounds and infections with regular evaluations and outcomes clearly shown.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 data is collated, analysed and reported to the nurse manager and they are recorded electronically and monitored by head office by the clinical quality and risk manager. All incidents are reported at staff meetings and at the monthly health and safety meeting. Non-clinical risks are managed by the health and safety committee as sighted in meeting minutes and spread sheet documentation. </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clinical quality and risk manager and senior registered nurse described essential notification reporting requirements, including for pressure injuries.  They advised there had been one Section 31 notification of a significant event made to the Ministry of Health (November 2016),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 This included required education for all staff, such as kitchen staff training being monitored and updated as necessary. This was an area identified for improvement in the previous audit and has been fully addressed by the service. All kitchen staff now hold current food safety qualifications.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There are sufficient trained and competent registered nurses (3)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along with the resident satisfaction survey results which gained a 96% rating for care services. Observations and review of four weeks’ rosters confirmed adequate staff cover has been provided, with staff replaced in any unplanned absence.  Currently there is a high percentage of bureau use for some shifts. The nurse manager confirmed the facility is actively recruiting and this process was delayed owing to a recent infection outbreak. At least one staff member on duty has a current first aid certificate and there is 24 hour/seven days a week RN coverage.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for the monthly delivery of medication and the six-monthly stock account of the controlled drugs.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Controlled drugs are stored securely in accordance with requirements and checked by two staff for accuracy when administering. The controlled drug register provided evidence of weekly stock check for all but one of the controlled drugs; one of the controlled drugs of a resident’s individual prescribed medicines did not evidence a check for the week of 31 July 2017 (this is not reflective of a systemic issue). All other controlled drugs recorded the weekly check for that date, and all other weeks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sampled were within the recommended range. There are no vaccines stored onsite.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being met. The required three-monthly GP review is consistently recorded on the medicine chart. Standing orders were used, were current and complied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medications at the time of audit. Appropriate processes were in place to ensure this is managed in a safe manner, if a resident was assessed as competent to self-administer their medicines.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by the co-located retirement village and is in line with recognised nutritional guidelines for older people. The menu follows summer and winter patterns and has been reviewed by a qualified dietitian within the last two years. Recommendations made at that time have been implemented. The aged care facility recently implemented changes to the meal service to reflect the service’s resident directed approach to service delivery (refer to 1.3.13.2).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There has been no unintentional weight loss recorded in the past seven months.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nutritional screening and depression scale), to identify any deficits and to inform care planning (this addresses the previous area for improvement). The sample of care plans sampled had an integrated range of resident-related information. All residents have current interRAI assessments completed by one of three RNs that are interRAI competent. Residents and family/whānau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All the files sampled evidenced appropriate pain management, post-operative follow-up, post falls management, wound care, challenging behaviour and pressure injury management (this addresses the previous area for improvement at 1.3.6.1). The attention to meeting a diverse range of resident’s individualised needs was evident in all areas of service provision. The GP interviewed verified that medical input is sought in a timely manner, that medical orders are followed, and care is appropriate to the resident’s needs.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activities coordinator that is currently undertaking their diversional therapy training. There are planned activities five days a week. The activities attendance sheets, outing summaries and activities calendar all record the diversity in the activities programme (this addresses the previous area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as part of the formal six-monthly care plan review. Individual, group activities and regular events are offered. Residents and family/whānau are involved in evaluating and improving the programme through monthly residents’ meetings. Residents interviewed confirmed they find the programme enjoyable.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Formal care plan evaluations occur every six months in conjunction with the six-monthly interRAI reassessment, or as residents’ needs change.  </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responds by initiating changes to the plan of care. Examples of short term care plans being consistently reviewed and progress evaluated as clinically indicated were noted for management of wounds, skin care/pressure injury, pain management and preventing weight loss (this addresses the previous area for improvement). When necessary, and for unresolved problems, long term care plans are added to and updated. Residents and family/whānau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expires on 22 March 2018. There have been no changes to the facility footprint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and includes infections of the urinary tract, soft tissue, fungal, eye, gastro-intestinal, the upper and lower respiratory tract and scabies. The infection control coordinator reviews all reported infections and these are documented. New infections and any required management plan are discussed at handover, to ensure early intervention occurs. The infection control quality data includes all known infections (this addresses the previous area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facility manager and wider Metlifecare quality/management team. Data is benchmarked externally within the group and other aged care providers. Benchmarking has provided assurance that infection rates in the facility are below average for the sector.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summary report for a suspected outbreak in March 2017 (three residents with loose bowel motions) was reviewed and demonstrated a thorough process for investigation and follow-up. Transmission based precautions were implemented. The report of the suspected outbreak records that no infectious pathogens were reflected in the samples sent for diagnosis.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no residents were using restraints and one resident was using an enabler, which was the least restrictive and used voluntarily at their request. A similar process is followed for the use of enablers as is used for restraints. The consent form was signed and filed in the resident file, six monthly reviews were evident and it was clearly shown on the resident’s care plan that an enabler was in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had no recorded restraint since the previous audit. This was evident on review of the restraint approval group minutes, files reviewed, and from interview with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This was an area identified for improvement in the previous audit which has been fully addressed by the service. The enabler in use is clearly shown in the restraint register sighted and regular six monthly assessments were evident. There were no restraints in use at the time of audit. Staff competencies and ongoing education ensure staff have an in-depth knowledge of the assessment process. The restraint coordinator (RN) was able to verbalise the correct use of assessment and approval processes should restraint be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This was an area identified for improvement in the previous audit which has been fully addressed by the service. The restraint register sighted showed that no restraint and three enablers have been used since the previous audit. Two of the three enablers have been discontinued and the facility remains restraint free. The restraint coordinator described how alternatives to restraints are discussed with staff and family members such as the use of sensor mats, low beds and landing mats.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education provided describes the required frequency of monitoring to ensure the resident remains safe.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all staff meetings and by the restraint approval group at least six- monthly. The register was reviewed and contained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03"/>
        <w:gridCol w:w="1280"/>
        <w:gridCol w:w="6122"/>
        <w:gridCol w:w="513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1.3.13.2</w:t>
            </w:r>
          </w:p>
          <w:p w:rsidR="00EB7645" w:rsidRPr="00BE00C7" w:rsidP="00BE00C7">
            <w:pPr>
              <w:pStyle w:val="OutcomeDescription"/>
              <w:spacing w:before="120" w:after="120"/>
              <w:rPr>
                <w:rFonts w:cs="Arial"/>
                <w:b w:val="0"/>
                <w:lang w:eastAsia="en-NZ"/>
              </w:rPr>
            </w:pPr>
            <w:r w:rsidRPr="00BE00C7">
              <w:rPr>
                <w:rFonts w:cs="Arial"/>
                <w:b w:val="0"/>
                <w:lang w:eastAsia="en-NZ"/>
              </w:rPr>
              <w:t>Consumers who have additional or modified nutritional requirements or special diets have these needs met.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conducted quality improvement projects into the presentation of the textured modified food and the plating presentation of other foods, increasing variety of the foods and fluids. The residents and family/whānau have been involved in the review and suggestions for the meals. The project included the analyses and reporting of satisfaction surveys and feedback related to the food. The outcomes included residents’ increasing satisfaction with the variety of food, more choices being available, the residents being able to choose their meal options each day, and improvements to the presentation and plating of normal and special diets (including textured modified foods). The analysis for the improved health outcomes data for December 2016 recorded that there has been no unintentional weight loss since the project began. The project is now into phase two, with resident directed care being implemented into the breakfast options. The resident and family/whānau interviewed report high satisfaction with presentation and taste of the meals.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achievement of the quality projects related to the presentation of texture modified food and resident directed approaches to providing the variety of foods and fluids is rated beyond the expected full attainment. The quality improvement projects sighted have a documented review process which included analysis and reporting of findings to management, staff, residents and family/whanau. The projects documentation evidenced action taken based on findings and improvement to the presentation and nutritional value of the texture modified foods. Resident safety and satisfaction has been measured as part of the review process, which evidenced increasing resident satisfaction and reducing unintended weight loss. The residents and family/whanau interviewed reported that the meals are of a ‘restaurant quality’ and that the presentation of the textured modified food is appetising.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Metlifecare Limited - The Orchards</w:t>
    </w:r>
    <w:bookmarkEnd w:id="58"/>
    <w:r>
      <w:rPr>
        <w:rFonts w:cs="Arial"/>
        <w:sz w:val="16"/>
        <w:szCs w:val="20"/>
      </w:rPr>
      <w:tab/>
      <w:t xml:space="preserve">Date of Audit: </w:t>
    </w:r>
    <w:bookmarkStart w:id="59" w:name="AuditStartDate1"/>
    <w:r>
      <w:rPr>
        <w:rFonts w:cs="Arial"/>
        <w:sz w:val="16"/>
        <w:szCs w:val="20"/>
      </w:rPr>
      <w:t>8 August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