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Villages of New Zealand (Pakuranga) Limited -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Villages of New Zealand (Pakuranga)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2017</w:t>
      </w:r>
      <w:bookmarkEnd w:id="7"/>
      <w:r w:rsidRPr="009418D4">
        <w:rPr>
          <w:rFonts w:cs="Arial"/>
        </w:rPr>
        <w:tab/>
        <w:t xml:space="preserve">End date: </w:t>
      </w:r>
      <w:bookmarkStart w:id="8" w:name="AuditEndDate"/>
      <w:r w:rsidR="00A4268A">
        <w:rPr>
          <w:rFonts w:cs="Arial"/>
        </w:rPr>
        <w:t>29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Park Rest Home provides rest home level care for up to 40 residents. The service is one of four facilities owned and operated by Real Living Group which Villages of New Zealand (Pakuranga) Limited is a member of and is privately owned. The care facility is attached to the village complex and is managed by a village manager and an assistant village manager. The care services are overseen by an experienced nurse manager. Only the care facility is covered in this audit.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and staff. The general practitioner was not available on the day of audit for interview. </w:t>
      </w:r>
    </w:p>
    <w:p w:rsidRPr="00A4268A">
      <w:pPr>
        <w:spacing w:before="240" w:line="276" w:lineRule="auto"/>
        <w:rPr>
          <w:rFonts w:eastAsia="Calibri"/>
        </w:rPr>
      </w:pPr>
      <w:r w:rsidRPr="00A4268A">
        <w:rPr>
          <w:rFonts w:eastAsia="Calibri"/>
        </w:rPr>
        <w:t xml:space="preserve">This audit has resulted in a continuous improvement in corrective action planning. No areas were identified for improvement. There were no areas for improvement from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formal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direction of the organisation.  Monitoring of the services provided to the governing body is regular and effective. The village manager has been in the role for seven years, the nurse manager (registered nurse) has held the role for 13 years and the assistant village manager was appointed nine months prior to this audit. Members of the management team are qualified to undertake their roles.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Corrective actions are clearly documented, analysed and evaluated prior to sign off.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needs are assessed by the multidisciplinary team on admission within the required timeframes. Registered nurses are on duty in the facility and are supported by care and allied health staff and a designated general practitioner. On call arrangements for support are in place. Shift handovers and communication books in each service area guide continuity of care.</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records reviewed demonstrated that needs, goals and outcomes are identified and reviewed on a regular basis. Residents and families interviewed reported being well informed and involved in care planning and evaluation, and that the care provided is of a high standard.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a restraint free environment. No enablers and no restraints were in use at the time of audit.  Policy contains comprehensive assessment, approval and monitoring process should they be required. Use of enablers is described in policy as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the nurse manager aims to prevent and manage infections. Aged care specific infection surveillance is undertaken, data is analysed, trended, benchmarked and results reported through all level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(Refer comments in criterion 1.2.3.8).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have been received over the past year. Management confirm that if a complaint is received actions taken, through to an agreed resolution. This process is documented to included required follow up. The nurse manager is responsible for complaints management and follow up. All staff interviewed confirmed a sound understanding of the complaint process and what actions are required. There have been no complaints received from external sources since the previous audit. No section 31 reports have been made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formal interpreter services through the district health board, although reported this was rarely required. Staff are able to provide interpretation as and when needed, and family members are used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from the nurse manager to the village manager was sighted. The village manager reports any concerns to the board of directors. Information sighted showed monitoring of the care facility performance that is reported at board level includes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 is managed by a registered nurse who holds relevant qualifications and has been in the role for 13 years. They report to the village manager who has been in the role for seven years. The third member of the management team is the assistant village manager who has been in the role for nine months. Responsibilities and accountabilities are defined in a job descriptions and individual employment agreements.  Members of the management team confirmed their knowledge of the sector, regulatory and reporting requirements and maintain currency through regular ongoing education related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Counties Manukau District Health Board for rest home level care including respite care. All 33 residents were receiving services under the Age Related Residential Care contract at the time of audit. Two of the 33 residents were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accident and incident reporting.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staff and resident meetings as appropriate. The village manager reports to the board at monthly meetings. One or more of the directors visit the facility at least once a week and they are available to staff and residents as requested. Staff reported their involvement in quality and risk management activities through audit activities, review of statistical quality data and corrective action follow up and project planning and implementation. Relevant corrective actions are developed and implemented to address any shortfalls with the outcomes evaluated prior to sign off. This is undertaken to a high level and has gained a continuous improvement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(October 2016) showed that residents are satisfied or very satisfied with services. Any comments made have been followed up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provided by an off-site service and are personalised to Park Rest Home. They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village manager is familiar with the Health and Safety at Work Act (2015) and has implemented requirements.  The assistant village manager leads the health and safety team as this is their area of expertise.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nurse manager, village manager and to the board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nurse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 based audits and any other notifications (eg, public health) made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three-month period and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 education and training calendar is available to all staff. Care staff have either completed or commenced a New Zealand Qualification Authority education programme to meet the requirements of the provider’s agreement with the DHB. The nurse manager (RN) is trained and competent and maintains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from the nurse manager when needed. Residents and family interviewed supported this. Care staff reported there were adequate staff available to complete the work allocated to them.  Staff stated that the use of agency nurses had increased. This was discussed with the nurse manager and four weeks of rosters were reviewed. Agency staff are only used to fill a short shift (5pm to 9pm) in the weekend. The facility has advertised for a new staff member for this period. Most vacant shifts are covered by existing staff picking up more hours. The roster review confirmed adequate staff cover has been provided,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specific staff member is allocated to respond to village call bells. This still ensures the coverage on the care floor meets contractual requirements. From 6pm to 6am there is a guard employed who responds to village call outs.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the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 sighted were within current use by dates. Clinical pharmacist input is provided six monthly and on request.</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is checked and maintained by the registered nurses. Evidence of weekly and six monthly stock checks and accurate entries were reviewed.</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is reviewed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are met. The required three monthly GP reviews are consistently recorded on the medicine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the time of audit. Appropriate processes are in place to ensure this is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daily menus are displayed at reception and in the two dining rooms. The menu plans have been reviewed by a qualified dietitian. The chef is responsible for all aspects of food procurement, production, preparation, storage, transportation, delivery and disposal and ensures all current legislation obligations are effectively met. The service is working towards the required food service plan to be completed by May 2018.</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 risk items, are monitored appropriately and recorded as part of the plan. The chef and all kitchen staff have completed safe food handling training. A nutritional assessment is undertaken for each individual resident on admission to the facility and a dietary profile developed. The personal food preferences, any special diets and modified texture requirements are made know to the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by the staff in each of the two dining rooms sighted in the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registered nurses interviewed verified that they contact the general practitioner in a timely manner as required, that medical orders are followed, and care is provided.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with 25 years of experience, 13 at this facility. The activities coordinator is assisted by an activities assistant who implements the programme Monday to Friday and another staff member who spends one hour a day, providing nail and hand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A full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as part of the formal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The programme is divided into three sessions a day. The later session is for residents` who become unsettled in the afternoon. The feedback from staff and families about the programme is positive. Residents and families/whanau are involved in evaluating and improving the programme through residents’ meetings and satisfaction surveys. Residents` interviewed enjoyed the programme and sessions provided. A bus trip is available weekly on a Wednesday afternoon and many residents enjoy this outing into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is reported in the progress records. If any change is noted, it is reported to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Formal care evaluations, occur every six months in conjunction with the six monthly interRAI reassessments, or as residents` needs change. Where progress is different from expected, the service responds by initiating changes to the care plan of care. InterRAI assessments are currently fully completed for 21 of 31 residents. Five re-assessments are due in October and two in November 2017. Three re-assessments are currently in draft and being completed by the nurse manager. Examples of short term care plans being consistently reviewed and progress evaluated as clinically indicated were noted for infections, wounds and residents being monitored for weight loss. When necessary, and for unresolved problems, long term care plans are updated. Residents and families interviewed provided examples of involvement in evaluation of progress and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04 March 2018 was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conditions like scabies. The infection prevention and control coordinator (the nurse manager)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staff meetings and at staff handovers. Graphs are produced that identify trends for the current year, and comparisons against previous years and this is reported to the quality and infection prevention and control committee. Data is benchmarked externally by a contracted infection prevention and control service. The annual review for infection prevention and control is completed June 2017. The infection prevention and control surveillance system is adequate for the size and nature of this service. Education is provided to all staff at orientation and is ongoing.  The surveillance programme is linked to the quality and risk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they be required. Policy states that enablers are the least restrictive and used voluntarily at the resident’s request. The facility operates a restraint free environment. The restraint coordinator would provide support and oversight for enabler and restraint management if required and they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Restraint would only be used as a last resort when all alternatives have been explored. The restraint approval group meeting reflects this and they last met and reviewed all policies and procedures on 27 September 2017. Meeting minutes showed that they continue to promote a restraint 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8165"/>
        <w:gridCol w:w="30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having fully attained the criterion can in addition clearly demonstrate a review process including analysis and reporting of findings, evidence of action taken based on those findings and improvements to service provision as a result of the review process.  Examples sighted included the introduction of a late afternoon activities being introduced to decrease the number of wandering or agitated residents. Staff report this has worked well and the number of incidents reported related to residents wandering or being agitated has lessened. The resident satisfaction survey carried out in October 2016 identified that not all residents (4) were aware of where the complaints forms were kept. This resulted in education being presented at the residents’ monthly meetings to ensure everyone was aware of the complaints process and the location of the forms. The residents concerned were then asked if they could locate the complaints forms and they said they could. An internal audit of laundry identified that some items looked ‘grey’. The chemical supplier was contacted and worked with the facility to rectify this problem. Consequence audits identify that this problem no longer exists.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village manager discuss all areas of concern and take a generic approach to ensuring all aspects of any issues found are reviewed. This includes a review of policy and procedures to ensure they reflect any required changes, review of educational content and presentation to cover any areas that may be included to reflect corrective actions put in place and that current best practice is reflected and understood by all staff.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are involved in all corrective planning and ensuring actions are embedded into everyday practice. They are informed of any updated policies and procedures as a result of the corrective action and that education presented relevant to any change in practice requirements is verified as best practice. Residents confirmed any concerns they have are acted upon very quickly and that they are informed of the outcome. No negative comments were received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issues that arise from audits, quality data collection, resident satisfaction surveys and complaints are written up on a corrective action form, with actions to be taken and nominated staff to oversee the process. Once the actions are embedded into practice the nurse manager reviews the outcome and signs them off. All corrective actions and outcomes are discussed at management and staff meetings. Residents are informed as appropriate.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Villages of New Zealand (Pakuranga) Limited - Park Rest Home</w:t>
    </w:r>
    <w:bookmarkEnd w:id="58"/>
    <w:r>
      <w:rPr>
        <w:rFonts w:cs="Arial"/>
        <w:sz w:val="16"/>
        <w:szCs w:val="20"/>
      </w:rPr>
      <w:tab/>
      <w:t xml:space="preserve">Date of Audit: </w:t>
    </w:r>
    <w:bookmarkStart w:id="59" w:name="AuditStartDate1"/>
    <w:r>
      <w:rPr>
        <w:rFonts w:cs="Arial"/>
        <w:sz w:val="16"/>
        <w:szCs w:val="20"/>
      </w:rPr>
      <w:t>29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