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Keringle Park Limited - Keringle Park Residential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Keringle Park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Keringle Park Residential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17 August 2017</w:t>
      </w:r>
      <w:bookmarkEnd w:id="7"/>
      <w:r w:rsidRPr="009418D4">
        <w:rPr>
          <w:rFonts w:cs="Arial"/>
        </w:rPr>
        <w:tab/>
        <w:t xml:space="preserve">End date: </w:t>
      </w:r>
      <w:bookmarkStart w:id="8" w:name="AuditEndDate"/>
      <w:r w:rsidR="00A4268A">
        <w:rPr>
          <w:rFonts w:cs="Arial"/>
        </w:rPr>
        <w:t>18 August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Keringle Park Residential Care provides rest home and secure dementia care for up to 33 residents. The service is privately owned and operated. One owner is the manager and she is supported by a clinical manager who is a registered nurse.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and a general practitioner.  </w:t>
      </w:r>
    </w:p>
    <w:p w:rsidRPr="00A4268A">
      <w:pPr>
        <w:spacing w:before="240" w:line="276" w:lineRule="auto"/>
        <w:rPr>
          <w:rFonts w:eastAsia="Calibri"/>
        </w:rPr>
      </w:pPr>
      <w:r w:rsidRPr="00A4268A">
        <w:rPr>
          <w:rFonts w:eastAsia="Calibri"/>
        </w:rPr>
        <w:t xml:space="preserve">This audit has resulted in a continuous improvement in quality and risk management and identified one area requiring improvement relating to interRAI assessments.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provided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was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 xml:space="preserve">A complaints register is maintained with complaints resolved promptly and effectively.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Experienced and suitably qualified people manage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and evaluated. Actual and potential risks, including health and safety risks, are identified and mitigated.  Policies and procedures support service delivery and are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Access to the facility is appropriate and efficiently managed with relevant information provided to the potential resident/family.</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were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and clinical equipment is tested as required. Communal and individual spaces are maintained at a comfortable temperature. External areas are accessible, safe and provide shade and seating for both rest home and dementia care residents.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a restraint free environment. No enablers nor restraints were in use at the time of audit.  Policy describes a comprehensive assessment, approval and monitoring process should restraint be required.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902"/>
        <w:gridCol w:w="1280"/>
        <w:gridCol w:w="875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is defined and documented, as relevant, in the resident’s record.  At the time of audit seven of the 31 residents had an advance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Security cameras have been installed and monitor external and internal communal areas including the lounge, dining room, staff office, kitchen and hallway areas.  Security camera footage is archived for up three weeks.  There is information in the welcome pack, newer consent forms and signs within the facility acknowledging that cameras are present; however, not all residents and family interviewed were aware of these cameras.  The clinical manager has stated that a reminder letter will be sent out to all residents and/or their EPOA.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requirements of Right 10 of the Code.  Information on the complaint process is provided to residents and families on admission and those interviewed knew how to do so.  Complaints forms are located at the entrance to the rest home and staff issue a form to any person who requests one in the secure dementia unit called ‘the cottage’.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three complaints have been received over the past year and that actions taken, through to an agreed resolution, are documented and completed within the timeframes.  Action plans showed any required follow up and improvements have been made where possible.  The clinical manager and manager are responsible for complaints management and follow up.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complaints received from external sources since the previous audit.  There are no outstanding complaints at the time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being made aware of the Code and the Nationwide Health and Disability Advocacy Service (Advocacy Service) as part of the admission information provided, from posters in resident’s bedrooms and discussions with staff.  The Code is displayed in main areas throughout the facility together with information on advocacy services and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maintain privacy throughout the audit.  All residents have a private room, share a room with their spouse or another person with their consent.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attending regular community activities, participation in clubs of their choosing.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The principles of the Treaty of Waitangi are incorporated into day to day practice, as is the importance of whānau.  There is a current Māori health plan developed with input from cultural advisers.  Guidance on tikanga best practice is available and is supported by staff who identify as Māori in the facility.  Māori residents and their whānau interviewed reported that staff acknowledged and respected their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for example, food and clothing and religious preferences. The resident satisfaction survey and interviews with residents and their families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The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external specialist services and allied health professionals, for example, hospice/palliative care team, diabetes nurse specialist, wound care specialist, psychogeriatrician and mental health services for older persons,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was rarely required due staff able to provide interpretation as and when needed, the use of family members and the use of physical communication cards when supporting two residents who are unable to understand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which are reviewed annually, outline the purpose, values, scope, direction and goals of the organisation. The documents describe annual and longer term objectives and the associated operational plans. A sample of quarterly reports completed by the clinical manager and the manager (owner), showed adequate information to monitor performance is reported including financial performance, occupancy, marketing strategies, human resources and objectives, emerging risks and issues. The quarterly reports cover all clinical aspects of care including medication, falls, infections, challenging behaviour, hospital admissions and the development/management of pressure injuries.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one of the owners who has been in aged care for over 31 years and owned and operated Keringle Park for 18 years. She is supported by a clinical manager who is a registered nurse and has been in the role since 2002. Responsibilities and accountabilities are defined in a job description and individual employment agreement.  Both managers confirmed their knowledge of the sector, regulatory and reporting requirements and maintain currency through regular ongoing education, attendance at conferences and district health board (DHB) seminars related to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Counties Manukau DHB and Ministry of Health (MoH) for Young Persons with a Disability (YPD), Long Term Chronic Care under 65 years (LTCC) and Age Related Residential Care (ARRC). </w:t>
            </w:r>
          </w:p>
          <w:p w:rsidR="00EB7645" w:rsidRPr="00BE00C7" w:rsidP="00BE00C7">
            <w:pPr>
              <w:pStyle w:val="OutcomeDescription"/>
              <w:spacing w:before="120" w:after="120"/>
              <w:rPr>
                <w:rFonts w:cs="Arial"/>
                <w:b w:val="0"/>
                <w:lang w:eastAsia="en-NZ"/>
              </w:rPr>
            </w:pPr>
            <w:r w:rsidRPr="00BE00C7">
              <w:rPr>
                <w:rFonts w:cs="Arial"/>
                <w:b w:val="0"/>
                <w:lang w:eastAsia="en-NZ"/>
              </w:rPr>
              <w:t>One resident was receiving services under the YPD contract, two under the LTCC contract and 28 under the ARRC contract (11 dementia care and 17 rest home level care)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manager is absent, the clinical manager carries out all the required duties under delegated authority. During absences of clinical manager, the clinical management is overseen by an on call registered nurse with assistance from the quality and risk person who is also a registered nurse. Both staff are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management of incidents and complaints, audit activities, a regular patient satisfaction survey, monitoring of outcomes, contracts, equipment and maintenance, health and safety, clinical incidents including infections, falls, challenging behaviour and wound care. An external company benchmarks data quarterly against other aged care community services. Quality data is used to improve service delivery. All issues sighted have been fully documented, investigated, actioned appropriately and evaluated. This process is of a very high standard is rated as continuous improvement.</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quarterly review meetings and monthly staff meetings. Staff reported their involvement in quality and risk management activities through audit activities, awareness of quality data and implementation of corrective actions. Relevant corrective actions are developed and implemented to address any shortfalls. Resident and family satisfaction surveys are completed annually. The most recent survey (June 2017) showed overall satisfaction with services provided. One issue raised about a noisy bedroom was documented using the complaints process and was fully investigated and resolved. No negative issues were raised by residents or relatives during interviews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the service and contractual requirements, including reference to the interRAI Long Term Care Facility (LTCF) assessment tool and process. (Refer comment in 1.3.3.3). Policies are developed and provided by an off-site company and are based on best practice and were current. They are personalised to Keringle Park. The document control system ensures a systematic and regular review process, referencing of relevant sources, approval, distribution and removal of obsolete documents.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described the processes for the identification, monitoring, review and reporting of risks and development of mitigation strategies.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 or incident form. A sample of incidents forms reviewed showed these were fully completed, incidents were investigated, action plans developed and actions followed-up in a timely manner.  Adverse event data is collated, analysed and reported to the clinical manager and the manager. Evaluation of corrective actions is identified in the quarterly quality review meeting minutes.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and the manager described essential notification reporting requirements, including for pressure injuries.  They advised there had been one notification made to the Ministry of Health related to a resident who was absent without leave. This occurred in May 2016. All processes were followed including police notification. The resident was located the day after they left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Staff working in the dementia care area have either completed or are enrolled in the required education. The clinical manager is trained, competent and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members interviewed supported this. Observations and review of four weeks’ rosters confirmed adequate staff cover has been provided, with staff replaced in any unplanned absence.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least one staff member on duty has a current first aid certificate. There are dedicated staff who work in the cottage (dementia care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NASC and the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evidencing EPOA consent in accordance with contractual requirements.  Service charges comply with contractual requirements.   All resident’s files evidenced notification of appropriate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An example reviewed of a patient recently transferred to the local acute care facility showed evidence of appropriate documentation and communication.  Family of the resident reported being kept well informed during the transfer of their relative.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was observed on the days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on a weekly basis.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accurate stock checks and six-monthly audits completed by the pharmacist.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required three-monthly GP review was consistently recorded on the medicine chart.  Standing orders are used, were current and complied with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self-administering medications at the time of audit. Appropriate processes were in place to ensure this was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follows summer and winter patterns and has been reviewed by a qualified dietitian in August of this year.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personal/cultural food preferences, any special diets and modified texture requirements are made known to kitchen staff and accommodated in the daily meal plan.  Residents in the secure unit have access to food and fluids to meet their nutritional needs at all times.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pain scale, falls risk, skin integrity, nutritional screening and depression scale, as a means to identify any deficits and to inform care planning. The sample of care plans reviewed had an integrated range of resident-related information.  InterRAI assessments are completed by the clinical manager who is the trained interRAI assessor for the facility. (Refer 1.3.3 3)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The needs identified by the interRAI assessments were reflected in care plans reviewed. (Refer 1.3.3.3) Care plans are person centered and developed with the resident and family and include community, physical and health interventions to support the individual needs of the resident.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activities notes, medical and allied health professionals’ notations clearly written, informative and relevant.   Residents’ files are reviewed for behaviour management including triggers and interventions for behaviours.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excellent.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an activity co-ordinator and is also supported by care staff rostered as activities staff to ensure all residents are supported with activities seven days a week.  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monthly and as part of the formal six-monthly care plan review with emphasis on family and community interaction and involvement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 residents’ goals, ordinary patterns of life and include normal community activities. Individual, group activities and regular events are offered. Residents and families/whānau are involved in evaluating and improving the programme through residents’ meetings, satisfaction surveys. Residents interviewed confirmed they find the programme interactive.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for residents from the secure dementia unit are specific to the needs and abilities of the people living there. Activities are offered at times when residents are most physically active and/or restless.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infections, wounds, and challenging behaviour.  When necessary, and for unresolved problems, long term care plans are added to and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access or seek referral to other health and/or disability service providers.  Although the service has a ‘house doctor’, residents may choose to use another medical practitioner. If the need for other non-urgent services are indicated or requested, the GP or RN sends a referral to seek specialist input.  Copies of referrals were sighted in residents’ files, including to a dietician and mental health services for older persons. The resident and the family/whānau are kept informed of the referral process, as verified by documentation and interviews. Any acute/urgent referrals are attended to immediately, such as sending the resident to accident and emergency in an ambulance if the circumstances dictate.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An external company is contracted to supply and manage chemicals and some cleaning products and they also provide relevant training for staff. Material safety data sheets were available where chemicals are stored and staff interviewed knew what to do should any chemical spill/event occur.  The service used many natural cleaning products such as baking soda and white vinegar where appropriate.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10 July 2018)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maintenance personnel and observation of the environment.  The environment was hazard free, residents were safe and independence was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This includes the secure garden area for the cottage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know the processes they should follow if any repairs or maintenance is required, and that any requests are appropriately actioned. Residents and relatives were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rest home and cottage. This includes separate staff and visitor toilet areas.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There is a mix of single and shared accommodation. In the rest home, there is one double room shared by a husband and wife, and in the cottage there are three shared bedrooms.  Where rooms are shared, approval has been sought.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 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are available for residents to engage in activities.  The dining and lounge areas in both the rest home and the cottage are spacious and enable easy access for residents and staff.  Residents can access areas for privacy, if required.  Furniture is appropriate to the setting and residents’ needs. There is also a sunroom in the cottage along with a kitchenette so staff can make tea and coffee at any time.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and cleaning are undertaken on site as part of care staff duties. Separate laundry facilities are available for rest home and dementia care areas. Care staff demonstrated a sound knowledge of the laundry processes, dirty/clean flow and handling of soiled linen. Residents and relatives interviewed reported the laundry is managed well and their clothes are returned in a timely manner and that the facility is kept clean. This is supported in the resident meeting minutes.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on the 17 September 2001. A trial evacuation takes place six-monthly with a copy sent to the New Zealand Fire Service, the most recent being on 12 June 2017. The orientation programme includes fire and security training.  Staff confirmed their awareness of the emergency procedures including actions to ensure residents in the cottage can be safely managed in an emergency.</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the 33 residents. Water storage tanks are located around the complex.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Call system audits are completed on a regular basis and residents and families reported staff respond promptly to call bells. The staff in the cottage are supplied with a personal alarm which is responded to by the staff in the rest home should they require help. Staff stated they feel safe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Doors and windows are locked at a predetermined time and checked by staff on duty. There are closed circuit television cameras in the common areas. Notices clearly identify this.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ten bedrooms have doors that open onto outside garden areas. Heating is provided by wall mounted electric heaters in residents’ rooms in the communal areas there are heat pumps.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 the risk of infection to residents, staff and visitors.  The programme is guided by a comprehensive and current infection control manual, with input from an external support service.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the designated IPC coordinator, whose role and responsibilities are defined in a job description. Infection control matters, including surveillance results, are reported monthly to the facility manager/owner and tabled at the quality/risk committee meeting.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and has been in this role for 18 months.  She has undertaken training in infection prevention and control and attended relevant study days, as verified in training records sighted.  Additional support and information is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coordinator confirmed the availability of resources to support the programme and any outbreak of an infection.  An action plan is in place in the event of an infectious outbreak that highlights staff, residents and family availability/support and responsibilities and was last reviewed and updated August of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accepted good practice.  Policies were last reviewed in June 2017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When an infection outbreak or an increase in infection incidence has occurred within the community, there is evidence that additional staff education has been provided in response.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scabies. The IPC coordinator reviews all reported infections and these are documented.  New infections and any required management plans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at staff and quality meetings.  Data is benchmarked externally with QPS.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facility is restraint free as confirmed in the restraint register and quality reviews sighted. The restraint coordinator would provide support and oversight for enabler and restraint management should it be required. The restraint coordinator (clinical manager) demonstrated a sound understanding of the organisation’s policies, procedures and practice related to this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restraints and no residents were using enablers. This was confirmed during staff interviews. Policy states enablers are the least restrictive and used voluntarily at their request. This was also supported by review of the restraint approval group minutes dated 05 December 2016. Staff have restraint training and education annually and this was last undertaken on 05 October 2016 and is on this year’s education calendar for September 2017.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63"/>
        <w:gridCol w:w="1280"/>
        <w:gridCol w:w="8178"/>
        <w:gridCol w:w="1359"/>
        <w:gridCol w:w="13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admitted to the facility had written specific, individualised and client centred initial assessments, short term, long-term care plans and evaluations provided within required timeframes.  It was evident from staff interviewed that they knew the residents and their individual needs well.  Family/whanau interviewed stated that they were happy with the care and communication provided.  Two interRAI assessments are due within the next week.  All 31 residents were evidenced as entered into the facility database.   Six of 31 residents did not have an up to date interRAI assessment.  Two of those six residents had interRAI assessments in draft, however these assessments were initially commenced in April and beginning of August 2017.   Two of those six residents admitted in 2008 and 2011 with interRAI assessments due in 2015 and 2016 have never had an interRAI completed and three of those six residents had interRAI assessments due in 2014, 2015 and 2016.</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residents have an up to date interRAI assessment.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residents have an interRAI assessment.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03"/>
        <w:gridCol w:w="1280"/>
        <w:gridCol w:w="5544"/>
        <w:gridCol w:w="57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1.2.3.5</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shall be explicitly linked to the quality management system.</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links the key components of service delivery to the quality management system in place. All data is collected, analysed and used to improve services where appropriate. Off-site benchmarking is used to inform business planning and as a measure of how well the facility is performing against other like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quarterly quality review meeting covered not only key components of service delivery but additional issues, such as falls, which are broken down into with and without injury. This assists the facility in the evaluation of their falls prevention programme. Falls have decreased from 7.3 to 7 per 1000 bed days over the last year. The service can demonstrate that they have implemented various forms of monitoring residents who are identified as being at high risk of falling. Challenging behaviour rates have remained the same but the service has sought and sent staff to specialist off site ‘Non-violent Crisis Intervention’ training which staff confirmed during interview was very helpful in the management of challenging behaviour demonstrated by residents. Data also indicated that medication errors were increasing and the actions taken included additional staff training and re-evaluation of staff knowledge.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Keringle Park having fully attained the criterion can in addition clearly demonstrate a review process including analysis and reporting of findings, evidence of action taken based on those findings, and improvements to service provision and resident satisfaction as a result of the review process. This is supported by staff, resident and relative interviews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Examples of actions put in place relating to residents who are known to be high risk of falls has resulted in less falls with injury. The actions are clearly documented with the evaluation being shown in the falls prevention programme which is a living document.  Whilst the incidents of challenging behaviour have remained the same throughout the year staff are able to verbalise learning to help them manage a variety of situations to better de-escalate residents. Triggers and solutions are clearly documented in residents’ care plans. A full investigation was undertaken related to the increase in medication errors. The evaluation of staff knowledge following additional medication education has resulted in some staff being removed from the medication duties to ensure resident safety.  The medication errors have decreased since these actions were taken as identified in the quality data sighted and confirmed in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areas of concern indicated from quality data collected are fully addressed by the service. Corrective actions are evaluated against data outcomes and staff reviews.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Keringle Park Limited - Keringle Park Residential Care</w:t>
    </w:r>
    <w:bookmarkEnd w:id="58"/>
    <w:r>
      <w:rPr>
        <w:rFonts w:cs="Arial"/>
        <w:sz w:val="16"/>
        <w:szCs w:val="20"/>
      </w:rPr>
      <w:tab/>
      <w:t xml:space="preserve">Date of Audit: </w:t>
    </w:r>
    <w:bookmarkStart w:id="59" w:name="AuditStartDate1"/>
    <w:r>
      <w:rPr>
        <w:rFonts w:cs="Arial"/>
        <w:sz w:val="16"/>
        <w:szCs w:val="20"/>
      </w:rPr>
      <w:t>17 August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