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Waiapu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Waiapu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September 2017</w:t>
      </w:r>
      <w:bookmarkEnd w:id="7"/>
      <w:r w:rsidRPr="009418D4">
        <w:rPr>
          <w:rFonts w:cs="Arial"/>
        </w:rPr>
        <w:tab/>
        <w:t xml:space="preserve">End date: </w:t>
      </w:r>
      <w:bookmarkStart w:id="8" w:name="AuditEndDate"/>
      <w:r w:rsidR="00A4268A">
        <w:rPr>
          <w:rFonts w:cs="Arial"/>
        </w:rPr>
        <w:t>12 September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Waiapu House provides rest home and hospital level care for up to 74 residents. The service is operated by Heritage Lifecare Limited (HLL) and managed by a facility manager. The facility is supported by a senior management team from HLL and a clinical service manager. Residents and families spoke positively about the care provided.</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and a general practitioner.</w:t>
      </w:r>
    </w:p>
    <w:p w:rsidRPr="00A4268A">
      <w:pPr>
        <w:spacing w:before="240" w:line="276" w:lineRule="auto"/>
        <w:rPr>
          <w:rFonts w:eastAsia="Calibri"/>
        </w:rPr>
      </w:pPr>
      <w:r w:rsidRPr="00A4268A">
        <w:rPr>
          <w:rFonts w:eastAsia="Calibri"/>
        </w:rPr>
        <w:t>The audit has resulted in one new area requiring improvement in relation to interRAI assessments not being current and up to date.</w:t>
      </w:r>
    </w:p>
    <w:p w:rsidRPr="00A4268A">
      <w:pPr>
        <w:spacing w:before="240" w:line="276" w:lineRule="auto"/>
        <w:rPr>
          <w:rFonts w:eastAsia="Calibri"/>
        </w:rPr>
      </w:pPr>
      <w:r w:rsidRPr="00A4268A">
        <w:rPr>
          <w:rFonts w:eastAsia="Calibri"/>
        </w:rPr>
        <w:t xml:space="preserve">There were two areas identified as requiring improvement from the previous audit. One in regards to interRAI training and staff mandatory annual training and competencies not being completed have been effectively closed out.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was confirmed to be effective. There is access to interpreting services if required. Open disclosure occurs when any adverse event occurs.</w:t>
      </w:r>
    </w:p>
    <w:p w:rsidRPr="00A4268A">
      <w:pPr>
        <w:spacing w:before="240" w:line="276" w:lineRule="auto"/>
        <w:rPr>
          <w:rFonts w:eastAsia="Calibri"/>
        </w:rPr>
      </w:pPr>
      <w:r w:rsidRPr="00A4268A">
        <w:rPr>
          <w:rFonts w:eastAsia="Calibri"/>
        </w:rPr>
        <w:t>The facility manager is responsible for complaints management. 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Business and quality and risk management plans include the scope direction, goals, values and mission statement of the organisation. Monitoring of services provided to the governing body is regular and effective. An experienced and suitably qualified person manages the facility.</w:t>
      </w:r>
    </w:p>
    <w:p w:rsidRPr="00A4268A">
      <w:pPr>
        <w:spacing w:before="240" w:line="276" w:lineRule="auto"/>
        <w:rPr>
          <w:rFonts w:eastAsia="Calibri"/>
        </w:rPr>
      </w:pPr>
      <w:r w:rsidRPr="00A4268A">
        <w:rPr>
          <w:rFonts w:eastAsia="Calibri"/>
        </w:rPr>
        <w:t>The quality and risk management system includes collection and analysis of quality improvement data, identified trends and leads to improvements. Staff are involved and feedback is sought from residents and families. Adverse events are documented with corrective actions implemented. Actual and potential risks, including health and safety risks, are identified and mitigated as required. Waiapu House Lifecare are currently implementing the HLL policies and procedures.</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Pr="00A4268A" w:rsidP="00621629">
      <w:pPr>
        <w:spacing w:before="240" w:line="276" w:lineRule="auto"/>
        <w:rPr>
          <w:rFonts w:eastAsia="Calibri"/>
        </w:rPr>
      </w:pPr>
      <w:r w:rsidRPr="00A4268A">
        <w:rPr>
          <w:rFonts w:eastAsia="Calibri"/>
        </w:rPr>
        <w:t>Medicines are safely managed and administered by permanently employed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warrant of fitness (expiry 01 March 2018) is publicly displayed at reception.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Two enablers and 10 restraints were in use at the time of audit.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1</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1</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concerns/complaints policy and associated forms meet the requirements of Right 10 of the Code. The information is provided to residents and family members on admission to the service and there is complaints information and brochures available in all service areas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evidenced nine complaints since April 2017. No records were available prior to the changeover of service providers to Heritage Lifecare Limited (HLL). All complaints were documented and completed within the timeframes specified in the Code. Action plans reviewed showed any required follow-up and improvements have been made where possible. All complaints were effectively closed out, signed off and dated appropriately.  There have been no complaints to the coroner, police or the Health and Disability Commissioner.  The advocacy policy was linked to the complaints management and contact details of the local advocate was available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 or their relative`s status and were advised in a timely manner about any incidents or accidents and outcomes of any urgent medical reviews. This was supported in residents’ records reviewed. There was also evidence of resident/family input in the care planning process. Staff interviewed understood the principles of open disclosure, which is supported by policies and procedures that meet the requirements of the Code. Policy states that full and frank information of any resident adverse, unplanned or untoward event is given to all relevant parties as needed.</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accessible via the DHB and the national interpreter service which is a twenty-four hour service. Staff represent many different nationalities and are pleased to provide interpretation as and when needed for residents for whom English is not their first language.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and business plans for 2017 – 2018 for Waiapu House was sighted. Heritage Lifecare Limited reviews the business plan annually. The business plan outlines the purpose, values, scope, direction and goals of the organisation. The documents reviewed described annual and longer term objectives and the associated operational plans.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provides weekly and monthly reports to HLL support office, the operations manager and the quality team against a range of objectives and KPIs. A sample of reports reviewed showed adequate information is reported to monitor performance and to report any emerging trends, risks and/or issues arising.</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chart was displayed in the facility manager`s office and is accessible online and in the quality manual.</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facility manager who holds relevant health and postgraduate business qualifications. The facility manager brings experience working internationally to the role. The facility manager has been in this role since the 20 February 2017. The facility manager is suitably skilled and experienced for the role and has responsibilities and accountabilities defined in a job description and individual employment agreement. The facility manager is learning about the sector, regulatory and reporting requirements and is supported by the organisation’s regional operations manager and the quality compliance manager. The clinical services manager has only been in the role for three weeks and is supported by the facility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Hawke’s Bay District Health Board (HBDHB). The contracts include mental health (two) residents, long term support chronic health (Nil)) residents, respite and day care (no residents at the time of audit), engage ARRC Residential Care Services (GP) and 40 rest home and 32 hospital level residents. Waiapu House had full occupancy of 74 residents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system that reflects the principles of continuous improvement. The quality and risk plan for 2017 – 2018 is developed and implemented for Waiapu House. Quality indicators are clearly documented. The quality and risk system in place includes management of incident and complaints, audit activities, a regular satisfaction survey, monitoring of outcomes, clinical incidents inclusive of infections and any other events that occur.</w:t>
            </w:r>
          </w:p>
          <w:p w:rsidR="00EB7645" w:rsidRPr="00BE00C7" w:rsidP="00BE00C7">
            <w:pPr>
              <w:pStyle w:val="OutcomeDescription"/>
              <w:spacing w:before="120" w:after="120"/>
              <w:rPr>
                <w:rFonts w:cs="Arial"/>
                <w:b w:val="0"/>
                <w:lang w:eastAsia="en-NZ"/>
              </w:rPr>
            </w:pPr>
            <w:r w:rsidRPr="00BE00C7">
              <w:rPr>
                <w:rFonts w:cs="Arial"/>
                <w:b w:val="0"/>
                <w:lang w:eastAsia="en-NZ"/>
              </w:rPr>
              <w:t>Terms of reference and meeting minutes reviewed confirmed adequate reporting systems and discussion occurs on quality matters. Regular review and analysis of quality indicators (clinical and non-clinical) occurs and related information is discussed at the staff/quality meetings held monthly. Resident meetings are held two monthly. Staff meeting minutes reviewed included discussion on pressure injuries, restraints, falls, complaints, incidents/events, infections, audit results and activities. Staff reported their involvement in quality and risk activities through audit activities. Relevant corrective actions are developed and implemented as necessary and demonstrated a continuous process of quality improvement is occurring. Resident and family surveys are completed annually. The results of the last survey in February 2017 which were completed under the ownership of the previous service provider were not available. Heritage Lifecare Ltd have scheduled annual surveys for September each year.</w:t>
            </w:r>
          </w:p>
          <w:p w:rsidR="00EB7645" w:rsidRPr="00BE00C7" w:rsidP="00BE00C7">
            <w:pPr>
              <w:pStyle w:val="OutcomeDescription"/>
              <w:spacing w:before="120" w:after="120"/>
              <w:rPr>
                <w:rFonts w:cs="Arial"/>
                <w:b w:val="0"/>
                <w:lang w:eastAsia="en-NZ"/>
              </w:rPr>
            </w:pPr>
            <w:r w:rsidRPr="00BE00C7">
              <w:rPr>
                <w:rFonts w:cs="Arial"/>
                <w:b w:val="0"/>
                <w:lang w:eastAsia="en-NZ"/>
              </w:rPr>
              <w:t>The policies and procedures reviewed cover all necessary aspects of service provision and contractual agreements are current. The HLL policies and procedures are currently being implemented at Waiapu. ouThe document control system ensures a systematic and regular review process during this transitional phase is occurring. Referencing of relevant sources, approval, distribution and removal of obsolete documents. Staff are updated on new policies or changes to policies through the quality compliance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risk register which shows consistent review and upgrading of any risks and risk plans. The facility manager is aware of the Health and Safety at Work Act (2015) requirements and these requirements are addressed in policy. Training for staff was held in August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any adverse and near miss events on an incident form. A sample of incidents forms reviewed were fully completed, incidents were investigated, action plans developed and actions followed-up in a timely manner. Folders are kept at each nurses’ station. The hazard identification is completed by the health and safety representative. The clinical services manager enters all information into the electronic system (GOSH). The hard copy records are filed in the individual resident`s record. The new system has only been in place for one month. The facility manager reports any incidents or adverse events requiring reporting to the quality compliance manager who is responsible for notifying the correct authority if and when required.  Continuous quality improvement related to incidents covers, for example, falls, skin tears, pressure injuries and restraint/enabler use. One improvement has been the introduction of a physiotherapist one day a week and a physio-assistant employed 15 hours a week to carry out any instructions of the physiotherapist for individual residents. Any cares are documented on the resident`s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Negligible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line with good employment practice and relevant legislation, guide human resources management processes. Position descriptions reviewed were current and defined the key tasks and accountabilities for the various roles. The recruitment process includes referee check, police vetting and validation of qualifications and practising certificates (APCs), where required. A sample of staff records reviewed confirmed the organisation`s policies are being consistently implemented and records are systemically maintained. </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and included support from a `buddy` through their initial orientation period. Staff records reviewed showed documentation of completed orientation and a performance appraisal system is in place.</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The annual education plan for 2017 – 2018 was reviewed. All mandatory training requirements are defined and scheduled to occur over the course of the year. This was a corrective action from the previous audit that has been addressed.  Care staff have either completed a recognised education programme or are enrolled to meet the requirements of the provider`s agreement with the HBDHB. Education records reviewed demonstrated completion of the required training. An issue has been raised in 1.3.12.3 in relation to ensuring bureau nurses have had the appropriate medication competency training to perform this role. Registered nurse interviewed reported the annual performance appraisal process provides an opportunity to discuss individual training needs. Appraisals were current for staff.</w:t>
            </w:r>
          </w:p>
          <w:p w:rsidR="00EB7645" w:rsidRPr="00BE00C7" w:rsidP="00BE00C7">
            <w:pPr>
              <w:pStyle w:val="OutcomeDescription"/>
              <w:spacing w:before="120" w:after="120"/>
              <w:rPr>
                <w:rFonts w:cs="Arial"/>
                <w:b w:val="0"/>
                <w:lang w:eastAsia="en-NZ"/>
              </w:rPr>
            </w:pPr>
            <w:r w:rsidRPr="00BE00C7">
              <w:rPr>
                <w:rFonts w:cs="Arial"/>
                <w:b w:val="0"/>
                <w:lang w:eastAsia="en-NZ"/>
              </w:rPr>
              <w:t>The service had five registered nurses who were trained in interRAI. Three registered nurses have recently resigned. Two registered nurses are fully trained and a registered nurse has been employed two days a week commencing the week of the audit, who will solely work on the interRAI assessments. Three are booked in for interRAI training as evidenced through correspondence in the form of an email but no commencement date has been received. This was an area for improvement identified at the previous audit which remains open.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Heritage Lifecare Limited has introduced a rationale and process for staffing Waiapu House. The facility and clinical services manager reported this has been a challenge with the new structure and distribution of staff across the facility. The newly implemented roster system rolled over on 21 August 2017.  The care staff no longer are responsible for additional non-caring tasks and have to get prior approval for any shift changes. The roster reviewed ensures adequate staff coverage is available on all shifts. A handover occurs between all shifts and this was observed during the audit. The minimum number of staff is provided during the nightshift and consists of one registered nurse across the facility and four care staff. An after-hours on call roster is in place. Staff and families interviewed reported they are still adjusting to the way the staff cover the facility. Families commented that their relatives are well cared for by the staff. The organisation contracts to a bureau for short notice roster/staffing gaps. At least one staff member a shift has a current first aid certificate and there is 24 hour, seven days a week registered nurse coverage.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was observed on the day of audit. The staff observed demonstrated good knowledge and had a clear understanding of their roles and responsibilities related to each stage of medicine management.  All permanent staff who administer medicines are assessed competent to perform the function they manage.  One bureau nurse is used regularly and the process for ensuring competency is not applied to the bureau role.  On the day of the audit she was administering medications. This was discussed with the clinical services manager and facility who understood, and during the audit observed the RNs practice for medication administration, no issues were identified.  The need to obtain evidence of current medication competency for all staff who administer medication was understood following discussion.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weekly.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review is consistently recorded on the medicine chart by one of 32 GP’s supporting residents at the facility.  Standing orders are used, were current and comply with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self-administering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qualified kitchen co-ordinator and kitchen team,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kitchen co-ordinator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excellent.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trained diversional therapist holding the national Certificate in Diversional Therapy and two activities coordinators.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three-monthly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residents’ goals, ordinary patterns of life and include normal community activities. Individual, group activities and regular events are offered. Residents and families/whānau are involved in evaluating and improving the programme through residents’ discussions and meetings with families. Residents interviewed confirmed they find the programme interactive.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wounds.  When necessary, and for unresolved problems, long term care plans are added to an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(expires 01 March 2018) is publicly displayed.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The IPC coordinator reviews all reported infections and these were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quality manager.  Data is benchmarked externally within the organisation.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services manager interviewed is the restraint minimisation and safe practice coordinator for Waiapu House. The service is currently changing over to the HLL resident restraint/enabler form and documentation. The restraint minimisation and safe practice policy was reviewed. </w:t>
            </w:r>
          </w:p>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and safe practice register was reviewed and contains all relevant information required. The enablers in use were the least restrictive and were used voluntarily at the request of the residents. There are no rest home level residents using a restraint and/or an enabler. There are two hospital residents using an enabler and 10 residents using restraints. Six residents are using bedrails and four residents ‘pelvic briefs’. The process in place ensures the on-going safety and wellbeing of the resident. Restraint is used as a last resort when all alternatives have been explored.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5250"/>
        <w:gridCol w:w="3789"/>
        <w:gridCol w:w="228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Negligible</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Despite a plan in place being developed the clinical services manager and facility discussed the lack of progress with interRAI assessments being performed in a timely manner. Three registered nurses are currently enrolled to complete interRAI training but no date has been confirmed. A registered nurse has been employed two days a week solely for the interRAI programme but has not yet commenced this role.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the facility manager and the clinical services manager reported they are not able to remain up to date with interRAI assessments due to a lack of staff having completed the required training. Twelve (12) interRAI assessments are overdue (June to August) and two are in draft.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plan for additional registered nurses to attend interRAI training is implemented. Continue with tracking and monitoring interRAI assessments as is currently being done.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Waiapu House</w:t>
    </w:r>
    <w:bookmarkEnd w:id="58"/>
    <w:r>
      <w:rPr>
        <w:rFonts w:cs="Arial"/>
        <w:sz w:val="16"/>
        <w:szCs w:val="20"/>
      </w:rPr>
      <w:tab/>
      <w:t xml:space="preserve">Date of Audit: </w:t>
    </w:r>
    <w:bookmarkStart w:id="59" w:name="AuditStartDate1"/>
    <w:r>
      <w:rPr>
        <w:rFonts w:cs="Arial"/>
        <w:sz w:val="16"/>
        <w:szCs w:val="20"/>
      </w:rPr>
      <w:t>12 September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