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Te Wiremu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Wiremu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September 2017</w:t>
      </w:r>
      <w:bookmarkEnd w:id="7"/>
      <w:r w:rsidRPr="009418D4">
        <w:rPr>
          <w:rFonts w:cs="Arial"/>
        </w:rPr>
        <w:tab/>
        <w:t xml:space="preserve">End date: </w:t>
      </w:r>
      <w:bookmarkStart w:id="8" w:name="AuditEndDate"/>
      <w:r w:rsidR="00A4268A">
        <w:rPr>
          <w:rFonts w:cs="Arial"/>
        </w:rPr>
        <w:t>14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 Wiremu House provides rest home, hospital and dementia care for up to 94 residents. The service is now operated by Heritage Lifecare Limited (since April 2017)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unannounced surveillance audit was conducted against the Health and Disability Service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This audit has resulted in one continuous improvement in relation to quality and risk management. The two areas identified as requiring improvement at the previous audit have been fully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formal interpreting services if and when required.</w:t>
      </w:r>
    </w:p>
    <w:p w:rsidRPr="00A4268A">
      <w:pPr>
        <w:spacing w:before="240" w:line="276" w:lineRule="auto"/>
        <w:rPr>
          <w:rFonts w:eastAsia="Calibri"/>
        </w:rPr>
      </w:pPr>
      <w:r w:rsidRPr="00A4268A">
        <w:rPr>
          <w:rFonts w:eastAsia="Calibri"/>
        </w:rPr>
        <w:t>The facility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Heritage Lifestyle Limited is the governing body and is responsible for the service provided at the facility. Business, quality and risk management plans are documented and include the scope, direction, objectives, values and mission statement of the organisation. Systems are in place for monitoring the services provided, including regular weekly and monthly reporting by the facility manager and service manager to the governing body. The facility is managed by an experienced and suitably qualified manager who is supported by the clinical services manager. </w:t>
      </w:r>
    </w:p>
    <w:p w:rsidRPr="00A4268A">
      <w:pPr>
        <w:spacing w:before="240" w:line="276" w:lineRule="auto"/>
        <w:rPr>
          <w:rFonts w:eastAsia="Calibri"/>
        </w:rPr>
      </w:pPr>
      <w:r w:rsidRPr="00A4268A">
        <w:rPr>
          <w:rFonts w:eastAsia="Calibri"/>
        </w:rPr>
        <w:t>A quality and risk management system is in place which includes an annual internal audit schedule, monitoring of complaints and incidents, health and safety, infection control, restraint minimisation and resident and family satisfaction. Collection, collation and analysis of quality improvement data is occurring and is reported to the quality and staff meetings, with discussion of any trends and follow-up as necessary. Meeting minutes and graphs of clinical indicators are provided to the staff. Formal and informal feedback from residents and families is used to improve services. Actual and potential risks are identified and mitigated and the hazard register is updated.</w:t>
      </w:r>
    </w:p>
    <w:p w:rsidRPr="00A4268A">
      <w:pPr>
        <w:spacing w:before="240" w:line="276" w:lineRule="auto"/>
        <w:rPr>
          <w:rFonts w:eastAsia="Calibri"/>
        </w:rPr>
      </w:pPr>
      <w:r w:rsidRPr="00A4268A">
        <w:rPr>
          <w:rFonts w:eastAsia="Calibri"/>
        </w:rPr>
        <w:t>A suite of Heritage Lifecare Limited policies and procedures are being reviewed and implemented which are current.</w:t>
      </w:r>
    </w:p>
    <w:p w:rsidRPr="00A4268A">
      <w:pPr>
        <w:spacing w:before="240" w:line="276" w:lineRule="auto"/>
        <w:rPr>
          <w:rFonts w:eastAsia="Calibri"/>
        </w:rPr>
      </w:pPr>
      <w:r w:rsidRPr="00A4268A">
        <w:rPr>
          <w:rFonts w:eastAsia="Calibri"/>
        </w:rPr>
        <w:t>The human resources recruitment management policy, based on current good practice, guides the system for recruitment and appointment of staff. A comprehensive orientation and staff training programme ensures staff are competent to undertake their role. A systematic approach to identify, plan facilitate and record ongoing training supports service delivery, and includes regular individual performance review. Registered nurses are encouraged to undertake post graduate study relevant to their role.</w:t>
      </w:r>
    </w:p>
    <w:p w:rsidRPr="00A4268A">
      <w:pPr>
        <w:spacing w:before="240" w:line="276" w:lineRule="auto"/>
        <w:rPr>
          <w:rFonts w:eastAsia="Calibri"/>
        </w:rPr>
      </w:pPr>
      <w:r w:rsidRPr="00A4268A">
        <w:rPr>
          <w:rFonts w:eastAsia="Calibri"/>
        </w:rPr>
        <w:t>Staffing levels and skill mix meet contractual requirements and the changing needs of residents. After hours cover is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 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current and expires 6 July 2018. The building warrant of fitness is displayed publicly at reception.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are three enablers in use at the time of the audit. Restraint is only used as a last resort. Staff receive training annually and a restraint register is maintained. Staff demonstrated a sound knowledge and understanding of enabler and restraint processes and that enablers are voluntary and requested by the resident.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 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5"/>
        <w:gridCol w:w="1280"/>
        <w:gridCol w:w="101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and associated forms are documented and meet the requirements of Right 10 of the Code. Information on the complaint process is provided to residents/family/whanau on admission and those interviewed understood how to do so. The service has not received any external complaints such as police, coroner`s cases or Health and Disability Commissioner complaints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was reviewed. There were three complaints documented in the register since the change-over on the 14 August 2017 to Heritage Lifecare Limited quality and risk systems. Two complaints are fully closed out, dated and signed off by the facility manager, and one complaint was currently being responded to. The register sighted records complaints by the month. Complaints are reported weekly to the operations manager and to the quality compliance manager. All information is collated and complaints are used for improvement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staff under the governance of Heritage Lifecare Limited no longer are employed to undertake tasks that they have not been trained to do. The care staff only complete caregiving responsibilities according to their position descriptions sighted. In the event of a caregiver undertaking another role of choice, they are required to complete relevant training or competencies related to the position. This is current good practice and is reflective on the roster and in the training records reviewed. The area of improvement from the previous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there were kept well informed of any changes to their relative`s status, were advised in a timely manner about any incidents or accidents and outcomes of regular and any urgent medical reviews.  Staff clearly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how to access interpreter services. The facility manager had access to the court interpreters and chose to use this service when needed. Staff represent many different nationalities and are able to provide translation/interpreter services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now documented on the template provided by Heritage Lifecare Limited and the goals are personalised for Te Wiremu House for 2017 - 2018. The business plan objectives cover operation objectives, continuous quality improvement, administration processes, capital expenditure and site specific objectives. Action plans are included for each individual objective. The facility manager reports weekly and monthly as per reports reviewed to the governing group who monitor performance across the organisation, including emerging risks or any issues arising. The transitional change over from the previous ownership to Heritage Lifecare Limited in April 2017 was embedded into the strategic plan developed by the facility and clinical managers.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for nine years. Responsibilities and accountabilities are defined in a job description and individual employment agreement. The facility manager confirmed knowledge of the sector, regulatory and reporting requirements and maintains currency through ongoing business and management training and has an extensive commitment to community services. The experienced clinical service manager works collaboratively with and supports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hospital, respite care, chronic care, dementia and younger persons disabled (YPD). On the day of the audit there were (27) rest home level residents, (31) hospital residents including 1 long term chronic care resident,  (19) dementia residents totalling 77 residents. Two residents (rest home level) are receiving respite care and there are two residents are under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as reviewed and a regular patient satisfaction survey, monitoring of outcomes, and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and staff meetings. Staff reported their involvement in quality and risk management activities through audit activities and registered nurses holding additional roles and responsibilities in the organisation. Quality indicator data is collated each month and reported to the quality and compliance manager. Analysis of the set clinical indicators and relevant corrective action plans are developed and implemented by the clinical services manager to address any shortfalls. Resident and family satisfaction surveys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including reference to the interRAI long term care facility (LTCF) assessment tool and process. Heritage Lifecare Limited is transitioning their policies and procedures for the service to utilise. All are reviewed, based on good practice and are current. The document control system, referencing of relevant sources, approval distribution is organised by the organisation quality management team. The facility manager and clinical services manager are responsible for the removal, replacement and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any risks and development of mitigation strategies. The facility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form. A sample of incident forms received showed these were fully completed, incidents were investigated, action plans developed and actions follow-up in a timely manner. Adverse event data is collated, analysed and reported electronically in a new system introduced 08 July 2017. Monthly statistics and a narrative report are generated and any trends are identified and reported back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pressure injuries. Previously a notification register was maintained by the facility manager and this was sighted for 2016 – 2017. Any correspondence was retained in the register. The process has changed and if a notification or Section 31 notification is required, this now is reported to the operations manager, but the notification is the responsibility of the organisation`s quality and compliance manager. The one Section 31 notification was recorded 06 August 2017 for a resident admitted with a grade 4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three 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with completed or commenced a New Zealand Qualification Authority education programme to meet the requirements of the provider`s agreement with the DHB. A staff member is member is the internal assessor for the programme. Staff have all completed education for dementia care.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if needed. Care staff reported there were adequate staff available to complete the work allocated to them. Residents and family interviewed supported this. Observations and review of the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by one of the 20 GPs supporting residents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facility has recently submitted a food safety plan for approval to the district council. 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holding the national Certificate in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 Whare Tapa Wha model of care is embedded within the ordinary patterns of life within the facility and is reflected in individual and group activities and residents’ goals with regular and meaningful events offered with residents from all three units regularly mixing and joining activities together.   Community groups of all ages regularly visit the facility and residents are encouraged and remain interactive with whanau, events and activities in the community.   There are specific activities provided that are specific and meaningful to residents under the age of 65.   Residents and families/whānau are involved in evaluating and improving the programme through residents’ meetings and satisfaction surveys. Residents interviewed confirmed they find the programme interactive.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This includes singing, reminiscing and one to one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was sighted and the expiry date is 6 July 2018. This was displayed publicly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designated laundry. The laundry at the previous audit was currently being totally renovated. Building work has been completed and all consents were closed off appropriately. Laundry staff had a sound knowledge of the laundry processes, dirty/clean flow and handling of any soiled linen. The laundry is well managed and clothes are returned to residents in a timely manner. Staff are trained in chemical management and chemicals are stored safely in a locked cupboard and were in appropriately labelled containers. The laundry has two new washing machines and two clothes driers and walls were soundproof and are easily cleaned to maintain infection prevention and control. The laundry is ventilated and an air conditioning unit has been installed. This was an area requiring improvement from the previous audit which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manager.  Data is benchmarked externally within the organisation.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A restraint/enabler decision making process is available in the form of a flowchart to guide staff. Staff interviewed understand the difference between an enabler and a restraint and that an enabler is voluntary, used at the individual resident`s request and is the least restrictive.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Currently three residents are using enablers/bedrails and 12 residents are using a restraint in the form of bedrails, pelvic belts or both. A restraint register is maintained by the clinical services manager who is the restraint coordinator for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3"/>
        <w:gridCol w:w="1280"/>
        <w:gridCol w:w="6938"/>
        <w:gridCol w:w="13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admitted to the facility had written initial assessments, short term and long-term care plans and evaluations provided with required timeframes.  It was evident from staff interviewed that they knew the residents well.  Family/whanau interviewed stated that they were happy with the care and communication provided.  However, eleven (11) of seventy-seven (77) residents do not have an up to 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had an up to 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have an interRAI assessment to meet contractual requirements and time 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8376"/>
        <w:gridCol w:w="29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were reviewed. Specific service goals were set for the coming twelve months inclusive of one goal to retain staff during the change over of ownership of the facility. The management addressed this positively by providing support and on-going professional development for staff and at the same time making the job fun and rewarding while providing all residents with a caring, professional and compliant service. Regular meetings were held with excellent attendance prior and during the transition of ownership to discuss any emerging issues. Meeting minutes were maintained and reviewed. The outcome of the meetings was that the staff were retained with ongoing management negotiations occurring with the new owner directors. This was emphasised by the management team as the approach required to ensure continuity of service provision. Staff were kept updated at all times by the facility manager and the clinical services manager of progress and expectations. Residents, family and the community at large were also well informed and participation was encouraged. The purpose, values and goals of the organisation were promoted throughout the initial transition of service providers and were continuously considered in all day to day activities provided by the service ensuring the best outcomes for the residents and their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is made for achievement beyond the expected full attainment for the planning involved prior and during the transition of new ownership. This transition has been managed professionally, with management and staff working collaboratively together ensuring that the transition of service providers was managed efficiently, effectively and as smoothly as possible to ensure that the best outcomes for residents/families was foremost achieved and for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Te Wiremu House</w:t>
    </w:r>
    <w:bookmarkEnd w:id="58"/>
    <w:r>
      <w:rPr>
        <w:rFonts w:cs="Arial"/>
        <w:sz w:val="16"/>
        <w:szCs w:val="20"/>
      </w:rPr>
      <w:tab/>
      <w:t xml:space="preserve">Date of Audit: </w:t>
    </w:r>
    <w:bookmarkStart w:id="59" w:name="AuditStartDate1"/>
    <w:r>
      <w:rPr>
        <w:rFonts w:cs="Arial"/>
        <w:sz w:val="16"/>
        <w:szCs w:val="20"/>
      </w:rPr>
      <w:t>13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