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CHT Glynavon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CHT Glynavon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September 2017</w:t>
      </w:r>
      <w:bookmarkEnd w:id="7"/>
      <w:r w:rsidRPr="009418D4">
        <w:rPr>
          <w:rFonts w:cs="Arial"/>
        </w:rPr>
        <w:tab/>
        <w:t xml:space="preserve">End date: </w:t>
      </w:r>
      <w:bookmarkStart w:id="8" w:name="AuditEndDate"/>
      <w:r w:rsidR="00A4268A">
        <w:rPr>
          <w:rFonts w:cs="Arial"/>
        </w:rPr>
        <w:t>15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CHT Glynavon is owned and operated by the CHT Healthcare Trust.  The service provides cares for up to 32 residents requiring hospital and rest home level care.  On the day of the audit, there were 31 residents.  The service is overseen by a unit manager, who is a registered nurse and well qualified and experienced for the role and is supported by the area manager.  Residents and the GP interviewed spoke positively about the service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This surveillance audit has identified the following areas requiring improvements; open disclosure, service provision, care planning, and medication.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families interviewed report that they are kept informed.  Residents and their family/whānau are provided with information on the complaints process on admission.  Staff are aware of the complaints process and to whom they should direct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documented quality and risk management programme.  Quality and risk information is reported at staff meetings.  Residents and family are provided with the opportunity to feedback on issues during resident meetings and via annual satisfaction surveys.  </w:t>
      </w:r>
    </w:p>
    <w:p w:rsidRPr="00A4268A">
      <w:pPr>
        <w:spacing w:before="240" w:line="276" w:lineRule="auto"/>
        <w:rPr>
          <w:rFonts w:eastAsia="Calibri"/>
        </w:rPr>
      </w:pPr>
      <w:r w:rsidRPr="00A4268A">
        <w:rPr>
          <w:rFonts w:eastAsia="Calibri"/>
        </w:rPr>
        <w:t xml:space="preserve">Human resources are managed in accordance with good employment practice, meeting legislative requirements.  An orientation programme is in place for new staff.  An education and training programme is provided.  There is an annual performance appraisal process in place. </w:t>
      </w:r>
    </w:p>
    <w:p w:rsidRPr="00A4268A">
      <w:pPr>
        <w:spacing w:before="240" w:line="276" w:lineRule="auto"/>
        <w:rPr>
          <w:rFonts w:eastAsia="Calibri"/>
        </w:rPr>
      </w:pPr>
      <w:r w:rsidRPr="00A4268A">
        <w:rPr>
          <w:rFonts w:eastAsia="Calibri"/>
        </w:rPr>
        <w:t xml:space="preserve">The service has a documented rationale for determining staffing. Care staff, residents and family members report staffing levels are sufficient to meet residents’ needs.  The unit coordinator (a registered nurse) covers on-call when not on-site.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admission assessments using the interRAI assessment tool.  Care plans are developed in consultation with the resident and/or family.  Care plans demonstrate allied health input into the care of the resident.  Care plans are reviewed at least six-monthly. </w:t>
      </w:r>
    </w:p>
    <w:p w:rsidRPr="00A4268A" w:rsidP="00621629">
      <w:pPr>
        <w:spacing w:before="240" w:line="276" w:lineRule="auto"/>
        <w:rPr>
          <w:rFonts w:eastAsia="Calibri"/>
        </w:rPr>
      </w:pPr>
      <w:r w:rsidRPr="00A4268A">
        <w:rPr>
          <w:rFonts w:eastAsia="Calibri"/>
        </w:rPr>
        <w:t xml:space="preserve">Medication policies reflect legislative medicine requirements and guidelines.   </w:t>
      </w:r>
    </w:p>
    <w:p w:rsidRPr="00A4268A" w:rsidP="00621629">
      <w:pPr>
        <w:spacing w:before="240" w:line="276" w:lineRule="auto"/>
        <w:rPr>
          <w:rFonts w:eastAsia="Calibri"/>
        </w:rPr>
      </w:pPr>
      <w:r w:rsidRPr="00A4268A">
        <w:rPr>
          <w:rFonts w:eastAsia="Calibri"/>
        </w:rPr>
        <w:t xml:space="preserve">An activities programme is in place. The programme includes outings, entertainment and activities that meet the recreational preferences and abilities of the residents.  Residents expressed satisfaction with the activities provided. </w:t>
      </w:r>
    </w:p>
    <w:p w:rsidRPr="00A4268A" w:rsidP="00621629">
      <w:pPr>
        <w:spacing w:before="240" w:line="276" w:lineRule="auto"/>
        <w:rPr>
          <w:rFonts w:eastAsia="Calibri"/>
        </w:rPr>
      </w:pPr>
      <w:r w:rsidRPr="00A4268A">
        <w:rPr>
          <w:rFonts w:eastAsia="Calibri"/>
        </w:rPr>
        <w:t xml:space="preserve">All food is prepared on-site.  Residents’ nutritional needs are identified and documented.  Alternative choices are available for dislikes.  Meals are well presented.  Residents commented positively on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(15 June 2018)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are clear guidelines in policy, which include documented definitions of restraints and enablers that align with the definitions in the standard.  There are currently three residents using an enabler and five residents using restraint.  Staff receive training on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A complaints form is available.  Information about complaints is provided on admission.  Interviews with residents demonstrated an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Verbal and written complaints are documented.  There have been six complaints in 2016 and nil YTD in 2017.  All complaint documentation was reviewed.  All six complaints had noted investigations, timeframes, corrective actions when required, and resolutions were in place if required.  Results are fed back to complainants.  Discussions with residents (two rest home and three hospital) confirmed that any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policy also describes that open disclosure is part of everyday practice.  The staff interviewed (four healthcare assistants, two registered nurses, one cook, one physiotherapist, one activities coordinator, one unit manager and one area manager) understood about open disclosure and providing appropriate information and resource material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(two hospital) confirmed they are kept informed of the resident`s status, including any events adversely affecting the resident.  Communication with families is documented in the progress notes, and was identified with a stamp in the files reviewed. Eight incident forms were reviewed, however not all incident forms and progress notes entries evidenced families had been informed following the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DHB.  Families and staff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Glynavon is owned and operated by the CHT Healthcare Trust.  The service provides rest home and hospital level care for up to 32 residents.  The service advised that one double room has been permanently converted to a single room since the previous audit.  On the day of the audit, there were 17 rest home level residents including one respite resident and 14 hospital level residents including one respite resident and two residents admitted under a young person with disability contract.  All other residents were admitted under the aged related residential care contract.  There are 27 dual-purpose beds and 5 rest home level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delivered over two levels. On the top floor, there are 10 dual-purpose beds and on the day of audit there were 6 rest home and 4 hospital level residents in this area.  The ground floor is divided into three wings.  In one wing, there are nine rooms, five of which are rest home and four are dual-purpose. In this area on the day of audit there were three hospital level care residents -  including one resident admitted under a young person with disability contract, and one resident admitted for respite care and six rest home level care residents. In the second wing, there are seven dual-purpose beds and on the day of audit there were three hospital and four rest home level residents – including one resident admitted for respite care.  In the third wing, there are six dual-purpose beds, and on the day of audit there were four hospital level care residents - including one resident admitted under a young person with disability contract and one rest home level care resident. </w:t>
            </w:r>
          </w:p>
          <w:p w:rsidR="00EB7645" w:rsidRPr="00BE00C7" w:rsidP="00BE00C7">
            <w:pPr>
              <w:pStyle w:val="OutcomeDescription"/>
              <w:spacing w:before="120" w:after="120"/>
              <w:rPr>
                <w:rFonts w:cs="Arial"/>
                <w:b w:val="0"/>
                <w:lang w:eastAsia="en-NZ"/>
              </w:rPr>
            </w:pPr>
            <w:r w:rsidRPr="00BE00C7">
              <w:rPr>
                <w:rFonts w:cs="Arial"/>
                <w:b w:val="0"/>
                <w:lang w:eastAsia="en-NZ"/>
              </w:rPr>
              <w:t>CHT has an overall business/strategic plan and Glynavon has a facility quality and risk management programme in place for the current year.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is a registered nurse and maintains an annual practicing certificate.  She has been in a management role at the facility for 23 years and continued as unit manager when CHT purchased the service.  The unit manager reports to the area manager weekly on a variety of operational issues.  The unit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unit manager, care staff and activities coordinator, cook, reflected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and updated at the organisational level. New policies or changes to policy are communicated to staff,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collected is collated and analysed. Quality data is regularly communicated to staff via monthly staff meetings, and through the use of graphs that are posted on staff noticeboards. Quality data is benchmarked internally with other CHT sites.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which consists of two comprehensive six-monthly audits completed by the area manager is being implemented.  Areas of non-compliance had corrective actions required are documented and shortfalls are addressed.   There was evidence in the staff meetings to verify staff are informed of audit results.  Examples since the last audit included (but were not limited to) resident satisfaction survey, and six monthly internal audit checks.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that meets current legislative requirements.  An interview with the health and safety officer (unit coordinator) and review of health and safety documentation confirmed that legislative requirements are being met.  External contractors have been orientated to the facility’s health and safety programme.  The hazard register is regularly reviewed (last review March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unit manager investigates accidents and near misses and analysis of incident trends occurs.  There is a discussion of incidents/accidents at monthly quality meetings including actions to minimise recurrence.  A registered nurse conducts clinical follow-up of residents.  Eight incident forms sampled (from a sample of resident files) demonstrated that appropriate clinical follow-up and investigation occurred following incidents.  Not all adverse events documented on an accident and incident form evidenced communication to families (link 1.1.9.1). Discussions with the unit manager confirmed that there is an awareness of the requirement to notify relevant authorities in relation to essential notifications.  A non-facility acquired pressure injury and an infectious outbreak in January 2017 were appropriately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These include that the recruitment and staff selection process requires that relevant checks are completed to validate the individual’s qualifications, experience and veracity.  A copy of practising certificates is kept.  Five staff files were reviewed (the unit coordinator, two registered nurses, an activities coordinator and one healthcare assistant) and evidenced that reference checks were completed before employment is offered.  The service has a comprehensive orientation programme in place that provides new staff with relevant information for safe work practice.  The in-service education programme for 2017 is being implemented and includes all required training. The unit manager and registered nurses are able to attend external training, including sessions provided by the local DHB.  Three of the five registered nurses have completed interRAI training.  Annual staff appraisals were evident in all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Sufficient staff are rostered on to manage the care requirements of the residents.  In addition to the unit manager (a registered nurse), who works full time, there is one registered nurse on at any one time.  The registered nurse on each shift is aware that extra staff can be called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 morning shift, there are four HCAs (two full shifts and two five-hour shifts). On an afternoon shift, there are three HCAs (one eight-hour shift, one seven-hour shift and one four-hour shift).  On nights, there is one HCA.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rostered seven days a week. There are separate domestic staff who are responsible for cleaning and the laundry service is completed off-site.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(four rest home - including one respite resident and six hospital including one young person with a disability). There are policies available for safe medicine management that meet legislative requirements.  Residents’ medicines are stored securely in the medication room/cupboard.  The service uses an electronic medication management system.  All medication charts sampled met legislative prescribing requirements. The medication charts reviewed identified that the GP had reviewed all resident’s medication three-monthly and all allergies were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Only registered nurses administer medication, however not all registered nurses have been assessed for competency on an annual basis.  Education around safe medication administration has been provided.  Staff were observed to be safely administering medications.  Registered nurses interviewed could describe their role regarding medication administration.  The service currently uses robotic packed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standing orders in use and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 is recorded regularly and this is within the acceptable range.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Glynavon are prepared and cooked on-site by an external food service company.  There is a food services manual in place to guide staff. The food service menu was last audited by a dietitian in April 2017. There is a four-weekly seasonal menu. The cook receives dietary information for new residents and is notified of any dietary changes, weight loss or other dietary requirements by the RN.  Food allergies and dislikes are listed in the kitchen.  Special diets such as diabetic desserts, vegetarian, pureed and alternative choices for dislikes are accommodated.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plated and served from the kitchen to the residents in the two dining areas. The plated meals are delivered via a hot box to the upstairs dining area.  Staff were observed assisting residents with their meals and drinks.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are recorded daily.  Dry goods are stored in dated sealed containers.  Chemicals are stored safely.  Cleaning schedules are maintained. The dishwasher is checked regularly by the chemical supplier.  All staff who work in the kitchen have completed or are currently completing their food safety course.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specialised crockery such as lip plates and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menu and food services through the resident meeting and resident surveys.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responsible for all aspects of care planning. Interventions noted in discharge summaries were not always transferred to the care plans.  In the files sampled, care plans did not always include interventions for all identified care needs and interventions were not all documented in sufficient detail to guide the care staff.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they found the care plans easy to follow and could describe the care required for the residents.  Family/whānau members interviewed confirmed the care delivery and support by staff is consistent with their expectations.  If external nursing or allied health advice is required, the RNs will initiate a referral (eg, to the district nurse [hospice nurse]).  If external medical advice is required, this will be actioned by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residents’ files reviewed short-term care plans were commenced for all changes in health condition.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eight wounds.  Wound assessment, monitoring and wound management plans are in place, however not all wound care documentation was completed for all wounds.  The RNs have access to specialist nursing wound care management advice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pressure injury prevention interventions such as two hourly turning charts, food and fluid charts,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healthcare assistants demonstrated an understanding of the individualised needs of residents.  Staff could describe the components of appropriate Tikanga Māori and the components of safe cultural care for the five residents who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activities coordinators are rostered to deliver the activities programme.  On the day of audit, the service was actively recruiting to fill the vacancy created by a recent resignation.  Care staff are currently supporting the delivery of the programme until the vacancy is filled.  The programme operates seven days a week.  Each resident has an individual activities assessment on admission, which is incorporated into the interRAI assessment process.  An individual activities plan is developed for each resident by the activities coordinators in consultation with the registered nurses.  Each resident is free to choose if they wish to participate in the group activities programme or their individual plan.  Participation is monitored.  Group activities reflect ordinary patterns of life and include at least weekly planned visits to the community.  All long-term resident files sampled have a recent activity plan within the care plan and this is appraised at least six-monthly when the care plan is evaluated or a further interRAI assessment occurs.  Residents interviewed commented positively on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evaluate all initial care plans within three weeks of admission.  Files sampled demonstrated that the long-term care plan was evaluated at least six-monthly or earlier if there is a change in health status.  There was at least a three-monthly review by the GP.  Reassessments have been completed using interRAI LTCF and other relevant assessment tools for residents who have had a significant change in health status.  Short-term care plans sighted were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(expiry 15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CHT Glynavon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all staff meetings.  If there is an emergent issue, it is acted upon in a timely manner.  Reports are easily accessible to the area manager.  There has been one outbreak in January 2017, which was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Enablers are assessed as required for maintaining safety and independence and are used voluntarily by the residents.  There are five hospital residents requiring the use of restraints (two residents are using two restraints, bedrails and lap belts, and three residents are using bed rails).  There are three hospital residents using an enabler (bedrails).  The use of the enabler is voluntary.  An assessment for restraint/enabler use and consent form were evidenced as completed in the three enabler and one restraint file reviewed. The enabler and restraint care plans reviewed did not state the risks associated with the use of restraint/enabler and did not document the interventions to manage the identified risks (link 1.3.5.2).</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on RMSP/enablers has been provided.  Restraint has been discussed as part of quality meetings.  A registered nurse is the designated restraint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5"/>
        <w:gridCol w:w="1280"/>
        <w:gridCol w:w="4046"/>
        <w:gridCol w:w="5728"/>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families interviewed advised they were informed of any adverse events or changes to their relative’s health condition. There is a space on the incident form to document whether (or not) family had been notified of an adverse event. Staff also record any communication with family in the progress notes as evidenced in the clinical files reviewed. However, five of eight incident forms reviewed had the communication with family section left blank and there was no documentation in the progress notes to confirm that family had been contacted.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eight incident forms reviewed (three hospital and two rest home) did not evidence that family had been notified following an adverse event.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family are advised of all adverse events.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Only registered nurses administer medication at CHT Glynavon. Registered nurses are required to complete an annual medication competency, however not all registered nurses had completed the required annual competency assessment. The registered nurse who was assessing medication competency had also not completed an annual competency 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of seven RNs that administer medication could not evidence an annual medication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unit coordinator that completes staff medication competencies last completed a medication competency assessment in 2015.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all staff that administer medication or who assess medication competency, complete the required annual competency assessments.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are responsible for all nursing assessments and the development of the care plan in the required timeframes.  In two of five files reviewed (one rest home and one hospital) the assessments and care plans were not documented within the required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rest home resident admitted for respite care 18 days prior to the audit had not had all required risk assessments completed until the day of audit and the initial care plan was not documented until three days after the resident was admitted.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of four long-term care residents (hospital) had not had the interRAI assessment or care plan documented within 21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assessments and care plans are completed and documented within the required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assessments to identify the care needs of the resident, and use this information to document a care plan. In all files sampled care plans were not documented for all care needs and where care plans where documented they were not always documented in sufficient detail to guide the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plans were documented, however one hospital resident with four separate chronic wounds did not have a care plan documented for each wound.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Four of five care plans sampled did not have interventions documented for a) one hospital (tracer) resident for the management of mental health issues, and the medium falls risk b) one rest home resident (tracer) for the management of symptomatic atrial fibrillation, chronic kidney disease, and CHF, c) one hospital resident with type II diabetes and unstable blood sugars, mental health issues, and renal failure, d) one hospital resident for the management of angina, medium fall risk, wandering and PI risk. These files also lacked sufficient detail to guide the care staff in the management of behaviours, short-term memory loss, the risks associated with the use of restraint, and the specific monitoring required for signs of infection, constipation, GI bleeding and wandering.</w:t>
            </w:r>
          </w:p>
          <w:p w:rsidR="00EB7645" w:rsidRPr="00BE00C7" w:rsidP="00BE00C7">
            <w:pPr>
              <w:pStyle w:val="OutcomeDescription"/>
              <w:spacing w:before="120" w:after="120"/>
              <w:rPr>
                <w:rFonts w:cs="Arial"/>
                <w:b w:val="0"/>
                <w:lang w:eastAsia="en-NZ"/>
              </w:rPr>
            </w:pPr>
            <w:r w:rsidRPr="00BE00C7">
              <w:rPr>
                <w:rFonts w:cs="Arial"/>
                <w:b w:val="0"/>
                <w:lang w:eastAsia="en-NZ"/>
              </w:rPr>
              <w:t>ii) In one of five files sampled (rest home tracer) the interventions documented in the discharge summary for daily weighs were not transferred to the resident’s care plan and were not implemented.</w:t>
            </w:r>
          </w:p>
          <w:p w:rsidR="00EB7645" w:rsidRPr="00BE00C7" w:rsidP="00BE00C7">
            <w:pPr>
              <w:pStyle w:val="OutcomeDescription"/>
              <w:spacing w:before="120" w:after="120"/>
              <w:rPr>
                <w:rFonts w:cs="Arial"/>
                <w:b w:val="0"/>
                <w:lang w:eastAsia="en-NZ"/>
              </w:rPr>
            </w:pPr>
            <w:r w:rsidRPr="00BE00C7">
              <w:rPr>
                <w:rFonts w:cs="Arial"/>
                <w:b w:val="0"/>
                <w:lang w:eastAsia="en-NZ"/>
              </w:rPr>
              <w:t>iii) Three of three enabler care plans and one of five restraint care plans reviewed did not state the risks associated with the use of restraint/enabler and did not document the interventions to manage the identified risks.</w:t>
            </w:r>
          </w:p>
          <w:p w:rsidR="00EB7645" w:rsidRPr="00BE00C7" w:rsidP="00BE00C7">
            <w:pPr>
              <w:pStyle w:val="OutcomeDescription"/>
              <w:spacing w:before="120" w:after="120"/>
              <w:rPr>
                <w:rFonts w:cs="Arial"/>
                <w:b w:val="0"/>
                <w:lang w:eastAsia="en-NZ"/>
              </w:rPr>
            </w:pPr>
            <w:r w:rsidRPr="00BE00C7">
              <w:rPr>
                <w:rFonts w:cs="Arial"/>
                <w:b w:val="0"/>
                <w:lang w:eastAsia="en-NZ"/>
              </w:rPr>
              <w:t>iv) One hospital resident with four chronic wounds did not have a separate wound care plan for each wound, and each wound was not individually evaluated with each dressing change.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care plans are documented for all assessed care needs and that that interventions are documented in sufficient detail to guide the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interventions that are documented in discharge summaries are added to the care plan and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the risks associated with the use of an enabler or restraint are documented and interventions to manage the identified risks are noted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that all separate wounds have a care plan documented and the wound is evaluated at each dressing change.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CHT Glynavon</w:t>
    </w:r>
    <w:bookmarkEnd w:id="58"/>
    <w:r>
      <w:rPr>
        <w:rFonts w:cs="Arial"/>
        <w:sz w:val="16"/>
        <w:szCs w:val="20"/>
      </w:rPr>
      <w:tab/>
      <w:t xml:space="preserve">Date of Audit: </w:t>
    </w:r>
    <w:bookmarkStart w:id="59" w:name="AuditStartDate1"/>
    <w:r>
      <w:rPr>
        <w:rFonts w:cs="Arial"/>
        <w:sz w:val="16"/>
        <w:szCs w:val="20"/>
      </w:rPr>
      <w:t>14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