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Archer Care Facility Limited - Archer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Archer Care Facility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Archer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2017</w:t>
      </w:r>
      <w:bookmarkEnd w:id="7"/>
      <w:r w:rsidRPr="009418D4">
        <w:rPr>
          <w:rFonts w:cs="Arial"/>
        </w:rPr>
        <w:tab/>
        <w:t xml:space="preserve">End date: </w:t>
      </w:r>
      <w:bookmarkStart w:id="8" w:name="AuditEndDate"/>
      <w:r w:rsidR="00A4268A">
        <w:rPr>
          <w:rFonts w:cs="Arial"/>
        </w:rPr>
        <w:t>29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Archer Care is part of the Archer Memorial Baptist Home Trust and is certified to provide rest home level care for up to 55 residents.  On the day of audit there were 53 residents.  The general manager oversees the operations of the retirement village and care centre. The care centre is managed by a site/quality manager with support from a clinical nurse manager.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has addressed four of seven findings from the certification audit regarding; hazard management, essential notifications, medication documentation.</w:t>
      </w:r>
    </w:p>
    <w:p w:rsidRPr="00A4268A">
      <w:pPr>
        <w:spacing w:before="240" w:line="276" w:lineRule="auto"/>
        <w:rPr>
          <w:rFonts w:eastAsia="Calibri"/>
        </w:rPr>
      </w:pPr>
      <w:r w:rsidRPr="00A4268A">
        <w:rPr>
          <w:rFonts w:eastAsia="Calibri"/>
        </w:rPr>
        <w:t>There continues to be improvements required around registered nurse follow-up, interventions, and implementation of care.</w:t>
      </w:r>
    </w:p>
    <w:p w:rsidRPr="00A4268A">
      <w:pPr>
        <w:spacing w:before="240" w:line="276" w:lineRule="auto"/>
        <w:rPr>
          <w:rFonts w:eastAsia="Calibri"/>
        </w:rPr>
      </w:pPr>
      <w:r w:rsidRPr="00A4268A">
        <w:rPr>
          <w:rFonts w:eastAsia="Calibri"/>
        </w:rPr>
        <w:t>This surveillance audit identified further improvements required around incident forms, staff files, registered nursing reviews and care plan evaluations.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Archer Care strive to ensure that care is provided in a way that focuses on the individual and residents' autonomy is valued.  Information about the Code of Rights and services is easily accessible to residents and families.  Care plans accommodate the choices of residents and/or their family/whānau.  Complaints and concerns have been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general manager oversees the operations of the retirement village and care centre. The care centre is managed by a site/quality manager with support from a clinical nurse manager and care staff.  Quality activities are conducted to identify improvements in practice and service delivery.  Health and safety policies are implemented to manage risk.  Staff advised that there is an orientation programme that provides new staff with relevant information for safe work practice.  The in-service training calendar for 2017 is being implemented.  A roster provides sufficient shifts to cover for the delivery of care and support to rest home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takes primary responsibility for managing entry to the service with assistance from the quality/site manager.  Comprehensive service information is available.  The registered nurses complete care plans and evaluations within the required timeframes.  All residents are assessed using the interRAI assessment tool.  Residents interviewed confirmed they were involved in the care planning and review process.  Each resident has access to an individual and group activities programme.  The group programme is varied and interesting.  Medicines are stored appropriately, and the service has medication policies that comply with legislation and guidelines.  General practitioners review residents at least three-monthly or more frequently if needed.  Meals are prepared on-site.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the provision of a restraint-free environment.  There are currently no residents requiring restraints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80"/>
        <w:gridCol w:w="10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were able to describe the process around reporting complaints.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appropriate policies and procedures to ensure that staff adequately communicate with residents and families.  Twelve incident forms reviewed showed that family notification is not always completed or a reason for this is not recorded (link 1.2.4.3).  One family member interviewed confirmed that they were not always informed when their family member’s health status changes.  Five residents interviewed stated that they were welcomed on entry and were given time and explanation about the services and procedures.  There is a resident’s handbook which provides a guide for living at Archer Care.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Care is part of the Archer Memorial Baptist Home Trust.  The care centre provides rest home level care to up to 55 residents.  On the day of audit there were 53 residents, including two residents on respite.  Permanent residents were all under the age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reports to the board on a monthly basis.  The service has a current 2017/2018 strategic/business plan and a quality and risk management programme.  An annual 2017 quality plan is being implemented.  Progress toward previous goals has been monitored and is documented monthly in the general manager’s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oversees the operations of the retirement village and care centre.  The site/quality manager oversees the care centre and reports to the general manager.  The site/quality manager has been with the service for ten years.  She is supported by a clinical nurse manager who has been in the position for six months, she has over 20 years of experience within the aged care industry.  An RN is being employed at the end of October 2017 to help the clinical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site/quality manager has completed more than eight hours of training in the last year relating to the management of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the service philosophy, general objectives and lists the quality activities.  An annual quality plan for 2017 has been developed and is being implemented.  An internal audit schedule is being completed for 2017.  Corrective actions have been developed where compliance is less than expected.  This is evidenced in the meeting minutes reviewed for staff, quality/health and safety/infection control and resident meetings.  Quality meetings evidence discussion of quality activities.  Resident meetings are held bi-monthly with follow-up of issues and discussions are completed.  An annual resident and relative survey was conducted, with respondents advising that they are overall very satisfied with the care that residents receive.  Issues identified in the survey have been addressed with corrective actions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collects information on resident incidents and accidents as well as staff incidents/accidents (link 1.2.4.3).  The service has a health and safety management system and hazard registers are documented for each area of service.  The service maintained their tertiary level ACC workplace safety management practices programme to June 2018.  There are procedures to guide staff in managing clinical and non-clinical emergencies.  Falls prevention strategies are implemented.  There is a list of residents who use hot water bottles (one resident on the day of the audit).  This information is recorded in their care plans, including the associated risks of using hot water bottles.  This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RN.  Analysis of incident trends is conducted by the site/quality manager.  There is a discussion of incidents/accidents at quality and staff meetings.  A sample of twelve incident/accident forms reviewed for August and September 2017 had been commenced by either the registered nurse (RN) or the healthcare assistants (HCA).  Progress notes reviewed for a sample of resident’s evidence that incidents and accidents have been reported.  Follow-up by an RN is evident in the resident incident forms reviewed (link 1.3.3.4); however, not all forms had notification to the next of kin and not all neurological observations were completed for unwitnessed resident falls that resulted in a potential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aware of their requirement to notify relevant authorities in relation to essential notifications.  Advised there have been no adverse events since the last audit that would have triggered a section 31 notification.  The service notified public health in relation to two outbreaks that occurred in November and December 2016.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which includes a recruitment and staff selection process that requires relevant checks are completed to validate the individual’s qualifications, experience and veracity.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an orientation programme that provides new staff with relevant information for safe work practice.  Staff were able to describe the orientation process and stated that they believed new staff were adequately orientated to the service. Five staff files were reviewed (one clinical nurse manager, one enrolled nurse, two home assistants and one cook) and evidence that reference checks are completed before employment is offered.  All files reviewed evidenced signed job descriptions, however, orientation checklists, up-to-date annual performance appraisals and reference checks were not all evident in the five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in-service training calendar for 2017 is being implemented.  Discussion with the training coordinator and records reviewed confirms that an in-service training programme has been provided.  Annual training days are provided for staff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includes staff rationale and skill mix.  The site/quality manager and the clinical nurse manager both work full time from Monday to Friday.  An RN is being employed at the end of October 2017 to help the clinical nurse manager.  Two enrolled nurses are also employed.  The site/quality manager is on call for any operational issues and the clinical nurse manager covers the on call for any clinical concerns.  There is at least one staff member on each duty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healthcare assistants (HCAs) on duty on the morning shift, three HCAs on duty on the afternoon shift and two HCAs on the night shift.  There is a staff workload monitoring policy, which takes the acuity of residents into consideration when determining staff numbers on duty.  Residents and the relative interviewed confirm that there are sufficient staff on-site at all times and staff are approachable and in their opinion, competent, professional, respectful and friendly.</w:t>
            </w:r>
          </w:p>
          <w:p w:rsidR="00EB7645" w:rsidRPr="00BE00C7" w:rsidP="00BE00C7">
            <w:pPr>
              <w:pStyle w:val="OutcomeDescription"/>
              <w:spacing w:before="120" w:after="120"/>
              <w:rPr>
                <w:rFonts w:cs="Arial"/>
                <w:b w:val="0"/>
                <w:lang w:eastAsia="en-NZ"/>
              </w:rPr>
            </w:pPr>
            <w:r w:rsidRPr="00BE00C7">
              <w:rPr>
                <w:rFonts w:cs="Arial"/>
                <w:b w:val="0"/>
                <w:lang w:eastAsia="en-NZ"/>
              </w:rPr>
              <w:t>Four healthcare assistants interviewed stated there was sufficient staff to provide care and RNs were available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The medication management policies and procedures comply with medication legislation and guidelines.  An electronic medication management system is in place for regular medication.  Paper based charts were being used for the prescribing of Warfarin.  Warfarin had been prescribed correctly and Warfarin was being administered as prescribed. This was a previous finding that has been addressed.  Medicines are appropriately stored in accordance with relevant guidelines and legislation.  Residents’ medicines are stored securely in the medication room/cupboard.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and HCAs administer medicines.  All staff that administer medicines are competent and have received medication management training.  Medication administration practice complied with the medication management policy for the medication round sighted.  The facility uses a blister packed medication management system for the packaging of all tablets.  The enrolled nurse on duty reconciles the delivery and documents this.  There was evidence of three-monthly reviews by the GP.  Medication administration records showed that all medications were administered as prescribed.  On the day of audit all residents self-administering medicines had documentation correctly recorded and a competency assessment completed.  There were no standing orders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and all food is cooked on-site by the dedicated kitchen staff.  There is a four-weekly rotating seasonal menu, which has been reviewed in September 2017 by an external dietitian.  The food service is HACCP certified annually.  There is a food services manual in place to guide staff.  A resident nutritional profile is developed for each resident on admission and provided to the kitchen staff.  This document is reviewed at least six-monthly as part of the care plan review.  Archer has moved to self-service via a buffet to enable residents to ‘choose’ what they want to eat at each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hospitality supervisor works closely with the RNs.  Special diets and resident individual likes and dislikes are accommodated.  The kitchen staff have completed food safety training.  The temperatures of refrigerators, freezers and cooked foods are monitored and recorded.  There is special equipment available for residents if required.  All food is stored appropriately.  Residents and the family member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personal needs information is gathered during admission in consultation with the resident and their family/whānau where appropriate (link 1.3.5.2).  The interRAI and ‘as required’ additional nutritional, pain, and falls assessment tools were in use.  The interRAI assessment tool was used to develop the long-term care plan (link 1.3.5.2) and to review the resident at least six-monthly or when there was a change to a resident’s level of care.  InterRAI assessments have been completed for four of five residents’ files reviewed.  One resident was a respite resident and did not require an interRAI.  The previous shortfall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using the interRAI long-term care plan template.  All resident files reviewed contained a care plan.  Initial and long-term care plans reviewed did not always describe the support required to meet the resident’s goals and identified care needs.   Short-term care plans were not evidenced for all acute changes in health status.  Residents and their family/whānau interviewed reported that they are involved in the care planning and review process.  The previous shortfall has not yet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(link 1.3.5.2) and report progress against the care plan each shift at handover.  If external nursing or allied health advice is required, the RNs will initiate a referral (e.g., to the district nurse, hospice nurse or wound specialist nurses).  If external medical advice is required, this will be actioned by the GPs.  Staff have access to sufficient medical supplies (e.g., dressings).  Sufficient continence products are available.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Not all wound documentation has been fully completed.  On the day of audit there were four residents with six wounds.  This includes one resident with three chronic wounds, one abrasion, one lesion, and one skin tear.  There were no pressure injuries.  The RNs have access to specialist nursing wound care management advice through the district nursing service.  The GPs practise nurse was managing the care of one resident with three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clinical nurse manager, enrolled nurse, and home assistants demonstrated an understanding of the individualised needs of residents.  Care plans reviewed did not include interventions to support all residents’ assessed needs (link 1.3.5.2).  There was evidence of blood sugar monitoring charts and weight monitoring charts in use.  One file reviewed of a resident weight loss was reviewed by the GP.  The GP documented that the resident did not require additional interventions at this time and to continue with monthly weighs.  There is evidence of regular and consistent monitoring of elimination needs by the RNs. The previous shortfalls have been addressed, however the criterion continues to remain a finding as there were shortfalls around wound care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the seven Eden principles.  The programme meets the recreational needs of the rest home level care residents and reflects normal patterns of life.  The programme is supported by a team of volunteers.  At least 40 hours per week of the resident’s recreational programme are resident or volunteer lead.  The service employs two social and event coordinators who work a total of 65 hours per week.  The weekend programme is delivered by care staff and volunteers.  There is a set activity programme that is resident-focused and is planned around meaningful everyday activities such as gardening, swimming, exercises, kindergarten visits, reminiscing, knitting groups, church services, bowls, golden oldies mission supporting and fundraising for Fiji.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well-established community programme in place with weekly resident visits to assist at a local school.  There is evidence that the residents have input into review of the wider programme (via Eden circles and resident meetings) and this feedback is considered in the development of the resident’s activity programme.  Residents interviewed expressed satisfaction with the programme.  An activity profile is completed on admission in consultation with the resident/family (as appropriate).  The documentation in the resident files reflected the specific needs and interests of each resident.  Relatives and residents interviewed advised that the activity programme was interesting, and the residents were encouraged to participate.  In the files reviewed the recreational plans had been reviewed six-monthly.  Activity participation was noted.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evaluate all initial care plans within three weeks of admission.  Files sampled demonstrated that a new long-term care plan was rewritten every six months and changes made as required at this time, but evaluations were not documented.  There was at least a three-monthly review by the GP.  Not all changes in health status were documented and followed-up (link 1.3.3.4 and 1.3.5.2).  Reassessments are completed using interRAI LTCF for all residents who have had a significant change in health status.  Short-term care plans sighted were evaluated and resolved or added to the long-term care plan if the problem is ongoing, as sighted in resident files sampled (link 1.3.5.2).  Where progress is different from expected, the service does not always respond by initiating changes to the care plan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Archer Care has a current building warrant of fitness certificate which expires on 1 February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emergency/disaster management plans in place to guide staff in managing emergencies and disasters.  There was an emergency/disaster management manual available for staff, residents and visitors in the event of specific emergencies/disasters (including fire, earthquakes, floods, storms, Tsunami and gas leaks).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Archer Care infection control and surveillance policy.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This data is monitored and evaluated monthly and annually.  Outcomes and actions are discussed at the monthly quality meetings, and monthly staff meetings.  If there is an emergent issue, it is acted upon in a timely manner.  There have been two outbreaks in November and December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and provides a no restraint environment.  There were no residents with restraint and no residents with an enabler.  Staff interviews, and staff records evidence guidance has been given on restraint minimisation.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5798"/>
        <w:gridCol w:w="2973"/>
        <w:gridCol w:w="18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Twelve accident/incident forms were reviewed.  Each event involving a resident reflected a clinical assessment and follow-up by a registered nurse.  However, not all forms had notification to the next of kin and not all neurological observations were completed for resident falls that resulted in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incident forms were reviewed in total.  (i) Five of twelve incident forms reviewed did not have documented evidence of notification to the next of kin.  (ii) Five incident forms were reviewed for unwitnessed resident falls with a head injury.  The neurological observations forms completed were not all fully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incident forms reflect NOK are notified unless requested otherwise; (ii) Ensure that neurological observations are documented and completed for any resident fall with a potential head injury.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be completed to validate the individual’s qualifications, experience and veracity.  However, orientation checklists, up-to-date annual performance appraisal and reference checks were not all evident in the five staff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five staff files did not include an orientation checklist, three of five staff files did not have an up-to-date annual performance appraisal and four of five staff files did not include reference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files have an orientation checklist, an up-to-date annual performance appraisal on file and that reference checks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Handovers are completed at the commencement of shifts. The registered and enrolled nurses are responsible for all aspects of clinical assessment and care planning.  Healthcare assistants and RNs document in progress notes.  There were examples sighted in progress notes where assessments had been completed by a RN in response to changes in health status. Residents who had experienced an adverse event were not always followed up or reviewed by a RN in a timely manner and this remains an improvement required from previous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residents following adverse events was not completed in a timely manner for three resident incident forms sampled.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RNs review and follow-up all clinical issues in a timely manner.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the development of the care plans.  Information gathered during admission was not reflected in the initial care plan in all files sampled.  Not all information gathered through the use of the interRAI was transferred to the long-term care plan.  Short-term care plans were in use but not for all changes in health conditions.  This previous finding remains an area for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of five initial care plans reviewed (including the respite resident) lacked sufficient detail to guide the care staff with the management continence and severe depression. </w:t>
            </w:r>
          </w:p>
          <w:p w:rsidR="00EB7645" w:rsidRPr="00BE00C7" w:rsidP="00BE00C7">
            <w:pPr>
              <w:pStyle w:val="OutcomeDescription"/>
              <w:spacing w:before="120" w:after="120"/>
              <w:rPr>
                <w:rFonts w:cs="Arial"/>
                <w:b w:val="0"/>
                <w:lang w:eastAsia="en-NZ"/>
              </w:rPr>
            </w:pPr>
            <w:r w:rsidRPr="00BE00C7">
              <w:rPr>
                <w:rFonts w:cs="Arial"/>
                <w:b w:val="0"/>
                <w:lang w:eastAsia="en-NZ"/>
              </w:rPr>
              <w:t>(ii) One of five residents with an acute change in health condition did not have short-term care plans documented or where they were documented, they lacked sufficient detail to guide the care staff with the management of fluid restriction.</w:t>
            </w:r>
          </w:p>
          <w:p w:rsidR="00EB7645" w:rsidRPr="00BE00C7" w:rsidP="00BE00C7">
            <w:pPr>
              <w:pStyle w:val="OutcomeDescription"/>
              <w:spacing w:before="120" w:after="120"/>
              <w:rPr>
                <w:rFonts w:cs="Arial"/>
                <w:b w:val="0"/>
                <w:lang w:eastAsia="en-NZ"/>
              </w:rPr>
            </w:pPr>
            <w:r w:rsidRPr="00BE00C7">
              <w:rPr>
                <w:rFonts w:cs="Arial"/>
                <w:b w:val="0"/>
                <w:lang w:eastAsia="en-NZ"/>
              </w:rPr>
              <w:t>(iii) Two of five residents long-term care plans did not have interventions documented in sufficient detail to guide the care staff in the management of continence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interventions are documented for all assessed care needs and the interventions documented include sufficient detail to guide the care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 with RN oversight, documents wound management plans for all residents with wounds, however documentation was not fully completed.  Wounds are dressed by the enrolled nurse, RN or HCAs.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monitoring charts sampled indicated that resident’s needs are being met. There was evidence of blood sugar monitoring charts and weight monitoring charts in use.  One file reviewed of a resident with dietitian input following weight loss had interventions documented to manage the weight loss and weight monitoring and food input charts were being completed.  There is evidence of regular and consistent monitoring of elimination needs by the RNs. These previous shortfalls have been addressed, however the criterion continues to remain a finding as there were shortfalls around wound care documentation.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of six wounds reviewed had incomplete assessments documented. The other three wounds did not have assessments documented. (ii) Five of six wounds management plans were not fully documented. (iii) Three of six wounds managed at the facility did not consistently document evaluation.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all wounds have a comprehensive assessment and management plan and regular evaluations.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care plan is completed six-monthly using the interRAI care plan. Evaluation of progress towards meeting care plan goals was not documented for the three care plans requiring this.  One resident was a recent admission and one was a respite resident so did not document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three eligible residents long-term care plans did not have evaluations documenting progress towards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evaluations of long-term care plans document progress towards meeting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Archer Care Facility Limited - Archer Village</w:t>
    </w:r>
    <w:bookmarkEnd w:id="58"/>
    <w:r>
      <w:rPr>
        <w:rFonts w:cs="Arial"/>
        <w:sz w:val="16"/>
        <w:szCs w:val="20"/>
      </w:rPr>
      <w:tab/>
      <w:t xml:space="preserve">Date of Audit: </w:t>
    </w:r>
    <w:bookmarkStart w:id="59" w:name="AuditStartDate1"/>
    <w:r>
      <w:rPr>
        <w:rFonts w:cs="Arial"/>
        <w:sz w:val="16"/>
        <w:szCs w:val="20"/>
      </w:rPr>
      <w:t>29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