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Woodcote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Woodcote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October 2017</w:t>
      </w:r>
      <w:bookmarkEnd w:id="7"/>
      <w:r w:rsidRPr="009418D4">
        <w:rPr>
          <w:rFonts w:cs="Arial"/>
        </w:rPr>
        <w:tab/>
        <w:t xml:space="preserve">End date: </w:t>
      </w:r>
      <w:bookmarkStart w:id="8" w:name="AuditEndDate"/>
      <w:r w:rsidR="00A4268A">
        <w:rPr>
          <w:rFonts w:cs="Arial"/>
        </w:rPr>
        <w:t>10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Woodcote Retirement Village is a Ryman Healthcare facility which provides rest home level care across a 49-bed rest home and seven serviced apartments. On the day of audit there were 46 residents including one rest home resident in the serviced apartments. </w:t>
      </w:r>
    </w:p>
    <w:p w:rsidRPr="00A4268A">
      <w:pPr>
        <w:spacing w:before="240" w:line="276" w:lineRule="auto"/>
        <w:rPr>
          <w:rFonts w:eastAsia="Calibri"/>
        </w:rPr>
      </w:pPr>
      <w:r w:rsidRPr="00A4268A">
        <w:rPr>
          <w:rFonts w:eastAsia="Calibri"/>
        </w:rPr>
        <w:t>This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 The residents and relatives interviewed spoke positively about the care and support provided.</w:t>
      </w:r>
    </w:p>
    <w:p w:rsidRPr="00A4268A">
      <w:pPr>
        <w:spacing w:before="240" w:line="276" w:lineRule="auto"/>
        <w:rPr>
          <w:rFonts w:eastAsia="Calibri"/>
        </w:rPr>
      </w:pPr>
      <w:r w:rsidRPr="00A4268A">
        <w:rPr>
          <w:rFonts w:eastAsia="Calibri"/>
        </w:rPr>
        <w:t>The village manager is a registered nurse and is experienced in village management, having been in the role for six years.  She is supported by two registered nurses (one as clinical manager/deputy village manager).</w:t>
      </w:r>
    </w:p>
    <w:p w:rsidRPr="00A4268A">
      <w:pPr>
        <w:spacing w:before="240" w:line="276" w:lineRule="auto"/>
        <w:rPr>
          <w:rFonts w:eastAsia="Calibri"/>
        </w:rPr>
      </w:pPr>
      <w:r w:rsidRPr="00A4268A">
        <w:rPr>
          <w:rFonts w:eastAsia="Calibri"/>
        </w:rPr>
        <w:t>The service continues to make improvements to services and has a number of quality initiatives being implemented.  A continued improvement rating continues to be awarded around implementation of the quality system.</w:t>
      </w:r>
    </w:p>
    <w:p w:rsidRPr="00A4268A">
      <w:pPr>
        <w:spacing w:before="240" w:line="276" w:lineRule="auto"/>
        <w:rPr>
          <w:rFonts w:eastAsia="Calibri"/>
        </w:rPr>
      </w:pPr>
      <w:r w:rsidRPr="00A4268A">
        <w:rPr>
          <w:rFonts w:eastAsia="Calibri"/>
        </w:rPr>
        <w:t xml:space="preserve">This audit identified an improvement required around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continues to be implemented.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eight hours a day, seven days a week with an on-call RN available out of these hours.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all stages in the provision of care including interRAI assessments, risk assessments, development of care plans and evaluations.  Resident files demonstrate service integration.  Residents and family interviewed confirmed they were involved in the care plan process and review and were informed of any changes in resident health status.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provides an activities programme, which is varied and interesting.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on-site. Individual and special dietary needs are accommodated.  Nutritious snacks are available 24 hours in all units.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Ryman Woodcote has restraint minimisation and safe practice policies and procedures in place.  Staff receive training in restraint minimisation and challenging behaviour management.  On the day of audit, there were no residents using a restraint or an enabler.  The service has remained restraint-free for five years.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Complaints are being managed in a timely manner and timeframes are met.  Since March 2016 through to Oct 2017, there have been seven complaints.  There had been nil H&amp;D complaints. Complaints received have been documented as resolved.  Complainants are provided with information on how to access advocacy services through the Health and Disability Commissioner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in their responsibility around open disclosure.  Staff report all incidents and accidents to the registered nurses who enter details into the electronic system.  Staff are required to record family notification when entering an incident into the system.  Incidents reviewed met this requirement.  Family members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Woodcote is certified to provide rest home level care.  The 49-bed rest home area is part of the wider retirement village which includes seven serviced apartments and villas.  The serviced apartment area is also certified for rest home level care.  On the day of audit there was one rest home resident in the service apartments and 45 rest home residents in the care centre (including three respite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on the day of audit admitted under other contracts. </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in place.  Quality objectives and quality initiatives from an organisational perspective are set annually and each facility then develops their own specific objectives.  Service specific objectives are reviewed as prescribed in the Team Ryman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(clinical) commenced employment in 2011.  She is supported by a clinical manager who has been in the role since 2012. The village manager, in consultation with the clinical manager, leads the daily operation of the village and shares RN on-call cover.  The serviced apartments are staffed with an apartment coordinator, seven days a week from 7.00am to 1.30pm.  Out of these hours they are serviced by rest home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supported by the wider Ryman management team, which includes support from a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at least eight hours to date of professional development activities related to managing a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Woodcote has a well-established quality and risk management system that is directed by head office.  Quality and risk performance is reported across the facility meetings and also to the organisation's management team.  Discussions with the managers (village manager/RN and clinical manager/RN), the GP and staff (four caregivers, two activity coordinators and registered nurse) and review of management and staff meeting minutes demonstrate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Relative meetings are held six-monthly.  Minutes are maintained.  Annual resident and relative surveys are completed annually.  An annual resident satisfaction survey was completed in March 2017 and the results showed the overall resident experience in Woodcote rated second to highest in positive experience in the Ryman group.  Action plans are completed with evidence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Ryman process.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Team Ryman prescribes the annual internal audit schedule that was being adhered to.  Audit summaries and quality improvement plans are completed where a non-compliance is identified.  Issues and outcomes are reported to the appropriate committee (e.g., health and safety).  Results are communicated to staff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Monthly clinical indicator data are collated across all areas.  There is evidence of trending of clinical data and development of quality improvement plans when results do not meet expectations.  The quality system includes the monitoring of adverse events, consumer complaints, infection prevention and control, health and safety and restraint management.  The combined health and safety and infection prevention and control committee meet bi-monthly and include discussion of all incidents/accidents and infections.  There is a current hazard register in place.  Management reports progress to head office staff at least monthly, against the quality and risk management plan and quality improvement initiatives.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are developed, implemented and regularly reviewed for the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number of quality initiatives since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two-monthly health and safety committee meetings that also include review of infection control and of incidents.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documents any key hazards that are identified.  A review of the hazard register and the maintenance register indicates there is resolution of issues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Ten accident and incident reports were reviewed.</w:t>
            </w:r>
          </w:p>
          <w:p w:rsidR="00EB7645" w:rsidRPr="00BE00C7" w:rsidP="00BE00C7">
            <w:pPr>
              <w:pStyle w:val="OutcomeDescription"/>
              <w:spacing w:before="120" w:after="120"/>
              <w:rPr>
                <w:rFonts w:cs="Arial"/>
                <w:b w:val="0"/>
                <w:lang w:eastAsia="en-NZ"/>
              </w:rPr>
            </w:pPr>
            <w:r w:rsidRPr="00BE00C7">
              <w:rPr>
                <w:rFonts w:cs="Arial"/>
                <w:b w:val="0"/>
                <w:lang w:eastAsia="en-NZ"/>
              </w:rPr>
              <w:t>A review of incident/accident forms for the facility identifies that all are fully completed and include timely follow-up by a registered nurse.  The managers are involved in the adverse event process with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able to identify significant events that would be reported to statutory authorities.  There have been three notifications this year. Two notifications relating to a resident's behaviour were made (the resident was reassessed and appropriately placed) and the third related to an intruder onsite.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Six staff files reviewed (two caregivers, one registered nurse, one activities staff, one chef and one clinical manager), included a signed contract, job description, police checks for those employed in recent years, induction, application form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There is an implemented annual education plan.  The annual training programme exceeds eight hours annually.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Two registered nurses (including the clinical manager) have completed their interRAI training, meeting contractual requirements.  Staff competencies are completed as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clinical manager and registered nurse cover 8.00am to 4.30pm each day of the week and the village manager and clinical manager share on-call.  The staff on at night do not leave the building to attend village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caregivers on morning and afternoon duty with two on night duty.   The serviced apartments are staffed separately seven days a week from 7.30am to 1.30pm with the rest home staff providing services out of these hours.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staff were visible and attending to call bells in a timely manner as confirmed by residents interviewed.  Staff interviewed stated that overall the staffing levels are satisfactory and that the management team provide good support.  Residents and family members interviewed report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 reconciliation of monthly blister packs is completed by two RNs and any errors fed back to the pharmacy.  Medications were stored safely in a central medication room.  Medication fridges were monitored weekly.  All eye drops and creams in medication trolleys were dated on opening.  Weekly stocktakes of controlled drug medication were not completed as per policy.  Registered nurses and senior care assistants who administer medications have been assessed for competency.  Appropriate medications were signed by two medication competent staff, one of which was a RN.  The service uses an electronic medication system.  Care staff interviewed could describe their role in regard to medicine administration.  Education around safe medication administration has been provided.  The administration of medicines observed during the morning and lunchtime medication round did not fully comply with the medication administration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rest home level residents self-medicating inhalers and one resident self-administrating all medications.  The inhalers are kept in a locked drawer in the resident rooms.  RNs assess competency three-monthly.  The competency is kept on file in the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on the electronic medication system.  All medications had photographs,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and baking is prepared and cooked on-site.  The qualified head chef is supported by a cook and kitchen assistants.  Staff have been trained in food safety and chemical safety.  Project “delicious” was commenced at the time the facility opened.  Menus are completed one week in advance and offer a choice of one main dish for the midday meal and two choices for the evening meal including a vegetarian option.  Resident dislikes are accommodated.  Diabetic desserts and gluten free diets are accommodated.  The cook receives a resident dietary profile for all new admissions and is notified of any dietary changes.  The seasonal menu has been designed in consultation with the dietitian at an organisational level.  Food is served directly from the kitchen to the adjoining dining room.  Staff were observed sitting with the residents when assisting them with meals.  The service is well-equipped.  Freezer and chiller temperatures and end-cooked temperatures are taken and recorded twice daily.  All foods were date labelled.  A cleaning schedule is maintained.  Positive feedback on the food service has been received from resident and staff meetings, surveys and audits. Residents interviewed all spoke positively about the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Short-term care plans are generated through completing an updated assessment on myRyman, and interventions are automatically updated into the care plan.  Evaluations of the assessment when resolved completes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three residents with five wounds.  (These included three skin tears, one skin lesion and one surgical wound.  Wound assessments and management plans are completed on VCare and updated automatically in myRyman.  When wounds are due to be dressed a task is automated on the RN daily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could describe access to wound specialist nurses if required.  The GP reviews wounds three-monthly or earlier if there are signs of infection or non-healing.  New wounds were recorded in the VCare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of activities staff (one with diversional therapy qualifications and one activities coordinator) coordinate and implement the Engage activities programme across the rest home.  A separate programme operates for serviced apartment residents who can choose which programme they would prefer to attend.  The programme is Monday to Friday in the rest home and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attend on-site and organisational in-services relevant to their roles.  The activities staff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The Engage programme has set activities with the flexibility for each service level to add activities that are meaningful and relevant for the resident group including Triple A exercises, themed events and celebrations, baking, sensory activities including pet visits, outings and drives.  A facility van is available for outings for all residents. The rest home lounge areas have seating placed for large and smaller group activities.  Woodcote provides pet therapy with a house cat and bird, and a dog who visits three times a week and takes part in resident’s walks.  Daily contact is made with residents who choose not to be involved in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Community involvement includes entertainers, speakers, volunteers and visitors bringing in their pets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opportunities for residents from both units to join together for larger celebrations, and to catch up with old friends if the resident has moved to the rest home from serviced apartments for example.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by registered nurses for long-term residents who had been at the service six months and longer.  Written evaluations for long-term residents describe the resident’s progress against the residents identified goals and any changes are updated on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clinical manager, GP, care assistant, activities staff and other allied health professionals involved in the care of the resident. Record of the MDT review was evident in the resident files reviewed.  The family are notified of the outcome of the review if unable to attend.  There is at least a three-monthly review by the medical practitioner.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(expiry 1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An outbreak involving 42 staff and residents in July 2017 was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8134.0.  The policy includes comprehensive restraint procedures and identifies that restraint be used as a last resort.  The service has been restraint-free since 2012.  There were no enablers in use.</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(village manager who is an RN) maintains a register which is forwarded to Ryman each month.  The use of enablers/restraint is discussed at six-monthly restraint meetings (April 2017).  Restraint use is included in orientation for clinical staff.  Challenging behaviour and restraint minimisation and safe practice education is provided.  The caregivers interviewed were knowledgeable in the use of enablers/restraint.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42"/>
        <w:gridCol w:w="1280"/>
        <w:gridCol w:w="5298"/>
        <w:gridCol w:w="1537"/>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appropriate policies and procedures around medication management, storage and administration.  Weekly stocktakes of controlled drugs were not always completed as per policy.  All medications were stored appropriately.  Administration procedures for administration of medications were not always followed.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evidence of gaps in the controlled drug register for three resident’s records.</w:t>
            </w:r>
          </w:p>
          <w:p w:rsidR="00EB7645" w:rsidRPr="00BE00C7" w:rsidP="00BE00C7">
            <w:pPr>
              <w:pStyle w:val="OutcomeDescription"/>
              <w:spacing w:before="120" w:after="120"/>
              <w:rPr>
                <w:rFonts w:cs="Arial"/>
                <w:b w:val="0"/>
                <w:lang w:eastAsia="en-NZ"/>
              </w:rPr>
            </w:pPr>
            <w:r w:rsidRPr="00BE00C7">
              <w:rPr>
                <w:rFonts w:cs="Arial"/>
                <w:b w:val="0"/>
                <w:lang w:eastAsia="en-NZ"/>
              </w:rPr>
              <w:t>ii) Staff were observed not following policy and procedure during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weekly stocktakes occur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medication administration policies and procedures are implemented by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80"/>
        <w:gridCol w:w="1280"/>
        <w:gridCol w:w="7562"/>
        <w:gridCol w:w="35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clinical indicator data are collected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implement a number of quality initiatives as a result of quality data collected and analysed.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continued to implement quality initiatives as a result of quality data collected.  One example was the monitoring of response times to call bells, strategies implemented as a result which is continually monitored and reviewed.  Evaluation identifies a reduction in call bell wait times over the last six months and a corresponding reduction in falls rate was evidenced.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Woodcote</w:t>
    </w:r>
    <w:bookmarkEnd w:id="58"/>
    <w:r>
      <w:rPr>
        <w:rFonts w:cs="Arial"/>
        <w:sz w:val="16"/>
        <w:szCs w:val="20"/>
      </w:rPr>
      <w:tab/>
      <w:t xml:space="preserve">Date of Audit: </w:t>
    </w:r>
    <w:bookmarkStart w:id="59" w:name="AuditStartDate1"/>
    <w:r>
      <w:rPr>
        <w:rFonts w:cs="Arial"/>
        <w:sz w:val="16"/>
        <w:szCs w:val="20"/>
      </w:rPr>
      <w:t>10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