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Kaylex Care (Waipukarau) Limited - Mt Herbert House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Kaylex Care (Waipukarau)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Mt Herbert House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18 October 2017</w:t>
      </w:r>
      <w:bookmarkEnd w:id="7"/>
      <w:r w:rsidRPr="009418D4">
        <w:rPr>
          <w:rFonts w:cs="Arial"/>
        </w:rPr>
        <w:tab/>
        <w:t xml:space="preserve">End date: </w:t>
      </w:r>
      <w:bookmarkStart w:id="8" w:name="AuditEndDate"/>
      <w:r w:rsidR="00A4268A">
        <w:rPr>
          <w:rFonts w:cs="Arial"/>
        </w:rPr>
        <w:t>18 October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Mt Herbert House provides rest home and hospital level care for up to 42 residents. The service is operated by Kaylex Care and managed by a facility manager with support from a clinical nurse leader. Residents and families spoke positively about the care provided.</w:t>
      </w:r>
    </w:p>
    <w:p w:rsidRPr="00A4268A">
      <w:pPr>
        <w:spacing w:before="240" w:line="276" w:lineRule="auto"/>
        <w:rPr>
          <w:rFonts w:eastAsia="Calibri"/>
        </w:rPr>
      </w:pPr>
      <w:r w:rsidRPr="00A4268A">
        <w:rPr>
          <w:rFonts w:eastAsia="Calibri"/>
        </w:rPr>
        <w:t xml:space="preserve">This surveillance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management, staff, contracted allied health providers and a general practitioner. </w:t>
      </w:r>
    </w:p>
    <w:p w:rsidRPr="00A4268A">
      <w:pPr>
        <w:spacing w:before="240" w:line="276" w:lineRule="auto"/>
        <w:rPr>
          <w:rFonts w:eastAsia="Calibri"/>
        </w:rPr>
      </w:pPr>
      <w:r w:rsidRPr="00A4268A">
        <w:rPr>
          <w:rFonts w:eastAsia="Calibri"/>
        </w:rPr>
        <w:t xml:space="preserve">One area requiring improvement has been identified relating to one general practitioner’s documentation in medication charts.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Open communication between staff, residents and families is promoted and was confirmed to be effective. There is access to interpreting services if required.   </w:t>
      </w:r>
    </w:p>
    <w:p w:rsidRPr="00A4268A">
      <w:pPr>
        <w:spacing w:before="240" w:line="276" w:lineRule="auto"/>
        <w:rPr>
          <w:rFonts w:eastAsia="Calibri"/>
        </w:rPr>
      </w:pPr>
      <w:r w:rsidRPr="00A4268A">
        <w:rPr>
          <w:rFonts w:eastAsia="Calibri"/>
        </w:rPr>
        <w:t xml:space="preserve">A complaints register is maintained with complaints resolved promptly and effectively.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Monitoring of the services provided to the governing body is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w:t>
      </w:r>
    </w:p>
    <w:p w:rsidRPr="00A4268A">
      <w:pPr>
        <w:spacing w:before="240" w:line="276" w:lineRule="auto"/>
        <w:rPr>
          <w:rFonts w:eastAsia="Calibri"/>
        </w:rPr>
      </w:pPr>
      <w:r w:rsidRPr="00A4268A">
        <w:rPr>
          <w:rFonts w:eastAsia="Calibri"/>
        </w:rPr>
        <w:t xml:space="preserve">Staffing levels and skill mix meet the changing needs of residents. There is 24 hour nursing care available for hospital level care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multidisciplinary team, including a registered nurse and general practitioner, assess residents’ needs on admission within required timeframes. Registered nurses cover all shifts. A shift handover and communication book guides continuity of care. </w:t>
      </w:r>
    </w:p>
    <w:p w:rsidRPr="00A4268A" w:rsidP="00621629">
      <w:pPr>
        <w:spacing w:before="240" w:line="276" w:lineRule="auto"/>
        <w:rPr>
          <w:rFonts w:eastAsia="Calibri"/>
        </w:rPr>
      </w:pPr>
      <w:r w:rsidRPr="00A4268A">
        <w:rPr>
          <w:rFonts w:eastAsia="Calibri"/>
        </w:rPr>
        <w:t>Care plans are individualised, based on a comprehensive range of clinical information. Short term care plans are developed to manage any temporary clinical issues that arise. Files reviewed demonstrated that the care provided and needs of residents are reviewed and evaluated on a regular and timely basis. Residents and families interviewed reported being well informed and involved in the care planning and evaluation process. They all reported satisfaction with services provided.</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administered safely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was clean and well maintained. There is a current building warrant of fitness.  Residents’ rooms are appropriate for the provision of hospital level care.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a range of policies and procedures that support the minimisation of restraint and the voluntary use of enablers.  Staff demonstrated a sound knowledge and understanding of the restraint and enabler processes.  There were no enablers in use at the time of audit.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 registered nurse who is an experienced and trained infection control coordinator, aims to prevent and manage infections.</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8"/>
        <w:gridCol w:w="1280"/>
        <w:gridCol w:w="104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two formal complaints have been received since the last onsite audit. The actions taken were completed within the timeframes.  Correspondence was respectful. </w:t>
            </w:r>
          </w:p>
          <w:p w:rsidR="00EB7645" w:rsidRPr="00BE00C7" w:rsidP="00BE00C7">
            <w:pPr>
              <w:pStyle w:val="OutcomeDescription"/>
              <w:spacing w:before="120" w:after="120"/>
              <w:rPr>
                <w:rFonts w:cs="Arial"/>
                <w:b w:val="0"/>
                <w:lang w:eastAsia="en-NZ"/>
              </w:rPr>
            </w:pPr>
            <w:r w:rsidRPr="00BE00C7">
              <w:rPr>
                <w:rFonts w:cs="Arial"/>
                <w:b w:val="0"/>
                <w:lang w:eastAsia="en-NZ"/>
              </w:rPr>
              <w:t>Corrective action plans show any required follow up and improvements have been made where possible.  The facility manager is responsible for complaints management and follow up and she demonstrated an understanding of the Code. All staff interviewed also confirmed an understanding of the complaint process and what actions they are required to take in relation to complaints. There have been no complaints received from external sources since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2016 family satisfaction survey, 92% of respondents indicated that they knew who to speak to if they had a concern about their relative and a similar number indicated they felt comfortable raising an issue. The facility does not conduct resident satisfaction surveys because they did not have good response rates. Instead they hold monthly residents’ meetings to which there is good attendance. Minutes were reviewed and demonstrated that residents raise issues when needed, report their satisfaction overall and people are interviewed individually if the convenor believes they may want to discuss something individually.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reported that they were kept well informed about any changes to their/their relative’s status, were advised in a timely way about any events and outcomes of regular and any urgent medical reviews. This was supported in a review of residents’ records.  Staff understood the principles of open disclosure, which is supported by policies and procedures that meet the requirements of the Code of Health and Disability Services Consumers’ Rights (the Code). </w:t>
            </w:r>
          </w:p>
          <w:p w:rsidR="00EB7645" w:rsidRPr="00BE00C7" w:rsidP="00BE00C7">
            <w:pPr>
              <w:pStyle w:val="OutcomeDescription"/>
              <w:spacing w:before="120" w:after="120"/>
              <w:rPr>
                <w:rFonts w:cs="Arial"/>
                <w:b w:val="0"/>
                <w:lang w:eastAsia="en-NZ"/>
              </w:rPr>
            </w:pPr>
            <w:r w:rsidRPr="00BE00C7">
              <w:rPr>
                <w:rFonts w:cs="Arial"/>
                <w:b w:val="0"/>
                <w:lang w:eastAsia="en-NZ"/>
              </w:rPr>
              <w:t>There are appropriate policies and procedures to guide staff members in accessing interpreter services, if these are required. On the day of the audit there were no residents for whom English is their second language and there were no residents who used other forms of communication (eg, New Zealand sign language).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business plans, which are reviewed annually, outline the purpose, values, scope, direction and goals of the organisation. The documents describe annual objectives and the associated operational plans. A sample of monthly reports to the directors showed adequate information to monitor performance is reported including, emerging risks and issues, occupancy, adverse events (when relevant), maintenance and equipment and health and safety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facility manager who is a registered nurse who maintains her annual practising certificate. She has been the manager at Mt Herbert House for six years and she undertakes a range of management and clinical professional development relevant to her position. Responsibilities and accountabilities are defined in a job description and individual employment agreement.  During interviews on the day of audit the facility manager demonstrated a sound knowledge of the sector, regulatory and reporting requirements. The facility manager has a financial oversight role for another aged care facility in the same group based in Fielding in the Manawatu. She provides assistance to the manager by telephone and email. Until August, the facility manager visited one day each month. Travel time between the two facilities is an hour and a quarter. Since August, the Fielding facility has had weekly visits from a human resources consultant (see standard 1.2.7) and the facility manager at Mt Herbert House is available to visit if needed.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the Hawke’s Bay District Health Board (DHB) for Long Term Chronic Health Conditions, in addition to those for Aged Related Residential Care and Hospital Services. Thirty-nine residents were receiving services on the day of the audit, 20 residents were receiving rest home level care and 19 hospital level care.  Two of the hospital level care residents are under 65 and are funded by the DHB.</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management of adverse events, compliments and complaints, infections, use of restraints and enablers, quality monitoring activities, monthly resident meetings and an annual family satisfaction survey, monitoring of resident wellbeing and outcomes.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quality improvement data (as noted above) is reported and discussed at the management team meeting, quality, health and safety and infection control meetings and the staff meetings. Staff reported their involvement in staff meetings and that they receive summarised quality improvement data at these meetings, through graphed data being available in the staff room and further information is provided in regular newsletters. Corrective actions are developed and implemented on the organisation’s quality improvement plan document, to address any identified issues. A range of meeting minutes, management reports, quality improvement plans and newsletters were reviewed. This information, when appropriate, was observed in the facility to be available for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family satisfaction survey and the results of these for 2016 were reviewed. Overall, 15% of respondents rated the facility overall as good and 85% as very good. As noted (standard 1.1.13), the monthly residents’ meetings provide the opportunity for residents to provide feedback and discuss issues that are important to them.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and the prevention and management of pressure injuries. Policies are based on best practice and were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is familiar with the processes for the identification, monitoring, review and reporting of risks and development of mitigation strategies. The risk management plan has been reviewed annually. The manager is familiar with the Health and Safety at Work Act (2015) and has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or near miss events on an incident / accident form. A sample of incidents forms reviewed showed these were fully completed, incidents were investigated, action plans developed and actions followed-up in a timely manner.  Adverse event data is collated, analysed and reported with seriously events being notified to the directors.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described essential notification reporting requirements, including for pressure injuries and her responsibilities for reporting.   There had been no notifications of significant events made to the Ministry of Health since the previous audit. However, on the day of the audit a notification was made in relation to a resident who had been admitted to Mt Herbert House with a pressure injury acquired at the DHB. The facility manager had not previously made this notification, assuming it would have been done by the DHB. After discussion it was considered appropriate for Mt Herbert House to send the section notification to HealthCERT to be sure that this was done. A copy of this was seen.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 The directors of Kaylex Care have engaged a human resources management consultant to assist the organisation with their practice. The consultant was interviewed during the audit and they confirmed that the organisation’s processes are implemented at Mt Herbert House.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 evidence of completed orientation and a performance review for new staff members by the end of the first three months of employment.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including mandatory training requirements. Of the 26 care assistants currently employed, 24 have the New Zealand Qualification Authority Level 3 certificate in Health, Disability and Wellbeing to meet the requirements of the provider’s agreement with the DHB. The remaining two care assistants are in the process of completing the qualification, as are the housekeeping and kitchen staff members at the facility. </w:t>
            </w:r>
          </w:p>
          <w:p w:rsidR="00EB7645" w:rsidRPr="00BE00C7" w:rsidP="00BE00C7">
            <w:pPr>
              <w:pStyle w:val="OutcomeDescription"/>
              <w:spacing w:before="120" w:after="120"/>
              <w:rPr>
                <w:rFonts w:cs="Arial"/>
                <w:b w:val="0"/>
                <w:lang w:eastAsia="en-NZ"/>
              </w:rPr>
            </w:pPr>
            <w:r w:rsidRPr="00BE00C7">
              <w:rPr>
                <w:rFonts w:cs="Arial"/>
                <w:b w:val="0"/>
                <w:lang w:eastAsia="en-NZ"/>
              </w:rPr>
              <w:t>Of the six registered nurses, four are trained and maintaining their annual competency requirements to undertake interRAI assessments. This includes the facility manager and clinical nurse leader. Records of interRAI competency are maintained along with other competencies to ensure that these are up to date at all times. Records reviewed demonstrated completion of the required training for staff members, all competencies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(24/7). The facility adjusts staffing levels to meet the changing needs of residents. At interview with the facility manager she reported that a range of tools are utilised to achieve this.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afterhours on call roster is in place, with staff reporting that good access to advice is available when needed.   Care staff reported there were adequate staff available to complete the work allocated to them.  Residents and family interviewed supported this. </w:t>
            </w:r>
          </w:p>
          <w:p w:rsidR="00EB7645" w:rsidRPr="00BE00C7" w:rsidP="00BE00C7">
            <w:pPr>
              <w:pStyle w:val="OutcomeDescription"/>
              <w:spacing w:before="120" w:after="120"/>
              <w:rPr>
                <w:rFonts w:cs="Arial"/>
                <w:b w:val="0"/>
                <w:lang w:eastAsia="en-NZ"/>
              </w:rPr>
            </w:pPr>
            <w:r w:rsidRPr="00BE00C7">
              <w:rPr>
                <w:rFonts w:cs="Arial"/>
                <w:b w:val="0"/>
                <w:lang w:eastAsia="en-NZ"/>
              </w:rPr>
              <w:t>Observations and review of fortnightly rosters confirmed adequate staff cover has been provided, with staff replaced in any unplanned absence.  At least one staff member on duty has a current first aid certificate and there is 24//7</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RN coverage in the hospital.</w:t>
            </w:r>
          </w:p>
          <w:p w:rsidR="00EB7645" w:rsidRPr="00BE00C7" w:rsidP="00BE00C7">
            <w:pPr>
              <w:pStyle w:val="OutcomeDescription"/>
              <w:spacing w:before="120" w:after="120"/>
              <w:rPr>
                <w:rFonts w:cs="Arial"/>
                <w:b w:val="0"/>
                <w:lang w:eastAsia="en-NZ"/>
              </w:rPr>
            </w:pPr>
            <w:r w:rsidRPr="00BE00C7">
              <w:rPr>
                <w:rFonts w:cs="Arial"/>
                <w:b w:val="0"/>
                <w:lang w:eastAsia="en-NZ"/>
              </w:rPr>
              <w:t>In the annual family satisfaction survey 15% of respondents rated the overall care and support as good and 85% as very good.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All medications sighted were within current use by dates. Clinical pharmacist input is provided six monthly (last done 30 June 2017) and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 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The records of temperatures for the medicine fridge and the medication room reviewed were within the recommended range. (The service does not have a vaccine fridge).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required three monthly GP review is consistently recorded on the medicine chart.  Prescribing practices noted include the prescriber’s signature and date recorded on the commencement and discontinuation of medicines. One of the 11 medication charts reviewed did not have the resident’s allergy noted. This was corrected on the day of audit. Not all medication charts showed that the requirements for pro re nata (PRN) medicines are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resident who self-administers an inhaler. Appropriate processes are in place to ensure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cooks and a kitchen team, and is in line with recognised nutritional guidelines for older people.  The menu follows summer and winter patterns and has been reviewed by a qualified dietitian within the last two years (01 March 2016).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aspects of food procurement, production, preparation, storage, transportation, delivery and disposal comply with current legislation and guidelines. The service understands the requirements of the need to implement an approved food safety plan by May 2018. The kitchen staff have undertaken safe food handling training. </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Residents were seen to be given sufficient time to eat their meal in an unhurried fashion and those requiring assistance had this provided. The kitchen staff interviewed confirmed they are informed of any issues that arise related to food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observations and interviews verified the provision of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provided in a professional manner to meet residents’ needs. Care staff confirmed that care was provided as outlined in the documentation. A range of equipment and resources was available, suited to the level of care provided and in accordance with the residents’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two trained diversional therapists holding the national Certificate in Diversional Therapy.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according to their desired goals and objectives as part of the formal six monthly care plan review or sooner if their ability level changes.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reflect residents’ goals, ordinary patterns of life and include normal community activities. Individual, group activities and regular events are offered. The facility is very involved in joint activities with other close by facilities and they utilise community resources accordingly. For example, younger residents who are able attend set gym sessions in the community and the annual Return Service Association concert is attended. Residents and families/whānau are involved in evaluating and improving the programme through monthly residents’ meetings and satisfaction surveys. Residents interviewed confirmed they find the programme very enjoyable and that it meets their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Individualised care plans identify that where progress is different from expected, the service responds by initiating changes to the plan of care. Examples of short term care plans being consistently reviewed and progress evaluated as clinically indicated were noted for infections and wounds. When necessary, and for unresolved problems, long term care plans are added to and updated.  Residents and families/whānau interviewed provided examples of involvement in evaluation of progress and any resulting changes. This was demonstrated in all residents’ file reviews and confirmed by staff interviews.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1 April 2018) is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systems are in place to ensure the residents’ physical environment and facilities are fit for their purpose and maintained.  The testing and tagging of electrical equipment and calibration of bio medical equipment is current as confirmed in documentation reviewed.  The environment is hazard free with appropriate signage used when equipment is in use. Residents are safe and their mobility is promoted. External areas are safely maintained and are appropriate to the resident groups and setting. Residents were observed using internal and external areas safely and independently during the audit. </w:t>
            </w:r>
          </w:p>
          <w:p w:rsidR="00EB7645" w:rsidRPr="00BE00C7" w:rsidP="00BE00C7">
            <w:pPr>
              <w:pStyle w:val="OutcomeDescription"/>
              <w:spacing w:before="120" w:after="120"/>
              <w:rPr>
                <w:rFonts w:cs="Arial"/>
                <w:b w:val="0"/>
                <w:lang w:eastAsia="en-NZ"/>
              </w:rPr>
            </w:pPr>
            <w:r w:rsidRPr="00BE00C7">
              <w:rPr>
                <w:rFonts w:cs="Arial"/>
                <w:b w:val="0"/>
                <w:lang w:eastAsia="en-NZ"/>
              </w:rPr>
              <w:t>In the 2016 family satisfaction survey, 23 % of respondents thought that the grounds and gardens were well maintained most of the time and 77% of respondents thought they were always well maintained.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and includes infections of the urinary tract, soft tissue, fungal, eye, gastro-intestinal, the upper and lower respiratory tract and skin conditions like scabies. The infection and prevention control coordinator reviews all reported infections and these are documented.  New infections and any required management plan are discussed at handover, to ensure early intervention occurs. This was confirmed in residents’ file reviews and during the observation of staff handover.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surveillance data is collated and analysed to identify any trends, possible causative factors and required actions. Results of the surveillance programme are shared with staff via regular staff meetings and at staff handovers.  Graphs are produced that identify trends for the current year and comparisons against previous years and this is reported to the quality committee, staff, and facility manager who reports to the owner/directors.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summary report for a recent increase in chest infections related to influenza (July 2017) was reviewed and demonstrated this occurred throughout the Hawke’s Bay area at this time. The DHB portfolio manager and the gerontology nurse specialist were aware of the spike in infections during this time.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Mt Herbert House has policies and procedures which meet the requirements of the restraint minimisation and safe practice standards and provide guidance on the safe use of both restraints and enablers. The restraint coordinator (currently this is the clinical nurse leader) provides support and oversight for enabler and restraint management in the facility and demonstrated a sound understanding of the organisation’s policies, procedures and practice and her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philosophy of not using restraint and no restraints were in use on the day of the audit. There were also no residents using enablers. There is a restraint and enabler register which is maintained and the use (and lack of) is reported with other quality improvement data (see Standard 1.2.3) to the management team and to all staff members. The restraint and enabler register was reviewed and was current. </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This was evident on review of the restraint approval group minutes, and from interviews with staff.</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65"/>
        <w:gridCol w:w="1280"/>
        <w:gridCol w:w="6384"/>
        <w:gridCol w:w="2077"/>
        <w:gridCol w:w="173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1.3.12.6</w:t>
            </w:r>
          </w:p>
          <w:p w:rsidR="00EB7645" w:rsidRPr="00BE00C7" w:rsidP="00BE00C7">
            <w:pPr>
              <w:pStyle w:val="OutcomeDescription"/>
              <w:spacing w:before="120" w:after="120"/>
              <w:rPr>
                <w:rFonts w:cs="Arial"/>
                <w:b w:val="0"/>
                <w:lang w:eastAsia="en-NZ"/>
              </w:rPr>
            </w:pPr>
            <w:r w:rsidRPr="00BE00C7">
              <w:rPr>
                <w:rFonts w:cs="Arial"/>
                <w:b w:val="0"/>
                <w:lang w:eastAsia="en-NZ"/>
              </w:rPr>
              <w:t>Medicine management information is recorded to a level of detail, and communicated to consumers at a frequency and detail to comply with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medications recorded are signed for in a manner that complies with the frequency requested. However, not all PRN medication charted complies with medication guidelines. No medication errors have been recorded related to the PRN medication usage. All 11 medication charts reviewed had PRN medication charted. When discussed with the GP during a telephone interview, it was acknowledged that this information would be passed onto all GPs who work at the facility.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 of 11 medication charts reviewed did not include the medication dosage range and three of these charts did not have any specific indications for use.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Provide evidence that medication management documentation complies with best practice and meets legislative requirements.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Kaylex Care (Waipukarau) Limited - Mt Herbert House</w:t>
    </w:r>
    <w:bookmarkEnd w:id="58"/>
    <w:r>
      <w:rPr>
        <w:rFonts w:cs="Arial"/>
        <w:sz w:val="16"/>
        <w:szCs w:val="20"/>
      </w:rPr>
      <w:tab/>
      <w:t xml:space="preserve">Date of Audit: </w:t>
    </w:r>
    <w:bookmarkStart w:id="59" w:name="AuditStartDate1"/>
    <w:r>
      <w:rPr>
        <w:rFonts w:cs="Arial"/>
        <w:sz w:val="16"/>
        <w:szCs w:val="20"/>
      </w:rPr>
      <w:t>18 October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