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Kingswood Healthcare Matamata Limited - Kingswood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Kingswood Healthcare Matamata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Kingswood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November 2017</w:t>
      </w:r>
      <w:bookmarkEnd w:id="7"/>
      <w:r w:rsidRPr="009418D4">
        <w:rPr>
          <w:rFonts w:cs="Arial"/>
        </w:rPr>
        <w:tab/>
        <w:t xml:space="preserve">End date: </w:t>
      </w:r>
      <w:bookmarkStart w:id="8" w:name="AuditEndDate"/>
      <w:r w:rsidR="00A4268A">
        <w:rPr>
          <w:rFonts w:cs="Arial"/>
        </w:rPr>
        <w:t>8 November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Kingswood Rest Home provides secure rest home care for up to 25 residents with dementia. The service is operated by Kingswood Healthcare Matamata Limited which is a private company. It is managed by the general manager with assistance from the administration manager who oversees all non-clinical issues, and a registered nurse who is the clinical manager. The clinical manager works between two facilities owned by the same people. There was a dedicated registered nurse at the facility who recently resigned, and a newly appointed RN commences on 21 November 2017. Residents appeared happy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family members, residents, management, staff, and the nurse practitioner. </w:t>
      </w:r>
    </w:p>
    <w:p w:rsidRPr="00A4268A">
      <w:pPr>
        <w:spacing w:before="240" w:line="276" w:lineRule="auto"/>
        <w:rPr>
          <w:rFonts w:eastAsia="Calibri"/>
        </w:rPr>
      </w:pPr>
      <w:r w:rsidRPr="00A4268A">
        <w:rPr>
          <w:rFonts w:eastAsia="Calibri"/>
        </w:rPr>
        <w:t xml:space="preserve">This audit has identified one area requiring improvement relating to first aid cover not being provided for all shifts.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complaints/concerns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general manager is regular and effective. An experienced person manages the facility.  </w:t>
      </w:r>
    </w:p>
    <w:p w:rsidRPr="00A4268A">
      <w:pPr>
        <w:spacing w:before="240" w:line="276" w:lineRule="auto"/>
        <w:rPr>
          <w:rFonts w:eastAsia="Calibri"/>
        </w:rPr>
      </w:pPr>
      <w:r w:rsidRPr="00A4268A">
        <w:rPr>
          <w:rFonts w:eastAsia="Calibri"/>
        </w:rPr>
        <w:t xml:space="preserve">The quality and risk management systems include collection and analysis of quality improvement data, identifies trends and leads to improvements. Feedback is sought from residents and families. Adverse events are documented with corrective actions implemented. </w:t>
      </w:r>
    </w:p>
    <w:p w:rsidRPr="00A4268A">
      <w:pPr>
        <w:spacing w:before="240" w:line="276" w:lineRule="auto"/>
        <w:rPr>
          <w:rFonts w:eastAsia="Calibri"/>
        </w:rPr>
      </w:pPr>
      <w:r w:rsidRPr="00A4268A">
        <w:rPr>
          <w:rFonts w:eastAsia="Calibri"/>
        </w:rPr>
        <w:t xml:space="preserve">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needs are assessed on admission, with reassessment occurring at least six monthly. Care plans/lifestyle plans are individualised, based on a range of information and accommodate any new problems that might arise. The files sampled demonstrated that the care provided and needs of residents are reviewed and evaluated on a regular and timely basis using the interRAI re-assessment process.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supports a restraint free environment. No enablers and no restraints were in use at the time of audit.  A comprehensive assessment, approval and monitoring process is provided in policy should it be required. Policy identifies that enablers are voluntary for the safety of residents. Staff demonstrated a sound knowledge and understanding of how to maintain a restraint free environment. This facility is a secure unit for residents with dementia.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Aged care specific infection surveillance is undertaken, and results reported through all levels of the organisation. Follow-up action is taken as and when required. Surveillance data is compared against aged care benchmarking rates.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44"/>
        <w:gridCol w:w="1280"/>
        <w:gridCol w:w="104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complaints/concerns policy and associated forms meet the requirements of Right 10 of the Code.  Information on the complaint process is provided to residents and families on admission and those interviewed knew how to do so.  Complaints forms are available in the main corridor or from staff members.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no complaints have been received over the past year, and two verbal concerns were raised. Documentation shows that actions were taken, through to an agreed resolution. The concerns have been treated as complaints and responded too within the same timeframes as a complaint.  Action plans showed any required follow up and improvements have been made where possible.  The general manager is responsible for complaints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knew how to access interpreter services, although reported this was rarely required due to all residents being able to speak English or staff being able to provide interpretation as and when needed. The service has appropriate communication strategies for residents living with cognitive impairment.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mission statement, values, scope, direction and goals of the organisation. The documents describe annual and longer-term objectives and the associated operational plans. A sample of monthly reports to the general manager showed adequate information to monitor performance is reported including general business, financial matters, staffing, products, occupancy, education, infection control, incidents and accidents, medication errors and environment. Emerging risks and issues are identified.  The facility operates using the Spark of Life philosophy.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day to day service is managed by the administration manager who has been in the role for six years. The general manager works across three sites and the clinical manager, who is a registered nurse with two years experience, works across two sites. The members of the management team undertake regular ongoing education with New Zealand Age Care Association, Waikato District Health Board (WDHB) forums, age care seminars and relevant clinical education presented by the nurse practitioner.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Responsibilities and accountabilities are defined in job descriptions and individual employment agreements.  The general manager and administration manager confirmed their knowledge of the sector, regulatory and reporting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WDHB for Age Related Residential Care for rest home level dementia care. At the time of audit 21 residents were receiving services under this contract.  One resident, who is unclassified, is being funded jointly from WDHB, Ministry of Health and Disability Support Link. The resident has a dementia diagnoses, and is sectioned under the mental health act for medication management. The general manager stated that it is yet to be determined what contract the resident is to be classified as. There is also a Residential Respite Service contract with the WDHB but no residents were receiving services under this contract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falls and skin tears.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management team meetings, staff meetings and at daily handover. Staff reported their involvement in quality and risk management activities through audit activities and the implementation of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Relevant corrective actions are developed and implemented to address any shortfalls. Resident and family satisfaction surveys are completed annually. The most recent survey (August 2017) showed that residents and family are happy with the services provided. One corrective action was put in place following the survey results when one resident’s family member was unsure of the standard of meals. They were invited to partake in meals with their relative at any time. To date they have not taken this offer 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developed and updated by an off-site provider and personalised to Kingswood Rest Home. They are based on best practice and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described the processes for the identification, monitoring, review and reporting of risks and development of mitigation strategies. The general manager is familiar with the Health and Safety at Work Act (2015) and has implemented requirements.  There is an up to date risk register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For example, a resident who was at high risk of falling and would not ring the call bell for assistance had a sensor mat placed in their bedroom and staff were made aware of the need for closer monitoring. This has resulted in no falls occurring. Adverse event data is collated, analysed and reported to the clinical manager, general manager and discussed at staff meetings. All incident and accident forms are signed off by the clinical manager once all actions have been implemented. It was noted that for the month of October only, neurological observations were not consistently being undertaken to meet policy requirements. (Refer to comments in 1.3.3.3.).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and clinical manager described essential notification reporting requirements, including for pressure injuries.  They advised there have been no notifications of significant events made to the Ministry of Health, since the previous audit.  No police investigations, coroner’s inquests, issues based audits and any other notifications have been made.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All new staff have at least three shifts on each shift, (morning, afternoon and night shift) prior to being placed on the roster. Staff reported that the orientation process prepared them well for their role.  Staff records reviewed show documentation of completed orientation and a performance review after three-months.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The nurse practitioner delivers much of the clinical education along with other guest speakers as appropriate. The administration manager is a Careerforce assessor and care staff have either completed or commenced a New Zealand Qualification Authority education programme to meet the requirements of the provider’s agreement with the DHB. There is always at least one staff member working who has completed dementia specific education. Of the 14 caregivers employed 12 are level two, one is level three, and one has been recently employed and has only just commenced the required training.</w:t>
            </w:r>
          </w:p>
          <w:p w:rsidR="00EB7645" w:rsidRPr="00BE00C7" w:rsidP="00BE00C7">
            <w:pPr>
              <w:pStyle w:val="OutcomeDescription"/>
              <w:spacing w:before="120" w:after="120"/>
              <w:rPr>
                <w:rFonts w:cs="Arial"/>
                <w:b w:val="0"/>
                <w:lang w:eastAsia="en-NZ"/>
              </w:rPr>
            </w:pPr>
            <w:r w:rsidRPr="00BE00C7">
              <w:rPr>
                <w:rFonts w:cs="Arial"/>
                <w:b w:val="0"/>
                <w:lang w:eastAsia="en-NZ"/>
              </w:rPr>
              <w:t>The facility had a full time registered nurse who was interRAI trained but they recently resigned. A newly appointed registered nurse is to commence on the 21 November.  The clinical manager is trained and competent and has maintained their annual competency requirements to undertake interRAI assessments. Records reviewed demonstrated completion of the required training and completion of annual performance appraisals. All interRAI assessments are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service delivery, 24 hours a day, seven days a week (24/7). The facility adjusts staffing levels to meet the changing needs of residents.  An afterhour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However, not every shift has a staff member on duty who holds a current first aid certificate. The shift leader was away on long leave in India, leaving a gap at this time of the day certain days of the week. Management are aware of this and documentation sighted identified that staff have been booked onto first aid updates on the 17 November 2017 at St Johns.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rostered three days a week and is on call, the activities coordinator works 9.30 to 4pm Monday to Friday, a dedicated cleaner works 7.30am to 2pm Monday to Friday and the administration manager works 8.30 to 4pm Monday to Friday and is on call. There are dedicated kitchen staff eight and a half hours per day, seven days a week.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 management policy is current and identifies all aspects of medicine management in line with the Medicines Care Guide for Residential Aged Care. A safe system for medicine management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Medicines are supplied to the facility in a pre-packaged format from a contracted pharmacy. The RN or senior caregiver with medication competency checks medicines against the prescription. A record of these checks was sampled for the past three months. All medicines sighted were within current use by dates.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controlled drugs or standing orders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medications require refrigeration, these are kept in a container in one of the fridges in the kitchen. No drugs require refrigeration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Best practice prescribing practices were noted and include the prescriber’s signature and date recorded on the commencement and discontinuation of medicines and all requirements for pro re nata (PRN) medicines. The required three-monthly GP or nurse practitioner review was consistently recorded on the medicine chart for nine of the ten medicine charts sampled, the remaining chart had a four-month gap between the recorded review. The file sampled was increased to 12 charts, with the remaining charts evidencing the required three-monthly reviews. Two of the medication charts identified medication allergies or sensitivities, with the pharmacy printed monthly signing sheet recording that there are no known sensitivities for these two residents. This was addressed at the time of audit, with the medicine charts faxed to the pharmacy, so the pharmacy has a record of the resident’s sensitivities.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who assist with medicine management have a current competency assessment. There are no residents who self-administer medicines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the kitchen team, and is in line with recognised nutritional guidelines for older people. The menu follows summer and winter patterns and was reviewed in 2015.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kitchen processes. The kitchen staff have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The staff can access food and fluids for the residents 24 hours a day to meet the nutritional needs of the residents.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family interviews and satisfaction surveys.  Residents were seen to be given sufficient time to eat their meal in an unhurried fashion and those requiring assistance had this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their plan of care. The attention to meeting a diverse range of resident’s individualised needs was evident in all areas of service provision. The staff interviewed verified that medical and nurse practitioner input is sought in a timely manner and supporting the resident is based on the resident’s individual needs and capabilities. Care staff confirmed that care was provided as outlined in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coordinator is employed full time and has attended the course on Spark of Life. The activities coordinator is supervised by a diversional therapist from another care facility within the group who is a qualified teacher in the Spark of Life Philosophy.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the resident files sampled contained a 24-hour plan of how to manage behaviours. The planed and spontaneous activities are based on meaningful activities for the residents. Documentation is reviewed every six months and is part of family meetings. Clubs are part of the Spark of Life philosophy and files contained assessment tools to ensure which club is suitable for each resident. Family members reported overall satisfaction with the activities but felt there could be greater options for the residents who do not wish to participate in the planned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wounds and pain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necessary, and for unresolved problems, long term care plans are added to and updated. Residents and families/whānau interviewed provided examples of involvement in evaluation of progress and any resulting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8 July 2018 is publicly displayed.  There have been no changes to the facility footprint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and includes infections of the urinary tract, soft tissue, fungal, eye, gastro-intestinal, the upper and lower respiratory tract and scabies. The infection control coordinator reviews all reported infections and these are documented. New infections and any required management plan are discussed at handover, to ensure early intervention occurs, with short term care plans developed.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Data is benchmarked against recognised guides for aged care. Where there has been an increase in infections, corrective actions are implemented. An example of this is when there was an increase in urinary tract infections, a corrective action plan was implemented. No infections were recorded in the subsequent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recorded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clearly states that the use of enablers shall be voluntary and the least restrictive option to meet the needs of residents with the intention of promoting or maintain independence and safety. Policies and procedures meet the requirements of the restraint minimisation and safe practice standards and provide guidance on the safe use of both restraints and enablers.  The restraint coordinator, the clinical manager, would provide support and oversight for enabler and restraint management in the facility should it be required. They demonstrated a sound understanding of the organisation’s policies, procedures and practice and their role and responsibilities. The facility operates a restraint free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no residents were using enablers. This was confirmed in meeting minutes sighted, during staff interviews and in the restraint register. </w:t>
            </w:r>
          </w:p>
          <w:p w:rsidR="00EB7645" w:rsidRPr="00BE00C7" w:rsidP="00BE00C7">
            <w:pPr>
              <w:pStyle w:val="OutcomeDescription"/>
              <w:spacing w:before="120" w:after="120"/>
              <w:rPr>
                <w:rFonts w:cs="Arial"/>
                <w:b w:val="0"/>
                <w:lang w:eastAsia="en-NZ"/>
              </w:rPr>
            </w:pPr>
            <w:r w:rsidRPr="00BE00C7">
              <w:rPr>
                <w:rFonts w:cs="Arial"/>
                <w:b w:val="0"/>
                <w:lang w:eastAsia="en-NZ"/>
              </w:rPr>
              <w:t>Restraint would only be used as a last resort when all alternatives have been explored. Staff have education in managing challenging behaviour and clinical practice maintains the Eden philosophy.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94"/>
        <w:gridCol w:w="1280"/>
        <w:gridCol w:w="4530"/>
        <w:gridCol w:w="2753"/>
        <w:gridCol w:w="21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always at least two care staff on duty at all times with on call staff clearly identified. Not all shifts are covered by a staff member who holds a current first aid certificate. Staff have been booked on the next available first aid course.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Shifts not covered by a staff member who hold a current first aid certificate are Friday 4pm to 7pm and Wednesday and Thursday 10pm to 6am.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every shift is covered with at least one staff member who holds a current first aid certificate.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Kingswood Healthcare Matamata Limited - Kingswood Rest Home</w:t>
    </w:r>
    <w:bookmarkEnd w:id="58"/>
    <w:r>
      <w:rPr>
        <w:rFonts w:cs="Arial"/>
        <w:sz w:val="16"/>
        <w:szCs w:val="20"/>
      </w:rPr>
      <w:tab/>
      <w:t xml:space="preserve">Date of Audit: </w:t>
    </w:r>
    <w:bookmarkStart w:id="59" w:name="AuditStartDate1"/>
    <w:r>
      <w:rPr>
        <w:rFonts w:cs="Arial"/>
        <w:sz w:val="16"/>
        <w:szCs w:val="20"/>
      </w:rPr>
      <w:t>8 November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