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North Waikato Care of the Aged Trust Board - Kimikia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North Waikato Care of the Aged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Kimihia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November 2017</w:t>
      </w:r>
      <w:bookmarkEnd w:id="7"/>
      <w:r w:rsidRPr="009418D4">
        <w:rPr>
          <w:rFonts w:cs="Arial"/>
        </w:rPr>
        <w:tab/>
        <w:t xml:space="preserve">End date: </w:t>
      </w:r>
      <w:bookmarkStart w:id="8" w:name="AuditEndDate"/>
      <w:r w:rsidR="00A4268A">
        <w:rPr>
          <w:rFonts w:cs="Arial"/>
        </w:rPr>
        <w:t>1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Kimihia Home and Hospital provides rest home and hospital level care, respite care and convalescent care for up to 77 residents. The service is operated by The North Waikato Care of the Aged Trust Board Incorporated which was formed in 1972. The facility is a community trust. There are 12 board members. The day to day services are managed by a facility manager who is supported by two clinical nurse managers. All three members of the management team are registered nurses. There has been a change in management structure and facility manager since the previous audit which was notified to the Ministry of Health.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the contracted physiotherapist, gerontology nurse specialist from Waikato DHB, a community mental health nurse from the Mental Health Services for Older Persons and a general practitioner.  </w:t>
      </w:r>
    </w:p>
    <w:p w:rsidRPr="00A4268A">
      <w:pPr>
        <w:spacing w:before="240" w:line="276" w:lineRule="auto"/>
        <w:rPr>
          <w:rFonts w:eastAsia="Calibri"/>
        </w:rPr>
      </w:pPr>
      <w:r w:rsidRPr="00A4268A">
        <w:rPr>
          <w:rFonts w:eastAsia="Calibri"/>
        </w:rPr>
        <w:t xml:space="preserve">This audit has resulted in a continuous improvement in relation to the service delivery team approach and identified three areas requiring improvement relating to sharing of quality data results, human resources and monitoring of fridges.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systems include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and medical equipment is tested at least annually or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enablers and eight restraints are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79"/>
        <w:gridCol w:w="1280"/>
        <w:gridCol w:w="93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Kimihia Home and Hospital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and evidenced in all resident’s files reviewed.  Where a resident is deemed incompetent to make an informed choice the enduring power of attorney (EPOA) will consent on behalf of the resident.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facility manager provided examples of the involvement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members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complaints/concerns policy and associated forms meet the requirements of Right 10 of the Code.  Information on the complaint process is provided to residents and families on admission and those interviewed knew how to do so.  Complaints forms are located around several areas of the facility and are accessible to residents and visitors.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12 complaints have been received over the past year and that actions taken, through to an agreed resolution, are documented and completed within the timeframes.  Action plans show any required follow up and improvements have been made where possible.  The facility manager is responsible for complaints management and follow up. All staff interviewed confirmed a sound understanding of the complaint process and what actions are required. There were no open complaints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 being made aware of the Code and the Nationwide Health and Disability Advocacy Service (Advocacy Service) as part of the admission information provided and discussions with staff.  The Code is displayed in the main foyer areas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 or share a room with another person/s with their consent.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community activities, arranging their own visits to the doctor, participation in clubs of their choosing and going out with family on a daily basis.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The residents and whanau were unavailable at the time of audit for interview, however documentation in the residents’ files showed good communication demonstrating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and staff being able to provide interpretation as and when needed.  Language and communication needs and use of alternative information and communication methods are available and used to support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overall governance of the facility is managed by a board of trustees consisting of 12 members who are from a general mix of local community services. The strategic and business plans, which are reviewed annually, outline the purpose, values, scope, direction and goals of the organisation. The documents describe annual and longer term objectives and the associated operational plans. A sample of monthly reports to the board of trustees showed adequate information to monitor performance is reported including new providers, staffing, quality data results, financial performance, emerging risks and issues. An interview with the board chairman confirmed there is excellent communication between the facility manager and the board and that he visits the facility at least once a week so that he is fully aware of any issues or concerns. A change of Trustees was notified to the Ministry of Health in September 2017.</w:t>
            </w:r>
          </w:p>
          <w:p w:rsidR="00EB7645" w:rsidRPr="00BE00C7" w:rsidP="00BE00C7">
            <w:pPr>
              <w:pStyle w:val="OutcomeDescription"/>
              <w:spacing w:before="120" w:after="120"/>
              <w:rPr>
                <w:rFonts w:cs="Arial"/>
                <w:b w:val="0"/>
                <w:lang w:eastAsia="en-NZ"/>
              </w:rPr>
            </w:pPr>
            <w:r w:rsidRPr="00BE00C7">
              <w:rPr>
                <w:rFonts w:cs="Arial"/>
                <w:b w:val="0"/>
                <w:lang w:eastAsia="en-NZ"/>
              </w:rPr>
              <w:t>The care facility service is managed by a facility manager who is a registered nurse and who holds relevant qualifications. They have been in the role for eight months but have worked at the facility prior to this, firstly, as a registered nurse in 2008, then from 2011 as a clinical nurse manager. Change of management was notified to the Ministry of Health (MOH) in April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are defined in a job description and individual employment agreement.  The facility manager confirmed knowledge of the sector, regulatory and reporting requirements and maintains currency through attendance at professional forums run by the New Zealand Nurses’ Organisation, gerontology workshops at WDHB, completion of human resources studies and participates in the WDHB Professional Development and Recognition Programme, including related education. She is supported by two clinical nurse managers who are both registered nurses, an accounts manager and the household services supervisor.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Waikato District Health Board (WDHB) for respite, convalescent care (medical), rest home care and hospital level care and the Ministry of Health (MOH) for residents under 65 years. At the time of audit there were 76 residents, 72 residents were receiving services under the Age Related Residential Care contract; 10 secure dementia care, 24 hospital level and 38 rest home level care. (WDBH contract).</w:t>
            </w:r>
          </w:p>
          <w:p w:rsidR="00EB7645" w:rsidRPr="00BE00C7" w:rsidP="00BE00C7">
            <w:pPr>
              <w:pStyle w:val="OutcomeDescription"/>
              <w:spacing w:before="120" w:after="120"/>
              <w:rPr>
                <w:rFonts w:cs="Arial"/>
                <w:b w:val="0"/>
                <w:lang w:eastAsia="en-NZ"/>
              </w:rPr>
            </w:pPr>
            <w:r w:rsidRPr="00BE00C7">
              <w:rPr>
                <w:rFonts w:cs="Arial"/>
                <w:b w:val="0"/>
                <w:lang w:eastAsia="en-NZ"/>
              </w:rPr>
              <w:t>Two rest home level care residents were under the Residential Respite Contract (WDHB).</w:t>
            </w:r>
          </w:p>
          <w:p w:rsidR="00EB7645" w:rsidRPr="00BE00C7" w:rsidP="00BE00C7">
            <w:pPr>
              <w:pStyle w:val="OutcomeDescription"/>
              <w:spacing w:before="120" w:after="120"/>
              <w:rPr>
                <w:rFonts w:cs="Arial"/>
                <w:b w:val="0"/>
                <w:lang w:eastAsia="en-NZ"/>
              </w:rPr>
            </w:pPr>
            <w:r w:rsidRPr="00BE00C7">
              <w:rPr>
                <w:rFonts w:cs="Arial"/>
                <w:b w:val="0"/>
                <w:lang w:eastAsia="en-NZ"/>
              </w:rPr>
              <w:t>One hospital level care resident was receiving services under the Residential Non-Aged Contract (MOH).</w:t>
            </w:r>
          </w:p>
          <w:p w:rsidR="00EB7645" w:rsidRPr="00BE00C7" w:rsidP="00BE00C7">
            <w:pPr>
              <w:pStyle w:val="OutcomeDescription"/>
              <w:spacing w:before="120" w:after="120"/>
              <w:rPr>
                <w:rFonts w:cs="Arial"/>
                <w:b w:val="0"/>
                <w:lang w:eastAsia="en-NZ"/>
              </w:rPr>
            </w:pPr>
            <w:r w:rsidRPr="00BE00C7">
              <w:rPr>
                <w:rFonts w:cs="Arial"/>
                <w:b w:val="0"/>
                <w:lang w:eastAsia="en-NZ"/>
              </w:rPr>
              <w:t>One hospital level care and one rest home level care resident received services under the WDHB Convalescent Care Contract. (This contract is funded from WDHB Person-centred Acute Community Care (PACC) funding).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senior CNM and accounts manager carries out all the required duties under delegated authority. During absences of key clinical staff, the clinical management is overseen by one of the CNMs. Both are experienced in the sector and able to take responsibility for any clinical issues that may arise. If both CNMs were to be away, the clinical oversight would be undertaken by the facility manager.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clinical incidents including infections and ‘wandering’, medication errors, challenging behaviour, pressure injuries and wounds.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meeting health and safety meetings, and board meetings. Reports of completed data are available to all staff, but there is no evidence to show they are discussed at staff meetings. Staff reported their involvement in quality and risk management activities through audit activities and corrective action implementation. Relevant corrective actions are developed and implemented to address any shortfalls. One quality initiative is the use of a ‘Dementia resident surveillance form’ which identifies for each resident the type of dementia, challenges identified, the frequency of any challenging behaviour and pattern of occurrence and the management strategies to de-escalate a situation. (Refer comment in criterion 1.3.3.4). The quality data is compared to other on-site data and benchmarked against eight other like facilities who belong to the Community Trusts in Care Aotearoa (CTCA)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most recent survey in March 2017, showed questions were raised around food services, laundry and activity diversity. The facility manager, CNMs and staff confirmed these were followed up and actions were taken to rectify the issues. Not all corrective actions were clearly documented and although staff can verbalise the positive outcomes, this evaluation is not documented. (Refer comments in criterion 1.2.3.6.)  No negative comments were made by any person interviewed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All policies and procedures sighted were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champion and facility manager described the processes for the identification, monitoring, review and reporting of risks and development of mitigation strategies. The manager is familiar with the Health and Safety at Work Act (2015) and has implemented requirements.  The monthly health and safety committee meet monthly as part of the RN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presented monthly to the board allows achievement against the quality and risk management plan to be measured.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RN meeting and reviewed by the health and safety committee. This information is included in the report presented to the board by the facility manager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CNMs described essential notification reporting requirements, including for pressure injuries.  They advised the only significant event has been reported using Section 31 reporting made to the Ministry of Health related to aggressive behaviour of a resident in November 2016. The police were involved to assist as required. There have been no police investigations, coroner’s inquests, issues based audits and any other notifications, such as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not being consistently implemented, not all files contained completed staff orientation records, and annual appraisals are not all up to date.  Orientation records sighted that were completed, included all necessary components relevant to the role. Staff reported that the orientation process prepared them well for their role.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(NZQA) education programme to meet the requirements of the provider’s agreement with the DHB. A staff member is the internal assessor for the programme. At the time of audit, 19 caregivers have completed a NZQA level four qualification, plus the enrolled nurse and two diversional therapists, four caregivers have completed level three plus the rehabilitation assistant, two caregivers have completed level two and 15 caregivers have commenced NZQA papers and are at various stages of completion. All household staff who work in the kitchen hold NZQA standard 167 and safe food handling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Staff working in the dementia care area have either completed or are enrolled in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RNs have completed their professional development and recognition programme (PDRP) requirements with WDHB with appropriate endorsements sighted for two staff. Three recently employed RNs have yet to commence the PDRP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The facility manager and two CNMs share on call duties.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four weeks’ rosters confirmed adequate staff cover has been provided, with staff replaced in any unplanned absence.  At least one staff member on duty has a current first aid certificate and there is 24 hour/seven days a week RN coverage in the hospital. The service uses interRAI information in relation to supporting staffing decisions related to residents’ needs and acuity. </w:t>
            </w:r>
          </w:p>
          <w:p w:rsidR="00EB7645" w:rsidRPr="00BE00C7" w:rsidP="00BE00C7">
            <w:pPr>
              <w:pStyle w:val="OutcomeDescription"/>
              <w:spacing w:before="120" w:after="120"/>
              <w:rPr>
                <w:rFonts w:cs="Arial"/>
                <w:b w:val="0"/>
                <w:lang w:eastAsia="en-NZ"/>
              </w:rPr>
            </w:pPr>
            <w:r w:rsidRPr="00BE00C7">
              <w:rPr>
                <w:rFonts w:cs="Arial"/>
                <w:b w:val="0"/>
                <w:lang w:eastAsia="en-NZ"/>
              </w:rPr>
              <w:t>Dedicated staff work in the dementia care secure unit for all shifts.</w:t>
            </w:r>
          </w:p>
          <w:p w:rsidR="00EB7645" w:rsidRPr="00BE00C7" w:rsidP="00BE00C7">
            <w:pPr>
              <w:pStyle w:val="OutcomeDescription"/>
              <w:spacing w:before="120" w:after="120"/>
              <w:rPr>
                <w:rFonts w:cs="Arial"/>
                <w:b w:val="0"/>
                <w:lang w:eastAsia="en-NZ"/>
              </w:rPr>
            </w:pPr>
            <w:r w:rsidRPr="00BE00C7">
              <w:rPr>
                <w:rFonts w:cs="Arial"/>
                <w:b w:val="0"/>
                <w:lang w:eastAsia="en-NZ"/>
              </w:rPr>
              <w:t>There are seven household staff who work eight hour shifts to cover the kitchen, cleaning and distribution of linen, seven days a week. Two diversional therapists work Monday to Friday 72 hours per week, plus an activities assistant eight hours per week.  A contracted physiotherapist works six to eight hours per week and a rehabilitation assistant works Monday to Friday 40 hours per week.  Reception is staffed Monday to Friday 40 hours per week and an accounts administration works 30 hours per week.  The administration person, CNMs, and accounts manager work Monday to Friday 40 hours per week, and the facility manager works Monday to Friday 37.5 hours per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Disability Support Link Assessment and Service Coordination (DSL) Service. Prospective residents and/or their families are encouraged to visit the facility prior to admission and are provided with written information about the service and the admission process.   The organisation seeks updated information from DSL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which included EPOA consent and acknowledgement for residents whom have a cognitive impairment.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family/whanau.  At the time of transition between services, appropriate information is provided for the ongoing management of the resident.  All referrals are documented in the progress notes. An example reviewed of a patient recently transferred to the local acute care facility showed appropriate documentation and communication between all parties.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 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the last controlled drug audit was completed in August of 2017 and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four medicine fridges and the two medication rooms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residents who self-administer medications. All four residents at the time of audit did not have medication stored securely in their bedrooms. By the end of the audit, three residents’ medications were secured, and one resident’s medication was returned to the medication room.  Up to date documentation of competence was sighted for all four residents self-administering medications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qualified cooks, household staff, and a dedicated kitchen team, overseen by a household supervisor, and is in line with recognised nutritional guidelines for older people.  The menu follows summer and winter patterns and was last reviewed by a qualified dietitian in April of 2016 with an ‘excellent rating’.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Aspects of food procurement, production, preparation, storage, transportation, delivery and disposal comply with current legislation and guidelines however there is a total of twelve food fridges within the facility that are not being regularly monitored. The service is currently developing an approved food safety plan and is aware of the deadline date of March 2018.  Food temperatures, including for high risk items, are monitored appropriately and recorded as part of the plan. The household supervisor and kitchen staff have undertaken safe food handling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DSL is advised to ensure the prospective resident and family are supported to find an appropriate care alternative. If the needs of a resident change and they are no longer suitable for the services offered, a referral for reassessment to the DSL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challenging behaviours and depression scale as a means to identify any deficits and to inform care planning when the resident is initially admitted to the facility. The sample of care plans reviewed had an integrated range of resident-related information.  All residents have current interRAI assessments completed by one of three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Resident files reviewed for behaviour management plans including triggers and interventions for behaviours.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The clinical nurse specialist for gerontology and community mental health nurse for mental health services for older people were also interviewed and stated that the communication is good and care is also provided to a high level.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holding the national Certificate in Diversional Therapy and an activities assistant.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interactive.</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such as music and one to one interaction.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mental health services for older persons and the dietician.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Housekeeping staff have all completed safe chemical handling training within the past year.  An external company is contracted to supply and manage all chemicals and cleaning products and they also provide relevant training for staff. Material safety data sheets were available where chemicals are stored.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31 March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(tested in August and September 2017) and calibration of bio medical equipment (tested February 2017) was current as confirmed in documentation reviewed. The service has appropriate equipment to manage residents of all levels of care which includes oximeter, oxygen concentrators and regulators, suction, electric beds, sit on weigh scales, two bedrooms with ceiling hoists and four mobile hoists.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undertaken on a contracted basis. Observation of the environment confirms the facility is maintained to an appropriate standard. Staff confirmed they know the processes they should follow if any repairs or maintenance is required. Documentation identifies requests are appropriately actioned in a timely manner. This was supported by residents and families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was hazard free, residents were safe and independence was promoted. There are dedicated storage areas for equipment. Monthly environmental audits are conducted and findings reviewed by the health and safety champion who reports all actions to the registered nurse meeting and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The secure dementia care area has an easily accessible outdoor area, with shade, seating, fruit trees and winding paths.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thirteen bedrooms with full ensuite facilities and separate staff and visitor toilet areas.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There are four bedrooms with four beds in each room. Permission is always gained from the resident or the EPOA prior to accepting a resident into one of these rooms. Each bed has a call bell, curtains that provide visual privacy and an attached conservatory area at one end which allow safe storage of chairs when they are not in use. This area can be used for residents during the day if they choose. All other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dementia area has a dining and lounge area which are also used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open care unit there are three lounge areas, three dining areas, a chapel, a physiotherapy rehabilitation room, and a large lounge which is also used for activities, such as bingo as tables and chairs that can be set up for this. The diversional therapists’ room is located at one end of this lounge area. </w:t>
            </w:r>
          </w:p>
          <w:p w:rsidR="00EB7645" w:rsidRPr="00BE00C7" w:rsidP="00BE00C7">
            <w:pPr>
              <w:pStyle w:val="OutcomeDescription"/>
              <w:spacing w:before="120" w:after="120"/>
              <w:rPr>
                <w:rFonts w:cs="Arial"/>
                <w:b w:val="0"/>
                <w:lang w:eastAsia="en-NZ"/>
              </w:rPr>
            </w:pPr>
            <w:r w:rsidRPr="00BE00C7">
              <w:rPr>
                <w:rFonts w:cs="Arial"/>
                <w:b w:val="0"/>
                <w:lang w:eastAsia="en-NZ"/>
              </w:rPr>
              <w:t>The dining and lounge areas are spacious and enable easy access for residents and staff.  There are also small seating areas where residents can access areas for privacy, if required.  Furniture is appropriate to the setting and residents’ needs. There is also a dedicated doctors’ room used for consultations and family meetings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contracted to an off-site provider. However, facilities allow residents to do their own personal washing if they wish and short stay respite residents’ personal washing is done onsite. All long-term residents’ clothing is microchipped and clearly labelled. This is a quality improvement which has been implemented since the previous audit. Each resident’s clothing is returned to the facility in individually packed plastic bags which are clearly labelled to say who the clothing belongs too. Housekeeping staff deliver the residents’ clothing to their bedrooms. When the laundry service was contracted off-site, some personal clothing was damaged as identified in the complaints log sighted. The service replaced damaged clothing and have taken actions to prevent this re-occurring. </w:t>
            </w:r>
          </w:p>
          <w:p w:rsidR="00EB7645" w:rsidRPr="00BE00C7" w:rsidP="00BE00C7">
            <w:pPr>
              <w:pStyle w:val="OutcomeDescription"/>
              <w:spacing w:before="120" w:after="120"/>
              <w:rPr>
                <w:rFonts w:cs="Arial"/>
                <w:b w:val="0"/>
                <w:lang w:eastAsia="en-NZ"/>
              </w:rPr>
            </w:pPr>
            <w:r w:rsidRPr="00BE00C7">
              <w:rPr>
                <w:rFonts w:cs="Arial"/>
                <w:b w:val="0"/>
                <w:lang w:eastAsia="en-NZ"/>
              </w:rPr>
              <w:t>Both care staff and housekeeping staff demonstrated a sound knowledge of the laundry processes, clean flow of laundry returned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housekeeping team which consists of cooks, cleaners and laundry staff, have received appropriate training. Most members of the housekeeping team can work in all three areas. All staff have undertaken appropriate New Zealand Qualifications in safe food handling and have annual safe chemical handling education as was sighted in education files reviewed.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visual checks undertaken by the housekeeping supervisor.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are used to direct the facility in their preparation for disasters and described the procedures to be followed in the event of a fire or other emergency.   The current fire evacuation plan was approved by the New Zealand Fire Service on the 08 November 2012.  A trial evacuation takes place six-monthly by an approved contracted provider; the most recent being on 22 May 2017 with no follow up required. There next fire evacuation is booked for the week following audit as confirmed in emails sighted. The orientation programme includes fire and security training.  Staff confirmed their awareness of the emergency procedures. Staff attendance at fire and emergency training is compulsory and this is overseen by one of the CNMs. Actions are taken to remind staff if they have not met this requirement.</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77 residents. Water storage tanks are located in the grounds of the complex with bottled drinking water stored indoors. There is a diesel generator on site which lasts up to 48 hours.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All areas have a call bell system which residents and families reported staff respond to promptly.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 This is confirmed in documentation sighted.</w:t>
            </w:r>
          </w:p>
          <w:p w:rsidR="00EB7645" w:rsidRPr="00BE00C7" w:rsidP="00BE00C7">
            <w:pPr>
              <w:pStyle w:val="OutcomeDescription"/>
              <w:spacing w:before="120" w:after="120"/>
              <w:rPr>
                <w:rFonts w:cs="Arial"/>
                <w:b w:val="0"/>
                <w:lang w:eastAsia="en-NZ"/>
              </w:rPr>
            </w:pPr>
            <w:r w:rsidRPr="00BE00C7">
              <w:rPr>
                <w:rFonts w:cs="Arial"/>
                <w:b w:val="0"/>
                <w:lang w:eastAsia="en-NZ"/>
              </w:rPr>
              <w:t>A ‘wander guard’ system is in place so that staff can be alerted if residents who tend to wander go past a certain point. This is only used with the consent of the resident’s EPOA as identified in residents’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two bedrooms have doors that open onto outside garden. Heating is provided by gas heated water radiators in residents’ rooms in the communal areas.</w:t>
            </w:r>
          </w:p>
          <w:p w:rsidR="00EB7645" w:rsidRPr="00BE00C7" w:rsidP="00BE00C7">
            <w:pPr>
              <w:pStyle w:val="OutcomeDescription"/>
              <w:spacing w:before="120" w:after="120"/>
              <w:rPr>
                <w:rFonts w:cs="Arial"/>
                <w:b w:val="0"/>
                <w:lang w:eastAsia="en-NZ"/>
              </w:rPr>
            </w:pPr>
            <w:r w:rsidRPr="00BE00C7">
              <w:rPr>
                <w:rFonts w:cs="Arial"/>
                <w:b w:val="0"/>
                <w:lang w:eastAsia="en-NZ"/>
              </w:rPr>
              <w:t>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clinical nurse specialists as required.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coordinator/registered nurse is the designated IPC coordinator, whose role and responsibilities are defined in a job description. Infection control matters, including surveillance results, are reported monthly to the facility manager, tabled at the health and safety committee meeting and a report is provided to the board.  This committee includes the facility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is not evident at the main entrance to the facility, however staff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eight months.  She has undertaken a certificate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2017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eye, and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registered staff meetings, however this information is not extended to caregivers’ meetings (please see criterion 1.2.3.6). This information is sighted in the staff room for staff to view.  Graphs are produced that identify trends for the current year and comparisons against previous years, and this is reported to the facility manager.   Data is benchmarked externally with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eight residents were using restraints (all in the open care unit, not used in dementia) and two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(RN meeting), files reviewed,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registered nurses, is led by the restraint coordinator who is one of the CNMs. The restraint coordinator, RNs and GP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family/whānau/EPOA. The CNM interviewed/restraint coordinator described the documented process which was confirmed in residents’ files reviewed.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The restraint coordinator described how alternatives to restraints are discussed with staff and family members such as the use of sensor mats, low beds and de-escalation.  The restraint register and meeting minutes identifies restraints that have been commenced and those that have ceased. Once a resident has restraint stopped they are put onto a short term care plan for close monitoring until the restraint committee agree this was a safe decision to make. Short term care plans are also put in place when a resident first commences on restraint to ensure all staff are aware of this and the required monitoring times. If after one month it is agreed that the restraint is safe for the resident the short term care plan ceases and the monitoring is undertaken according to assessment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being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 six-monthly review of all restraint use which includes all the requirements of this Standard. Six monthly restraint meetings and reports are completed and individual use of restraint use is reported at RN meetings.  Minutes of meeting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staff and management confirmed that the use of restraint has been reduced by two over the past six months.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6948"/>
        <w:gridCol w:w="2044"/>
        <w:gridCol w:w="16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collected and analysed monthly at senior management level. Corrective actions are put in place and management and staff can verbalise the outcomes. This can also be seen in data results, such as skin tears being reduced from 28 in April 2017 to 10 in September 2017; however, evaluation of corrective actions is not well documented. Quality data results are posted on a board in the staff room which all staff have access to, but they are not reported at staff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findings are not discussed at staff meetings and there is limited documented evaluation of findings.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quality data corrective action outcomes are evaluated and that all quality data is shared with all service providers.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that they receive an in-depth orientation which covers the essential components of the service provided, including emergency management, policies and procedures, infection control and health and safety. However, of ten staff files reviewed, only three contained completed orientation records. It was also noted that senior management staff appraisals have not been undertaken for 2017. The service has a programme in place to ensure these are to be completed within the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staff orientations information could be located in the staff files reviewed. Not all staff annual appraisals are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staff have completed an orientation and that annual appraisals are kept up to date to meet contractual requirement D17.7 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very low infection rate.  There is a total of twelve food fridges within the facility (11 studio, two rest home residents with fridges in their rooms and three remaining kitchenette fridges in three communal areas of the facility). At the time of audit these fridges were not monitored, or temperatures checked and recorded, despite the fridges not being monitored, there was no indication that the fridges were not being managed safely.  A register was developed by the end of the audit.  The facility manager stated that the temperatures monitoring and recording of the fridges would be commenced the following day.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evidence that the cleaning schedule in the kitchen is being implemented.  Temperatures and contents of 12 (twelve) resident fridges are not being monitored.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resident’s fridges are monitored to comply with safe food hygiene and correct temperatures are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3"/>
        <w:gridCol w:w="1280"/>
        <w:gridCol w:w="7253"/>
        <w:gridCol w:w="4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Kimihia Home and Hospital has created a ‘paper round’ which occurs monthly and is an extension and more in-depth review of a resident than would normally occur at a multidisciplinary meeting.  A team approach occurs and includes the facility manager, clinical nurse manager, diversional therapist, physiotherapist, rehabilitation assistant, GP and Nurse Practitioner for Gerontology.  Other health care professionals from different areas are also invited to attend.   A client centred approach occurs, and all aspects related to the resident’s care and issues arising are discussed.  There is an emphasis to trial and provide non-pharmacological interventions based on evidence and information collated by staff.  Care plans are updated, reviewed and evaluated.  Care staff interviewed stated that any changes to care and outcomes are discussed in handover.  Residents and families interviewed stated that they are included in this assessment approach and are very satisfied with both the care that is provided and the attention to detail.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Kimihia Home and Hospital has achieved a continuous improvement in development of the ‘paper round’.  There are clearly documented findings and evidence of actions taken based on the findings. The improvements made to the service provision and resident safety or satisfaction is measurable. This was supported during staff, resident and family interviews and in the resident satisfaction survey results sighted gaining an overall higher satisfaction result for overall care services. All benefits gained, and outcomes achieved have either a resident safety or satisfaction component.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North Waikato Care of the Aged Trust Board - Kimikia Home &amp; Hospital</w:t>
    </w:r>
    <w:bookmarkEnd w:id="58"/>
    <w:r>
      <w:rPr>
        <w:rFonts w:cs="Arial"/>
        <w:sz w:val="16"/>
        <w:szCs w:val="20"/>
      </w:rPr>
      <w:tab/>
      <w:t xml:space="preserve">Date of Audit: </w:t>
    </w:r>
    <w:bookmarkStart w:id="59" w:name="AuditStartDate1"/>
    <w:r>
      <w:rPr>
        <w:rFonts w:cs="Arial"/>
        <w:sz w:val="16"/>
        <w:szCs w:val="20"/>
      </w:rPr>
      <w:t>30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