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Bethsaida Trust Board Incorporated - Bethsaida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Bethsaida Trust Board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Bethsaida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November 2017</w:t>
      </w:r>
      <w:bookmarkEnd w:id="7"/>
      <w:r w:rsidRPr="009418D4">
        <w:rPr>
          <w:rFonts w:cs="Arial"/>
        </w:rPr>
        <w:tab/>
        <w:t xml:space="preserve">End date: </w:t>
      </w:r>
      <w:bookmarkStart w:id="8" w:name="AuditEndDate"/>
      <w:r w:rsidR="00A4268A">
        <w:rPr>
          <w:rFonts w:cs="Arial"/>
        </w:rPr>
        <w:t>9 November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Bethsaida Retirement Village provides rest home and hospital level care for up to 43 residents. The service is operated by the Bethsaida Trust Board Incorporated, a registered charitable trust, and managed by a facility manager supported by a clinical nurse leader. 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a nurse practitioner and a general practitioner. The facility manager was on leave on the day of the audit but was available for an interview by telephone. </w:t>
      </w:r>
    </w:p>
    <w:p w:rsidRPr="00A4268A">
      <w:pPr>
        <w:spacing w:before="240" w:line="276" w:lineRule="auto"/>
        <w:rPr>
          <w:rFonts w:eastAsia="Calibri"/>
        </w:rPr>
      </w:pPr>
      <w:r w:rsidRPr="00A4268A">
        <w:rPr>
          <w:rFonts w:eastAsia="Calibri"/>
        </w:rPr>
        <w:t xml:space="preserve">Improvements have been made to training and residents’ activity plans, addressing those areas requiring improvement at the previous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was confirmed to be effective. There is access to interpreting services if required.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goals, purpose,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 xml:space="preserve">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that management were accessible and approachable, they felt well informed and involved in care planning and evaluation, and that the care provided was of a high standard. </w:t>
      </w:r>
    </w:p>
    <w:p w:rsidRPr="00A4268A" w:rsidP="00621629">
      <w:pPr>
        <w:spacing w:before="240" w:line="276" w:lineRule="auto"/>
        <w:rPr>
          <w:rFonts w:eastAsia="Calibri"/>
        </w:rPr>
      </w:pPr>
      <w:r w:rsidRPr="00A4268A">
        <w:rPr>
          <w:rFonts w:eastAsia="Calibri"/>
        </w:rPr>
        <w:t xml:space="preserve">The planned activity programme is overseen by a diversional therapist and a recreation officer and provides residents with a variety of individual and group activities and maintains their links with the community.  Access to community vans enables frequent outings whilst a facility van is unavailable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 manual system.  Medications are administered by registered nurses,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displayed.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One enabler and three restraints were in use at the time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data is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86"/>
        <w:gridCol w:w="1280"/>
        <w:gridCol w:w="104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Forms are also available at reception.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four complaints have been received over the past year and that actions taken, through to an agreed resolution, are documented and completed within the timeframes.  Action plans show any required follow up and improvements have been made where possible.  The facility manager is responsible for complaints management and follow up. All staff interviewed confirmed a sound understanding of the complaint process and what actions are required. There has been one complaint to the Health and Disability Commissioner which met the timeframes and resulted in no further action being taken. This was resolved and closed out.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know how to access interpreter services, although reported this was rarely required due to the fact that all current residents speak English. One French resident has conversations with a staff member who is fluent in French, which provides some special times for that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which are reviewed annually, outline the purpose, values, mission and goals of the organisation. The documents describe annual and longer term objectives and the associated operational plans. A sample of monthly reports to the board of trustees showed adequate information to monitor performance is reported including financial performance, quality reports, resident changes, staffing, emerging risks and issues and departmental reports.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facility manager who holds relevant qualifications and has been in the role for four years. Responsibilities and accountabilities are defined in a job description and individual employment agreement. The facility manager confirmed knowledge of the sector, regulatory and reporting requirements and maintains currency through her nursing registration, attendance at relevant management conferences and in-service education courses.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DHB for residential aged care and respite care. 14 residents were receiving services under the aged care hospital level contract and 25 at rest home level at the time of audit. There were no current residents receiving respite or palliative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complaints, regular internal audit activities, resident satisfaction surveys, monitoring of outcomes, clinical incidents including infections and wound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board meetings, quality and risk team meetings and clinical and general staff meetings. Staff reported their involvement in quality and risk management activities through audit activities and their respective group team meetings. A communication book is kept which records all specific policy changes, quality activity and events that staff need to be aware of. These are required to be signed when read by staff. Relevant corrective actions are developed and implemented to address any shortfalls.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are completed annually. Residents have regular three monthly meetings facilitated by the facility manager. A review of minutes identified discussions about the menu choices for the tea meal. This was addressed and residents are now able to request any alternative meals the may differ from the current facility menu if they wish by informing the kitchen before 3.30pm each 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are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the processes for the identification, monitoring, review and reporting of risks and development of mitigation strategies. The clinical nurse leader, who is also the health and safety representative,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incident form. A sample of the incident forms reviewed showed these were fully completed, incidents were investigated, action plans developed and actions followed-up in a timely manner.  Adverse event data is collated, analysed and reported through the electronic quality system.</w:t>
            </w:r>
          </w:p>
          <w:p w:rsidR="00EB7645" w:rsidRPr="00BE00C7" w:rsidP="00BE00C7">
            <w:pPr>
              <w:pStyle w:val="OutcomeDescription"/>
              <w:spacing w:before="120" w:after="120"/>
              <w:rPr>
                <w:rFonts w:cs="Arial"/>
                <w:b w:val="0"/>
                <w:lang w:eastAsia="en-NZ"/>
              </w:rPr>
            </w:pPr>
            <w:r w:rsidRPr="00BE00C7">
              <w:rPr>
                <w:rFonts w:cs="Arial"/>
                <w:b w:val="0"/>
                <w:lang w:eastAsia="en-NZ"/>
              </w:rPr>
              <w:t>The clinical nurse leader described essential notification reporting requirements, including for pressure injuries. She advised there have been no notifications of significant events made to the Ministry of Health or other authorities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a 90 day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A staff member is the internal assessor for the programme. There are sufficient trained and competent registered nurses who are maintaining their annual competency requirements to undertake interRAI assessments. This was an area identified as an issue at the last audit due to the lack of training available in the area. This has now been addressed and eight RNs are now fully trained and component.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 using a safe staffing tool, assessed need levels, staff experience levels and qualifications along with staff consultation.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a four-week roster cycle confirmed adequate staff cover has been provided, with staff replaced in any unplanned absence from the facility casual pool.  At least one staff member on duty has a current first aid certificate and there is 24//7 RN coverage in the hospital. The clinical nurse leader, who completes the rosters, is responsive to requests from staff for a range of work hour preferences.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 manual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 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 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three residents who were self-administering medications at the time of audit. Appropriate processes were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CNL and recorded on an accident/incident data log.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qualified chef and is in line with recognised nutritional guidelines for older people.  The menu follows summer and winter patterns and has been reviewed by a qualified dietitian in May 2017.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is a qualified chef and has safe food handling qualifications,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are sufficient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Interviews with the GP and NP,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trained diversional therapist and a recreational officer.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 monthly care plan review. A facility van is unavailable for outings, at the time of audit, however access to community vans enable residents to go on outings regularly.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reflected residents’ goals, ordinary patterns of life and include normal community activities. Individual, group activities and regular events are offered. The activities programme is discussed at the minuted residents’ meetings and indicated residents’ input is sought and responded to.  Resident and family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and Clinical Nurse Leader (CNL).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three or six months in conjunction with the six-monthly interRAI reassessment or as residents’ needs change.  Evaluations are documented by the RN. Where progress is different from expected, the service responds by initiating changes to the plan of care. Examples of short term care plans were consistently reviewed for infections, pain,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A current building warrant of fitness (expiry date 1 July 2018) is publicly displayed.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and on a short term care plan.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The CNL who is the infection control nurse reviews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externally with other aged care providers. Observation verified that infection rates are low in comparison with other members of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three residents were using restraints and one resident was using an enabler, which were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interviews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Bethsaida Trust Board Incorporated - Bethsaida Retirement Village</w:t>
    </w:r>
    <w:bookmarkEnd w:id="58"/>
    <w:r>
      <w:rPr>
        <w:rFonts w:cs="Arial"/>
        <w:sz w:val="16"/>
        <w:szCs w:val="20"/>
      </w:rPr>
      <w:tab/>
      <w:t xml:space="preserve">Date of Audit: </w:t>
    </w:r>
    <w:bookmarkStart w:id="59" w:name="AuditStartDate1"/>
    <w:r>
      <w:rPr>
        <w:rFonts w:cs="Arial"/>
        <w:sz w:val="16"/>
        <w:szCs w:val="20"/>
      </w:rPr>
      <w:t>9 November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