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Cashmere Hospital (16 &amp; 51 Helston road)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Cashmere Hospital (51 Helston Road)||Cashmere Hospital (16 Helston Road)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October 2017</w:t>
      </w:r>
      <w:bookmarkEnd w:id="7"/>
      <w:r w:rsidRPr="009418D4">
        <w:rPr>
          <w:rFonts w:cs="Arial"/>
        </w:rPr>
        <w:tab/>
        <w:t xml:space="preserve">End date: </w:t>
      </w:r>
      <w:bookmarkStart w:id="8" w:name="AuditEndDate"/>
      <w:r w:rsidR="00A4268A">
        <w:rPr>
          <w:rFonts w:cs="Arial"/>
        </w:rPr>
        <w:t>20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 61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PSC Cashmere is part of the Presbyterian Support Central organisation and provides rest home and hospital (geriatric and medical) level care at two sites – Cashmere Home and Cashmere Heights.  These two sites are separated by a four-minute walk between each other.  On the day of the audit, there were 61 residents (36 at Cashmere Home and 25 at Cashmere Heights).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is overseen by a facility manager, who is a registered nurse and well qualified and experienced for the role. The facility manager is supported by a regional manager and two clinical coordinators.  Residents and the GP interviewed spoke positively about the service provided.</w:t>
      </w:r>
    </w:p>
    <w:p w:rsidRPr="00A4268A">
      <w:pPr>
        <w:spacing w:before="240" w:line="276" w:lineRule="auto"/>
        <w:rPr>
          <w:rFonts w:eastAsia="Calibri"/>
        </w:rPr>
      </w:pPr>
      <w:r w:rsidRPr="00A4268A">
        <w:rPr>
          <w:rFonts w:eastAsia="Calibri"/>
        </w:rPr>
        <w:t>The service has addressed the one shortfall from the previous certification audit around completing wound assessments.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PSC Cashmere is implementing a quality and risk management system that supports the provision of clinical care.  Key components of the quality management system link to a number of meetings including fortnightly senior team meetings.  Quality performance is reported across various meetings.  There are human resources policies including recruitment, selection, orientation and staff training and development.  The orientation programme provides new staff with relevant information for safe work practice.  There is an organisational training programme covering relevant aspects of care and support.  The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At both Cashmere Home and Cashmere Heights the registered nurses are responsible for each stage of service provision.  A registered nurse assesses and reviews residents' needs, outcomes and goals with the resident and/or family/whānau input.  Care plans reviewed in resident records demonstrated service integration.  Resident files included medical notes by the contracted GP and visiting allied health professionals.</w:t>
      </w:r>
    </w:p>
    <w:p w:rsidRPr="00A4268A" w:rsidP="00621629">
      <w:pPr>
        <w:spacing w:before="240" w:line="276" w:lineRule="auto"/>
        <w:rPr>
          <w:rFonts w:eastAsia="Calibri"/>
        </w:rPr>
      </w:pPr>
      <w:r w:rsidRPr="00A4268A">
        <w:rPr>
          <w:rFonts w:eastAsia="Calibri"/>
        </w:rPr>
        <w:t xml:space="preserve">The recreational team provide an activities programme at each site for the residents that is varied, interesting and involves the families/whānau and community.  </w:t>
      </w:r>
    </w:p>
    <w:p w:rsidRPr="00A4268A" w:rsidP="00621629">
      <w:pPr>
        <w:spacing w:before="240" w:line="276" w:lineRule="auto"/>
        <w:rPr>
          <w:rFonts w:eastAsia="Calibri"/>
        </w:rPr>
      </w:pPr>
      <w:r w:rsidRPr="00A4268A">
        <w:rPr>
          <w:rFonts w:eastAsia="Calibri"/>
        </w:rPr>
        <w:t xml:space="preserve">Medication policies comply with legislative requirements and guidelines.  Registered nurses administer medications with some senior caregivers checking medicines.  All responsible in the medication process complete education and annual medication competencies. </w:t>
      </w:r>
    </w:p>
    <w:p w:rsidRPr="00A4268A" w:rsidP="00621629">
      <w:pPr>
        <w:spacing w:before="240" w:line="276" w:lineRule="auto"/>
        <w:rPr>
          <w:rFonts w:eastAsia="Calibri"/>
        </w:rPr>
      </w:pPr>
      <w:r w:rsidRPr="00A4268A">
        <w:rPr>
          <w:rFonts w:eastAsia="Calibri"/>
        </w:rPr>
        <w:t>All meals are prepared at Cashmere Home.  Food is transported along the road in a van for Cashmere Heights.  Food, fridge and freezer temperatures are recorded.  Individual and special dietary needs are catered for.  Residents and family/whānau interviewed were complimentary about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displayed for each facility.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PSC Cashmere has restraint minimisation and safe practice policies and procedures in place.  Staff receive training in restraint minimisation and challenging behaviour management.  On the day of audit, there were four residents with restraint and ten residents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evaluated and reported to relevant personnel.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7"/>
        <w:gridCol w:w="1280"/>
        <w:gridCol w:w="98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and this is communicated to residents and family.  The facility manager leads the investigation and management of complaints.  There is a complaint’s register that records activity.  Complaint forms are visible around both facilities (Cashmere Home and Cashmere Heights).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three complaints lodged at Cashmere Home (year to date) and no complaints lodged at Cashmere Heights.  Follow-up letters, investigation and outcomes were documented in all three instances.  Timeframes for responding to complaints meet Health and Disability Commissioner (HDC) guidelines.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relatives confirmed they were aware of how to make a complaint.  A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Twelve residents interviewed (Cashmere Home: five hospital, two rest home; Cashmere Heights: five rest home) stated they were welcomed on entry and were given time and explanation about the services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have a section to indicate if family have been informed (or not) of an accident/incident.  Fifteen incident forms reviewed (seven from Cashmere Heights and eight from Cashmere Home) documented family were notified following a resident incident.  Interviews with six healthcare assistants (who work across both facilities) acknowledged that family are kept informed.  Six relatives interviewed (four from Cashmere Home (hospital) and two from Cashmere Heights (one rest home, one hospital) confirmed they were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and accessible if required.  Families and staff are utilised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PSC Cashmere (Cashmere Home and Cashmere Heights) is part of the Presbyterian Support Central organisation (PSC) and provides rest home and hospital (geriatric/medical) level care services across the two facilities.  The two facilities are located within a four-minute walk from each other.  All residents’ rooms at both locations are certified for dual-purpose.  Cashmere Home has a 40-bed capacity and occupancy on the day of audit was 36 residents (11 rest home and 25 hospital).  Cashmere Heights has a 33-bed capacity and occupancy on the day of audit was 25 residents (16 rest home and 9 hospital).  Residents were all under the ARC contract only.   There were no respite residents and no residents on the medical component.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at PSC Cashmere is a registered nurse (RN) with over 30 years of aged care experience and has been in the role for six years.  She is leaving her position.  A suitable replacement has been employed.  This individual was beginning her employment as facility manager the following week.  She is an RN with a business management degree and holds 16 years of management experience in the aged care sector.  The facility manager reported that HealthCert has been informed of this change via a section 31 notification form.  The facility manager manages both facilities and is supported by two (full-time) clinical coordinators/RNs, one for Cashmere Home and one for Cashmere Heights.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PSC has a mission and vision statement defined.  PSC Cashmere has a 2016 – 2017 quality plan and risk management plan that includes specific and measurable goals.    The implementation of the Eden philosophy at both facilities has been instrumental in placing the resident as the focus of all events, interventions and decisions.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at least eight hours annually of professional development activities related to managing a rest home and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PSC has an overall quality management system in place that is overseen by the head office.  Sixteen staff interviews (facility manager, two clinical coordinators (one from each facility), six healthcare assistants (HCAs) (three from each facility), four RNs (two from each facility), one chef and two activities coordinators (one from each facility) confirmed their understanding of the quality and risk management systems that are being implemented.  Of particular mention throughout the interview process is the staff’s understanding and commitment to the Eden philosophy of residents’ cares.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provide assurance that PSC Cashmere is meeting accepted good practice and adhering to relevant standards, including those standards relating to the Health and Disability Services (Safety) Act 2001.  There is a PSC organisation policy review group that has terms of reference and follows a monthly policy review schedule.  New/updated policies/procedures are generated from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team meeting acts as the quality committee and they meet twice a month (combined staff from both sites).  Information is fed back to the monthly clinical focused meetings (combined meeting) and staff meetings (separate per site).  A range of other meetings are held at the facilities.  Meeting minutes and reports are provided to the quality meeting, actions are identified in minutes and quality improvement forms are being signed off and reviewed for effectiveness.  Progress with the quality programme/goals is being monitored and reviewed through the monthly senior team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internal audit calendar in place and the schedule is adhered and followed for 2017 (year to date). This internal audit programme is being completed at each facility.  Corrective actions are documented when internal audits score less than 85% and the audit is repeated monthly until an acceptable threshold is reached.  The facility manager signs off on all corrective actions at both sites.  Clinical indicator data is analysed and evaluated.  This includes (but is not limited to) falls, infections, pressure injuries, skin tears, bruises, and challenging behaviours.  Residents’ falls have remained low at both facilities since the previous certification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meets current health and safety legislative requirements.  The health and safety officer was interviewed (clinical coordinator from Cashmere Heights).  She is supported by a team of health and safety representatives from both locations.  Health and safety meetings include identification of hazards and accident/incident reporting and trends.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The service collects a comprehensive set of data relating to adverse, unplanned and untoward events.  This includes the collection of incident and accident information. </w:t>
            </w:r>
          </w:p>
          <w:p w:rsidR="00EB7645" w:rsidRPr="00BE00C7" w:rsidP="00BE00C7">
            <w:pPr>
              <w:pStyle w:val="OutcomeDescription"/>
              <w:spacing w:before="120" w:after="120"/>
              <w:rPr>
                <w:rFonts w:cs="Arial"/>
                <w:b w:val="0"/>
                <w:lang w:eastAsia="en-NZ"/>
              </w:rPr>
            </w:pPr>
            <w:r w:rsidRPr="00BE00C7">
              <w:rPr>
                <w:rFonts w:cs="Arial"/>
                <w:b w:val="0"/>
                <w:lang w:eastAsia="en-NZ"/>
              </w:rPr>
              <w:t>Fifteen incident forms were reviewed across both facilities (seven from Cashmere Home and eight from Cashmere Heights).  All identified follow-up assessments by a registered nurse.  Neurological observations are completed by an RN if there is a suspected injury to the head.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facility manager confirmed that there is an awareness of the requirement to notify relevant authorities in relation to essential notifications with examples provided.  There was no evidence of any infectious outbreaks, coroner’s inquests or complaints lodged with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policies folder including recruitment, selection, orientation and staff training and development.  The recruitment and staff selection process require that relevant checks are completed to validate the individual’s qualifications, experience and veracity.  </w:t>
            </w:r>
          </w:p>
          <w:p w:rsidR="00EB7645" w:rsidRPr="00BE00C7" w:rsidP="00BE00C7">
            <w:pPr>
              <w:pStyle w:val="OutcomeDescription"/>
              <w:spacing w:before="120" w:after="120"/>
              <w:rPr>
                <w:rFonts w:cs="Arial"/>
                <w:b w:val="0"/>
                <w:lang w:eastAsia="en-NZ"/>
              </w:rPr>
            </w:pPr>
            <w:r w:rsidRPr="00BE00C7">
              <w:rPr>
                <w:rFonts w:cs="Arial"/>
                <w:b w:val="0"/>
                <w:lang w:eastAsia="en-NZ"/>
              </w:rPr>
              <w:t>Six staff files were reviewed (one staff RN and five HCAs).  All but two HCAs work across both locations.  All six files included evidence of the recruitment process including reference checking, signed employment contracts and job descriptions, and completed orientation programmes. The orientation programme provides new staff with relevant information for safe work practice that is specific to the job role.  Staff interviewed stated that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annual practising certificates were sighted for the health professionals (RNs, physiotherapist, GP, dietitian).  A staff education and training programme is implemented that exceeds eight hours annually.  Staff are rostered to attend, and attendance is monitored.  In addition to PSC study days, RNs attend external sessions provided by the community (e.g., DHB and hospice).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in place that provides sufficient and appropriate coverage for the effective delivery of care and support.  The service runs as two separate facilities and some staff work over both sites.  There is at least one registered nurse on duty at all times at each facility.  Each facility has a mixture of healthcare assistants working short and long shifts.  During weekdays there is a facility manager who oversees both facilities and a clinical coordinator/RN (one at each facility).  The facility manager provides managerial oversight for both facilities.  Her office is located at Cashmere Home, but she visits Cashmere Heights a minimum of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clinical coordinator at Cashmere Home (11 rest home, 25 hospital) there are two RNs on the AM shift, and one RN on the PM and night shift.  Adequate numbers of HCAs are rostered.  Activities are provided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clinical coordinator at Cashmere Heights (16 rest home, 9 hospital) there is one RN on the AM shift, one RN on the PM shift and one RN on the night shift.  The RNs are supported by adequate numbers of HCAs.  Plans are underway to use Cashmere Heights for rest home level residents only.  The managers (facility manager and regional manager) are aware of staffing requirements for rest home only and confirmed that this change will not impact RN staffing levels at Cashmere Home.</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and designated staff for kitchen, laundry, and cleaning.  Residents and relatives interviewed advised that there are sufficient staff on duty at any one time and that staff are prompt to answer call bells and attend to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medication files were reviewed (10 at each – Cashmere Home and Cashmere Heights with a mix of rest home and hospital residents at each).  There are policies and procedures in place for safe medicine management that meet legislative requirements.  All clinical staff who administer medications have been assessed for competency on an annual basis.  Education around safe medication administration has been provided.  Staff were observed to be safely administering medications.  Registered nurses interviewed were able to describe their role in regard to medicine administration.  Standing orders are not used for patients of the house GP.  The orders had been reviewed.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charting system was used, and all medication charts sampled met legislative prescribing requirements.  The medication charts reviewed identified that the GP had seen and reviewed the resident three-monthly.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regularly, and these are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for Cashmere Heights and Cashmere Home are prepared and cooked at Cashmere Home with the exception of breakfast for Cashmere Heights, which is prepared on-site at Cashmere Heights.  The food is placed in bain marie dishes and into hot boxes, which are then transported in the site van.  The dishes are then placed in a bain marie from which serving takes place. There is a five-weekly seasonal menu forwarded to the site from the Enliven office, which had been reviewed by a dietitian.  Dietary needs are known with individual likes and dislikes accommodated.  Pureed, gluten free and diabetic desserts are provided.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Temperatures of meals before serving are recorded weekly and meat temperatures are recorded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managed by a qualified chef, supported by two further chefs and kitchenhands.  All food service staff have completed training in food safety and hygiene and chemical safety except for two newly appointed staff who are still completing.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of ten residents’ files sampled (two rest home and three hospital at Cashmere Home, three rest home and two hospital at Cashmere Heights had a current LTCF interRAI assessment (one resident was new to the service).  All assessment tools completed informed the development of the long-term care plan.   Wound management policies and procedures are in place.  Adequate dressing supplies were sighted in treatment rooms.  There is evidence of GP, dietitian and specialist involvement in wounds/pressure injuries.  All wounds had an initial assessment and follow-up plan and ongoing evaluation. This previous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consultation.  The family members confirmed on interview they are notified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In the residents’ files reviewed, short-term care plans were commenced with a change in heath condition and linked to the long-term support plan.  Short-term care plans were viewed for infections, wound, pain and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Registered nurses were able to describe access for wound and continence specialist input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recreation officer for Cashmere Heights (CH) and another for Cashmere Home (C Home). There is a van (with hoist) shared between the two with a volunteer driver taking a trip out for each, weekly. Individual and group activities are run seven days per week at CH and C Home for the rest home level and hospital level residents that are at each unit. The recreation programme is supported by part-time staff and volunteers. The recreational programme provides individual and group activities that are meaningful and reflect ordinary patterns of life. There are regular outings/drives, inter-home visits for all residents (as appropriate) and involvement in community events.  One-on-one activity occurs for residents who are unable or choose not to be involved in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profile is completed on admission in consultation with the resident/family (as appropriate).  Of ten files reviewed two residents admitted the week of audit were to have an activities assessment completed and a plan documented.  The balance of files reviewed had a documented recreational plan and the plans had been reviewed six-monthly at the same time as the care plans were reviewed.  Activity participation was noted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and suggestions for the programme through surveys, one-on-one feedback from residents (as appropriate) and families and from the resident/relative meetings held by the chaplain three-monthly.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and residents stated they were satisfied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residents’ files reviewed, all initial care plans were documented and evaluated by the RN within three weeks of admission.  Long-term care plans reviewed had been evaluated at least six-monthly or earlier for any health changes.  The GP reviews the residents at least three-monthly or earlier if required.  Evidence of three-monthly GP reviews were seen in all residents’ files sampled apart from the new admissions.  Ongoing nursing evaluations occur daily/as indicated and are documented within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at each facility (expiry dates 23 December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Systems are in place and are appropriate to the size and complexity of each facility.  The surveillance data is collected and entered into the Enliven GOSH database and analysed monthly to identify areas for improvement or corrective action requirements.  Infection control internal audits have been completed.  Infection rates have been low. Trends are identified, and quality initiatives are discussed at staff meetings.  There is a policy describing surveillance methodology for monitoring of infections.  Definitions of infections are in place appropriate to the complexity of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at either Cashmere Heights or Cashmere Home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 restraint coordinator is the clinical coordinator from Cashmere Heights.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with restraint (three from Cashmere Home and one from Cashmere Heights) and ten residents with an enabler (bedrails, lap belts).  Six were from Cashmere Home and four from Cashmere Heights.  Two residents’ file where an enabler was in use were selected for review (one from Cashmere Home and one from Cashmere Heights).  All required documentation has been completed in relation to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training records evidence guidance has been given on restraint minimisation and safe practice (RMSP), enabler usage and prevention and/or de-escalation techniques.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Cashmere Hospital (16 &amp; 51 Helston road)</w:t>
    </w:r>
    <w:bookmarkEnd w:id="58"/>
    <w:r>
      <w:rPr>
        <w:rFonts w:cs="Arial"/>
        <w:sz w:val="16"/>
        <w:szCs w:val="20"/>
      </w:rPr>
      <w:tab/>
      <w:t xml:space="preserve">Date of Audit: </w:t>
    </w:r>
    <w:bookmarkStart w:id="59" w:name="AuditStartDate1"/>
    <w:r>
      <w:rPr>
        <w:rFonts w:cs="Arial"/>
        <w:sz w:val="16"/>
        <w:szCs w:val="20"/>
      </w:rPr>
      <w:t>19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