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Blockhouse Bay Healthcare Limited - Blockhouse Bay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Blockhouse Bay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Blockhouse Bay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November 2017</w:t>
      </w:r>
      <w:bookmarkEnd w:id="7"/>
      <w:r w:rsidRPr="009418D4">
        <w:rPr>
          <w:rFonts w:cs="Arial"/>
        </w:rPr>
        <w:tab/>
        <w:t xml:space="preserve">End date: </w:t>
      </w:r>
      <w:bookmarkStart w:id="8" w:name="AuditEndDate"/>
      <w:r w:rsidR="00A4268A">
        <w:rPr>
          <w:rFonts w:cs="Arial"/>
        </w:rPr>
        <w:t>28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Blockhouse Bay Home provides rest home level care for up to 43 residents. The service is privately operated and managed by a clinical nurse manager who is a registered nurse.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management, staff and a contracted mental health provider. The general practitioner was not available for interview. </w:t>
      </w:r>
    </w:p>
    <w:p w:rsidRPr="00A4268A">
      <w:pPr>
        <w:spacing w:before="240" w:line="276" w:lineRule="auto"/>
        <w:rPr>
          <w:rFonts w:eastAsia="Calibri"/>
        </w:rPr>
      </w:pPr>
      <w:r w:rsidRPr="00A4268A">
        <w:rPr>
          <w:rFonts w:eastAsia="Calibri"/>
        </w:rPr>
        <w:t>This audit identified three areas requiring improvement relating to documentation in progress notes, management of self-administration of medications and kitchen cleaning. Improvements have been made to interRAI assessments, with all being current at the time of this audit, addressing the previous area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  Residents who identify as Māori have their needs met in a manner that respects their cultural values and beliefs.  There is no evidence of abuse, neglect or discrimination.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goals, values and mission statement of the organisation.  Monitoring of the services occurs and information is provided to the owner/director at least quarterly and covers all areas of service delivery.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w:t>
      </w:r>
    </w:p>
    <w:p w:rsidRPr="00A4268A">
      <w:pPr>
        <w:spacing w:before="240" w:line="276" w:lineRule="auto"/>
        <w:rPr>
          <w:rFonts w:eastAsia="Calibri"/>
        </w:rPr>
      </w:pPr>
      <w:r w:rsidRPr="00A4268A">
        <w:rPr>
          <w:rFonts w:eastAsia="Calibri"/>
        </w:rPr>
        <w:t xml:space="preserve">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 xml:space="preserve">Medicines are safely managed and administered by staff who are competent to do so.  </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and family members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No individual enablers or restraints were in use at the time of audit.  Environmental restraint is documented in policy. Policy includes required documentation covering assessment, approval and monitoring process should restraint be implemented. Use of enablers is described in policy as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02"/>
        <w:gridCol w:w="1280"/>
        <w:gridCol w:w="99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are documented and completed within the timeframes. Action plans show any required follow up and improvements have been made where possible. The clinical nurse manager (CNM)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August 2016, concerns raised by Auckland Hospital were investigated by the Auckland District Health Board (ADHB) quality and monitoring manager, and an action plan put in place has been completed by Blockhouse Bay Home and signed off as completed.  The improvements made include better use of short term care plans, updating of policy and procedures related to post falls management and additional fall prevention training provided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they were kept well informed about any changes to their/their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and that residents have a right to full and frank information and open disclosure from service providers. This was supported by policies and procedures that meet the requirements of the Code.  Language and communication needs and use of alternative information and communication methods are available and used where applicable to support young people with disabilities.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able to be accessed via the DHB when required. Staff knew how to do so, although reported this was rarely required due to family and staff who can provide interpretation as and when needed. Staff represent many nationalities in the workplace.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and monitored quarterly, outline the purpose, values, scope, direction and goals of the organisation. The documents describe annual and longer term objectives and the associated operational plans. A sample of quarterly meetings of the quality group, which the owner/director attends, showed adequate information to monitor performance. The review covers strategic goals, medication errors, falls, infections, challenging behaviour, hospital admissions and quality data. Any anticipated problems or challenges are discussed and preventative actions shown.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clinical nurse manager (CNM) who holds relevant qualifications and has been in the role for five years. Responsibilities and accountabilities are defined in a job description and individual employment agreement.  The CNM confirms knowledge of the sector, regulatory and reporting requirements and maintains currency through ongoing education both on-site and off-site.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Auckland District Health Board (ADHB) and the Ministry of Health (MoH). The ADHB contract is the Age Related Residential Care contract and 24 residents were receiving services under the contract, two were respite care. The MoH contract is the Residential Non Aged Care contract and two residents were under this contract at the time of audit.  The service also holds an ADHB contract for Long Term Support – Chronic Health Conditions but no residents were under this contract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independent boarders at the facility who receive hotel services only.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incidents and complaints, audit activities, twice yearly patient/family satisfaction surveys, monitoring of outcomes, clinical incidents including infections and skin tears. Quarterly benchmarking of quality data is undertaken by an off-site provider. The results indicate that Blockhouse Bay results are below average when compared with other like type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 review team meetings and at monthly staff meetings. Staff reported their involvement in quality and risk management activities through audit activities, and implantation of corrective actions. Relevant corrective actions are developed and implemented to address any shortfalls. These are documented in staff meeting minutes and on incident and accident forms. Corrective actions for complaints are documented on specific forms kept with the complaints management data.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twice a year in January and July. The most recent survey showed satisfaction with services provided. All negative comments, of which there were three, were followed up. For example, one resident who wanted a particular change to one ingredient in the menu was followed up. When asked if they would like an individual menu they declined.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are developed by an off-site provider and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and health and safety representative (administrator) described the processes for the identification, monitoring, review and reporting of risks and development of mitigation strategies. This was confirmed in the documentation sighted. The owner/director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An improvement has been made related to post falls assessment to ensure all unwitnessed falls or falls with head injuries have neurological observations taken and documented. Family are notified of incidents and accidents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analysed and reported on at quality review meetings and staff meetings. This was confirmed in documentation and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described essential notification reporting requirements. (The form related to pressure injury reporting of grade three and above was downloaded at the time of audit and added to procedure documentation should it be required for future use).  The CNM advised there have been no notifications of significant events made to the Ministry of Health, since the previous audit. There have been no police investigations, coroner’s inquests, issues based audits and any other notifications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six weeks, and then annually. The CNM stated this would be undertaken sooner if there were any concerns with a staff member’s performance.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Currently one staff member is level four, one is level three, the cleaner is level two and all other care staff have commenced the required study. A staff member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The CNM is a trained and competent registered nurse who maintains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InterRAI information is used when deciding on staffing mix and levels.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four weeks’ rosters confirmed adequate staff cover has been provided, with staff replaced in any unplanned absence.  At least one staff member on duty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CNM works five days a week Monday to Friday, the diversional therapist works 8.30am to 4.30pm Monday to Friday, administration staff 10am to 6pm, cook 7am to 3pm and kitchen assistant 4.30pm to 8.30pm. At night there is one caregiver and one caregiver ‘sleep-over’ who is available for assistance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was self-administering medications at the time of audit, however the facility was unable to provide documentation showing that the resident is competent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onsite by a cook, and is in line with the recognised nutritional guidelines for older people. The menu follows summer and winter patterns and has recently been reviewed by a qualified dietician this year.</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the current legislation and guidelines. Food temperatures, including for high risk items, are monitored appropriately and recorded as part of the plan.  The cook has undertaken a safe food handling qualification.  The service at the time of audit was not aware of the requirements of the new Food Act (2014) and the need to have an approved food safety plan and deadline of March 2018, however by the end of audit, had accessed the appropriate information.</w:t>
            </w:r>
          </w:p>
          <w:p w:rsidR="00EB7645" w:rsidRPr="00BE00C7" w:rsidP="00BE00C7">
            <w:pPr>
              <w:pStyle w:val="OutcomeDescription"/>
              <w:spacing w:before="120" w:after="120"/>
              <w:rPr>
                <w:rFonts w:cs="Arial"/>
                <w:b w:val="0"/>
                <w:lang w:eastAsia="en-NZ"/>
              </w:rPr>
            </w:pPr>
            <w:r w:rsidRPr="00BE00C7">
              <w:rPr>
                <w:rFonts w:cs="Arial"/>
                <w:b w:val="0"/>
                <w:lang w:eastAsia="en-NZ"/>
              </w:rPr>
              <w:t>A cleaning schedule was sighted but did not provide sign off as being completed by night staff.  Observation of the kitchen at the time of audit showed that cleaning was not being completed.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the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was verified by resident and family interviews, satisfaction surveys and residents’ meeting minutes. The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was unavailable at the time of audit for interview.   Care staff confirmed that care was provided as outlined in the documentation. A range of equipment and resources was available,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holding the national certificate in diversional therapy. </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social assessment and history is taken on admission to ascertain residents’ needs, interests, abilities and social requirements. Activity assessments are regularly reviewed to help formulate an activities programme that is meaningful to the residents.  There are regular outings for the residents and young people with disabilities with a hired van. Residents attend community events on a weekly base. The resident’s activity needs are evaluated monthly and as part of the formal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the resident’s goals, ordinary patterns of life and include normal community activities. Individual, group activities and regular events are offered. Residents and family are involved in evaluating and improving the programme through satisfaction surveys and residents’ meetings. Residents interviewed confirmed they find the programme sufficient.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however this information is not summarised in the progress notes by the registered nurse (Refer criterion 1.3.3.4).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Families/whanau interviewed were able to provide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24 June 2018)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mouth, eye/ear/nose, gastro-intestinal track, the upper and lower respiratory tract and wounds. The clinical nurse manager is the infection prevention and control (IPC) coordinator and reviews all reported infections, and these were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at staff meetings, at staff handovers and to the owner.  Graphs are produced that identify trends for the current year, and comparisons against previous years.  Data is benchmarked externally within an external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(CNM) provides support and oversight for enabler and restraint management in the facility, should that be required. They demonstrated a sound understanding of the organisation’s policies, procedures and practice and their role and responsibilities. On the day of audit, no individuals were using restraints or enablers. Enablers, are identified in policy as the least restrictive and used voluntarily at the resident’s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environmental restraint owing to a key pad locked door between the reception area and resident area. This is for safety only as the reception area is not manned at all times. This is identified and managed according to policy.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13"/>
        <w:gridCol w:w="1280"/>
        <w:gridCol w:w="7223"/>
        <w:gridCol w:w="1701"/>
        <w:gridCol w:w="16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there is one resident who is self-administering medicines. As per the facilities policy the RN has evidenced that the resident is asked weekly if they have taken their medication and this was recorded.  The three- monthly GP review of the resident’s medications and health status is up to date.   In discussions with the resident and staff, it was evident that the resident is competent in the self-administering of their medication however the assessment to acknowledge the resident’s ability to self-medicate has not been updated and reviewed since 2015.</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who is self-medicating has not had an updated medication review since 2015.</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to show that the resident is competent in self-administration of medicines.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families interviewed stated that they were very happy with the meals provided.   The cook interviewed stated that they clean the kitchen daily and two nights a week (Tuesday, Thursday) the night staff clean the kitchen completing the bigger tasks such as cleaning of the equipment and washing of the floors.   A cleaning schedule was sighted; however, there was no evidence that the schedule was being implemented and signed of as completed.  At the time of the audit and in observation the kitchen floor required cleaning.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cleaning schedule sighted is not signed off as completed by night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required kitchen cleaning is undertaken as per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evident from staff and clinical nurse manager/RN interviewed that they knew the residents well.  Family/whanau interviewed stated that they were happy with the care and communication provided.  The progress notes written by the care givers are documented well, However, the registered nurse does not summarise, or sign of at least weekly progress notes completed by caregivers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does not complete a documented weekly summary and sign of resident’s progress notes written by caregivers.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progress notes written by caregivers have a documented signoff by the registered nurse at least weekly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Blockhouse Bay Healthcare Limited - Blockhouse Bay Home</w:t>
    </w:r>
    <w:bookmarkEnd w:id="58"/>
    <w:r>
      <w:rPr>
        <w:rFonts w:cs="Arial"/>
        <w:sz w:val="16"/>
        <w:szCs w:val="20"/>
      </w:rPr>
      <w:tab/>
      <w:t xml:space="preserve">Date of Audit: </w:t>
    </w:r>
    <w:bookmarkStart w:id="59" w:name="AuditStartDate1"/>
    <w:r>
      <w:rPr>
        <w:rFonts w:cs="Arial"/>
        <w:sz w:val="16"/>
        <w:szCs w:val="20"/>
      </w:rPr>
      <w:t>28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