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Te Kauwhata Retirement Trust Board - Aparangi Village Residential Care Unit</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Te Kauwhata Retirement Trust Board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Aparangi Village Residential Care Unit</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21 November 2017</w:t>
      </w:r>
      <w:bookmarkEnd w:id="7"/>
      <w:r w:rsidRPr="009418D4">
        <w:rPr>
          <w:rFonts w:cs="Arial"/>
        </w:rPr>
        <w:tab/>
        <w:t xml:space="preserve">End date: </w:t>
      </w:r>
      <w:bookmarkStart w:id="8" w:name="AuditEndDate"/>
      <w:r w:rsidR="00A4268A">
        <w:rPr>
          <w:rFonts w:cs="Arial"/>
        </w:rPr>
        <w:t>22 November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There has been a reconfiguration of services at Aparangi Village Residential Care Unit. This occurred in February 2017 when the Ministry of Health approved the reconfiguration of five rest home beds to dual services. The reconfiguration maintains the total number of bed as 56 but now comprises of 20 dual purpose beds and 36 rest home level care beds.</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Laundry services have now been contracted to an off-site provider. This did not result in any job losses as the laundry staff member has continued employment under a new contract.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Te Kauwhata Retirement Trust Board - Aparangi Village Residential Care Unit (Aparangi Care Unit) provides rest home and hospital level care for up to 56 residents. The service is owned by the Te Kauwhata community and is operated by a board of nine trustees. There is a general manager who oversees all services at the facility including the independent living village which is not included in this audit. A clinical nurse manager oversees the care unit services. The executive administrator assists with management of the village services and attends all board meetings to record minutes, also giving assistance to the general manager as required. </w:t>
      </w:r>
    </w:p>
    <w:p w:rsidRPr="00A4268A">
      <w:pPr>
        <w:spacing w:before="240" w:line="276" w:lineRule="auto"/>
        <w:rPr>
          <w:rFonts w:eastAsia="Calibri"/>
        </w:rPr>
      </w:pPr>
      <w:r w:rsidRPr="00A4268A">
        <w:rPr>
          <w:rFonts w:eastAsia="Calibri"/>
        </w:rPr>
        <w:t xml:space="preserve">Since the previous audit, services have been reconfigured so that the number of dual purpose beds have increased by five, giving the service a total of 20 dual purpose beds. The reconfiguration maintains the total number of beds (56), but now comprises of 20 dual purpose beds and 36 rest home level care beds. </w:t>
      </w:r>
    </w:p>
    <w:p w:rsidRPr="00A4268A">
      <w:pPr>
        <w:spacing w:before="240" w:line="276" w:lineRule="auto"/>
        <w:rPr>
          <w:rFonts w:eastAsia="Calibri"/>
        </w:rPr>
      </w:pPr>
      <w:r w:rsidRPr="00A4268A">
        <w:rPr>
          <w:rFonts w:eastAsia="Calibri"/>
        </w:rPr>
        <w:t xml:space="preserve">The laundry services have been taken off site resulting in no job losses as the laundry staff were employed under a new contract. </w:t>
      </w:r>
    </w:p>
    <w:p w:rsidRPr="00A4268A">
      <w:pPr>
        <w:spacing w:before="240" w:line="276" w:lineRule="auto"/>
        <w:rPr>
          <w:rFonts w:eastAsia="Calibri"/>
        </w:rPr>
      </w:pPr>
      <w:r w:rsidRPr="00A4268A">
        <w:rPr>
          <w:rFonts w:eastAsia="Calibri"/>
        </w:rPr>
        <w:t>Residents and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managers, staff, allied health staff, and the nurse practitioner. </w:t>
      </w:r>
    </w:p>
    <w:p w:rsidRPr="00A4268A">
      <w:pPr>
        <w:spacing w:before="240" w:line="276" w:lineRule="auto"/>
        <w:rPr>
          <w:rFonts w:eastAsia="Calibri"/>
        </w:rPr>
      </w:pPr>
      <w:r w:rsidRPr="00A4268A">
        <w:rPr>
          <w:rFonts w:eastAsia="Calibri"/>
        </w:rPr>
        <w:t xml:space="preserve">This audit has identified six areas requiring improvement relating to staffing numbers on night duty, documentation of long term care plans, checking of call bells, two issues related to management of restraint, and sharing of infection control surveillance data.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was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individual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Information related to the monitoring of the services is provided to the governing body (the board) monthly to ensure they are kept fully informed. All services are overseen by the general manager (GM) who is a registered nurse. The care facility clinical nurse manager also holds a current practising certificate. There is also an executive administrator who works across both services as required. All members of management are experienced and suitably qualified for the roles they undertake.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w:t>
      </w:r>
    </w:p>
    <w:p w:rsidRPr="00A4268A">
      <w:pPr>
        <w:spacing w:before="240" w:line="276" w:lineRule="auto"/>
        <w:rPr>
          <w:rFonts w:eastAsia="Calibri"/>
        </w:rPr>
      </w:pPr>
      <w:r w:rsidRPr="00A4268A">
        <w:rPr>
          <w:rFonts w:eastAsia="Calibri"/>
        </w:rPr>
        <w:t xml:space="preserve">Morning and afternoon shift rosters show that adequate numbers of staff and the skill mix safely meet the needs of residents.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nurse practitioner or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The planned activity programme provides residents with a variety of individual and group activities and maintains their links with the community.</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 xml:space="preserve">The food service meets the nutritional needs of the residents with special needs catered for. Food is safely managed.  Residents verified satisfaction with meals.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equipment and medical equipment are tested at least annually. Communal and individual spaces are maintained at a comfortable temperature. External areas are accessible, safe and provide shade and seating. There is a current building upgrade occurring which considers residents’ needs and comfort. No negative comments were made in relation to the external areas or management of ongoing building work at the time of audit. </w:t>
      </w:r>
    </w:p>
    <w:p w:rsidRPr="00A4268A">
      <w:pPr>
        <w:spacing w:before="240" w:line="276" w:lineRule="auto"/>
        <w:rPr>
          <w:rFonts w:eastAsia="Calibri"/>
        </w:rPr>
      </w:pPr>
      <w:r w:rsidRPr="00A4268A">
        <w:rPr>
          <w:rFonts w:eastAsia="Calibri"/>
        </w:rPr>
        <w:t xml:space="preserve">Waste and hazardous substances are well managed. Staff use protective equipment and clothing. Chemicals, soiled linen and equipment are safely stored. Except for one resident who likes to do their own personal laundry, laundry is undertaken offsite and evaluated for effectiveness visually. Residents are also asked if they are happy with the service. </w:t>
      </w:r>
    </w:p>
    <w:p w:rsidRPr="00A4268A">
      <w:pPr>
        <w:spacing w:before="240" w:line="276" w:lineRule="auto"/>
        <w:rPr>
          <w:rFonts w:eastAsia="Calibri"/>
        </w:rPr>
      </w:pPr>
      <w:r w:rsidRPr="00A4268A">
        <w:rPr>
          <w:rFonts w:eastAsia="Calibri"/>
        </w:rPr>
        <w:t>Staff are trained in emergency procedures, use of emergency equipment and supplies.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low risk.</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related to restraint management.  Seven enablers and eight restraints are in use at the time of audit.  The service undertakes assessment and approval processes regularly. Monitoring timeframes are documented according to identified risk factors. Policy states that the use of enablers is voluntary for the safety of residents in response to individual requests. The service has a restraint register.   </w:t>
      </w:r>
    </w:p>
    <w:p w:rsidRPr="00A4268A">
      <w:pPr>
        <w:spacing w:before="240" w:line="276" w:lineRule="auto"/>
        <w:rPr>
          <w:rFonts w:eastAsia="Calibri"/>
        </w:rPr>
      </w:pPr>
      <w:r w:rsidRPr="00A4268A">
        <w:rPr>
          <w:rFonts w:eastAsia="Calibri"/>
        </w:rPr>
        <w:t xml:space="preserve">Staff undertake annual restraint minimisation and safe practice education.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FFC8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Some standards applicable to this service partially attained and of medium or high risk and/or unattained and of low risk.</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1</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1</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85"/>
        <w:gridCol w:w="1280"/>
        <w:gridCol w:w="927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reviewed show that informed consent has been gained appropriately using the organisation’s standard consent form. Advance care planning, establishing and documenting enduring power of attorney requirements and processes for residents unable to consent was defined and documented, as relevant, in the resident’s record.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shopping trips, activities, and entertainment. The facility focuses on the continued integration of its residents and that of their community.</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complaints/concerns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eight complaints have been received over the past year and that actions taken, through to an agreed resolution, are documented and completed within the timeframes.  Action plans show any required follow up and improvements have been made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The clinical nurse manager is responsible for complaints management and follow up, with final signoff by the GM. All complaints are reported at board level monthly as confirmed in meeting minutes and reports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interviewed confirmed a sound understanding of the complaint process and what actions are required. There have been no complaints received from external sources since the previous audit.  There are no outstanding complaints at the time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being made aware of the Code and the Nationwide Health and Disability Advocacy Service (Advocacy Service) as part of the admission information provided and discussions with staff. The Code is displayed in main foyer areas and in each of the resident’s bedrooms.   Information on advocacy services, how to make a complaint and feedback forms is found in the foyer.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maintain privacy throughout the audit.  All residents have a private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attending community activities and participation in clubs of their choosing.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residents in the service who identify as Māori to integrate their cultural values and beliefs.  The principles of the Treaty of Waitangi are incorporated into day to day practice, as is the importance of whanau.  There is a current Māori health plan developed with input from cultural advisers; however, the majority of the information gathered is non-specific to the resident and not then reflected in the long-term care plans (please see criterion 1.3.5.2).   Guidance on tikanga best practice is available and is supported by staff who identify as Māori in the facility.  Māori residents and their whanau were not available at the time of audit, however documentation in residents’ files showed evidence of resident and family communication, involvement and respect of the resident’s individual cultural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for example, spiritual beliefs. The residents satisfaction survey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 based policies, input from external specialist services and allied health professionals, for example, hospice/palliative care team, diabetes nurse specialist, wound care specialist, psychogeriatrician and mental health services for older persons, and education of staff.  The nurse practitioner (NP) interviewed stated that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although reported this was rarely required due to all residents able to speak English. Staff have attended training to support a resident who is significantly sensory impaired, and a long-term care plan developed provides support to the resident and the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values, scope, direction and goals of the organisation. The documents describe annual strategic goals and the associated operational plans. Strategic goals are updated monthly. A sample of monthly reports to the board showed adequate information to monitor performance is reported including financial performance, staff, property, planning and funding, emerging risks and issues, health and safety targets and reporting, complaints and corrective actions.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Overall services, are managed by a GM who is a registered nurse and holds relevant qualifications. She has been in the role for over four years. The clinical nurse manager has worked in the aged care sector for over 10 years with previous management level experience. Her initial employment was as a registered nurse (February 2016) and she moved into the clinical nurse manager’s role in May 2017. The executive administrator has previous overseas experience in similar roles and has been in the position since July 2016. The responsibilities and accountabilities for all roles are defined in job descriptions and individual employment agreements.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GM and clinical nurse manager, confirmed their knowledge of the sector, regulatory and reporting requirements. They maintain currency through regular ongoing education and being registered with the Waikato District Health Board (WDHB) professional development and recognition programme to ensure education meets the Nursing Council of NZ requirements. Management education and seminars are attended by members of the management team.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WDHB for: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 Residential Respite Services – no residents using this service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 Long Term Support Chronic Health Conditions Residential – no residents using this service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 Midlands Primary Options Residential Respite Care – no residents using this service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 Age Related Residential Care Service for rest home and hospital level care – 43 residents (14 hospital level and 29 rest home level care residents)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residents have occupational right agreements (ORAs) and live in the studio units attached to the care facility. Two of these residents are receiving assistance with cares and one is having hotel services only (meals, cleaning and laundry).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also seven serviced apartments attached to the care facility which residents occupy under ORAs. Care staff are responsible for responding to call bells. (See comments in standard 1.2.8.)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GM is absent, the executive administrator, clinical nurse manager and board chair carry out all the required duties under delegated authority. When the clinical nurse manager is absent, a contracted experienced age care RN covers the role. They are able to oversee all clinical processes and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patient satisfaction survey, monitoring of outcomes, clinical incidents including infections, wound care and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confirmed regular review and analysis of quality indicators and that related information is reported and discussed at the quality meetings, board meetings, management meetings and health and safety meetings. Quality data results are not a set agenda item for staff meetings (Refer comments in criterion 3.5.7). The results of quality data are printed out for staff and advertised on a common notice board. If a deficit is identified in the quality results, these findings are discussed at shift handovers and written in the communication diary.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their involvement in quality and risk management activities through regular audit activities and implementation of corrective actions. Quality improvements and quality data results are measured against strategic planning goals set by the board.</w:t>
            </w:r>
          </w:p>
          <w:p w:rsidR="00EB7645" w:rsidRPr="00BE00C7" w:rsidP="00BE00C7">
            <w:pPr>
              <w:pStyle w:val="OutcomeDescription"/>
              <w:spacing w:before="120" w:after="120"/>
              <w:rPr>
                <w:rFonts w:cs="Arial"/>
                <w:b w:val="0"/>
                <w:lang w:eastAsia="en-NZ"/>
              </w:rPr>
            </w:pPr>
            <w:r w:rsidRPr="00BE00C7">
              <w:rPr>
                <w:rFonts w:cs="Arial"/>
                <w:b w:val="0"/>
                <w:lang w:eastAsia="en-NZ"/>
              </w:rPr>
              <w:t>Relevant corrective actions are developed and implemented to address any shortfalls. Resident and family satisfaction surveys are completed annually. The most recent survey showed that both residents and families were satisfied with services. Two residents identified that staff did not always knock on their bedroom door prior to entering. This was discussed at staff meetings and additional education was presented related to residents’ rights. Residents were then resurveyed with no negative comments being made.  Residents and families interviewed did not identify any concerns about privacy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 all necessary aspects of the service and contractual requirements, including reference to the interRAI Long Term Care Facility (LTCF) assessment tool and process.  Policies are developed by an off-site provider and based on best practice and were current. The document control system ensures a systematic and regular review process, referencing of relevant sources, approval, distribution and removal of obsolete documents.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GM and clinical nurse manager described the processes for the identification, monitoring, review and reporting of risks and development of mitigation strategies. The GM is familiar with the Health and Safety at Work Act (2015) and has implemented requirements.   This was confirmed in the detailed health and safety plans which have mitigation actions, and the person responsible to ensure actions have been completed. Health and safety goals are discussed monthly at the health and safety committee meetings and at monthly board level reviews.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reviewed showed these were fully completed, incidents were investigated, action plans developed and actions followed-up in a timely manner.  Family are kept informed as confirmed during interviews. Adverse event data is collated, analysed and reported to the senior management team and at board level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GM and clinical nurse manager described essential notification reporting requirements, including for pressure injuries.  They advised there has been one pressure injury made to the Ministry of Health, using section 31 reporting, since the previous audit. There have been two uncontrollable event notices made. One in October 2015 which was investigated by the coroner and closed in February 2016 with no follow up required. The second event occurred in November 2016 and was closed by the coroner in March 2017 with no follow up required. However, the service put a corrective action in place at facility level following the 2016 report. This has resulted in residents having hourly checks when in their bedrooms using ‘Intentional rounding forms’.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police investigations, issues based audits and any other notifications, such as public health,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documentation of completed orientation and a performance review after three-weeks and then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Care staff have either completed or commenced a New Zealand Qualification Authority education programme to meet the requirements of the provider’s agreement with the DHB. This was confirmed in the employment levels (four on level four, eight on level three and one on level two). A staff member is the internal assessor for the programme.  </w:t>
            </w:r>
          </w:p>
          <w:p w:rsidR="00EB7645" w:rsidRPr="00BE00C7" w:rsidP="00BE00C7">
            <w:pPr>
              <w:pStyle w:val="OutcomeDescription"/>
              <w:spacing w:before="120" w:after="120"/>
              <w:rPr>
                <w:rFonts w:cs="Arial"/>
                <w:b w:val="0"/>
                <w:lang w:eastAsia="en-NZ"/>
              </w:rPr>
            </w:pPr>
            <w:r w:rsidRPr="00BE00C7">
              <w:rPr>
                <w:rFonts w:cs="Arial"/>
                <w:b w:val="0"/>
                <w:lang w:eastAsia="en-NZ"/>
              </w:rPr>
              <w:t>There are sufficient trained and competent registered nurses (three who have full interRAI access and two with management access only),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process for determining staffing levels and skill mixes. This is shown in the morning and afternoon rosters sighted. The GM and clinical nurse manager stated the facility adjusts staffing levels to meet the changing acuity level of residents. For example, if there is an end stage palliative care resident an additional staff member may be required. An afterhours on call roster is in place, with staff reporting that good access to advice is available when needed.  Care staff on morning and afternoon duty reported there were adequate staff available to complete the work allocated to them.  Residents and family interviewed supported this. The service is able to use interRAI information in relation to supporting staffing decisions.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least one staff member on duty has a current first aid certificate and there is 24 hour/seven days a week RN coverage in the facility.  Observations and review of a four-week roster cycle confirmed adequate staff cover has been provided for morning and afternoon shifts, with staff replaced in any unplanned absence across all shifts. However, owing to a recent reconfiguration of the internal placement of residents’ bedrooms and staff being responsible to respond to call bells for residents who are under ORA contracts, the night staff find it difficult to manage.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GP/NP and allied health service provider notes.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Disability and support (DSL) Service. Prospective residents and/or their families are encouraged to visit the facility prior to admission and are provided with written information about the service and the admission process.   The organisation seeks updated information from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Service charges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An example reviewed of a patient recently transferred to the local acute care facility showed supporting relevant documentation.  Family of the resident reported being kept well informed during the transfer of their relative.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weekly.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met. The required three-monthly GP review is consistently recorded on the medicine chart.  Standing orders are used, are current and comply with guidelines.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residents who self-administer medications at the time of audit.  One of the two resident’s medication sighted was not in a secure location in their bedroom; by the end of the audit this medication was returned to the treatment room as the resident is unable to unlock their draw to obtain the medication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process for comprehensive analysis of any medication errors.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one of two cooks and a kitchen team who is overseen by a co-ordinator,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general manager stated that the approved food safety plan is due to be submitted to the council for consideration.  Food temperatures, including for high risk items, are monitored appropriately and recorded as part of the plan on an electronic device.  The co-ordinator and cooks have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residents’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needs assessment service (DSL) is advised to ensure the prospective resident and family are supported to find an appropriate care alternative. If the needs of a resident change and they are no longer suitable for the services offered, a referral for reassessment to DSL is made and a new placement found, in consultation with the resident and whanau/family.   Examples of this occurring were discussed.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pain scale, falls risk, skin integrity, nutritional screening and depression scale, as a means to identify any deficits and to inform care planning. The sample of care plans reviewed had an integrated range of resident-related information.  All residents have current interRAI assessments completed by one of three trained interRAI assessors on site.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However, the needs identified by the interRAI assessments were not always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is not always documented in the long-term care plans but is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NP interviewed, verified that medical input is sought in a timely manner, that medical orders are followed, and care is excellent.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 trained diversional therapist holding the national Certificate in Diversional Therapy, an activities co-ordinator completing a diversional therapist apprenticeship and an activities co-ordinator currently completing diversional therapy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three monthly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 residents’ goals, ordinary patterns of life.  The facility’s focus is to ensure that the residents remain integrated within the community and this includes partaking in normal community activities with individual, group activities and regular events offered and attended. Residents and families/whanau are involved in evaluating and improving the programme through residents’ meetings and satisfaction surveys. Residents interviewed confirmed they find the programme very interactive and enjoyable.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 term care plans being consistently reviewed and progress evaluated as clinically indicated were noted for infections and wounds.  When necessary, and for unresolved problems, long term care plans are added to and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‘house doctor’, residents may choose to use another medical practitioner. If the need for other non-urgent services are indicated or requested, the NP, GP or RN sends a referral to seek specialist input.  Copies of referrals were sighted in residents’ files, including to hospice, mental health services for older people,  and the dietician. The resident and the family/whānau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The facility has secure storage areas for waste whilst pick up is awaited. Recycling occurs and includes fat, oil and plastic. Appropriate signage is displayed where necessary. An external company is contracted to supply and manage all chemicals and cleaning products and they also provide relevant training for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provision and availability of protective clothing and equipment (PPE) and staff were observed using this. Staff confirmed they have unrestricted use of PPE.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22 April 2018)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(May 2017) and calibration of bio medical equipment (June 2017) is current as confirmed in documentation reviewed, interviews with maintenance personnel and observation of the environment.  Efforts are made to ensure the environment is hazard free, that residents are safe and independence is promoted.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adequate lifting equipment including ceiling hoists in seven of the newly reconfigured bedrooms with plans to increase this number over the next two years. This caters for the increase of hospital level beds to 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All external areas have appropriate seating and shaded areas for resident use. The facility also supplies sun hats and sun screen for residents and staff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they know the processes they should follow if any repairs or maintenance is required, and any requests are appropriately actioned. Residents and family confirmed that they are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 and toilet facilities throughout the facility.   This includes all bedrooms having toilet ensuites and one bedroom has full ensuite facilities. There are separate staff and visitor toilets. Appropriately secured and approved handrails are provided in the toilet/shower areas, and other equipment/accessories are available to promote residents’ independence.  There is a bariatric toilet chair should it be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Bedrooms are personalised with furnishings, photos and other personal items displayed. All bedroom doors are wide enough to use mobile lifting equipment to go into the room and all bedrooms are of adequate size for the resident group, either rest home or hospital level care.  It is appropriate for the increase of five additional bedrooms to be used for dual purpose.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dedicated palliative care bedroom which has a fold-away bed built into the wall to allow relatives to stay with their relatives.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room to store mobility aids and wheel chairs. There is a dedicated mobility scooter bay which allows all scooters to be charged when not in use. </w:t>
            </w:r>
          </w:p>
          <w:p w:rsidR="00EB7645" w:rsidRPr="00BE00C7" w:rsidP="00BE00C7">
            <w:pPr>
              <w:pStyle w:val="OutcomeDescription"/>
              <w:spacing w:before="120" w:after="120"/>
              <w:rPr>
                <w:rFonts w:cs="Arial"/>
                <w:b w:val="0"/>
                <w:lang w:eastAsia="en-NZ"/>
              </w:rPr>
            </w:pPr>
            <w:r w:rsidRPr="00BE00C7">
              <w:rPr>
                <w:rFonts w:cs="Arial"/>
                <w:b w:val="0"/>
                <w:lang w:eastAsia="en-NZ"/>
              </w:rPr>
              <w:t>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are available for residents to engage in activities.  At the time of audit there is an upgrade occurring to the main dining area. This is being managed to meet all health and safety requirements and alternative dining areas have been set up. The dining and lounge areas are appropriately furnished and enable easy access for residents and staff.  Residents can access areas for privacy, if required.  Residents are happy with the areas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also have access to a library and hall which is used for a large variety of activities, many of which are shared with village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Since the previous audit, laundry services have been contracted to an off-site provider. However, there is still an area available to allow residents to continue to do their own personal washing if they choose to do so. There is a dedicated staff member who returns residents’ personal clothing to their bedrooms. Residents confirmed during interview that this process works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have received appropriate training.  One staff member has completed the New Zealand Qualifications Authority Certificate in Cleaning (Level 2), and another staff member is part way through these papers as confirmed in interview of cleaning staff and training records.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Chemicals were stored in a lockable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processes are monitored through the internal audit programme with monthly checks being conducted as part of the environmental audits. Visual checks are undertaken of laundry daily when it is unpacked.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The current fire evacuation plan was approved by the New Zealand Fire Service on the 27 February 2017. A trial evacuation takes place six-monthly with a copy sent to the New Zealand Fire Service, the most recent being on 25 July 2017.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the 56 residents. Water storage tanks are located around the complex, and there is a diesel generator on site.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The current call bell system does not allow for the response times to be monitored. The service is committed to upgrading this system and documentation identifies that this is to occur in the near future. Only three randomly chosen call bells are checked each month as part of the environmental audit to ensure they are in good working order. The service is in the process of formalising this process to ensure all call bells are checked on a more regular basis.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and the local community security company checks the premises at least twice each night at random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and many have doors that open onto outside garden areas. Heating is provided by centrally heated gas fired radiators with thermostats located in each resident’s bedroom and in the communal areas. There are also heat pumps in the communal areas.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minimises the risk of infection to residents, staff and visitors.  The programme is guided by a comprehensive and current infection control manual, with input from the clinical nurse manager.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is the designated IPC coordinator, whose role and responsibilities are defined in a job description. Infection control matters, including surveillance results, are reported monthly to the clinical nurse manager and tabled at the quality/risk committee meeting.  This committee includes the general manager, clinical nurse manager, IPC coordinator, the health and safety officer, and representatives from food services and household management.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She has undertaken a certificate in infection prevention and control and attended in-service training, as verified in training records sighted.  Additional support and information is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 the requirements of the infection prevention and control standard and current accepted good practice.  Policies were last reviewed in 2017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in infection prevention and control at orientation and ongoing education sessions.  Education is provided by suitably qualified RNs, IPC coordinator and the clinical nurse manager.  Content of the training is documented and evaluated to ensure it is relevant, current and understood.  A record of attendance is maintained.   When an infection outbreak or an increase in infection incidence has occurred, there was evidence that additional staff education had been provided in response.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 with training last occurring in June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The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but is not analysed in detail to identify any trends, possible causative factors, required actions and does not reflect residents who frequently have infections or interventions required (please refer to criterion 1.3.5.2).  Results of the surveillance programme are not always shared with registered staff and results are not shared in meetings with care staff via regular staff meetings. This was evident at staff handovers.  Graphs are produced that identify trends for the current year, and comparisons against previous years, and this is reported to the clinical manager, general manager and the board of directors.  Data is benchmarked externally within the group.   It was highlighted by the auditor at the time of audit that infections are higher than average; however, on investigation this was found to be due to three residents who frequently have infections. This information was not highlighted or analysed at the time of monthly surveillance and actions advised as a consequence.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(clinical nurse manager) provides support and oversight for enabler and restraint management in the facility. She understands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six residents were using restraints (one resident had two restraint devises) and eight residents were using enablers (one resident used two devises), which were the least restrictive and used voluntarily at their request.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approval group minutes, files reviewed, and from interview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group, made up of the restraint coordinator, registered nurse and GP or nurse practitioner, are responsible for the approval of the use of restraints and the restraint processes. It was evident from review of restraint approval group meeting minutes, residents’ files and interviews with the coordinator that there are clear lines of accountability, that all restraints have been approved, and the overall use of restraints is being monitored.  </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family/whānau/EPOA involvement in the decision making was on file in each case. Use of a restraint or an enabler is part of the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were documented and included all requirements of the Standard. The RN undertakes the initial assessment with the restraint coordinator’s involvement, and input from the resident’s family/whānau/EPOA. The restraint coordinator and RN interviewed described the documented process.  Families confirmed their involvement. The general practitioner or nurse practitioner are involved in the final decision on the safety of the use of the restraint. The assessment process identified the underlying cause, history of restraint use, cultural considerations, alternatives and associated risks. The desired outcome was to ensure the resident’s safety and security. Completed assessments were sighted in the records of residents who were using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restraints is actively minimised and the restraint coordinator described how alternatives to restraints are discussed with staff and family members, such as the use of sensor mats and low beds.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states that when restraints are in use, monitoring timeframes are identified according to the level of risk but never more than two hourly intervals. Records of monitoring were not maintained to meet timeframes shown. Access to advocacy is provided if requested and all processes ensure dignity and privacy are maintained and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maintained, updated every month and reviewed at each restraint approval group meeting. The register was reviewed and contained all residents currently using a restraint. It identified five restraints and 10 enablers. However, two of the enablers were not voluntary and should be restraints.  </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Staff spoken to understood that the use of restraint is to be minimised and how to maintain safety when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files showed that the individual use of restraints is reviewed and evaluated during interRAI reviews, and by the restraint approval group. Families interviewed confirmed their involvement in the evaluation process and their satisfaction with the restraint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documented evaluation process covers all requirements of the Standard, including future options to eliminate use, the impact and outcomes achieved, if the policy and procedure was followed and documentation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committee undertakes a six-monthly review of all restraint use which includes all the requirements of this Standard. Six monthly restraint meetings and reports are completed and individual use of restraint use is reported to the GM, board and staff.  Minutes of meeting reviewed confirmed this includes analysis and evaluation of the amount of restraint use in the facility, whether all alternatives to restraint have been considered, the effectiveness of the restraint in use, the competency of staff and the appropriateness of restraint / enabler education and feedback from the RNs, staff and families. A six-monthly internal audit that is carried out also informs these meetings. Any changes to policies, guidelines, education and processes are implemented if indicated. Data reviewed, minutes and interviews with the restraint coordinator confirmed that the use of restraint has been reduced by two over the past 12 months.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82"/>
        <w:gridCol w:w="1280"/>
        <w:gridCol w:w="4596"/>
        <w:gridCol w:w="2921"/>
        <w:gridCol w:w="14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identifies the process to determine service provider levels and skill mixes. Rosters show that unplanned staff absences are covered for all shifts. The service has recently been reconfigured and is now more spread-out than in the past, but there remains two staff on night duty. The layout of the facility would not allow staff to hear a resident if they call for help if they cannot use their call bells. (Refer comment in criterion 1.4.7.5). There are 14 hospital level care residents and if both staff are working with a resident, possibly using lifting equipment, other residents have to wait for their call bells to be answered. Floor staff are also expected to respond to call bells from residents holding an occupational right agreement (ORA) living in seven serviced apartments and three care units. These dwellings are attached to the care facility but are located on separate peripheral wings of the building.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two night staff identified that residents often had to wait to have their call bells responded to, that staff are unable to take breaks, and if they do get time for a break, it is interrupted to assist with cares. Staff stated that it is especially difficult between the hours of 4am to 6am when residents need assistance to go to the bathroom. A review of incident forms demonstrated that there is a reasonably high level of falls between the hours of 10 pm and 6.30 am. For example, in April 2017, there were 12 falls in total with only three between 10pm and 0630am. However, following the reconfiguration of the building, the July, August September and October falls data identified that the number of falls during these hours is equal to or more than any other time during the 24 hour period. (Falls times are measured from 8am to 12md, 12md to 4.30pm, 4.30pm to 5.30pm, 5.30pm to 10pm, and 10pm to 6.30am).</w:t>
            </w:r>
          </w:p>
          <w:p w:rsidR="00EB7645" w:rsidRPr="00BE00C7" w:rsidP="00BE00C7">
            <w:pPr>
              <w:pStyle w:val="OutcomeDescription"/>
              <w:spacing w:before="120" w:after="120"/>
              <w:rPr>
                <w:rFonts w:cs="Arial"/>
                <w:b w:val="0"/>
                <w:lang w:eastAsia="en-NZ"/>
              </w:rPr>
            </w:pPr>
            <w:r w:rsidRPr="00BE00C7">
              <w:rPr>
                <w:rFonts w:cs="Arial"/>
                <w:b w:val="0"/>
                <w:lang w:eastAsia="en-NZ"/>
              </w:rPr>
              <w:t>The service adjusted the night staff levels from the day of audit to three staff on for the shift.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recently been reconfigured and is now more spread-out than in the past. The number of staff on night duty does not take into consideration the lay-out of the facility which is required to meet ARRC requirements under section D17.4 (a) (iii). There are two staff on duty overnight. Staff stated their concerns about being able to meet resident needs in a timely manner on night duty. Staff reported they cannot take their allocated breaks without interruption. These concerns are supported by falls data reviewed for 2017 which shows resident fall frequency has increased between the hours of 10pm to 6.30am since the reconfiguration.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safe staffing levels are provided across all shifts to meet contractual requirements, specifically night duty staffing levels which must consider the lay-out of the facility and allow for the addition staff time taken for the oversight and call bell response for ORA residents.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admitted to the facility had assessment tools completed which included interRAI.  It was evident from staff interviewed that they knew the residents well.  Family/whanau interviewed stated that they were happy with the care and communication provided.  Seven residents’ files were reviewed, there was evidence of updates and reviews to long term care plans when changes occurred; however long term plans did not always reflect information that was detailed in the six monthly interRAI assessment (eg, personal cares and the level of dependence of the resident and support required).   Two of seven residents who identify as Maori, did not have documented in their long-term care plans interventions to support their cultural beliefs and values.  Three of seven residents did not have documented in their long-term care plans evidence to show frequency of infections and interventions required.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assessment findings including Maori health care beliefs and residents with chronic infections do not consistently have this information and/or interventions reflected in residents’ long-term care plans.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long term care plans identify all residents’ needs as reflected in interRAI findings and outcomes, including cultural requirements and chronic infections.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1.4.7.5</w:t>
            </w:r>
          </w:p>
          <w:p w:rsidR="00EB7645" w:rsidRPr="00BE00C7" w:rsidP="00BE00C7">
            <w:pPr>
              <w:pStyle w:val="OutcomeDescription"/>
              <w:spacing w:before="120" w:after="120"/>
              <w:rPr>
                <w:rFonts w:cs="Arial"/>
                <w:b w:val="0"/>
                <w:lang w:eastAsia="en-NZ"/>
              </w:rPr>
            </w:pPr>
            <w:r w:rsidRPr="00BE00C7">
              <w:rPr>
                <w:rFonts w:cs="Arial"/>
                <w:b w:val="0"/>
                <w:lang w:eastAsia="en-NZ"/>
              </w:rPr>
              <w:t>An appropriate 'call system' is available to summon assistance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areas have a call bell to summons assistance when required. If it is identified that a call bell is not working, this is managed promptly via the corrective maintenance process. However, there is no formalised system in place to ensure regular checks of all call bells are undertaken. Three call bells per month are checked during the environmental audit but this is a random check and is not formalised.  (Refer comments in standard 1.2.8 related to the facility lay-out which would make it very difficult for staff to hear a resident if they called out for assistance).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no formalised system in place to ensure all call bells are checked to be in working order on a regular basis.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 formalised process is in place to ensure all call bells are checked on a regular basis.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surveillance information is collated at the end of each month.  Short term plans were evident as was the infection summary in each of the resident’s files.   It was evident from staff interviewed that they knew the residents well and were able to identify the residents that frequently have infections and the interventions required specifically for that resident.   Family/whanau interviewed stated that they were happy with the care and communication provided.  At the time of audit, three residents were highlighted as residents with frequent infections. In three files of seven residents reviewed, all relevant information was highlighted in interRAI, but this information was not reflected in their long-term care plans evidencing the frequency of infections nor interventions required to minimise and reduce the risk of re occurrence (see criterion 1.3.5.2). Review of staff meetings did not show evidence that infections were always discussed in registered nurse and care staff meetings and this was also identified in care staff interviews.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control surveillance results are not identified and being shared in caregiver and registered staff meetings.  Also refer to comments in criterion 1.3.5.2.</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surveillance results are shared with all staff in a timely manner.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2.2.3.4</w:t>
            </w:r>
          </w:p>
          <w:p w:rsidR="00EB7645" w:rsidRPr="00BE00C7" w:rsidP="00BE00C7">
            <w:pPr>
              <w:pStyle w:val="OutcomeDescription"/>
              <w:spacing w:before="120" w:after="120"/>
              <w:rPr>
                <w:rFonts w:cs="Arial"/>
                <w:b w:val="0"/>
                <w:lang w:eastAsia="en-NZ"/>
              </w:rPr>
            </w:pPr>
            <w:r w:rsidRPr="00BE00C7">
              <w:rPr>
                <w:rFonts w:cs="Arial"/>
                <w:b w:val="0"/>
                <w:lang w:eastAsia="en-NZ"/>
              </w:rPr>
              <w:t>Each episode of restraint is documented in sufficient detail to provide an accurate account of the indication for use, intervention, duration, its outcome, and shall include but is not limited to:</w:t>
              <w:br/>
              <w:t>(a) Details of the reasons for initiating the restraint, including the desired outcome;</w:t>
              <w:br/>
              <w:t>(b) Details of alternative interventions (including de-escalation techniques where applicable) that were attempted or considered prior to the use of restraint;</w:t>
              <w:br/>
              <w:t>(c) Details of any advocacy/support offered, provided or facilitated;</w:t>
              <w:br/>
              <w:t>(d) The outcome of the restraint;</w:t>
              <w:br/>
              <w:t>(e) Any injury to any person as a result of the use of restraint;</w:t>
              <w:br/>
              <w:t>(f) Observations and monitoring of the consumer during the restraint;</w:t>
              <w:br/>
              <w:t>(g) Comments resulting from the evaluation of the restraint.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with enablers and restraint had restraint monitoring forms which had been developed according to identified level of risk to the resident. The timeframes for each monitoring episode for all residents were clearly documented as two hourly. This timeframe was not being met. Staff said they were checking residents at least two hourly but that they did not always document this. There were no documented incidents around restraint to show that restraints were not being used safely.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restraints in the restraint register were documented as enablers, but do not comply with being voluntary and are clearly restraints.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the restraint register accurately records the type of restraint being used, and if it is a restraint or an enabler, as identified in policy.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2.2.3.5</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or equivalent process is established to record sufficient information to provide an auditable record of restraint use.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restraint register in use which identifies all restraint and enablers in use. The information is not accurately recorded as two restraints were documented as enablers. The restraint coordinator did not clearly understand the difference between a restraint and an enabler although they have undertaken appropriate education. As enablers and restraint monitoring requirements are the same and undertaken according to identifed risks, there is no reason to believe that restraint use is unsafe.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restraints in the restraint register were documented as enablers, but do not comply with being voluntary and are clearly restraints.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the restraint register accurately records the type of restraint being used, and if it is a restraint or an enabler, as identified in policy.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Te Kauwhata Retirement Trust Board - Aparangi Village Residential Care Unit</w:t>
    </w:r>
    <w:bookmarkEnd w:id="58"/>
    <w:r>
      <w:rPr>
        <w:rFonts w:cs="Arial"/>
        <w:sz w:val="16"/>
        <w:szCs w:val="20"/>
      </w:rPr>
      <w:tab/>
      <w:t xml:space="preserve">Date of Audit: </w:t>
    </w:r>
    <w:bookmarkStart w:id="59" w:name="AuditStartDate1"/>
    <w:r>
      <w:rPr>
        <w:rFonts w:cs="Arial"/>
        <w:sz w:val="16"/>
        <w:szCs w:val="20"/>
      </w:rPr>
      <w:t>21 November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