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Sound Care Limited - Eltham Care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Sound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Eltham Care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November 2017</w:t>
      </w:r>
      <w:bookmarkEnd w:id="7"/>
      <w:r w:rsidRPr="009418D4">
        <w:rPr>
          <w:rFonts w:cs="Arial"/>
        </w:rPr>
        <w:tab/>
        <w:t xml:space="preserve">End date: </w:t>
      </w:r>
      <w:bookmarkStart w:id="8" w:name="AuditEndDate"/>
      <w:r w:rsidR="00A4268A">
        <w:rPr>
          <w:rFonts w:cs="Arial"/>
        </w:rPr>
        <w:t>14 November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Eltham Care Rest Home provides services for up to 24 rest home and 17 secure dementia care residents. The service is owned and operated privately.  The owner/director works as the facility manager. She is a registered nurse with a current practising certificate. She is supported by a clinical registered nurse and a kitchen manager.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 mental health nurse and the general practitioner. </w:t>
      </w:r>
    </w:p>
    <w:p w:rsidRPr="00A4268A">
      <w:pPr>
        <w:spacing w:before="240" w:line="276" w:lineRule="auto"/>
        <w:rPr>
          <w:rFonts w:eastAsia="Calibri"/>
        </w:rPr>
      </w:pPr>
      <w:r w:rsidRPr="00A4268A">
        <w:rPr>
          <w:rFonts w:eastAsia="Calibri"/>
        </w:rPr>
        <w:t xml:space="preserve">This audit has resulted in a continuous improvement rating in medication management. No areas were identified for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was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  Monitoring of the services provided to the owner/manager is regular and effective. The management team are experienced and suitably qualified for the roles they undertake.</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an integrated hard copy file.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sufficient and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two diversional therapists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were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a high level of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 by staff ensuring the facility is secured after dark.</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enabler was use at the time of audit.  No restraints were in use.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84"/>
        <w:gridCol w:w="1280"/>
        <w:gridCol w:w="997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Eltham Care Rest Home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(EPOA) requirements and processes for residents unable to consent is defined and documented where relevant in the resident’s file. Staff demonstrated their understanding by being able to explain situations when this may occur. All residents in the secure unit had EPOAs in place.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and/or their family member, are given a copy of the Code, which also includes information on the Advocacy Service. Pamphlets regarding the Advocacy Service were accessible and available at the front entrance.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complaints/concerns policy and associated forms meet the requirements of Right 10 of the Code.  Information on the complaint process is provided to residents and families on admission and those interviewed knew how to do so.  Residents and family members confirmed during interview that they are aware of where complaints forms are located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one complaint had been received since the previous audit. This complaint was made to the Taranaki District Health Board with multiple issues raised. This occurred on the 06 October 2017 and the TDHB investigated on the 09 October and found that all issues were unsubstantiated. Documentation shows that actions taken to investigate the complaint, by the facility, were completed within the timeframes.  No corrective actions were required. The owner/director confirmed that if a corrective action is required, follow up and improvements would be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 is responsible for complaints management and follow up. All staff interviewed confirmed a sound understanding of the complaint process and what actions are required.  There have been no complaints received from Health and Disability Commission.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being made aware of the Code and the Nationwide Health and Disability Advocacy Service (Advocacy Service) as part of the admission information provided and discussion with staff. The Code is displayed in both English and Maori,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was held securely and privately, exchanging verbal information, administering medications and discussion with families and the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resident in Eltham Care Rest Home at the time of audit who identifies as Māori. Evidence verifies staff support the resident to integrate their cultural values and beliefs.  The principles of the Treaty of Waitangi are incorporated into day to day practice, as is the importance of whānau.  There is a current Māori health plan developed with input from the local Maori health care providers. The resident is enabled to continue to speak te reo Maori by visiting colleagues who reside at other facilities and being actively involved in marae issues.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general practitioner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The registered nurses (RNs) have records of completion of the required training on professional boundaries.  Staff are provided with a Code of Conduct as part of their individual employment contract. It is completed at commencement of employment.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gerontology nurse specialist, speech language therapist, community dietician, services for older people, and mental health services for older persons), and education of staff.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they receive management support to access external education through the District Health Board (DHB) and on line training forums. The clinical RN participates in the DHB’s professional development recognition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during the audit included a commitment to ongoing improvement in the care provided, evidenced by an ongoing initiative aimed at a reduction in the number of falls, improvement in the quality of meals provided, implementation of an electronic medication management system to reduce risk of medication errors, a commitment to enabling residents to participate in community events and activities, and the high number of highly qualified care staff employed at Eltham Care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Interpreting New Zealand or the DHB when required.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goals of the organisation. The documents describe annual and longer term objectives and the associated operational plans. A sample of quarterly reports to the owner/director showed adequate information to monitor performance is reported including complaints, compliments, quality improvement outcomes, quality data results and emerging risks and issues. The owner/director works at the facility as the facility manager and attends all staff meetings, so is fully aware of what is occurring on a daily basis.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the owner/director who is a register nurse. She is assisted by a registered nurse who manages clinical issues on a day to day basis (clinical nurse), and the kitchen manager. All three managers hold relevant qualifications appropriate to the roles they undertake. The clinical nurse was appointed seven months ago and is experienced in aged care. The owner/director is experienced in aged care management and purchased the facility nine months ago. The kitchen manager who works as the cook has a tertiary qualification in hotel and restaurant management and a diploma in professional cookery. He commenced the same time as the owner/director.  Responsibilities and accountabilities were defined in job descriptions and individual employment agreements sighted. The owner/director and clinical nurse confirmed their knowledge of the sector, regulatory and reporting requirements.  The clinical nurse maintains currency through ongoing on-site and of-site education and ensures all New Zealand Nursing Council requirements are met via Taranaki District Health Board’s (TDHB) Professional Development and Recognition Programme. The owner/manager attends clinical and management education, seminars and training. She is an approved assessor for the Careerforce aged care programme. Both RNs are interRAI competent.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audit, the service holds contracts with Taranaki DHB for Long Term Support of Chronic Conditions for which one resident receives services, the Age Related Residential Care for which 25 residents were receiving services, consisting of nine dementia care residents and 16 rest home level care residents. There are three boarders who receive assistance with cares and are awaiting re-assessment from the assessment service to review their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boarder is not included in the number of beds occupied as they receive hotel services only. The service also holds a Residential Respite Service contract with the TDHB for day care and this contract is not included in this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owner/manager is absent, the clinical nurse, the kitchen manager, and the senior diversional therapist carry out all the required duties under delegated authority. During absences of the clinical nurse, the role is undertaken by the owner/director and a casual RN who is experienced in the sector and able to take responsibility for any clinical issues that may arise.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wound care, pressure injury management and internal audits. Monthly reviews are undertaken for all quality data and quarterly benchmarking against previously collected data is graphed and shared with staff. This includes incidents and accidents, complaints, infection control, and health and safety. Restraint is not benchmarked as there has only been one enabler in use since 2013.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set agenda for meeting minutes and review confirmed regular analysis of quality indicators and that related information is reported and discussed at the management team meetings, and at staff meetings. Staff reported their involvement in quality and risk management activities through audit activities and the implementation of corrective actions. Relevant corrective actions are developed and implemented to address any shortfalls. One example related to cleaning services. Corrective actions put in place show that following a review of cleaning hours the roster was changed so that the cleaner now works Monday to Thursday and then Saturday. Caregivers do the cleaning on Friday and Sunday. Refer to finding in medication management (1.3.12) related to quality improvements made to this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The most recent survey (September 2017) showed that residents and relatives are very happy with current services. During interview, one family member stated that the level of cleaning is greatly improved and all interviews with family and residents confirmed the present owner/director has made positive changes to the environment. This was supported by staff who stated they now feel like a team and are proud of the facility they work in.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developed by an off-site provider, based on best practice and were current. They are personalised for Eltham Care Rest Home. All policies and procedures sighted are up to date.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 described the processes for the identification, monitoring, review and reporting of risks and development of mitigation strategies. The owner/director and the clinical nurse are familiar with the Health and Safety at Work Act (2015) and have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at management meetings and all issues are discussed at staff meetings as confirmed in meeting minutes sighted and during staff interviews. One initiative for improvement occurred when the number of resident falls increased. This included detailing time of falls and possible causes. The use of the CCTV camera footage showed any falls which occurred in common areas and the owner/director, clinical nurse and GP reviewed this for the falls recorded. Actions put in place resulted in a reduction in fall numbers over a three month period. The GP confirmed during interview that the use of CCTV footage was of great assistance when reviewing falls which occurred in common areas, especially in the dementia unit where many residents cannot explain what had happened. Another corrective action which is well documented relates to the follow up of medication errors; this has resulted in a change from weekly packs to 28 day packs. (Refer comments in 1.3.12). Since the packs were introduced in June 2017 there has only been one medication error.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 described essential notification reporting requirements, including for pressure injuries.  They advised there has been one notification made to the Ministry of Health (Section 31) related to an increased number of residents who developed lower respiratory tract infections in September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other significant events have occurred since the previous audit. For example, no police investigations, coroner’s inquests or issues based audits. (Refer to section 1.1.13 related to DHB follow up of a complaint which was unsubstantiated).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 During interview the cleaner stated she is enrolled to commence her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at six months and then annually.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 biannual basis, including mandatory training requirements. At the time of audit, there are eight level four staff, six level three, three level two and two recently employed staff (one caregiver who works in the rest home and the cleaner) who have yet to complete NZQA qualifications to meet the requirements of the provider’s agreement with the DHB. The owner/director is the internal assessor for the programme.  Staff working in the dementia care area have all completed the required dementia specific education. There are two RNs, plus a RN employed on a casual basis, trained and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The facility adjusts staffing levels to meet the changing needs of residents.  An afterhours on call roster is in place, with staff reporting that good access to advice is available when needed. The on-call is shared between the owner/director and the clinical nurse. Care staff reported there were adequate staff available to complete the work allocated to them. Residents and family members interviewed supported this. Observations and review of four weeks of rosters confirmed adequate staff cover has been provided, with staff replaced in any unplanned absence.  All staff, including non-clinical staff, hold current first aid certificates. There are dedicated staff for the dementia care unit on all shifts.</w:t>
            </w:r>
          </w:p>
          <w:p w:rsidR="00EB7645" w:rsidRPr="00BE00C7" w:rsidP="00BE00C7">
            <w:pPr>
              <w:pStyle w:val="OutcomeDescription"/>
              <w:spacing w:before="120" w:after="120"/>
              <w:rPr>
                <w:rFonts w:cs="Arial"/>
                <w:b w:val="0"/>
                <w:lang w:eastAsia="en-NZ"/>
              </w:rPr>
            </w:pPr>
            <w:r w:rsidRPr="00BE00C7">
              <w:rPr>
                <w:rFonts w:cs="Arial"/>
                <w:b w:val="0"/>
                <w:lang w:eastAsia="en-NZ"/>
              </w:rPr>
              <w:t>The kitchen is staffed by a cook between the hours of 7am to 3pm, a kitchen hand works 9am-1pm and a tea cook 4pm to 6pm seven days a week. Dedicated cleaning staff work five days a week 9am to 2.30pm. The administrator works Monday to Friday 8am to 12 midday.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activities staff, one in the dementia care unit who also undertakes caregiving duties and one in the rest home who works 0800-1630 Monday to Friday. The clinical nurse works Monday to Friday 0900-1700. The owner/director is rostered Monday to Friday but as she lives on site she stated that she is usually available in the weekends.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has been made to shift handover times, an additional 15 minutes has been added to each shift to all more time to discuss every resident and a documented handover sheet has been introduced. Staff report this is working very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however it is difficult to identify the system that has previously been used. Present records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All residents in the secure unit have evidence verifying placement in the unit is required. Prospective residents and/or their families are encouraged to visit the facility prior to admission and meet with the facility manager (FM) or the clinical registered nurse (CRN).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Taranaki District Health Board’s (TDHB)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 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however appropriate processes are in place to ensure this is managed in a safe manner if residents request a desire to self-administer in the future. A resident who had previously self-administered is now receiving medications administered by staff as required. </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reported to the CRN and FM and recorded on an accident/incident form. The resident and/or the designated representative are advised. There is a process for comprehensive analysis of any medication errors, and compliance with this process was verified. A quality initiative implemented to minimise the number of medication errors is an initiative recognised as providing continuous improvement in medication management at Eltham Care Rest Home</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chef in line with recognised nutritional guidelines for older people.  The menu follows summer and winter patterns and has been reviewed by a qualified dietitian this month (16 October 2017).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Fridge, freezer and chiller temperatures in all areas are monitored and are within the required range. Food in the fridges is dated to indicates use by dates, as are decanted items in the pantry. Food temperatures, including for high risk items, are monitored appropriately and recorded as part of the plan. A cleaning schedule was sighted and compliance with the schedule verified.</w:t>
            </w:r>
          </w:p>
          <w:p w:rsidR="00EB7645" w:rsidRPr="00BE00C7" w:rsidP="00BE00C7">
            <w:pPr>
              <w:pStyle w:val="OutcomeDescription"/>
              <w:spacing w:before="120" w:after="120"/>
              <w:rPr>
                <w:rFonts w:cs="Arial"/>
                <w:b w:val="0"/>
                <w:lang w:eastAsia="en-NZ"/>
              </w:rPr>
            </w:pPr>
            <w:r w:rsidRPr="00BE00C7">
              <w:rPr>
                <w:rFonts w:cs="Arial"/>
                <w:b w:val="0"/>
                <w:lang w:eastAsia="en-NZ"/>
              </w:rPr>
              <w:t>The cook is a qualified chef and has undertaken a safe food handling qualification, with kitchen assistants completing relevant food handling training.</w:t>
              <w:br/>
              <w:b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An initiative to address residents’ dissatisfaction with the food and the appearance of the meals was initiated in February 2017. The focus was on improving food quality, taste and appearance. Evidence of residents greatly improved satisfaction with meals was verified through resident and family interviews, satisfaction surveys, resident meeting minutes and residents’ weight records. In addition to this, the opportunity for a cooked breakfast of eggs, bacon etc. has been made available to residents on a daily basis. Any areas of nutritional dissatisfaction are promptly responded to.</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their nutritional needs met as verified by documentation, observation and interviews and have access to food any time over the twenty four hour period.</w:t>
            </w:r>
          </w:p>
          <w:p w:rsidR="00EB7645" w:rsidRPr="00BE00C7" w:rsidP="00BE00C7">
            <w:pPr>
              <w:pStyle w:val="OutcomeDescription"/>
              <w:spacing w:before="120" w:after="120"/>
              <w:rPr>
                <w:rFonts w:cs="Arial"/>
                <w:b w:val="0"/>
                <w:lang w:eastAsia="en-NZ"/>
              </w:rPr>
            </w:pPr>
            <w:r w:rsidRPr="00BE00C7">
              <w:rPr>
                <w:rFonts w:cs="Arial"/>
                <w:b w:val="0"/>
                <w:lang w:eastAsia="en-NZ"/>
              </w:rPr>
              <w:t>Residents were seen to be given time to eat their meal in an unhurried fashion and those requiring assistance had this provided. There were sufficient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FM.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and depression scale, to identify any deficits and to inform care planning. The sample of care plans reviewed had an integrated range of resident-related information.  All residents have current interRAI assessments completed by one of three trained interRAI assessors on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the interRAI assessments are reflected in the care plans reviewed. Residents in the secure unit have behaviour management plans that are inclusive of triggers and the required interventions to manage behaviours, including documentation and assessment following medication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and includes cultural, sexual and behavioural needs.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trained diversional therapists.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The residents from the secure unit have an activities plan in place that incorporates a holistic approach over twenty four hours. Activities are provided in the unit, however residents are able to participate in the rest home activities and outings if they are suitable to the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 normal community activities. Individual, group activities and regular events are offered. Examples included ten pin bowling in New Plymouth, access to the facility’s Karaoke machine to sing the old favourites, visiting entertainers, quiz sessions, frequent outings to join in community events or participate in local club activities, weekend church services and daily news updates. The activities programme is discussed at the minuted residents’ meetings and indicated residents’ input is sought and responded to.  Resident and family satisfaction surveys demonstrated satisfaction and that information is used to improve the range of activities offered. Residents interviewed confirmed they find the programme very enjoyable.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 term care plans were consistently reviewed for infections, pain, and weight loss, and progress evaluated as clinically indicated and according to the degree of risk noted during the assessment process. Other plans, such as wound / skin tear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including to older persons’ mental health services, dental services, and dietician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Staff training has been completed related to safe chemical handling. An external company is contracted to supply and manage all chemicals and cleaning products and they also provide ongoing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01 May 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(21 March 2017) and calibration of bio medical equipment (March 2017) is current as confirmed in documentation reviewed, interviews with staff and observation of the environment.  The environment was hazard free, residents were kept safe and independence was promoted. There is a preventative maintenance schedule which is signed off by the owner/director when each task is complete.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The dementia unit outdoor area is secure and has easy ramp access from the lounge area. </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know the processes they should follow if any repairs or maintenance is required; any requests are appropriately actioned. This was confirmed in documentation sighted. Residents and family interviews confirmed they are happy with the environment.  They are very happy with the improvements made by the new owner and this includes having the gardens upgraded which now allows all common areas to have views of the countryside.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one bedroom with a toilet ensuite and staff and visitor toilets.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recent upgrade to hand towel dispensers has left screw holes exposed. This was being actioned at the time of audit and is clearly identified in the maintenance book.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in the rest home and the dementia care area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observed during the audit, residents from the dementia area join the residents from the rest home area for some activities and entertainment.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in a dedicated laundry which is well equipped and has a good dirty to clean flow.  Care staff and dedicated laundry staff demonstrated a sound knowledge of the laundry processes, dirty/clean flow and handling of soiled linen. Residents and family interviewed reported the laundry is managed well and their clothes are returned in a timely manner. This is supported by the results of the satisfaction survey which showed that there has been an improvement in laundry and cleaning over the past few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cleaner/laundry person has received appropriate training.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chemical usage is monitored by the off-site provider. The facility has undertaken a quality improvement project related to cleaning and laundry which identifies staff involvement in the decision to change suppliers. The laundry and cleaning review resulted from the June internal audit results. Following the corrective actions being completed the re-audit gained a 100% pass rate. Staff confirmed during interview that the updated training received is more in-depth and that there has been an improvement in the visual cleanliness of laundry and that the newly purchased cleaning equipment (vacuum cleaner and colour coded buckets) makes cleaning easier.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the 30 June 2010.  A trial evacuation takes place six-monthly with a copy sent to the New Zealand Fire Service, the most recent being on 12 March 2017, and documentation identifies the next fire evacuation is to occur again on 20 November 2017.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41 residents. Water storage tanks are located at the rear of the complex.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by staff. Staff and residents confirmed they feel safe at the facility at all times. The owner/director has recently installed CCTV cameras in common areas which she monitors in her office and can also view from her lap top. Prior to installing the cameras, staff, residents and families were informed. There are notices around the facility stating the cameras are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Heating is provided by electric wall mounted heaters in residents’ rooms and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CRN.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CRN, with input from the FM, is the designated infection control nurse, whose role and responsibilities are defined in a job description. Infection control matters, including surveillance results, are reported monthly to the FM and tabled at the quality/staff meeting.  Infection control statistics are collated in the organisation’s database and analysed against previous records. There is an IPC committee which meets three monthly to discuss any infection control matters, and includes staff from kitchen, laundry/cleaning, a healthcare assistant from each of the two areas, and the IC nurse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(ICN) has appropriate skills, knowledge and qualifications for the role. The ICN has undertaken infection prevention and control (IPC) training by attendance at DHB study days, and completion of on line training in IPC, as verified in training records sighted.  Well-established local networks with the gerontology nurse specialist and the infection control team at the DHB are available for expert advice if additional support/information is required. The ICN has access to residents’ records and diagnostic results to ensure timely treatment and resolution of any infections. The ICN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standards and current accepted good practice.  Policies were reviewed within the last year (March 2017)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ICN.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increase in lower respiratory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and FM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infection database.  Graphs are produced that identify trends for the current year, and comparisons against previous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IC report was sent to the Ministry of Health (MOH) in September 2017 notifying them of an outbreak of lower respiratory tract infections at Eltham Care Rest Home. Evidence verified this was managed in line with best practice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Policy states that enablers are voluntary and the least restrictive option to meet the needs of the consumer with the intention of promoting or maintaining resident independence and safety. The restraint coordinator (clinical nurse),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 members such as the use of sensor mats, low beds and distraction methods used for the management of challenging behaviour.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One resident was using bedside rail enablers. The resident has signed a consent for the use of the enabler and documentation identifies this is reviewed six monthly. The resident wishes to continue with the bedside rails as they make them feel secure when in 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would only be used as a last resort when all alternatives have been explored. This was confirmed during staff interviews.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70"/>
        <w:gridCol w:w="1280"/>
        <w:gridCol w:w="6874"/>
        <w:gridCol w:w="36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December 2016, a risk related to medication management was identified with seventeen medication errors being recorded that year. Analysis identified subsequent risks associated with hand written medication charts, and medications frequently requiring to be changed by the GP, who was not on site. The frequent changes and faxing of updated drug charts made charts difficult to read. There was a potential for medication errors in dispensing and administration related to several versions of a medication chart being in existence and charts being illegible with numerous changes being made. In addition, medication charts were frequently not signed when the medication was given, medications were not checked against the medication chart and the wrong dose and the wrong medication being administered was a factor in medication errors.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decision was made to explore the option of using an electronic medication management system with the aim of: </w:t>
            </w:r>
          </w:p>
          <w:p w:rsidR="00EB7645" w:rsidRPr="00BE00C7" w:rsidP="00BE00C7">
            <w:pPr>
              <w:pStyle w:val="OutcomeDescription"/>
              <w:spacing w:before="120" w:after="120"/>
              <w:rPr>
                <w:rFonts w:cs="Arial"/>
                <w:b w:val="0"/>
                <w:lang w:eastAsia="en-NZ"/>
              </w:rPr>
            </w:pPr>
            <w:r w:rsidRPr="00BE00C7">
              <w:rPr>
                <w:rFonts w:cs="Arial"/>
                <w:b w:val="0"/>
                <w:lang w:eastAsia="en-NZ"/>
              </w:rPr>
              <w:t>1) Minimising the potential for medication errors by ensuring each resident’s medication chart is current, contains only current medications and is legible.</w:t>
            </w:r>
          </w:p>
          <w:p w:rsidR="00EB7645" w:rsidRPr="00BE00C7" w:rsidP="00BE00C7">
            <w:pPr>
              <w:pStyle w:val="OutcomeDescription"/>
              <w:spacing w:before="120" w:after="120"/>
              <w:rPr>
                <w:rFonts w:cs="Arial"/>
                <w:b w:val="0"/>
                <w:lang w:eastAsia="en-NZ"/>
              </w:rPr>
            </w:pPr>
            <w:r w:rsidRPr="00BE00C7">
              <w:rPr>
                <w:rFonts w:cs="Arial"/>
                <w:b w:val="0"/>
                <w:lang w:eastAsia="en-NZ"/>
              </w:rPr>
              <w:t>2) Increasing the opportunity for GPs to quickly and easily update medication charts.</w:t>
            </w:r>
          </w:p>
          <w:p w:rsidR="00EB7645" w:rsidRPr="00BE00C7" w:rsidP="00BE00C7">
            <w:pPr>
              <w:pStyle w:val="OutcomeDescription"/>
              <w:spacing w:before="120" w:after="120"/>
              <w:rPr>
                <w:rFonts w:cs="Arial"/>
                <w:b w:val="0"/>
                <w:lang w:eastAsia="en-NZ"/>
              </w:rPr>
            </w:pPr>
            <w:r w:rsidRPr="00BE00C7">
              <w:rPr>
                <w:rFonts w:cs="Arial"/>
                <w:b w:val="0"/>
                <w:lang w:eastAsia="en-NZ"/>
              </w:rPr>
              <w:t>3) Enabling only one medication chart to be active.</w:t>
            </w:r>
          </w:p>
          <w:p w:rsidR="00EB7645" w:rsidRPr="00BE00C7" w:rsidP="00BE00C7">
            <w:pPr>
              <w:pStyle w:val="OutcomeDescription"/>
              <w:spacing w:before="120" w:after="120"/>
              <w:rPr>
                <w:rFonts w:cs="Arial"/>
                <w:b w:val="0"/>
                <w:lang w:eastAsia="en-NZ"/>
              </w:rPr>
            </w:pPr>
            <w:r w:rsidRPr="00BE00C7">
              <w:rPr>
                <w:rFonts w:cs="Arial"/>
                <w:b w:val="0"/>
                <w:lang w:eastAsia="en-NZ"/>
              </w:rPr>
              <w:t>4) Enabling a user-friendly system that provided alerts to care staff when the correct process was not being complied with.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chosen system was implemented in January 2017. </w:t>
            </w:r>
          </w:p>
          <w:p w:rsidR="00EB7645" w:rsidRPr="00BE00C7" w:rsidP="00BE00C7">
            <w:pPr>
              <w:pStyle w:val="OutcomeDescription"/>
              <w:spacing w:before="120" w:after="120"/>
              <w:rPr>
                <w:rFonts w:cs="Arial"/>
                <w:b w:val="0"/>
                <w:lang w:eastAsia="en-NZ"/>
              </w:rPr>
            </w:pPr>
            <w:r w:rsidRPr="00BE00C7">
              <w:rPr>
                <w:rFonts w:cs="Arial"/>
                <w:b w:val="0"/>
                <w:lang w:eastAsia="en-NZ"/>
              </w:rPr>
              <w:t>Since the implementation of the system there were seven errors March to June 2017.  Six of these were with medications being found on the floor, and one around an incorrect dose being given. There have been no medication errors since June 2017. A review in October 2017 verified all the aims of the project had been achieved. Each resident’s medication chart is current, contains only current medications and is legible. GPs are able to quickly and easily update medication charts.  Only one medication chart per resident is active and medication errors have been minimised.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initiative was developed in December 2016 in response to an identified potential risk to residents related to the use of hand written medication charts.</w:t>
              <w:br/>
              <w:t>Following the implementation of this initiative, there has been a considerable reduction in medication errors and more efficient and effective use of medication charts which is subsequently improving care to the residents. GPs are now able to quickly and easily update medication charts.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Sound Care Limited - Eltham Care Rest Home</w:t>
    </w:r>
    <w:bookmarkEnd w:id="58"/>
    <w:r>
      <w:rPr>
        <w:rFonts w:cs="Arial"/>
        <w:sz w:val="16"/>
        <w:szCs w:val="20"/>
      </w:rPr>
      <w:tab/>
      <w:t xml:space="preserve">Date of Audit: </w:t>
    </w:r>
    <w:bookmarkStart w:id="59" w:name="AuditStartDate1"/>
    <w:r>
      <w:rPr>
        <w:rFonts w:cs="Arial"/>
        <w:sz w:val="16"/>
        <w:szCs w:val="20"/>
      </w:rPr>
      <w:t>13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