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Chatswood Lifecare Limited - Chatswood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Chatswood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Chatswood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October 2017</w:t>
      </w:r>
      <w:bookmarkEnd w:id="7"/>
      <w:r w:rsidRPr="009418D4">
        <w:rPr>
          <w:rFonts w:cs="Arial"/>
        </w:rPr>
        <w:tab/>
        <w:t xml:space="preserve">End date: </w:t>
      </w:r>
      <w:bookmarkStart w:id="8" w:name="AuditEndDate"/>
      <w:r w:rsidR="00A4268A">
        <w:rPr>
          <w:rFonts w:cs="Arial"/>
        </w:rPr>
        <w:t>4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Chatswood Retirement Village is privately owned and operated.  The service provides rest home and hospital (medical and geriatric) level of care for up to 101 residents.  On the day of the audit there were 70 residents.</w:t>
      </w:r>
    </w:p>
    <w:p w:rsidRPr="00A4268A">
      <w:pPr>
        <w:spacing w:before="240" w:line="276" w:lineRule="auto"/>
        <w:rPr>
          <w:rFonts w:eastAsia="Calibri"/>
        </w:rPr>
      </w:pPr>
      <w:r w:rsidRPr="00A4268A">
        <w:rPr>
          <w:rFonts w:eastAsia="Calibri"/>
        </w:rPr>
        <w:t>One of the directors is a registered nurse and is the operations manager of the company.  She is supported by an experienced village manager and experienced clinical manager.  The residents and relatives spoke positively about the care and support provided at Chatswood Retirement Village.</w:t>
      </w:r>
    </w:p>
    <w:p w:rsidRPr="00A4268A">
      <w:pPr>
        <w:spacing w:before="240" w:line="276" w:lineRule="auto"/>
        <w:rPr>
          <w:rFonts w:eastAsia="Calibri"/>
        </w:rPr>
      </w:pPr>
      <w:r w:rsidRPr="00A4268A">
        <w:rPr>
          <w:rFonts w:eastAsia="Calibri"/>
        </w:rPr>
        <w:t xml:space="preserve">This surveillance audit was conducted against a subset of the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Seven of the eight shortfalls identified at the previous partial provisional audit have been addressed.  These were around employing, orientating and training staff (including fire drills), obtaining a warrant of fitness for the new building, landscaping, the approved fire evacuation plan and call bells.  Improvement continues to be required around hot water monitoring.</w:t>
      </w:r>
    </w:p>
    <w:p w:rsidRPr="00A4268A">
      <w:pPr>
        <w:spacing w:before="240" w:line="276" w:lineRule="auto"/>
        <w:rPr>
          <w:rFonts w:eastAsia="Calibri"/>
        </w:rPr>
      </w:pPr>
      <w:r w:rsidRPr="00A4268A">
        <w:rPr>
          <w:rFonts w:eastAsia="Calibri"/>
        </w:rPr>
        <w:t xml:space="preserve">This audit has identified improvements are required around documented interventions in care plans, aspects of medication management and fridge temperature monitoring.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Chatswood Retirement Village has policies and procedures that guide staff around open disclosure, and these are implemented.  The management have an open-door policy and registered nurses were aware of the meaning of open disclosure and how they implement this.  Incident forms sampled, and resident and family interviews demonstrated that families are informed of all incidents and changes to residents’ condition.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Chatswood Retirement Village has a quality and risk management system in place.  Key components of the quality management system include: management of complaints, implementation of an internal audit schedule, annual satisfaction surveys, incidents and accidents, review of infections, review of risk and monitoring of health and safety including hazards.  The monthly quality/staff meeting includes discussion around quality data.  Human resources policies are in place including a documented rationale for determining staffing levels and skill mixes.  There is a roster that provides sufficient and appropriate coverage for the effective delivery of care and there is sufficient staff on duty at all times.  There is an implemented orientation programme that provides new staff with relevant information for safe work practice.  Regular training is provided for all staff.  There are sufficient staff on duty to provide safe and effective care for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each stage of service provision.  The registered nurses assess and develop care plans in consultation with the resident and/or family.  Resident files included medical notes and notes of other visiting allied health professionals.</w:t>
      </w:r>
    </w:p>
    <w:p w:rsidRPr="00A4268A" w:rsidP="00621629">
      <w:pPr>
        <w:spacing w:before="240" w:line="276" w:lineRule="auto"/>
        <w:rPr>
          <w:rFonts w:eastAsia="Calibri"/>
        </w:rPr>
      </w:pPr>
      <w:r w:rsidRPr="00A4268A">
        <w:rPr>
          <w:rFonts w:eastAsia="Calibri"/>
        </w:rPr>
        <w:t xml:space="preserve">The activities staff provide an interesting and varied activities programme for the residents that includes (but not limited to) outings and community involvement.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completes annual education and medication competencies.  Medication charts have photo identification and allergy status noted.  </w:t>
      </w:r>
    </w:p>
    <w:p w:rsidRPr="00A4268A" w:rsidP="00621629">
      <w:pPr>
        <w:spacing w:before="240" w:line="276" w:lineRule="auto"/>
        <w:rPr>
          <w:rFonts w:eastAsia="Calibri"/>
        </w:rPr>
      </w:pPr>
      <w:r w:rsidRPr="00A4268A">
        <w:rPr>
          <w:rFonts w:eastAsia="Calibri"/>
        </w:rPr>
        <w:t xml:space="preserve">All meals are prepared on-site.  Individual and special dietary needs are catered for and alternative options are available for residents with dislikes.  The menu has been reviewed by a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and pleasant, safe outdoor areas.  A fire consultant has advised the service that the new building/extension has not required an update to the approved evacuation plan.  Fire drills including the extension have been completed and there are operational call bells in all areas.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maintains a restraint free environment.  There are policies and procedures to follow in the event that restraint or enablers are required. There were no residents using restraints or enablers.  The clinical manager is the restraint coordinator.  Staff received training around maintaining a restraint free environment, including the management of behaviours that challenge.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village manager using a complaints’ register.  There have been five complaints made in 2017 (including one via the DHB).  All complaints have been managed in line with Right 10 of the Code.  A review of complaints documentation evidence resolution of the complaint to the satisfaction of the complainant and advocacy offered.  Residents (six – four rest home and two hospital) and family members advised that they are aware of the complaints procedure.  Discussion around concerns, complaints and compliments were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Relatives (three – one rest home and two hospital) were aware of the open-door policy and confirmed on interview that the staff and management are approachable and available.  Residents/relatives have the opportunity to feedback on service delivery through annual surveys.  Results and corrective actions/areas for improvement are discussed at resident meetings (sighted in minutes).  There are regular resident meetings that are open to families to attend. Relatives confirmed on interview they receive regular newsletters.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is not covered by the agreement.  The information pack is available in large print and advised that this can be read to residents.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Retirement Village provides rest home level of care for up to 37 residents in a separate building on the site and hospital/rest home level of care for up 29 residents (dual-purpose beds) in a purpose-built facility on the same site.  Both facilities are connected by an open walkway as well as separate main entrances. There are nine care suites and two studios which are certified as dual-purpose beds and 14 serviced apartments attached to the hospital facility which have been certified to provide rest home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38 rest home residents including three in care suites, one in an apartment and one in a studio, and 32 hospital residents including four in the care suites.  One resident in the rest home was under a respite contract and one hospital resident was under an end-of-life contract.  All other residents were under the ARCC agreement.  Medical services are included under the current certification.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Retirement Village is privately owned and operated by two directors who are part owners.  One director is responsible for the development of the company and is based at the head office.  The other director is a registered nurse and is the operations manager who visits the site three times a week to meet with the village manager.  The operations manager has extensive experience in aged care management at organisational and national level.  The operations manager provides clinical governance for the company.  The village manager, previously an enrolled nurse, has had 12 years aged care management experience.  She has been in the role for three years and is supported by a clinical manager who has been in the role six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five-year business plan from 2012 to 2017 which identifies the philosophy of care, mission statement and business objectives/goals and values of the company.  The board of directors regularly review the business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at least eight hours annually of professional development related to managing a rest home/hospital and has achieved the national diploma of business level four and five.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in place a range of policies and procedures to support service delivery that are developed by an external consultant and reviewed regularly.  Facility meetings held monthly include: quality improvement/staff meetings, RN and team leader meetings, combined health and safety and infection control committee meetings.  Meeting minutes sighted evidenced there is discussion around quality data including complaints, compliments, health and safety, accident/incident, infection control, internal audits and survey results.  The service participates in an external benchmarking programme against industry standards.  Staff interviewed (the activities coordinator, the cook and four caregivers, one registered nurse, the clinical manager, the manager, the maintenance person and the diversional therapist), stated they are well informed and required to sign meeting minutes/reviewed policies when read.  Internal audits are completed as scheduled.  Corrective actions and re-audits are completed for internal audit results below 95%.  Quality improvements are raised for identified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reviewed and current disaster planning and emergency management procedures.  There are contingency plans available for residents, staff and visitors in the event of specific emergencies/disasters (examples, flooding, earthquake and tsunami, fire and unauthorised entry) and staff are informed about how to implement them.  </w:t>
              <w:br/>
              <w:t xml:space="preserve">The maintenance manager is a health and safety representative who has completed level four of the health and safety qualifications.  The health and safety committee review accident/incident reports monthly and the hazard register is reviewed six monthly.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risk management and health and safety framework, there is an accident/incident policy.  The service collects incident and accident data on forms and enters each incident into an electronic on-line programme.  The system provides reports monthly which are discussed at the monthly health and safety/infection control committee meetings and the quality improvement meetings.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 forms were reviewed from June 2017.  All incident forms identified timely RN assessment of the resident and corrective actions to minimise resident risk.  Neurological observations had been completed for unwitnessed falls and any known head injury.  The next of kin had been notified for all incidents/accidents.  The caregivers interviewed could discuss the incident reporting process.  The clinical manager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and village manager interviewed could describe situations that would require reporting to relevant authorities.  The service has reported two outbreaks and two pressure injuries to the Ministry of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Six staff files were reviewed (facility manager, clinical manager, one RN, one caregiver, one diversional therapist and one cook).  All files contained relevant employment documentation including current performance appraisals and completed orientations.  All staff required to safely provide care in the extension have been employed and completed an orientation.  These are improvements since the previous audit. The orientation programme provides new staff with relevant information for safe work practice.  The first day of employment covers health and safety induction, infection control and organisational policies and protocols.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commence Careerforce aged care qualifications following appointment and are supported by an external assessor.  Registered nurses are supported to attend external education.  Four RNs (including the clinical manager) have completed their interRAI training.  Two other RNs are currently progressing through the interRAI training.  Staff attend a full training day annually that includes all mandatory training requirements.  Staff complete competencies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There is a roster that provides sufficient and appropriate coverage for the effective delivery of care and support.  The village manager (non-clinical) and the clinical manager/RN are on duty during the day Monday to Friday.  The clinical manager provides the on-call requirement for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staffing roster for each facility (rest home and hospital/care suites/apartments) on the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RN on duty in the hospital/apartments and care suite 24 hours.  The hospital, apartments and care suites have a combined roster. The apartments have a coordinator and one care staff on both morning and afternoon shifts.  The hospital has five caregivers on morning shift, three on afternoon shift and two on night shift.  Staff in each area assist in the other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has an RN on morning shifts Monday to Sunday and a senior medication competent caregiver on afternoon and night shifts with three caregivers on morning and afternoon shifts and two caregivers on night shifts.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staff numbers in the facility to safely deliver care.  There is one diversional therapist who works 29 hours and an activities coordinator who works 14 hours per week. The activities team deliver programmes across both the hospital and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clinical manager and village manager who respond quickly to after-hours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policies align with accepted guidelines.  The RNs and caregivers responsible for the administration of medications have completed annual competencies and medication education.  A signed medication reconciliation form, evidences medications are checked on arrival by the registered nurse.  Any pharmacy errors are recorded and fed back to the supplying pharmacy.  There were no self-medicating residents on the day of audit.  Standing orders were not in use.</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 is monitored daily and is maintained between 2-8 degrees Celsius. Twelve medication charts and the reports on the electronic medication system were reviewed.  All medication charts had photo identification and allergy status.  Prescribing met legislative requirements except around three-monthly GP reviews and all medications had been administered as prescribed.</w:t>
            </w:r>
          </w:p>
          <w:p w:rsidR="00EB7645" w:rsidRPr="00BE00C7" w:rsidP="00BE00C7">
            <w:pPr>
              <w:pStyle w:val="OutcomeDescription"/>
              <w:spacing w:before="120" w:after="120"/>
              <w:rPr>
                <w:rFonts w:cs="Arial"/>
                <w:b w:val="0"/>
                <w:lang w:eastAsia="en-NZ"/>
              </w:rPr>
            </w:pPr>
            <w:r w:rsidRPr="00BE00C7">
              <w:rPr>
                <w:rFonts w:cs="Arial"/>
                <w:b w:val="0"/>
                <w:lang w:eastAsia="en-NZ"/>
              </w:rPr>
              <w:t>Medication is stored safely and appropriately.  Not all eye drops had been opened.  Staff reported that all eye drops are returned to the pharmacy and a new one opened each month when the new medication is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at Chatswood Retirement Village.  There is a qualified chef managing the kitchen five days per week and a qualified cook that covers the other two days.  They have completed food safety units.  There is a seasonal four-weekly rotating menu that has been reviewed by a dietitian.  The meals are served from the kitchen directly to residents in the dining room in the hospital and via a hot box system to the rest home.  The cook receives notification of any resident dietary changes and requirements.  Dislikes and food allergies are known and accommodated.  </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recorded daily, except for one fridge.  Food temperatures had been taken and recorded daily.  All foods were date labelled and stored correctly.  A cleaning schedule is maintained.  Residents interviewed spoke positively about the food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arranges a GP or nurse specialist visit.  There is evidence of three-monthly medical reviews or earlier for health status changes.  Residents and relatives interviewed confirmed care delivery and support by staff is consistent with their expectations.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There were 12 residents with 16 wounds including three grade 2 pressure injuries being treated at the time of audit.  Wound assessments, plans and timely evaluations had been completed for all wounds.  Where appropriate, short-term care plans had been developed for wounds.  The RNs interviewed could describe the referral process to a wound specialist or continence nurse and there was evidence in files sampled of specialist wound nurse input.  There was also evidence of dietitian, physiotherapy and other allied health professional involvement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did not all document appropriate interventions to manage clinical risks and identified needs.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including vital signs, monthly and weekly weights, turning charts, blood sugar monitoring and food and fluid charts demonstrated that required cares are being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for 40 hours per week for 5 days a week.  An activities assistant is also employed for 16 hours on 2 days per week.  Both staff have a current first aid certificate.  The activity team meets informally with activities staff from other facilities and attends on-site education.  The activity programme is provided from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 programme is flexible and provides a variety of activities that are meaningful to the residents.  Residents have the opportunity to provide suggestions for activities and outings at monthly meetings.  There is community involvement with local schools and kindergartens.  There are regular entertainers and van outings to community events such as concerts and clubs.  Residents are encouraged to maintain links with community groups such as the library, concerts, local churches and inter-home visits.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attend fortnightly church services as desired on-site and are supported to attend their own church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profile completed on admission.  Activity plans are reviewed six monthly and the diversional therapist is involved in multidisciplinary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assessment/care plans sighted had been evaluated by the RN within three weeks of admission.  Long-term care plans were reviewed at least six-monthly in two of six files viewed.  One resident was on short-term respite care and another recently admitted on an end of life contract.  The GP completes a one – three monthly resident review.  The families are invited to attend the care plan review meeting.  Evaluations indicated if resident goals have been met or unmet and the care plan updated to reflect the resident’s current health status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that expires 1 October 2018.  This addresses the previous shortfall.</w:t>
            </w:r>
          </w:p>
          <w:p w:rsidR="00EB7645" w:rsidRPr="00BE00C7" w:rsidP="00BE00C7">
            <w:pPr>
              <w:pStyle w:val="OutcomeDescription"/>
              <w:spacing w:before="120" w:after="120"/>
              <w:rPr>
                <w:rFonts w:cs="Arial"/>
                <w:b w:val="0"/>
                <w:lang w:eastAsia="en-NZ"/>
              </w:rPr>
            </w:pPr>
            <w:r w:rsidRPr="00BE00C7">
              <w:rPr>
                <w:rFonts w:cs="Arial"/>
                <w:b w:val="0"/>
                <w:lang w:eastAsia="en-NZ"/>
              </w:rPr>
              <w:t>There are attractive and safe outdoor areas outside all parts of the building.  This previous shortfall has also been addressed.  Hot water monitoring has been completed but does not include all parts of the building.  Improvement continues to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Zealand Fire Service approved the fire evacuation scheme for the existing building on 20 May 2014.  An email was sighted dated 5 October 2017 from a fire protection consultant stating that despite the new building and additional residents no alterations were required to the fire evacuation plan.  This addresses the previous shortfall.  Recent fire drills have included the extension.  This has addressed the previous shortfall.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system is installed and operational in all bedrooms, ensuite bathrooms and communal areas.  Call bell pendants are also available for residents use.  The previous shortfall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Individual infection reports, and short-term care plans are completed for all infections.  Infections are entered into an online system where events are graphed by type and benchmarked by an external aged care consultant.  Graphs and relevant information is displayed for staff.  Definitions of infections are in place appropriate to the complexity of service provided.  Infection control data is discussed at both the management and staff meetings.  Trends are identified, and preventative measures put in place.  Internal audits for infection control are included in the annual audit schedule.  There is close liaison with the GP that advises and provides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influenza A and a norovirus outbreak since the last audit were appropriately managed and reported.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The clinical manager is the restraint coordinator.  The restraint coordinator confirms that the service has remained a restraint-free environment.  Strategies identified to prevent falls and remain restraint-free included the purchase of all ultra-low beds and fall-out mats for the dual-purpose rooms.  The GP and gerontology nurse specialist are involved in resident assessments and provide input into maintaining the restraint-free environment.  On the day of the audit there were no residents on restraints or enablers.  Restraint education is included in the two-yearly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90"/>
        <w:gridCol w:w="1280"/>
        <w:gridCol w:w="5659"/>
        <w:gridCol w:w="3495"/>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administration records on the electronic medication records sampled for regular and ‘as required’ medications corresponded with the instructions on the medication chart.  Regular medications were prescribed correctly but the Medimap report demonstrated that not all three-monthly GP reviews had occurred.  ‘As required’ medications had indications for use prescribed on the medication chart.  Medications are stored securely in the medication rooms and staff observed administering medications followed correct process.  All staff that administer medications have completed medication administration competencies, but eye drops were not always dated when opened.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medimap report documented that 11 of the 70 total residents had not had their medication reviewed by the GP in the past three months.  This was confirmed in the sample of medication records.  </w:t>
            </w:r>
          </w:p>
          <w:p w:rsidR="00EB7645" w:rsidRPr="00BE00C7" w:rsidP="00BE00C7">
            <w:pPr>
              <w:pStyle w:val="OutcomeDescription"/>
              <w:spacing w:before="120" w:after="120"/>
              <w:rPr>
                <w:rFonts w:cs="Arial"/>
                <w:b w:val="0"/>
                <w:lang w:eastAsia="en-NZ"/>
              </w:rPr>
            </w:pPr>
            <w:r w:rsidRPr="00BE00C7">
              <w:rPr>
                <w:rFonts w:cs="Arial"/>
                <w:b w:val="0"/>
                <w:lang w:eastAsia="en-NZ"/>
              </w:rPr>
              <w:t>(ii)  Eight of the eleven open eye drops in the hospital area had not been dated when they were opened.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all medications are reviewed at least every three months by the prescriber.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eye drops are dated when they are opened.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specific recording forms for temperature monitoring of chilled food on delivery, end point cooked food and dishwasher and fridge/freezer temperature monitoring, but one fridge had not had the temperature monitored.  The kitchen staff have completed food safety education and hats and gloves were observed to be in use.  There is a cleaning schedule and the kitchen was observed to be clean with food in the panty, freezer and fridges stored and dated appropriately.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the three fridges in the kitchen had been omitted from the temperature monitoring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fridges are maintained at a safe temperature and that these are monitored and documented for each fridge.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were completed for 16 of 16 wounds.  The wound plan included dressing type and timeframes for review and timely reviews had occurred.  There were no short-term care plans in place for the wounds.  All resident files sampled contained a care plan but not all care plans included interventions for all resident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resident files sampled (two rest home and three hospital) did not have interventions documented for all identified needs. Examples include; an indwelling catheter, pressure injury prevention, pain management, falls management, assistance required (care plan stated one person support but a hoist was required), behaviour management, frequent UTI’s, the use of a tracking devise for a resident that wanders, diabetes and end of life needs/cares.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care plans document interventions for all identified resident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Electric checks and calibrating/functional testing of equipment has been completed.  The maintenance person completes hot water checks of three rooms each month.  He starts at the beginning of each year with the first three rooms (rooms one, two and three) and then completes the next three adjacent rooms (for example four, five and six) the next month, and so on, meaning each room is checked approximately twice per year and areas running off each hot water tank are checked for consecutive months and then not for several months.  The maintenance person was not aware that areas in the extension area required hot water temperature checks so these have not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sample of areas that hot water is monitored in each month does not include a tap from each cylinder.  The new building, housing rest home and hospital level residents has not had the hot water monitoring checked.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hot water temperatures are checked from each cylinder in the facility, including the new building, each month.</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Chatswood Lifecare Limited - Chatswood Rest Home</w:t>
    </w:r>
    <w:bookmarkEnd w:id="58"/>
    <w:r>
      <w:rPr>
        <w:rFonts w:cs="Arial"/>
        <w:sz w:val="16"/>
        <w:szCs w:val="20"/>
      </w:rPr>
      <w:tab/>
      <w:t xml:space="preserve">Date of Audit: </w:t>
    </w:r>
    <w:bookmarkStart w:id="59" w:name="AuditStartDate1"/>
    <w:r>
      <w:rPr>
        <w:rFonts w:cs="Arial"/>
        <w:sz w:val="16"/>
        <w:szCs w:val="20"/>
      </w:rPr>
      <w:t>4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