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Oakland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Oakland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December 2017</w:t>
      </w:r>
      <w:bookmarkEnd w:id="7"/>
      <w:r w:rsidRPr="009418D4">
        <w:rPr>
          <w:rFonts w:cs="Arial"/>
        </w:rPr>
        <w:tab/>
        <w:t xml:space="preserve">End date: </w:t>
      </w:r>
      <w:bookmarkStart w:id="8" w:name="AuditEndDate"/>
      <w:r w:rsidR="00A4268A">
        <w:rPr>
          <w:rFonts w:cs="Arial"/>
        </w:rPr>
        <w:t>12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Group operates Ultimate Care Oakland, an aged care facility in central Tauranga. Ultimate Care Group owns aged care facilities across New Zealand, some with co-located retirement villages, as is the case with Ultimate Care Oakland. There are national offices with an executive team of business and experienced aged care managers who provide support to these facilities.</w:t>
      </w:r>
    </w:p>
    <w:p w:rsidRPr="00A4268A">
      <w:pPr>
        <w:spacing w:before="240" w:line="276" w:lineRule="auto"/>
        <w:rPr>
          <w:rFonts w:eastAsia="Calibri"/>
        </w:rPr>
      </w:pPr>
      <w:r w:rsidRPr="00A4268A">
        <w:rPr>
          <w:rFonts w:eastAsia="Calibri"/>
        </w:rPr>
        <w:t>Ultimate Care Oakland provides rest home, hospital (geriatric and non-acute medical) and residential disability care for people with either intellectual or physical disabilities for up to 85 residents. Twenty beds in the facility are currently not in use. This leaves 65 beds available. The service is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contracted allied health providers and a general practitioner.  </w:t>
      </w:r>
    </w:p>
    <w:p w:rsidRPr="00A4268A">
      <w:pPr>
        <w:spacing w:before="240" w:line="276" w:lineRule="auto"/>
        <w:rPr>
          <w:rFonts w:eastAsia="Calibri"/>
        </w:rPr>
      </w:pPr>
      <w:r w:rsidRPr="00A4268A">
        <w:rPr>
          <w:rFonts w:eastAsia="Calibri"/>
        </w:rPr>
        <w:t xml:space="preserve">The provider has fully attained all audit and contract requirements. There are no areas for improvement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organisation’s scope, direction, goals, values and mission statement.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an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one diversional therapist and two recreation/activities officers, provides residents with a variety of individual and group activities and maintains their links with the community.  The local taxi van is used for outings while the facility van is undergoing repairs.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or enrolled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At the time of audit, five residents were using restraints. No residents were using enablers.  </w:t>
      </w:r>
    </w:p>
    <w:p w:rsidRPr="00A4268A">
      <w:pPr>
        <w:spacing w:before="240" w:line="276" w:lineRule="auto"/>
        <w:rPr>
          <w:rFonts w:eastAsia="Calibri"/>
        </w:rPr>
      </w:pPr>
      <w:r w:rsidRPr="00A4268A">
        <w:rPr>
          <w:rFonts w:eastAsia="Calibri"/>
        </w:rPr>
        <w:t>A comprehensive assessment, approval and monitoring process with regular reviews occurs.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an external advisor, and the group’s Clinical Advisory Panel.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90"/>
        <w:gridCol w:w="1280"/>
        <w:gridCol w:w="87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Oakland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initiative within the facility,  to implement advance care planning was well established. All files reviewed had a documented advance care plan in place using Ultimate Care’s format for these.  Establishing and documenting enduring power of attorney requirements and processes for residents who are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and the contact details of how to access the service were displayed at all entrances to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Information on the complaint process is provided to residents and families on admission and those interviewed knew how to access this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11 complaints have been received over the past year and that actions taken, through to an agreed resolution, are documented and completed within the timeframes. Communication with complainants was respectful.  Action plans showed any required follow up and improvements have been made where possible.  The facility manager is responsible for complaints management, and follow up. She demonstrated a thorough knowledge of the responsibilities of her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of them in their particular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The facility is involved in a complaint made to the Health and Disability Commissioner (HDC) by the family of a former resident relating to a health professional involved in the resident’s care. The facility is complying with all requests from the HDC since they were first contacted on 16 August 2017. At the time of the audit this complaint was still being assessed by the Commissioner.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in common areas together with information on how to access the advocacy services, how to make a complaint and feedback forms. Resident satisfaction surveys evidence satisfaction by residents and families on the information provided regarding being informed of their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families and the results of a recent satisfaction survey, confirmed that residents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in discussion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residents in Ultimate Care Oakland at the time of audit who identify as Māori. Evidence verifies staff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cultural advisers. Interviews with staff and the team leader (TL) verified knowledge of how to seek advice from iwi and the Bay of Plenty District Health Board (BOPDHB)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recent resident/family/whānau satisfaction survey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It is completed at commencement of employment.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regular updates of the organisation’s policies based on best practice guidelines, input from external specialist services and allied health professionals, for example, the hospice/palliative care team, physiotherapist, occupational therapy, wound care specialist, community dieticians, speech language therapists, services for older people, and education of staff. The GP confirmed the service sought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to on line learning web sites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by the provision of regular physiotherapy services available to residents, the enabling of younger residents to develop the skills to return to living in the community, and the commitment of clinical staff to provide continuity and quality care during changes in management at Ultimate Care Oakland.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Interpreting New Zealand when required. Staff knew how to do so and information on accessing the service was visible in all the entrances to the building.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organisation-wide strategic plan which is reviewed annually and includes the purpose, values, scope, direction and goals of the Ultimate Care Group. The organisation is led by a chief executive with business experience and a senior management team who have relevant experience in the sector. There is a regional manager with operational oversight of the facility and a clinical operations team who provide additional support. A member of this team (the audit and compliance manager), was present for the audit. A sample of monthly reports sent to the regional manager and clinical operations team, showed adequate information to monitor performance is reported. (See also standard 1.2.3 Quality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a manager with the group for three years. She is currently the interim manager at Ultimate Care Oakland until a permanent manager is appointed. Prior to working for the Ultimate Care Group this person has held other management positions in the health and disability sector and has had nursing roles in the aged care sector. Responsibilities and accountabilities are defined in a job description and an individual employment agreement.  The facility manager confirmed her knowledge of the sector, regulatory and reporting requirements and the organisation’s systems during the audit. She maintains currency through attending training provided by Ultimate Care Group and maintaining her nursing practising certificate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Bay of Plenty District Health Board (BOPDHB) for aged related residential care, aged related hospital services, long term support for chronic health conditions and respite care, and with the Ministry of Health (MOH) for people under 65 and residential disability services for people with either intellectual and/or physical disabilities.  On the first day of the audit there were 54 residents receiving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Under the providers contract with BOPDHB there were 22 residents receiving rest home care and 24 receiving hospital care. Under their long term support for chronic health conditions contract, one resident was receiving rest home care and two residents were receiving hospital level care. Under the providers contract with the Ministry of Health for people under age 65 there were two residents receiving rest home care and three residents receiving hospital level care. This contract now combines the provider’s contracts for residential disability services and for people under 65 who require rest home 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noted that in September 2016 and January 2017, 20 beds in the facility are not currently in use and so Ultimate Care Oakland is operating at a capacity of 65 beds. There are seven beds certified for rest home level care and the remaining beds are all certified for dual use care. The co-located retirement village is in a separate, standalone apartment building known as Copper Beach Apartments. There are no services provided to these residents by the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the clinical services manager was new in her role, having started a month prior to the audit. When the facility manager is absent, the clinical services manager carries out the required duties under delegated authority. She will be assisted by the regional manager for the facility. There is also an experienced registered nurse team leader who has worked at Ultimate Care Oakland for 18 months who will also provide assistance.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absences of key clinical staff, the clinical management is overseen by members of the national office clinical team, including the audit and compliance manager. This person is an experienced RN who has worked in the sector as a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objectives which link to the organisation’s strategic plan, the management and monitoring of adverse events, compliments and complaints, internal audit activities, maintaining certification, regular resident satisfaction surveys, monitoring of outcomes, clinical incidents including infections and use of restraints and enablers with a focus on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meetings are held each month including a staff meeting, registered nurses, health and safety, infection control, restraint, and continuous quality improvement (CQI). Some of these meetings are combined. Meeting minutes reviewed confirmed regular review and analysis of quality indicators and that related information is reported and discussed at the CQI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attendance at staff meetings and combined CQI meetings (these meetings include health and safety, infection control, restraint and continuous quality improvement - CQI), as well as internal audit activities. If staff are unable to attend meetings, the minutes are available to read and signature pages record that this occurs. This was confirmed at interview and review of meeting minutes with attached signature pages.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showed that residents feel welcome – respondents rated this question the highest mark of three out of three. Other questions relating to being comfortable and settled at Ultimate Care Oakland were similarly rated at a high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All documents seen during the audit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The quality and risk management plan, which included the risk register, was current at the time of the audit. The audit and compliance manager described the process the organisation has been going through to develop and prepare the 2018 quality and risk management plan. This was available in the facility, although not yet required until the beginning of the next calendar year. A current hazard register was also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They advised there has been notification of one significant event made to the Ministry of Health, since the previous audit. Evidence of the section 31 notification was seen and confirmation obtained from national office that although appropriate external agencies were notified no further ongoing action was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the adverse events forms and electronic database they are entered into was reviewed. This showed that these were fully completed, adverse events were investigated, action plans developed and actions followed-up in a timely manner.  Adverse event data is collated, analysed and reported through the electronic system which provides direct reporting through to Ultimate Care Group national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Reports provided by national office are sent to each facility on a monthly basis. From January each year onwards the data is cumulative. Sighted during the audit were graphs which included data from January 2017 – November 2017. (The December event data was not due to be submitted by the date of the audit.) Staff confirmed that this information is made available to them and reviewed at staff meetings. They stated that they understand the data and it is useful to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three months in the role and then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It includes mandatory training and competency assessment requirements. Care staff have either completed or commenced a New Zealand Qualifications Authority education programme to meet the requirements of the provider’s agreement with the DHB and meets the needs of residents who are under 65 with disabilities. Training is delivered through online options, at meetings and staff handovers, and staff confirmed this during interviews. Detailed monitoring of training completion is maintained and was reviewed with the facility manager and audit and compliance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trained and competent registered nurses who are maintaining their annual competency requirements to undertake interRAI assessments. Records reviewed demonstrated completion of the required training and annual performance appraisals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using a range of tools to do this. These include the interRAI acuity reports and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roster is in place, with staff reporting that good access to advice is available when needed.   Care staff reported there were adequate staff available to complete the work allocated to them. Residents and family interviewed during the audit supported this. The 2017 residents’ survey results and compliments received during 2017 also indicated satisfaction with care provided.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three week roster cycle confirmed adequate staff cover has been provided, with staff replaced in any unplanned absence.  All registered nurses and activities staff members have first aid certificates. Sampling of personnel files determined that these were current. There is 24 hour/seven days a week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Ultimate Care Oakland when the need for service has been identified and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BOPDHB ‘yellow envelope’ system to facilitate transfer of residents to and from acute care services. There is open communication between all services, the resident and the family.  At the time of transition between services, appropriate information, including the interRAI transfer report,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and a caregiver against the prescription and are verified as having been checked on the electronic medication record. A system is in place that ensures the monthly checking and replacement of expired medications. The first date of use of eye drops is recorded on the box.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TL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March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by Ultimate Care Oakland,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team leader (TL).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information is documented using validated nursing assessment tools such as pain scale, falls risk, skin integrity, nutritional screening and depression scale, to identify any deficits and to inform care planning. The sample of care plans reviewed had an integrated range of resident-related information.  All residents have current interRAI assessments completed by one of seven trained interRAI assessors on site. Another RN has just commenced the interRAI training. A review of a resident following a fall and a bang to the head, evidenced comprehensive assessment being undertaken.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(eg, weight loss, increased agitation, increased breathlessness, infections and pain). The needs identified by the interRAI assessments are reflected in the care plans reviewed. The care plan of the client receiving residential disability services is person centred, makes reference to wellbeing, community and the partners participation and the clients specific physical and health needs that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Assessment findings are reflected in the care plan. Interventions identified the diverse range of resident’s individualised needs in all areas of service provision (eg, pressure injury management evidenced past pressure injuries now healed and pressure injury prevention management in place to prevent recurrence).  The GP interviewed, verified that the care provided to residents was good and had improved over the past few months.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qualified diversional therapist (DT), an activities co-ordinator at present completing the DT training and a recreation co-ordinator. All are working between three and five days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exercise sessions, visiting entertainers, quiz sessions, numerous outings, men’s group, daily news updates and attendance at community events. The activities programme is discussed at the residents’ meetings and indicated residents’ input is sought and responded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who reside at Ultimate Care Oakland, are enabled by the recreation personnel to participate in community activities of their choice(eg, attending the movies, local clubs, going fishing, shopping, playing pool downtown, and ‘cossie club’.)  Younger residents each have an individualised programme, and one of the activities personnel co-ordinates attending to their daily routines.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(as evidenced during audit with a resident who had a fall),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personal protective clothing and equipment (PPE) and staff reported sufficient supplies being available at all times. When appropriate staff members were observed using PPE. </w:t>
            </w:r>
          </w:p>
          <w:p w:rsidR="00EB7645" w:rsidRPr="00BE00C7" w:rsidP="00BE00C7">
            <w:pPr>
              <w:pStyle w:val="OutcomeDescription"/>
              <w:spacing w:before="120" w:after="120"/>
              <w:rPr>
                <w:rFonts w:cs="Arial"/>
                <w:b w:val="0"/>
                <w:lang w:eastAsia="en-NZ"/>
              </w:rPr>
            </w:pPr>
            <w:r w:rsidRPr="00BE00C7">
              <w:rPr>
                <w:rFonts w:cs="Arial"/>
                <w:b w:val="0"/>
                <w:lang w:eastAsia="en-NZ"/>
              </w:rPr>
              <w:t>Two household staff were interviewed and they confirmed the availability of training, information and access to the external chemical and cleaning product supply company. Both demonstrated knowledge of appropriate waste management protocols.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which was issued on 21 March 2017,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Internally there are handrails throughout the facility, safe transitions between different areas, and signage where needed to direct visitors.  Residents were observed moving around the facility either independently, using mobility equipment and with assistance as their abilities allow.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2017 residents’ survey has just been collated by national office and the results returned to the facility. For the statement ‘the facility is in a good state of repair’ Ultimate Care Oakland has scored another three (see standard 1.2.3 Quality for rating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toilets for visitors and staff. There is a combination of shared ensuite bathrooms and communal bathrooms for residents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and other equipment/accessories are available to promote residents’ independence and safety.  Bathrooms and toilets have appropriate privacy indicators and locks.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and wheel chairs in residents’ rooms. Residents and staff reported the adequacy of bedrooms. Wheelchairs, hoists and mobility equipment can be stored in cupboards in each wing/area of the facility if they are not required continuously. This assists with promoting independence and mobility for all, as it ensures hallways and space is uncluttered.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Each wing/area has their own dining and lounge room, with sufficient space for all residents in that wing to eat together and use the lounge for recreation, watching television and other activities of their choice. These areas enable easy access for residents and staff.  Residents can access other areas for privacy,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accessible for residents with disabilities and those who are under 65. The needs of this group are provided for (as noted in standard 1.3.7) and there are a range of alternative private spaces available in additional to the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A dedicated laundry staff member was interviewed and demonstrated a sound knowledge of the laundry processes, dirty/clean flow and handling of soiled linen. Residents interviewed reported the laundry is managed well and their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2017 residents survey had several questions relating to cleaning and laundry services. In response to the question ‘Is the facility clean?’ – respondents indicated a rating of three (as noted this is the highest score). In response to: ‘Is your room kept clean?’ The rating was also three. In response to the question: ‘Are your clothes returned from the laundry in a satisfactory condition?’ The rating was 2.6 out of three.   And in response to the statement: ‘Laundry and cleaning staff are friendly and helpful?’. The rating was 2.7 out of three.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cleaning team who have received appropriate training.  These staff have completed appropriate training in the facility’s policies and procedures, the use of the chemicals and cleaning products and core topics required of staff working in the aged care sector. This was confirmed during an interview of a cleaning and a laundry staff member and review of personnel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stored in a lockable cupboard and were in appropriately labelled containers. Cleaning and laundry processes are monitored through the internal audit programme. The most recent internal audits of both services were completed within the last three months. Minor corrective actions were noted and addressed (eg, cobwebs around the top of a doorway into the library). Both issues were reported through the CQI meeting and followed up through to resolution.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3 November 2006.  A trial evacuation takes place six-monthly with a copy sent to the New Zealand Fire Service, the most recent was in November 2017. The orientation programme includes fire and security training.  Staff confirmed their awareness of the emergency procedures. (See resident register below.)</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up to 65 residents. A 2000 Litre water storage tank is located at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monitored by night staff. There is a resident register for use in emergency which lists each person’s mobility needs and requirements during an evacuation. This is maintained to ensure that it accurately reflects the residents living in the facility at any time and their location. The current resident register was sighted during the audit and is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with opening external windows and curtains which are in good condition. </w:t>
            </w:r>
          </w:p>
          <w:p w:rsidR="00EB7645" w:rsidRPr="00BE00C7" w:rsidP="00BE00C7">
            <w:pPr>
              <w:pStyle w:val="OutcomeDescription"/>
              <w:spacing w:before="120" w:after="120"/>
              <w:rPr>
                <w:rFonts w:cs="Arial"/>
                <w:b w:val="0"/>
                <w:lang w:eastAsia="en-NZ"/>
              </w:rPr>
            </w:pPr>
            <w:r w:rsidRPr="00BE00C7">
              <w:rPr>
                <w:rFonts w:cs="Arial"/>
                <w:b w:val="0"/>
                <w:lang w:eastAsia="en-NZ"/>
              </w:rPr>
              <w:t>Heating is provided by electric heating, heat pumps in the hallways and communal areas. Areas were well ventilated and cool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TL.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TL is the designated infection control nurse coordinator (ICC), whose role and responsibilities are defined in a job description. Infection control matters, including surveillance results, are reported monthly to the CSM, FM and the organisation’s national quality manager and tabled at the monthly staff, RN and quality/risk meetings.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during the winter months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is being assisted by the organisation’s external infection control advisor, the organisation’s clinical coach, and the BOPDHB infection control nurse.  The ICC has undertaken on line training in infection prevention and control and will attend the BOPDHB infection control study day in the New Year, as verified in records sighted.  Well-established local networks with the infection control team at the BOPDHB are available.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interviews and audits verified knowledge and compliance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of Norovirus in the past two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five residents were on the restraint register with approved restraints. There were no residents using enablers. The restraint coordinator understood the definitions of restraints and enablers and that enablers are used voluntarily at a resident’s request. A similar process is followed for the use of enablers as it is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restraint coordinator the RN team leader and clinical services manager,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family/whānau or EPOA involvement in the decision making was on file in each case. </w:t>
            </w:r>
          </w:p>
          <w:p w:rsidR="00EB7645" w:rsidRPr="00BE00C7" w:rsidP="00BE00C7">
            <w:pPr>
              <w:pStyle w:val="OutcomeDescription"/>
              <w:spacing w:before="120" w:after="120"/>
              <w:rPr>
                <w:rFonts w:cs="Arial"/>
                <w:b w:val="0"/>
                <w:lang w:eastAsia="en-NZ"/>
              </w:rPr>
            </w:pPr>
            <w:r w:rsidRPr="00BE00C7">
              <w:rPr>
                <w:rFonts w:cs="Arial"/>
                <w:b w:val="0"/>
                <w:lang w:eastAsia="en-NZ"/>
              </w:rPr>
              <w:t>Use of a restraint or an enabler is part of the plan of care. This was confirmed through review of four of the five residents who had approved restraints at the time of the audit. The fifth person was on a two week trial with the restraint being removed. This was recorded on the restraint register and had been approved by the restraint approval group and was being overseen by the 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described the documented process.  Assessments for the use of restraint were documented and included all requirements of the Standard. The RN undertakes the initial assessment with the restraint coordinator’s involvement, and input from the resident’s family/whānau or EPOA. </w:t>
            </w:r>
          </w:p>
          <w:p w:rsidR="00EB7645" w:rsidRPr="00BE00C7" w:rsidP="00BE00C7">
            <w:pPr>
              <w:pStyle w:val="OutcomeDescription"/>
              <w:spacing w:before="120" w:after="120"/>
              <w:rPr>
                <w:rFonts w:cs="Arial"/>
                <w:b w:val="0"/>
                <w:lang w:eastAsia="en-NZ"/>
              </w:rPr>
            </w:pPr>
            <w:r w:rsidRPr="00BE00C7">
              <w:rPr>
                <w:rFonts w:cs="Arial"/>
                <w:b w:val="0"/>
                <w:lang w:eastAsia="en-NZ"/>
              </w:rPr>
              <w:t>The GP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restraints.</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described how they are involved and the restraint process and how information is provided and explained. Files reviewed confirmed that family/whānau or the resident’s EPOA is involved in the assessment and decision making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(eg, the use of sensor mats, low beds and engagement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This was provided by the organisation’s clinical coach, who also provided the restraint coordinator and RN team leader with some additional training in restraint minimisation. Both staff members were interviewed and understood that the use of restraint is to be minimised and how to guide other care staff in maintaining safety when restraints are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and the restraint register, showed that the individual use of restraints is reviewed and evaluated during care plan and interRAI reviews, three monthly restraint evaluations and at the restraint approval group meetings.  Files reviewed confirmed that families/whānau are involved in the evaluation process and that they are satisfied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GP,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six-monthly internal audit that is carried out also informs these meetings. The most recent audit was completed in October 2017.  Any changes to policies, guidelines, education and processes are implemented if indicated. Data reviewed, minutes and interviews with the restraint coordinator confirmed that the use of restraint has been reduced from nine to five restraints in use over the past 12 months. Half of this reduction (two residents) is due to an active process of reducing the use of restraint by exploring alternatives. At the time of the audit, a third person was on a two-week trial of the restraint being discontinued, with appropriate monitoring and guidance notes in their care plan and restraint register.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Oakland</w:t>
    </w:r>
    <w:bookmarkEnd w:id="58"/>
    <w:r>
      <w:rPr>
        <w:rFonts w:cs="Arial"/>
        <w:sz w:val="16"/>
        <w:szCs w:val="20"/>
      </w:rPr>
      <w:tab/>
      <w:t xml:space="preserve">Date of Audit: </w:t>
    </w:r>
    <w:bookmarkStart w:id="59" w:name="AuditStartDate1"/>
    <w:r>
      <w:rPr>
        <w:rFonts w:cs="Arial"/>
        <w:sz w:val="16"/>
        <w:szCs w:val="20"/>
      </w:rPr>
      <w:t>11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