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Kyber Health Care Limited - Waikiwi Garden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Kyber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Waikiwi Gardens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December 2017</w:t>
      </w:r>
      <w:bookmarkEnd w:id="7"/>
      <w:r w:rsidRPr="009418D4">
        <w:rPr>
          <w:rFonts w:cs="Arial"/>
        </w:rPr>
        <w:tab/>
        <w:t xml:space="preserve">End date: </w:t>
      </w:r>
      <w:bookmarkStart w:id="8" w:name="AuditEndDate"/>
      <w:r w:rsidR="00A4268A">
        <w:rPr>
          <w:rFonts w:cs="Arial"/>
        </w:rPr>
        <w:t>14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Waikiwi Gardens rest home provides care for up to 42 rest home level residents.  On the day of audit there were 36 residents.  The facility is managed by two owner/directors (husband and wife) who have the responsibility of the daily operations, finance, maintenance and overseeing the delivery of services.  They are supported by two full-time RNs and a non-clinical assistant manager.</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This audit identified that improvements are required around neurological observations and the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Waikiwi Gardens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Communication with families is recorded.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Waikiwi Gardens rest home is implementing a quality and risk management system that supports the provision of clinical care.  Quality management processes are reflected in the businesses plan’s goals, objectives and policies.  Quality data is collated and discussed at staff meetings.  There is a 2017 business plan in place.  Staff document incidents and accidents.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The registered nurses are responsible for each stage of service provision.  A registered nurse assesses and develops the care plan documenting supports, needs, outcomes and goals with the resident and/or family/whānau input.  Care plans viewed in resident records demonstrated service integration and were reviewed at least six monthly.  Resident files included the general practitioner, specialist and allied health notes.  Medication policies reflect legislative requirements and guidelines.  Staff that are responsible for administration of medicines and complete annual education and medication competencies.  The medicine charts viewed were reviewed at least three monthly.  One diversional therapist is responsible for the activity programme for the residents.  The programme runs during the day over five days each week.  The programme includes community visitors and outings, entertainment and activities that meet the individual recreational, physical, cultural and cognitive abilities and preferences.  All meals and baking are done on-site.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There is safe access to all lounges and dining areas and to the well maintained and updated gardens with outdoor seating areas with umbrella shading.  Resident bedrooms are personalised.  There are adequate communal shower/toilet facilities.  Documented policies and procedures for the cleaning and laundry services are implemented with appropriate monitoring systems in place to evaluate the effectiveness of these services.  A civil defence/emergency plan is documented for the service.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is one resident using an enabler.  Enabler consent and monitoring meets the requirements around use of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30"/>
        <w:gridCol w:w="1280"/>
        <w:gridCol w:w="92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eight staff (two registered nurses (RN), four caregivers, one cook and one diversional therapist) confirmed their familiarity with the Code.  Four residents and five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including photographs were obtained on admission and sighted in all six resident files reviewed (including one resident on younger persons with disabilities contract and one resident on respite).  Advance directives were sighted in each resident’s file relating to resuscitation status, having been completed by the resident (where they were competent to do so) in the presence of the general practitioner.  Policy dictates that where a resident is not competent to make an advance direction around resuscitation, resuscitation will be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and RNs interviewed demonstrated a good understanding in relation to informed consent and informed consent processes.  Family and residents interviewed confirmed they have been made aware of and fully understand informed consent processes and that appropriate information had been provided.  Six admission agreements reviewed had been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which aligns with Right 10 of the Code.  The owner/directors lead the investigation of any concerns/complaints in consultation with the RN for clinical concerns/complaints.  Complaint forms are visible throughout the facility.  A complaints procedure is provided to residents within the information pack at entry.  A complaints register is maintained.  There has been one complaint made since the last audit.  The complaint been made through the Health &amp; Disability Commissioner is currently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are signed by staff at commencement of employment.  Residents and relatives interviewed reported that residents are able to choose to engage in activities and access community resources.  There is an abuse and neglect policy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no residents that identified as Māori.  Discussions with staff confirm that they are aware of the need to respond with appropriate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assistant manager is responsible for coordinating the internal audit programme.  Monthly staff/quality meetings and regular residents’ meetings are conducted.  Residents and relatives interviewed spoke positively about the care and support provided.  Staff interviewed stated that they feel supported by the owners/directors and the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Five residents and four relatives interviewed confirmed on interview that the staff and management are approachable and available.  Twelve incident forms reviewed identified family were notified following a resident incident.  Relatives interviewed confirm they are notified of any incidents/accidents.  Families are invited to attend the monthly resident/family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provides care for up to 42 rest home level residents.  On the day of audit there were 36 residents, including one resident on respite and three residents on a ‘younger persons with disabilities’ (YPD) contract.  All other residents are under the aged related residential care (ARRC) agreement.  There were five independent boarders living within the rest home who are independent and do not receive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two owner/directors (husband and wife) who have the responsibility of the daily operations, finance, maintenance and overseeing the delivery of services.  The owner/director (wife) looks after the operational/staff management and the owner/director (husband) covers the maintenance/property requirements.  The owner/directors (both non-clinical) have owned the rest home since March 2017.  They are supported by two full-time RNs who are responsible for overseeing the clinical service.  Both RNs have a current annual practicing certificate.  They are also supported by a non-clinical assistant manager who coordinates and oversees quality activities and human resources.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have maintained at least eight hours of professional development in relation to management of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owner/directors reported that in the event of her temporary absence the assistant manager fills their roles with support from the RNs and other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has a quality and risk programme that is being implemented.  Policies and procedures are maintained by a recognised aged care consultant, who reviews policies to ensure they align with current good practice and meet legislative requirements.  Staff confirmed they are made aware of any new/reviewed policies.  There are monthly staff and fortnightly management meetings scheduled with the first meetings commenced in March 2017.  Staff and management meetings have been completed as per the scheduled calendar.  The meeting minutes identified that quality data has being discussed including infections, accidents and incidents, concerns/complaints and internal audits.  Staff are required to read and sign the quality data information which is generated on a monthly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2017 internal audit programme that covers all aspects of the service including environmental, food service, cleaning service, resident care and documentation.  Corrective actions for partial compliance are developed, implemented and signed off by the assistant manager.  A resident satisfaction survey is completed annually.  Resident meetings are monthly and provide residents with a forum for feedback on the services.  The owner/director (wife) and assistant manager facilitate the resident meetings.  Staff complete hazard identification forms for identified/potential hazards.  There is a current hazard register.  The owner/director (wife) and assistant manager are the health and safety officers and have completed the specific health and safety training required.  Health and safety is discussed at the staff and management meetings.  There is a falls prevention and management policy in place and falls are addressed on an individual basis as part of the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Twelve accident/incident forms for the month of November 2017 were reviewed.  All document timely RN review and follow-up.  However, no neurological observations were completed for resident falls that resulted in a potential head injury.  There is documented evidence the family had been notified of incidents/incidents.  Discussions with the owner/directors confirmed an awareness of the requirement to notify relevant authorities in relation to essential notifications including section 31 notifications.  There have been no section 31 notifications lodged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(two RNs, two caregivers, one diversional therapist and one assistant manager) were reviewed.  The recruitment and staff selection process require that relevant checks are completed to validate the individual’s qualifications, experience and suitability for the role.  Performance appraisals were current.  Current practising certificates were sighted for the RNs.  The two RNs have completed interRAI training.  All staff have a current first aid certificate.  The service has an orientation programme in place to provide new staff with relevant information for safe work practice.  The RNs and caregivers’ complete competencies relevant to their role such as medications.  There is an education planner in place that covers compulsory education requirements over a two-year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There are always two care staff on duty 24 hours a day, seven days a week.  The owner/directors work full-time from Monday to Friday and are readily available to staff 24/7.  There are two full-time RNs who work from Monday to Friday, one covers from 8.00 am to 4.00 pm and the other from 9.00 am to 5.00 pm.  The RNs share the on-call duties.  The RNs are supported by two caregivers on the morning and on the afternoon shifts, and two caregivers on the night shift.  Caregivers interviewed confirmed the RNs are readily available after hours.  The residents interviewed inform there are sufficient staff on duty at all times.  The rosters sighted confirmed that staff are replaced on the roster.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include information on the services provided for resident and families.  Admission agreements for long-term residents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yellow envelope transfer system used ensures all relevant documentation is made available to the receiving provider.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Staff who administer medications have been assessed for competency on an annual basis.  Medications received (blister packs) are checked on delivery by both RNs.  All medications are stored safely. The medication fridge is monitored weekly.  All twelve medication charts on the electronic system met legislative prescribing requirements.  The GP has reviewed the medication charts three monthly.  Medication errors were documented on incident forms and investigated with competencies of staff being reviewed where appropriate.  The internal auditing programme includes medication audits completed by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Administration records demonstrated that all medications (including non-packed) are signed as administered (eg, Ural sachets and oxygen).  Oxygen is now prescribed at each medication round which is signed as administered.  ‘As required’ medications had documented reason for administration.  Policies for controlled medications document a safe practice that includes two medication competent staff signing for medications, one being a RN when a RN is on duty.  There are controlled drugs in use and have been checked and signed by two medicine competent staff, one of which is the RN when on duty.  There were two self-medicating residents on the day of the audit.  There were documented competencies for these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Waikiwi Gardens rest home are prepared and cooked on-site by a qualified chef and cook.  There is a four-weekly seasonal menu which had been reviewed by a dietitian recently.  Food preferences are met, and staff can access the kitchen at any time to prepare a snack if a resident is hungry.  The kitchen staff receive a dietary profile of resident dietary requirements and any likes or dislikes including updates.  Special diets including modified foods are provided although only diabetic diets were required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in the main dining room.  Fridge, freezer and end-cooked temperatures are monitored weekly.  A kitchen cleaning schedule was documented, and cleaning was of an acceptable standard.  Chemicals are stored safely within the kitchen.  Resident meetings along with direct input from residents, provide resident feedback on the meals and food services.  Residents and family members interviewed were very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risk assessment tools on admission.  An interRAI assessment is undertaken within 21 days of admission and six monthly, or earlier due to health changes.  Resident needs and supports are identified through the ongoing assessment process in consultation with significant others.  InterRAI assessments, assessment notes and summaries were in place for all residents’ files sampled that had been at the service for longer than 21 days.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were resident-focused and individualised.  Identified support needs as assessed were included in the care plans for all resident’s files.  Files sampled included individualised preferences, and evidenced resident (as appropriate) and family/whānau involvement in the care plan process.  Relatives interviewed confirmed they were involved in the care planning process.  Resident files demonstrated service integration and evidence of allied healthcare professionals involved in the care of the resident such as the physiotherapist and mental health services.  Short-term care plans were in place for short-term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or nurse specialist consultation.  There is evidence that family members were notified of any changes to their relative’s health.  Discussions with families were documented in the resident’s progress notes.  Adequate dressing supplies were sighted in the treatment room.  Wound management policies and procedures are in place.  Initial wound assessments and ongoing evaluations were in place for a skin lesion, a minor scratch and superficial cut.  </w:t>
            </w:r>
          </w:p>
          <w:p w:rsidR="00EB7645" w:rsidRPr="00BE00C7" w:rsidP="00BE00C7">
            <w:pPr>
              <w:pStyle w:val="OutcomeDescription"/>
              <w:spacing w:before="120" w:after="120"/>
              <w:rPr>
                <w:rFonts w:cs="Arial"/>
                <w:b w:val="0"/>
                <w:lang w:eastAsia="en-NZ"/>
              </w:rPr>
            </w:pPr>
            <w:r w:rsidRPr="00BE00C7">
              <w:rPr>
                <w:rFonts w:cs="Arial"/>
                <w:b w:val="0"/>
                <w:lang w:eastAsia="en-NZ"/>
              </w:rPr>
              <w:t>There was a range of equipment readily available to minimise pressure injury.  There is access to a wound nurse specialist at the DHB as required.  Continence products are available and resident files include a urinary continence assessment, bowel management, and continence products identified.  Short-term care plans document appropriate interventions to manage short-term changes in health such as infections.  Monitoring forms are used. (eg, observations, behaviour, blood sugar levels and neurological signs). Care plans documented residents’ current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newly appointed diversional therapist who works 30 hours per week and provides an activities programme over five days a week.  The diversional therapist has a current first aid certificate.  There is an activity plan that meets the group and individual preferences of the resident group.  Activities take place in the main lounge and in the smaller lounge for quieter one-on-one activities for more dependant residents.  The programme is varied and interesting with board games, quizzes, newspaper reading, bowls, exercises, crafts and happy hour.  Links with the community involve visiting kindergartens, visiting community choirs, music entertainers and church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history and activity assessment is completed on admission in consultation with the resident/family (as appropriate).  Staff were assisting the residents enact a play they have created based on the “keeping up appearances” series and this is to be part of the Christmas celebrations with families at the facility.  All resident files reviewed (except the respite file) had a current individualised social history, and activities plan, which is reviewed six monthly, with a weekly progress note documented.  Residents and families have the opportunity to feedback on the activity programme through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an RN within three weeks of admission.  In all files sampled the long-term care plans have been reviewed at least six monthly or earlier for any health changes.  A separate form identifies progression towards achievement of goals.  The GP reviews the residents at least three monthly or earlier if required.  Ongoing nursing evaluations occur as indicated and are documented within the progress notes.  Files reviewed demonstrated that short-term needs were documented on short-term care plans which were regularly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There are documented policies and procedures in relation to exit, transfer or transition of residents.  The on-call policy ensures there is a RN on call at all times.  Except in emergencies RNs determine transfer to hospital (often in consultation with the GP).  Resident files and interviews confirmed this occurs.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 sheets are readily accessible for staff.  Chemical bottles sighted have correct manufacturer labels.  Chemicals are stored in a locked chemical cupboard.  There are chemical spills kits located throughout the facility which are easily accessible.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February 2018.  The maintenance person ensures daily maintenance requests are addressed and a planned maintenance schedule is maintained.  The previous finding from the provisional audit around the stretched carpet in two areas, has been partially addressed.  Monthly inspections include call bell testing, monthly fire checks and hot water temperature monitoring.  Hot water temperature recordings reviewed were below 45 degrees Celsius.  Essential contractors are available 24 hours.  Electrical testing and tagging was current and annual calibration and functional checks of medical equipment is completed by an external contractor completed on 12 December 2017.  The standing hoist was new in June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corridors with sufficient space for residents to safely mobilise using mobility aids.  The building is two levels.  The upstairs level is reserved for residents who are able to manage the stairs independently (currently five of the seven rooms upstairs are occupied by independent boarders).  There is safe access to the outdoor areas which are being upgraded, the gardens are well maintained.  Seating areas and shade is provided.  There is a designated outdoor smoking area.  The RNs and caregivers interviewed stated they have sufficient equipment to safely deliver the cares as outlined in the resident care plans, including hoists and pressure injury prevention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communal toilet and shower facilities for each wing.  The toilets and showers are of an appropriate design to meet the needs of the residents.  Communal toilet facilities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36 single rooms and 3 double rooms.  One double room was occupied by one resident only.  A married couple and two close friends were sharing the other two double rooms.  Privacy curtains were in place.  Residents and families are encouraged to personalise their rooms.  Bedrooms viewed were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dining room and smaller lounges for small group and one-on-one activities and quieter seating.  There is also a large activities room and a large conservatory/sun room off the main lounge.  Seating and space in the main lounge is arranged to allow both individual and group activities to occur.  The communal areas are easily accessible for residents or with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for the safe and efficient use of laundry services.  There are dedicated cleaning and laundry staff five days a week who fully implement cleaning schedules.  All linen and personal clothing is laundered on-site.  The laundry is well equipped and well ventilated.  Internal audits monitor the effectiveness of the cleaning and laundry processes.  The cleaner’s trolley is kept in designated locked areas when not in use.  There is a sluice room with personal protective equipment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service has a generator for emergency power.  There is a civil defence kit available and first aid supplies.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and safe ventilation.  The environment is maintained at a comfortable temperature within bedrooms and communal areas.  There are sufficient doors and opening windows for ventilation.  All bedrooms have windows, which allow for plenty of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is the infection control coordinator and has a job description that outlines the responsibility of the role.  The infection control coordinator provides monthly reports to management.  The infection control programme has been reviewed annually.  Visitors are asked not to visit if they are unwell.  Hand sanitisers were appropriately placed throughout the facility.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attended an infection control study day at the DHB (April 2016).  There are adequate resources to implement the infection control programme for the size and complexity of the organisation.  The infection control coordinator has access to the infection control nurse specialist at the DHB, laboratory technician, GPs and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developed and reviewed by an external consultant and the content of policies reflected current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education is included in the staff orientation and is included in the infection control calendar.  Resident education occurs as part of daily cares as appropriate.  There is mandatory infection control training in November for all staff to include updates and changes, and staff complete a quiz to demonstrate level of understanding.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officer collates information obtained through surveillance to determine infection control activities and education needs in the facility.  Individual infection reports, and short-term care plans are completed for all infections.  Infection control data including graphs are available to staff.  Definitions of infections are in place appropriate to the complexity of service provided.  Infection control data is discussed at the staff meetings.  Trends are identified, and preventative measures put in place.  Internal audits for infection control are included in the annual audit schedule.  Systems in place are appropriate to the size and complexity of the facility.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is practiced.  A RN oversees the enabler/restraint process within the facility.  There are policies around restraint and enablers and the management of residents who may exhibit behaviours that challenge.  The service currently has one resident voluntarily using an enabler (bed rail).  The enabler use is reviewed six monthly as part of the care plan review.  Staff complete enabler monitoring as sighted on the day of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3"/>
        <w:gridCol w:w="1280"/>
        <w:gridCol w:w="4201"/>
        <w:gridCol w:w="4312"/>
        <w:gridCol w:w="14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Twelve accident/incident forms for the month of November 2017 were reviewed.  All document timely RN review and follow-up.  However, no neurological observations were completed for resident falls that resulted in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incident forms were reviewed in total.  Five incident forms reviewed were for resident falls with a potential head injury.  There was no documented evidence of neurological observations being completed as per the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forms are completed for any resident fall with a head injury.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maintenance person is proactive and is addressing issues, and completed planned maintenance.  The previous finding around stretched the carpet in two corridors has been partially addressed.  Other areas of the facility, both indoors and out are suitable and safe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carpet in one corridor has been replaced.  The other area is where the wrinkles are running the same way as foot traffic in that area.  This area is planned to be replaced early in the New Year.  Signage remains in place where there is a trip hazard.  Advised that since the draft report, these carpets have been replaced 9 January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carpet does not pose a risk for residents, and ensure the remaining carpet is replaced as planned.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Kyber Health Care Limited - Waikiwi Garden Rest Home</w:t>
    </w:r>
    <w:bookmarkEnd w:id="58"/>
    <w:r>
      <w:rPr>
        <w:rFonts w:cs="Arial"/>
        <w:sz w:val="16"/>
        <w:szCs w:val="20"/>
      </w:rPr>
      <w:tab/>
      <w:t xml:space="preserve">Date of Audit: </w:t>
    </w:r>
    <w:bookmarkStart w:id="59" w:name="AuditStartDate1"/>
    <w:r>
      <w:rPr>
        <w:rFonts w:cs="Arial"/>
        <w:sz w:val="16"/>
        <w:szCs w:val="20"/>
      </w:rPr>
      <w:t>13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