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Brightwater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Brightwater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December 2017</w:t>
      </w:r>
      <w:bookmarkEnd w:id="7"/>
      <w:r w:rsidRPr="009418D4">
        <w:rPr>
          <w:rFonts w:cs="Arial"/>
        </w:rPr>
        <w:tab/>
        <w:t xml:space="preserve">End date: </w:t>
      </w:r>
      <w:bookmarkStart w:id="8" w:name="AuditEndDate"/>
      <w:r w:rsidR="00A4268A">
        <w:rPr>
          <w:rFonts w:cs="Arial"/>
        </w:rPr>
        <w:t>1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Since the last audit, six rooms have been decommissioned and are now used for staff and family accommodation.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PSC Brightwater Rest Home and Hospital is owned by Presbyterian Support Central and provide care for up to 57 residents at rest home, hospital and dementia level care.  Since the last audit, six rooms have been decommissioned and are now used for staff and family accommodation. Occupancy on the day of the audit was 54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The facility manager at PSC Brightwater Home has over 10 years change management experience and has been in the role for one year.  The facility manager is supported by a clinical nurse manager, clinical coordinator and a regional manager.  Residents interviewed spoke positively about the service provided.</w:t>
      </w:r>
    </w:p>
    <w:p w:rsidRPr="00A4268A">
      <w:pPr>
        <w:spacing w:before="240" w:line="276" w:lineRule="auto"/>
        <w:rPr>
          <w:rFonts w:eastAsia="Calibri"/>
        </w:rPr>
      </w:pPr>
      <w:r w:rsidRPr="00A4268A">
        <w:rPr>
          <w:rFonts w:eastAsia="Calibri"/>
        </w:rPr>
        <w:t>The service has addressed eight of the nine shortfalls from the previous certification audit relating to human resources, consumer information management, interRAI assessments, care plan interventions, dietary requirements, restraint documentation and infection control surveillance.  An improvement continues to be required in relation to activity care plans.</w:t>
      </w:r>
    </w:p>
    <w:p w:rsidRPr="00A4268A">
      <w:pPr>
        <w:spacing w:before="240" w:line="276" w:lineRule="auto"/>
        <w:rPr>
          <w:rFonts w:eastAsia="Calibri"/>
        </w:rPr>
      </w:pPr>
      <w:r w:rsidRPr="00A4268A">
        <w:rPr>
          <w:rFonts w:eastAsia="Calibri"/>
        </w:rPr>
        <w:t>This audit has identified further improvements required relating to the complaints process and hazard register.</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PSC Brightwater Home provides care in a way that focuses on the individual resident.  The service ensures effective communication with all stakeholders including residents and families.  There is a complaints policy to guide practice and this is communicated to resident/family.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PSC Brightwater Home is implementing the Presbyterian Support Services quality and risk management system.  Key components of the quality management system link to a number of meetings including monthly senior team meetings.  An annual resident and relative satisfaction survey is completed and there are regular resident meetings.  Quality performance is reported to staff at meetings and includes a summary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 Initial assessments are completed by a registered nurse, including interRAI assessments.  The registered nurses complete care plans and evaluations within the required timeframes.  Care plans are based on the interRAI outcomes and other assessments.  Residents interviewed confirmed they were involved in the care planning and review process.  Each resident has access to individual and group activities.  The group programme (which is available for rest home, hospital and dementia residents) is varied and interesting.  There are medicine management policies and procedures in place.  General practitioners review residents at least three-monthly or more frequently if needed.  Meals are prepared on-site and the menu has been reviewed by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two residents using enablers and five residents assessed as requiring the use of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resident/family.  The facility manager leads the investigation and management of complaints (verbal and written).  There is a complaint register that records activity.  Complaints are discussed at the monthly senior management team meeting and the monthly staff meetings.  Information on making a complaint and the forms are visible around the facility.  There were ten complaints made between May 2016 and November 2017; however, four complaints reviewed did not have documented evidence that the complaint had been resolved or closed off.  Discussion with residents and relatives confirmed they were aware of how to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seven residents (five hospital and two rest home) and two family members (two dementia care) confirmed they were given time and explanation about services and procedures on admission.  There are six-monthly meetings held with relatives.  The facility manager, clinical nurse manager and clinical coordinator have an open-door policy.  Accident/incident forms have a section to indicate if family have been informed (or not) of an accident/incident.  Twelve accident/incident forms reviewed identify that family were notified following a resident incident.  Interviews with three registered nurses (RN), one enrolled nurse (EN), one clinical coordinator and two managers confirmed that family members are kept informed.  Interpreter services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Brightwater Home is part of the Presbyterian Support Central organisation (PSC) and provides rest home, hospital and dementia level of care for up to 63 residents.  Since the last audit, six rooms have been decommissioned and are now used for staff and family accommodation.  On the day of the audit, there were 54 residents in total (five rest home level residents including one resident on a younger persons with disabilities (YPD) contract and one resident on a long term support chronic health condition (LTSCHC) contract; 26 hospital level residents, including one resident on a YPD contract; and 23 of 24 dementia level residents in the secure dementia unit.  The service has eight dual-purpose beds.  All other residents were on the aged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PSC Brightwater Home has over 10 years change management experience and has been in the role for one year.  The facility manager is supported by a clinical nurse manager, clinical coordinator and a regional manager. The clinical nurse manager has been in the position for 16 months.  The clinical coordinator has been in the role for one year.  She has been at PSC Brightwater Home for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Brightwater Home has a 2017–2018 business plan and a mission and vision statement defined.  The Business Plan outlines a number of goals for the year, each of which has defined objectives against quality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at least eight hours annually of professional development activities related to managing a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that is part of the quality programme and includes internal benchmarking with the other PSC sites.  The senior team meeting acts as the Quality Committee and they meet twice a month.  Information is fed back to the monthly clinical focused meetings and staff meetings.  A range of other meetings is held at the facility.  Meeting minutes and reports are provided to the quality meeting, actions are identified in minutes and quality improvement forms, which are being signed off and reviewed for effectiveness.  The facility manager had an understanding of the contractual agreements and requirements.  The regional manager provides oversight and support to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Progress with the quality programme/goals has been monitored and reviewed through the monthly senior team meetings.  There is an internal audit calendar in place and the schedule has been adhered to for 2016 and 2017 (year to date).  Quality data and analysis is shared with staff (placed on noticeboards) and corrective actions are signed out and evaluated for effectiveness.  The service has a health and safety management system and this includes a health and safety rep that has completed health and safety training.  Monthly reports are completed and reported to meetings and at the bi-monthly Health and Safety Committee meeting.  There is a hazard register, however the register had not been reviewed annually.  A falls prevention programme is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facility manager is responsible for document control within the service; ensuring staff are kept up to date with the changes.  A resident and relative satisfaction survey is completed annually.  The 2016 relative satisfaction survey confirmed a satisfactory result with the service.  Corrective actions were developed to address any concerns from the survey.  The 2017 relative satisfaction survey had not been completed due to recent staff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reports aggregated figures monthly to the quality meeting.  Incident forms are completed by staff, the resident is reviewed by the RN at the time of event and the form is forwarded to the clinical nurse manager for final sign off.  A sample of twelve resident related incident reports (six hospital, three rest home and three dementia level) were reviewed.  All reports and corresponding resident files reviewed evidence that appropriate clinical care is provided following an incident.  Reports were completed and family notified as appropriate.  There is an incident reporting policy to guide staff in their responsibility around open disclosure.  The HCAs interviewed could discuss the incident reporting process.  Discussions with the facility manager confirmed their awareness of the requirement to notify relevant authorities in relation to essential notifications and evidence of this occurring was sighted on audit.  Two section 31 notifications were submitted to the Ministry of Health in July 2016 and September 2017.  Both of the matters referred to coroner inquests and were subsequently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recruitment.  Staff process requires that relevant checks are completed to validate the individual’s qualification, experience and veracity.  A copy of practising certificates is kept.  Six staff files were reviewed (one clinical nurse manager, one clinical coordinator, one RN, one recreation officer and two HCA’s).  All files contained employment agreements and job descriptions.  A schedule had been put in place to catch up and maintain annual performance appraisals. Outstanding annual appraisals had been completed and the 2017 performance appraisal schedule was being adhered to.  The service is using the PSC recently introduced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is being implemented.  Staff attend annual compulsory study days which includes training around the Eden Alternative programme.  The clinical coordinators and RN’s are able to attend external training.  Eight hours of education or in-service education has been provided annually.  All individual records and attendance numbers are maintained.  A schedule of which staff have attended education is maintained and follow-up action and sessions are offered to ensure all staff receive the required training.  Five of seven RNs are interRAI trained.  There are thirteen HCAs on the roster in the dementia unit and six have completed the required dementia standards, three are in progress of completing and four have not completed.  The four HCAs that have not completed have all commenced within the last six months.  This previous finding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The facility manager and clinical nurse manager work full-time, Monday through to Friday.  The facility manager is on call for any non-clinical matters and the clinical nurse manager is on call for any clinical issues.  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Tui unit, there are 17 residents (3 rest home and 14 hospital level residents) and Heron unit, 14 residents (2 rest home and 12 hospital).  There is a clinical coordinator who is supported by an RN on the morning, afternoon and night shifts.  There are six HCA’s on the morning shift and on the afternoon shift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Kiwi (dementia) unit, there are 23 residents.  There is a RN on the morning, afternoon and night shifts.  There are three HCA’s on the morning shift and on the afternoon shift and one HCA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amendments and alterations to the long-term care plans have been signed and dated with a documented designation.  This previous finding had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(two rest home, five hospital - including one YPD and three dementia).  There are policies available for safe medicine management that meet legislative requirements.  All medication charts sampled met legislative prescribing requirements.  The medication charts reviewed identified that the GP had reviewed all resident’s medication three-monthly and all known allergies were noted.  All clinical staff who administer medications have been assessed for competency on an annual basis.  Education around safe medication administration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interviewed could describe their role regarding medication administration.  The service uses an electronic charting and administration recording system and blister packed medications.  All medications are checked on delivery against the medication chart and any discrepancies are fed back to the supplying pharmacy.  There are no standing orders in use and there were no residents self-medicating on the day of audit.  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PSC Brightwater are prepared and cooked on-site.  There is a five-weekly seasonal menu which had been reviewed by a dietitian.  A portable bain marie is used to deliver foods to the dining rooms where they are served by the cook.  End cooked and holding food temperatures are recorded.  Fridge and freezer temperatures are recorded.  Dietary needs are known with individual likes and dislikes accommodated.  Pureed, gluten free and diabetic desserts are provided.  Cultural and religious food preferences are met.  The kitchen has a nutritional profile and list of any food allergies for all residents.  This previous finding has now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Nutritious snacks are available 24-hours a day for residents in the dementia unit.  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All food services staff have completed training in food safety and hygiene and chemical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nurse manager, clinical coordinator or RN initiates a review and if required, GP or nurse specialist consultation.  The family members confirmed on interview they are notified of any changes to their relative’s health.  In the residents’ files reviewed, short-term care plans were commenced with a change in heath condition and if not resolved within three weeks, transferred to the long-term care plan.  Interventions were fully documented to meet the residents’ assessed needs.  This previous finding has now been addressed.  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Adequate dressing supplies were sighted in treatment rooms.  There is evidence of GP and wound care specialist nurse involvement in wounds.  On the day of audit, there was one facility-acquired stage II pressure injury. The wound care files sampled evidenced that the wound care documentation (assessments, management plans and evaluations) were fully completed and this is an improvement on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were able to describe access for wound and continence specialist input as required.  Dressing supplies were sighted and on the day of audit, there were five wounds in the hospital (one pressure injury, one skin tear, one burn, one allergic reaction and one lesion).  In the dementia unit, there was one resident with a lesion.  Behaviour monitoring forms are used (sighted) which described types of behaviour, possible triggers and the strategies for de-escalation that were used.  The monitoring charts are reviewed by the RN.  The GP, clinical nurse manager or clinical coordinator initiates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Other monitoring charts were in use including (but not limited to); food and fluid, weight loss, and turning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recreational team provide individual and group activities in the rest home, hospital and dementia care units seven days per week.  The recreation programme is supported by a team of volunteers.  The recreational programme provides individual and group activities that are meaningful and reflect ordinary patterns of life.  The residents were observed participating in group and individual activities during the audit.  Participation in the group programmes is voluntary.  There are regular outings/drives for all residents (as appropriate) and involvement in community events.  One-on-one activities occur for residents who are unable or choose not to be involved in activities.  The programme is displayed on noticeboards in all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and a recreational plan is developed.  Where recreational plans were sighted, these had been reviewed six-monthly at the same time as the care plans.  Activity plans were reviewed six monthly as part of the care plan evaluation and review to determine goals were being addressed and plans were specific to the identified needs of the individual resident.  This is an improvement on previous audit.  In the dementia files sampled, the recreational plans did not cover the 24-hour period.  The previous audit finding relating to lack of a 24-hour recreational plan for each resident in the dementia unit remains.  The service receives feedback and suggestions for the programme through surveys and one-on-one feedback from residents (as appropriate) and families.  This includes from the YPD clients who have a number of individualised activities.  Relatives and residents stated they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evaluate all initial care plans within three weeks of admission.  Files sampled demonstrated that the long-term care plan is evaluated at least six-monthly or earlier if there is a change in health status.  There was at least a three-monthly review by the GP.  Reassessments have been completed using interRAI LTCF (except for YPD) and other relevant assessment tools for residents who have had a significant change in health status.  Short-term care plans were in use and evidence showed that after three weeks if the issue had not been resolved, transfer was made to the LTCP.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7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collected and loaded into the PSC electronic system.  Data is analysed monthly to identify areas for improvement.  Benchmarking occurs between the facilities and data is forwarded to the site for corrective actions to be undertaken if required.  Information is fed back to staff. This previous finding has now been addressed.  Two projects had been undertaken on reducing cellulitis and eye infections.  This included educating staff on both conditions and the prevention of.  Infection control internal audits are included in the annual audit schedule.  Trends are identified and quality initiatives are discussed at staff meetings.  Systems are in place that are appropriate to the size and complexity of the facility.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PSC Brightwater has policies and procedures on restraint minimisation and safe practice.  Policy includes guidelines and definitions for use of enablers and restraint.  The clinical nurse manager is the restraint coordinator with a job description defining responsibilities of the role.  There are five residents assessed as requiring restraint (lap belts and/or bedrails are used). There were two residents using enablers (lap belt and bedsides).  The two enabler files reviewed evidenced assessment, risks of use, consent and evaluation of use.  Enablers in use were voluntary.  A programme of reducing the use of restraints was in place (evidence in clinical meeting minutes October 2017).  The service has focused on reducing the use of restraint by a number of strategies including the purchase of additional sensor mats and more regular reviewing of restraint.  Strategies were successful and the safe discontinuation of five restraints had recently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Restraint assessments are based on information in the care plan, resident/family whānau discussions and on observations by the staff. All five restraint files reviewed evidenced fully completed assessment forms.  There was documentation of interventions in all files reviewed to managing risks associated with the restraint in use. This previous finding has now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evidenced the risks of use of the restraint or enabler were documented in the assessment and there transferred to care plan interventions.  All monitoring whilst using a restraint was consistently documented in the five files reviewed.  This previous finding has now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03"/>
        <w:gridCol w:w="1280"/>
        <w:gridCol w:w="5156"/>
        <w:gridCol w:w="1906"/>
        <w:gridCol w:w="13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leads the investigation and management of complaints (verbal and written).  There is a complaint register that records activity.  There were ten complaints made between May 2016 and November 2017.  However, four complaints reviewed did not have documented evidence that the complaint had been resolved or closed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made have documented evidence of resolution or close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made have documented evidence of resolution or close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and this includes a hazard register, however, the register has not been reviewed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hazard register had not been reviewed annually.  There was no documented evidence of hazard identification form for 2017 being updated on the hazard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hazard register is reviewed annually and that hazard identification forms are updated on the hazard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officers complete the activity profile and ‘tree of life’ when the resident is admitted, in consultation with the resident and their family (as appropriate).  A recreational plan is then developed for each resident and this is reviewed in conjunction with a review of the long-term care plan.  There are separate group programmes for each service level and the residents can also join in the activities that are provided by the day programme (on three days of the week).  The YPD residents had a number of individual activities that they were encouraged with, along with remaining in contact with the community.  Residents in the dementia unit did not have a recreational plan documented for the 24-hour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one resident files sampled in the dementia unit did not have a 24-hour recreational plan documented. On interview with the recreation officers and RNs, it was confirmed no residents in the dementia unit had a recreational plan for a 24-hour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residents in the dementia unit have a 24-hour recreational plan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Brightwater Home</w:t>
    </w:r>
    <w:bookmarkEnd w:id="58"/>
    <w:r>
      <w:rPr>
        <w:rFonts w:cs="Arial"/>
        <w:sz w:val="16"/>
        <w:szCs w:val="20"/>
      </w:rPr>
      <w:tab/>
      <w:t xml:space="preserve">Date of Audit: </w:t>
    </w:r>
    <w:bookmarkStart w:id="59" w:name="AuditStartDate1"/>
    <w:r>
      <w:rPr>
        <w:rFonts w:cs="Arial"/>
        <w:sz w:val="16"/>
        <w:szCs w:val="20"/>
      </w:rPr>
      <w:t>1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