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Highfield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Highfield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January 2018</w:t>
      </w:r>
      <w:bookmarkEnd w:id="7"/>
      <w:r w:rsidRPr="009418D4">
        <w:rPr>
          <w:rFonts w:cs="Arial"/>
        </w:rPr>
        <w:tab/>
        <w:t xml:space="preserve">End date: </w:t>
      </w:r>
      <w:bookmarkStart w:id="8" w:name="AuditEndDate"/>
      <w:r w:rsidR="00A4268A">
        <w:rPr>
          <w:rFonts w:cs="Arial"/>
        </w:rPr>
        <w:t>23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Highfield Home and Hospital is part of the CHT group of facilities.  The facility is purpose-built providing three levels of care (hospital – geriatric/medical, rest home and dementia) for up to 60 residents.  On the day of audit there were 46 residents.  The residents and relatives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The service has been establishing CHT systems and processes since opening in April 2017.</w:t>
      </w:r>
    </w:p>
    <w:p w:rsidRPr="00A4268A">
      <w:pPr>
        <w:spacing w:before="240" w:line="276" w:lineRule="auto"/>
        <w:rPr>
          <w:rFonts w:eastAsia="Calibri"/>
        </w:rPr>
      </w:pPr>
      <w:r w:rsidRPr="00A4268A">
        <w:rPr>
          <w:rFonts w:eastAsia="Calibri"/>
        </w:rPr>
        <w:t>This audit identified improvement required around and care plan documentation and monitoring.</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about services provided is readily available to residents and families.  The Health and Disability Commissioner (HDC) Code of Health and Disability Services Consumers' Rights (the Code) is evident in the entrance and on noticeboards.  Policies are implemented to support rights such as: privacy, dignity, abuse and neglect, culture, values and beliefs, complaints, advocacy and informed consent.  Care planning accommodates individual choices of residents and/or their family/whānau.  Family state they are kept well informed on their relative’s health status.  Residents are encouraged to maintain links with the community.  Complaints processes are implemented, and complaints and concerns are managed appropriately.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Highfield Home and Hospital has a fully implemented, robust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 training programme that provides staff with relevant information for safe work practices.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caregivers responsible for the administration of medicines complete education and medication competencies.  Medication charts are reviewed three monthly by the general practitioner.</w:t>
      </w:r>
    </w:p>
    <w:p w:rsidRPr="00A4268A" w:rsidP="00621629">
      <w:pPr>
        <w:spacing w:before="240" w:line="276" w:lineRule="auto"/>
        <w:rPr>
          <w:rFonts w:eastAsia="Calibri"/>
        </w:rPr>
      </w:pPr>
      <w:r w:rsidRPr="00A4268A">
        <w:rPr>
          <w:rFonts w:eastAsia="Calibri"/>
        </w:rPr>
        <w:t>The activities coordinator and staff implement the activity programme to meet the individual needs, preferences and abilities of the residents.  Residents are encouraged to maintain community links.  There are regular entertainers, outings, and celebrations.  Residents and families report satisfaction with the activities programme.</w:t>
      </w:r>
    </w:p>
    <w:p w:rsidRPr="00A4268A" w:rsidP="00621629">
      <w:pPr>
        <w:spacing w:before="240" w:line="276" w:lineRule="auto"/>
        <w:rPr>
          <w:rFonts w:eastAsia="Calibri"/>
        </w:rPr>
      </w:pPr>
      <w:r w:rsidRPr="00A4268A">
        <w:rPr>
          <w:rFonts w:eastAsia="Calibri"/>
        </w:rPr>
        <w:t>All meals are cooked on-site.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A selection of residents’ rooms have ensuites and there are sufficient communal showers/toilets for the others.  External areas are safe and well maintained with shade and seating available.  Fixtures, fittings and flooring are appropriate.  Toilet/shower facilities are constructed for ease of resident access and ease of cleaning.  Cleaning and laundry services are monitored through the internal auditing system and surveys.  Appropriate training, information and equipment for responding to emergencies are provided.  There is an approved evacuation scheme and emergency supplies for at least three days.  There is a trained first aider on duty 24 hours.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and procedures on safe restraint use and enablers.  A registered nurse/quality and risk coordinator is the restraint coordinator.  On the day of the audit, there were three with restraints in use (lap belts) and one resident with a lap belt as an enabler.  Staff receive training around restraint and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(RN) is responsible for coordinating education and training for staff.  The infection control coordinator has completed annual external training.  There is a suite of infection control policies and guidelines to support practice.  The infection control coordinator uses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2"/>
        <w:gridCol w:w="1280"/>
        <w:gridCol w:w="100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around resident rights.  Nine residents (five rest home and four hospital level of care) and five relatives (three hospital level, one rest home and one dementia level of care) interviewed, confirmed that information has been provided around the code of rights.  Residents state that their rights are respected when receiving services and care.  Discussion with six caregivers and three registered nurses (RN) identified that they are aware of The Health and Disability Commissioner Code of Health and Disability Services Consumers’ Rights (the Code) and could describe the key principles of resident’s rights when delivering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advance directives.  Completed advance directive forms were evident on all resident files reviewed (three hospital, two rest home and two dementia).  General consent forms were evident on files reviewed.  Discussions with staff confirmed that they are familiar with the requirements to obtain informed consent for entering rooms and personal care.  Enduring power of attorney evidence is filed in the residents’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are provided with a copy of the Code of Health and Disability Services Consumer Rights and Advocacy pamphlets on entry.  Resident advocates are identified during the admission process.  Pamphlets on advocacy services are available at the entrance.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and relatives confirms their understanding of the availability of advocacy services.  Staff receive education and training on the role of advocacy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visiting policy and family/whānau and friends are encouraged to visit the home and are not restricted to visiting times.  All residents interviewed confirm that family and friends are able to visit at any time and visitors were observed attending the home.  Residents and relatives verified that they have been supported and encouraged to remain involved in the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policy/procedure in place and the complaints process is provided to residents and relatives on entry to the service, complaints forms are available to residents and relatives.  A record of all complaints is maintained on the on-line complaint register.  The facility manager manages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two internal complaints since the service opened eight months ago.  The complaints/concerns have been managed in line with Right 10 of the Code.  A review of complaints documentation evidence resolution of the complaints to the satisfaction of the complainants.  Changes to resident’s care plans have been made following complaints and meetings with family.  Residents and family members advise that they are aware of the complaints procedure.  Discussion around concerns, complaints and compliments are evident in facility meeting minutes.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information available on The Health and Disability Commissioner Code of Health and Disability Services Consumers’ Rights (the Code) at the main entrance to the facility.  The Code (English and Māori) is also displayed in the resident areas.  There is a welcome information folder that includes information about the Code.  The resident, family or legal representative has the opportunity to discuss this prior to entry and/or at admission with the clinical manager.  Residents and relatives state they receive sufficient verbal and written information to be able to make informed choices on matters that affect them.  There is specific information around dementia care provided to relatives and visitors.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physical and personal privacy for residents.  During the audit, staff were observed treating residents with respect and ensuring their dignity is maintained.  Staff are able to describe how they maintain resident privacy, including knocking on the resident’s doors before entering as observed on the day of audit.  Education around privacy and dignity, prevention of abuse and neglect in-service is provided as part of the education plan.  Resident’s cultural, social, religious and spiritual beliefs are identified on admission and included in the resident’s care plan/activity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cultural awareness policies and a Māori health plan to guide staff in the delivery of culturally safe care.  The Kaumātua provides blessing for the site and prayers as needed.  There were no residents who identify as Māori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culturally appropriate service by identifying any cultural needs as part of the assessment and planning process.  Care plans are reviewed at least six monthly to ensure the resident’s individual culture, values and beliefs are being met.  Staff recognise and respond to values, beliefs and cultural differences.  Residents are supported to maintain their spiritual needs with regular church services in the on-site chapel.  Weekly church services held on-site and there are designated staff who provide pastoral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employment process meets best practice with regard to recruitment, including reference checks and police vetting.  Professional boundaries are defined in job descriptions.  Staff were observed to be professional within the culture of a family environment.  Caregivers interviewed were able to describe how they recognise and report any suspected abuse and the service’s zero tolerance policy.  Residents interviewed stated that they are treated fairly and with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policies and procedures that provide a good level of assurance that it is adhering to relevant standards.  Care staff and registered nurses (RNs) have access to internal and external education opportunities.  Regular facility and clinical meetings and shift handovers enhance communication between the teams and provide consistency of care.  The service is implementing quality teams around wound care, falls prevention, a nutrition programme (REAP), infection control, continence and restraint prevention.  These have been effective at maintaining high standards at other CHT facilities for the manager.  The service employs a physiotherapist for six hours per week over two days, who completes resident mobility assessments and provides safe manual handling training for staff.  All residents and families speak positively about the care provided. </w:t>
            </w:r>
          </w:p>
          <w:p w:rsidR="00EB7645" w:rsidRPr="00BE00C7" w:rsidP="00BE00C7">
            <w:pPr>
              <w:pStyle w:val="OutcomeDescription"/>
              <w:spacing w:before="120" w:after="120"/>
              <w:rPr>
                <w:rFonts w:cs="Arial"/>
                <w:b w:val="0"/>
                <w:lang w:eastAsia="en-NZ"/>
              </w:rPr>
            </w:pPr>
            <w:r w:rsidRPr="00BE00C7">
              <w:rPr>
                <w:rFonts w:cs="Arial"/>
                <w:b w:val="0"/>
                <w:lang w:eastAsia="en-NZ"/>
              </w:rPr>
              <w:t>New initiatives include; the implementation of a medication software package in close liaison with the pharmacy, commencing a resident focus group made up of residents, a family member and the facility manager (the group is focusing of meals as its first project) and also a staff focus group has had its first meeting.  The service has also developed links with the palliative care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 promote an open-door policy.  Relatives/residents are aware of the open-door policy and confirm on interview that the staff and management are approachable and available.  Residents/relatives have the opportunity to feedback on service delivery through resident meetings and annual surveys.  The resident meetings are bi-monthly and there is also a resident’s focus group, currently looking at meals.  Residents and relatives receive newsletters.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Accident/incident forms reviewed document that relatives have been notified of the incident.  Relatives interviewed state they are notified promptly of any changes to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informed prior to entry of the scope of services and any items they have to pay for that is not covered by the agreement.  An interpreter service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Highfield Home and Hospital is part of the CHT group of facilities.  The facility opened on the 8 April 2017.  The building is a purpose-built facility providing three levels of care (hospital – geriatric/medical, rest home and dementia) for up to 60 residents.  On the day of audit there were 46 residents.  There were 21 hospital and 13 rest home level residents in the 40-bed dual-purpose unit and 12 in the 20-bed secure dementia unit.  All residents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A CHT strategic plan 2016 – 2019 has been developed and includes business plan targets for 2017.  Highfield Home and Hospital has set a number of quality goals and these also link to the organisation’s strategic goals.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manager is in place to manage the smooth transition and opening of the service.  The manager (RN) has previous management experience within CHT, she transferred into the role previous to opening.  She is supported by a clinical coordinator (an experienced RN) and an area manager.  The manager and clinical coordinator have completed at least eight hours of professional development.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facility manager the clinical coordinator will provide management oversight of the facility with the support of the area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 well-established and comprehensive quality and risk programme and this has been established at Highfield Home and Hospital since opening.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 including those standards relating to the Health and Disability Services (Safety) Act 2001.  Staff (six caregivers, three registered nurses, one cook, one house keeper and the clinical coordinator) confirmed they were made aware of policies during their induction to this new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opening, the service has established monthly quality meetings.  These document staff discussions around accident/incident data, health and safety, infection control, and concerns.  Quality focus groups have also been established around: falls prevention, continence, wound care, nutrition (REAP), restraint and infection control.  Each of these groups presents a report at the monthly quality meeting.  The service collates accident/incident and infection control data.  Monthly comparisons include trend analysis and graphs. </w:t>
            </w:r>
          </w:p>
          <w:p w:rsidR="00EB7645" w:rsidRPr="00BE00C7" w:rsidP="00BE00C7">
            <w:pPr>
              <w:pStyle w:val="OutcomeDescription"/>
              <w:spacing w:before="120" w:after="120"/>
              <w:rPr>
                <w:rFonts w:cs="Arial"/>
                <w:b w:val="0"/>
                <w:lang w:eastAsia="en-NZ"/>
              </w:rPr>
            </w:pPr>
            <w:r w:rsidRPr="00BE00C7">
              <w:rPr>
                <w:rFonts w:cs="Arial"/>
                <w:b w:val="0"/>
                <w:lang w:eastAsia="en-NZ"/>
              </w:rPr>
              <w:t>Additional meetings include: two monthly resident/family meetings for which a focus group has been commenced to review meals and mealtimes.  The service has commenced an employee focus group (first meeting held), this group has an aim of employee wellbeing.  A registered nurse meeting convenes monthly, and commenced in November 2017.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internal audit programme that covers all aspects of the service and aligns with the requirements of the Health and Disability Services (Safety) Act 2001.  A six-monthly comprehensive internal audit against the Health and Disability Standards has been completed by the area manager.  Other audits including: infection control, restraint and medication are also completed as per the internal audit schedule.  Areas of non-compliance identified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detailed emergency plans covering all types of emergency situations and staff receive ongoing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which are collated monthly and are discussed at the staff meetings,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All incident forms identified a timely RN assessment of the resident and corrective actions to minimise resident risk.  Neurological observations had been completed for unwitnessed falls and any known head injury (link to 1.3.6.1 for neuro obs).  The next of kin had been notified for all required incidents/accidents.  The healthcare assistants interviewed could discuss the incident reporting process.  The clinical coordinator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There have been no reports to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Seven staff files were reviewed (two RNs and five HCAs).  All files contained relevant employment documentation including orientations.  Senior (experienced) HCAs described a mentoring programme for the new, less experienced HCAs.  The education planner documents a two-week induction programme for all staff, with additional training session over the year.  Training records document that all compulsory training has been provided, with good staff attendance.  Current practising certificates were sighted for the registered nurses.  Registered nurses and caregivers have access to external training, which includes clinical education relevant to medical conditions such as the palliative care course.  Five RNs are interRAI competent.  Staff complete competencies relevant to their roles.  </w:t>
            </w:r>
          </w:p>
          <w:p w:rsidR="00EB7645" w:rsidRPr="00BE00C7" w:rsidP="00BE00C7">
            <w:pPr>
              <w:pStyle w:val="OutcomeDescription"/>
              <w:spacing w:before="120" w:after="120"/>
              <w:rPr>
                <w:rFonts w:cs="Arial"/>
                <w:b w:val="0"/>
                <w:lang w:eastAsia="en-NZ"/>
              </w:rPr>
            </w:pPr>
            <w:r w:rsidRPr="00BE00C7">
              <w:rPr>
                <w:rFonts w:cs="Arial"/>
                <w:b w:val="0"/>
                <w:lang w:eastAsia="en-NZ"/>
              </w:rPr>
              <w:t>Of the nine caregivers working in the dementia unit, eight are enrolled for required dementia units and one has completed.  The clinical coordinator has experience in mental health nursing and provides additional leadership in the unit.  All RNs have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is in place to determine staffing levels and skill mixes for safe service delivery.  There is a roster that provides sufficient and appropriate coverage for the effective delivery of care and support.  The manager and assistant clinical coordinator are on duty during the day Monday to Friday.  Both share the on-call requirement for clinical concerns.  </w:t>
            </w:r>
          </w:p>
          <w:p w:rsidR="00EB7645" w:rsidRPr="00BE00C7" w:rsidP="00BE00C7">
            <w:pPr>
              <w:pStyle w:val="OutcomeDescription"/>
              <w:spacing w:before="120" w:after="120"/>
              <w:rPr>
                <w:rFonts w:cs="Arial"/>
                <w:b w:val="0"/>
                <w:lang w:eastAsia="en-NZ"/>
              </w:rPr>
            </w:pPr>
            <w:r w:rsidRPr="00BE00C7">
              <w:rPr>
                <w:rFonts w:cs="Arial"/>
                <w:b w:val="0"/>
                <w:lang w:eastAsia="en-NZ"/>
              </w:rPr>
              <w:t>The RN cover is provided for an RN for each shift, seven days a week, plus and additional RN from midday to 8.00 pm.</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are staffed according to units;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Koru (two wings; 14 residents in total on the day of audit-  five hospital and nine rest home) two HCA for the am and for the PM and one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 (two wings; 20 residents in total on the day of audit - four rest home residents and 16 hospital) two long shifts and one short shift for the AM and the PM shifts and one at night.     </w:t>
            </w:r>
          </w:p>
          <w:p w:rsidR="00EB7645" w:rsidRPr="00BE00C7" w:rsidP="00BE00C7">
            <w:pPr>
              <w:pStyle w:val="OutcomeDescription"/>
              <w:spacing w:before="120" w:after="120"/>
              <w:rPr>
                <w:rFonts w:cs="Arial"/>
                <w:b w:val="0"/>
                <w:lang w:eastAsia="en-NZ"/>
              </w:rPr>
            </w:pPr>
            <w:r w:rsidRPr="00BE00C7">
              <w:rPr>
                <w:rFonts w:cs="Arial"/>
                <w:b w:val="0"/>
                <w:lang w:eastAsia="en-NZ"/>
              </w:rPr>
              <w:t>Dementia (two wings; 12 residents) the clinical coordinator assists in the am and undertakes the medication rounds.  For the am and the pm each has one long-shift and one short-shift HCA and one HCA for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 there are adequate staff on duty at all times.  Staff state they feel supported by the management team who respond quickly to after hour calls.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resident files appropriate to the service type.  Residents entering the service have all relevant initial information recorded within 48 hours of entry into the residents’ individual record and resident register.  Resident clinical and allied health records are integrated.  Personal resident information is kept confidential and cannot be viewed by other residents or members of the public.  Resident files are protected from unauthorised access.  All entries in the progress notes are legible, dated and signed with the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information pack available for residents/families at entry.  The admission agreements reviewed meet the requirements of the Age Related Residential Contract (ARCC).  Exclusions from the service are included in the admission agreement.  All five admission agreements viewed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transfer/discharge/exit policy and procedures in place.  The procedures include a transfer/discharge form and ‘the yellow envelope’ is used.  The RNs report that they include copies of all the required information in the envelope.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four-week robotic sachets system.  Medications are checked on arrival and any pharmacy errors recorded and fed back to the supplying pharmacy.  Registered nurses administer medications in the hospital, rest home and dementia care unit.  Medication competencies are updated annually, and staff attend annual education.  Registered nurses have syringe driver training completed by the hospice.  The medication fridge temperature is checked daily.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use an electronic medication management system and sign for the administration of medications.  Fourteen medication charts were reviewed.  Medications have been reviewed at least three monthly by the GP.  Photo ID and allergy status are recorded.  ‘As required’ medications have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contract company to provide all meals.  There are two cooks who, between them, cover all shifts.  There is also a kitchenhand during the day.  All have current food safety certificates.  The head cook oversees the procurement of the food and management of the kitchen.  There is a well-equipped kitchen and all meals are cooked on-site.  Meals are served directly from a mobile hot box in all dining rooms.  Special equipment such as lipped plates is available.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are noted on a kitchen whiteboard.  The four-weekly seasonal menu cycle is written and approved by an external dietitian.  All resident/families interviewed are happy with the meals.  Additional snacks are available at all times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 that all appropriate personal needs information is gathered during admission in consultation with the resident and their relative where appropriate.  Files contain appropriate assessment tools and assessments that have been reviewed at least six monthly or when there was a change to a resident’s health condition.  The interRAI assessment tool is implemented.  InterRAI assessments have been completed for all long-term residents.  Care plans sampled have been developed on the basis of these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seven resident files reviewed identified that care plans include generic instructions and were not always resident-focused.  Care plans reviewed evidence multidisciplinary involvement in the care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(STCPs) are in use for changes in health status and are STCP’s reviewed had been evaluated on a regular basis and signed off as resolved or transferred to the long-term care plan if an ongoing problem.  There is evidence of service integration with documented input from a range of specialist care professionals including: the podiatrist, physiotherapist, dietitian and mental health care team for older people.  The care staff advise that the care plans are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 that they notify family members about any changes in their relative’s health status.  All five long-term care plans sampled, have interventions documented.  Care plans have been updated as residents’ needs changed.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 forms and written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occurred as planned.  There are two wounds in the rest home (two skin tears), four wounds in the hospital (one lesion, two skin tears and one pressure injury) and no wounds in the dementia unit.  There was one non-facility acquired pressure injury - grade 3.  The facility has accessed the wound care specialist advice as required.  A section 31 had been completed and submitted.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however, one resident care plan which instructed staff to monitor swollen legs twice daily had no monitoring form in place to record the monitoring.  Neurological observations were not monitored according to set timeframes.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who covers five days a week who leads all activities, with caregivers providing some of the activities.  The dementia unit has a dedicated activities programme which is facilitated by the activity coordinator and caregivers.  On the days of audit residents were observed participating in exercises, watching a movie, colouring in and knitting.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in which to participate.  These include (but not limited to) exercises, walks outside, crafts, games and quizzes.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church services and the denominations rotate.  </w:t>
            </w:r>
          </w:p>
          <w:p w:rsidR="00EB7645" w:rsidRPr="00BE00C7" w:rsidP="00BE00C7">
            <w:pPr>
              <w:pStyle w:val="OutcomeDescription"/>
              <w:spacing w:before="120" w:after="120"/>
              <w:rPr>
                <w:rFonts w:cs="Arial"/>
                <w:b w:val="0"/>
                <w:lang w:eastAsia="en-NZ"/>
              </w:rPr>
            </w:pPr>
            <w:r w:rsidRPr="00BE00C7">
              <w:rPr>
                <w:rFonts w:cs="Arial"/>
                <w:b w:val="0"/>
                <w:lang w:eastAsia="en-NZ"/>
              </w:rPr>
              <w:t>There are van outings twice a week.  There are regular entertainers visiting the facility.  Special events like birthdays, Easter, Mothers’ Day and Anzac Day are celebrated.  There was evidence of Easter craft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visiting community groups such as choirs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 monthly at the same time as the review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Files sampled demonstrated that the long-term nursing care plan has been evaluated at least six-monthly or earlier if there was a change in health status.  There was at least a three-monthly review by the GP.  Short-term care plans sighted were evaluated and resolved or added to the long-term care plan if the problem is ongoing, as sighted in resident files sampled.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dietitian and mental health services for older people.  Discussion with the registered nurse confirms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Management of waste and hazardous substances is covered during orientation and staff have attended chemical safety training.  All chemicals are clearly labelled with manufacturer’s labels and stored in locked areas.  Safety datasheets and product sheets are available.  Sharps containers are available in the sluice rooms and meet the hazardous substances regulations for containers.  The hazard register identifies hazardous substances and staff indicate a clear understanding of processes and protocols.  Gloves, aprons, and goggles are available for staff.  The maintenance person described the safe management of hazardous material.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Certificate of Public Use (dated 16 May 2017).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All hoists and scales have been checked and tagged.  Hot water temperatures have been monitored randomly in resident areas and are within the acceptable range.  The communal lounges and hallways are carpeted.  The utility areas such as the kitchen, laundry and sluice rooms have vinyl flooring.  Residents’ rooms are carpeted and ensuites and communal showers and toilets have nonslip vinyl flooring.  All halls have safety rails and promote safe mobility with the use of mobility aids.  Residents were observed moving freely around the areas with mobility aids where required.  The external areas, courtyards and gardens are well maintained.  All courtyards have attractive features and are easily accessible to residents.  The dementia unit has a walking pathway, gardens and raised garden beds.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have single occupancy.  There were a variety of rooms throughout the facility with ensuite toilets and sink.  All residents shower using one of the two large communal bathrooms in each dual-purpose wing.  Fixtures, fittings and flooring are appropriate and toilet/shower facilities are well maintained and easy to clean.  There is ample space in all toilet and shower areas to accommodate shower chairs and hoists if appropriate.  There are privacy signs on all shower/toilet doors.  There are visitor toilets available in the main corridor.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are spacious and allow care to be provided and the safe use of mobility aids.  Staff report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communal areas at the end of each wing.  Activities occur in the communal areas, with residents assisted from other wings to attend.  There are spaces where residents, who prefer quieter activities or visitors, may sit.  Some lounges open out onto attractive courtyard areas.  The communal lounges are also used as dining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contracted out.  There is a washer and dryer available for caregivers to complete some personal clothing laundry.  There is a comprehensive laundry and cleaning manual.  Cleaning and laundry services are monitored through the internal auditing system.  The cleaners’ equipment was attended at all times, or locked away in the cleaners’ room as sighted on the day of the audit.  Cleaning is done by on-site cleaners.  There are three sluice rooms for the disposal of soiled water or waste.  The sluice room and the laundry are kept closed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There is a staff member with a first aid certificate on duty at all times.  The facility has a fire evacuation plan that has been approved by the fire service 5 April 2017.  A fire drill was completed as part of induction and 20/10/2017.  Smoke alarms, sprinkler system and exit signs are in place.  A gas barbeque and torches are available in the event of a power failure.  Emergency lighting is in place.  A civil defence kit is in place.  Supplies of stored water is in tanks.  Electronic call-bells are evident in resident’s rooms, lounge areas and toilets/bathrooms.  All call bells have an emergency button available and all bells alert on electronic panels visible throughout each suite.  There is a keypad lock into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The security policies are being implemented around locking of the facility from dusk to dawn.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underfloor electrical.  Staff stated that this is effective.  Residents interviewed confirmed the temperature was good.  The facility has a designated smoking area but there are no residents who currently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an RN who has completed an infection control course.  The infection control coordinator oversees infection control for the facility and is responsible for the collation of infection events.  The infection control coordinator has a defined job description.  Infection events are collated monthly and reported to combined infection control and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has been developed by the CHT management team infection control team and is linked to the quality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attended external infection control and prevention control education, including DHB infection control nurse meetings, and she leads the infection control focus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combined infection control/health and safety committee form part of the quality risk committee.  The committee meets monthly and discuss infection control events and quality data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access to GPs, local laboratory, the infection control nurse specialist at the DHB and public health departments at the local DHB for advice and an external infection control consultant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comprehensive range of standards and guidelines, including defining roles and responsibilities for the prevention of infection, training and education of staff.  Infection control procedures developed in respect of the kitchen, laundry and housekeeping incorporate the principles of infection control.  The policies are reviewed regularly by the CHT senior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Training on infection control is included in orientation and as part of the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coordinator/RN oversees infection surveillance for the service.  Surveillance is an integral part of the infection control programme and is described in CHTs infection control manual.  Monthly infection data is collected for all infections based on standard definitions as described in the surveillance policy.  Infection control data is monitored and evaluated monthly and annually.  Trends and analysis of infection events, outcomes and actions are discussed at the combined quality/health and safety and infection control meetings.  Results from laboratory tests are available monthly.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restraint minimisation and safe practice.  Policy includes guidelines and definitions for use of enablers and restraint.  On the day of the audit there were three with restraints in use (lap belts) and one resident with a lap belt as an enabler.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 was reviewed for enabler use and identified the resident had given voluntary consent.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with a defined job description, she also leads the restraint focus group.  Restraint discussion and quality data around restraint and enabler use is included in the quality/risk meetings and clinical meetings.  Care staff receive education on safe restraint use at orientation and annually.  There is ongoing education including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assessment tool is completed for residents requiring an approved restraint for safety.  The RN in partnership with the restraint coordinator, the resident and their family/whānau undertakes assessments.  Ongoing consultation with the resident and family/whānau are evident.  A restraint assessment form had been completed for three resident files reviewed requiring restraint (sighted).  Assessments identify risks related to the use of restraint and the specific interventions or strategies to try (as appropriate) before implementing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approval process (as part of the restraint minimisation policy) that is applicable to the service.  Monitoring and observation is included in the restraint policy.  The restraint coordinator is responsible for ensuring all restraint documentation is completed.  Each episode of restraint is monitored at pre-determined intervals, depending on individual risk to that resident.  </w:t>
            </w:r>
          </w:p>
          <w:p w:rsidR="00EB7645" w:rsidRPr="00BE00C7" w:rsidP="00BE00C7">
            <w:pPr>
              <w:pStyle w:val="OutcomeDescription"/>
              <w:spacing w:before="120" w:after="120"/>
              <w:rPr>
                <w:rFonts w:cs="Arial"/>
                <w:b w:val="0"/>
                <w:lang w:eastAsia="en-NZ"/>
              </w:rPr>
            </w:pPr>
            <w:r w:rsidRPr="00BE00C7">
              <w:rPr>
                <w:rFonts w:cs="Arial"/>
                <w:b w:val="0"/>
                <w:lang w:eastAsia="en-NZ"/>
              </w:rPr>
              <w:t>Restraint use is recorded in the care plan; however, risks and cares to be carried out during the restraint episode are not well documented (link to 1.3.5.2).  Individual restraint monitoring booklets evidence that checks and cares have been carried out according to the documented frequency described in the monitoring tool.  There is an up-to-date restraint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six monthly as part of the ongoing review for residents on the restraint register, and as part of their care plan review.  Families (where possible) and the GP and RNs are included as part of this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is monitored regularly.  The review of restraint use is discussed at the quality risk meetings and relevant facility meetings.  The facility is proactive in minimising restraint.  Internal restraint audits are completed six monthly and demonstrate compliance of the standard.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21"/>
        <w:gridCol w:w="1280"/>
        <w:gridCol w:w="4035"/>
        <w:gridCol w:w="5088"/>
        <w:gridCol w:w="19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resident files were reviewed, three hospital level, two dementia care and two rest home.  All seven residents had a care plan documented.  Interventions were documented, but were not always individualised to accommodate all assessed resident need.  Staff interviewed, however, were knowledgeable regarding resident care needs.  The risks for the use of restraint and enablers was not included in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three hospital files, and one of three rest home files did not include all interventions to support all aspects of assessed needs.  Examples include; one hospital resident identified with diabetes instructed to monitor BSLs.  There were no accepted blood sugar levels identified.  One rest home resident care plan instructed staff to ‘reassess medications’ and ‘avoid constipation’ but no specific interventions and how to do this.  The risks associated with restraint and enabler use was not routinely documented in the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that all resident care plans include interventions to support all resident assessed needs.  Ensure interventions are documented to manage the risks associated with restraint and enablers.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charts are available for a variety of monitoring needs such as weight, neurological observations, repositioning and vital signs.  Care plans document monitoring needs and care staff state that all residents are informally monitored at all times.  Not all monitoring is documented as occurring.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(i)One hospital resident (identified as having swollen legs) care plan instructs staff to monitor twice daily.  There was no recording of monitoring of swollen legs.  </w:t>
            </w:r>
          </w:p>
          <w:p w:rsidR="00EB7645" w:rsidRPr="00BE00C7" w:rsidP="00BE00C7">
            <w:pPr>
              <w:pStyle w:val="OutcomeDescription"/>
              <w:spacing w:before="120" w:after="120"/>
              <w:rPr>
                <w:rFonts w:cs="Arial"/>
                <w:b w:val="0"/>
                <w:lang w:eastAsia="en-NZ"/>
              </w:rPr>
            </w:pPr>
            <w:r w:rsidRPr="00BE00C7">
              <w:rPr>
                <w:rFonts w:cs="Arial"/>
                <w:b w:val="0"/>
                <w:lang w:eastAsia="en-NZ"/>
              </w:rPr>
              <w:t>(ii) Two residents who required neurological observation post fall did not have these documented according to set time 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monitoring is completed as per care plan instructions.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Highfield Home and Hospital</w:t>
    </w:r>
    <w:bookmarkEnd w:id="58"/>
    <w:r>
      <w:rPr>
        <w:rFonts w:cs="Arial"/>
        <w:sz w:val="16"/>
        <w:szCs w:val="20"/>
      </w:rPr>
      <w:tab/>
      <w:t xml:space="preserve">Date of Audit: </w:t>
    </w:r>
    <w:bookmarkStart w:id="59" w:name="AuditStartDate1"/>
    <w:r>
      <w:rPr>
        <w:rFonts w:cs="Arial"/>
        <w:sz w:val="16"/>
        <w:szCs w:val="20"/>
      </w:rPr>
      <w:t>22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