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Moana House Trust Board - Moana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Moana House</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Moana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February 2018</w:t>
      </w:r>
      <w:bookmarkEnd w:id="7"/>
      <w:r w:rsidRPr="009418D4">
        <w:rPr>
          <w:rFonts w:cs="Arial"/>
        </w:rPr>
        <w:tab/>
        <w:t xml:space="preserve">End date: </w:t>
      </w:r>
      <w:bookmarkStart w:id="8" w:name="AuditEndDate"/>
      <w:r w:rsidR="00A4268A">
        <w:rPr>
          <w:rFonts w:cs="Arial"/>
        </w:rPr>
        <w:t>9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Reconfiguration of seven additional beds as suitable for dual purpose use.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Moana House provides rest home and hospital level care for up to 51 residents. The service is operated by Moana House Trust Board and managed by a facility manager with support from a clinical nurse manager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a continuous improvement in governance and two areas identified as requiring improvement related to staff recruitment, and further updating of resident assessments.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individual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as required. Actual and potential risks, including health and safety risks, are identified and mitigated.  Policies and procedures support service delivery and are current and reviewed regularly. </w:t>
      </w:r>
    </w:p>
    <w:p w:rsidRPr="00A4268A">
      <w:pPr>
        <w:spacing w:before="240" w:line="276" w:lineRule="auto"/>
        <w:rPr>
          <w:rFonts w:eastAsia="Calibri"/>
        </w:rPr>
      </w:pPr>
      <w:r w:rsidRPr="00A4268A">
        <w:rPr>
          <w:rFonts w:eastAsia="Calibri"/>
        </w:rPr>
        <w:t xml:space="preserve">The appointment, orientation and management of staff complies with the service’s policies.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 facility is maintaining its philosophy and practice of no physical restraint interventions. On the days of audit four residents had enablers in use at their request and with their consent. Staff demonstrated a sound knowledge and understanding of alternatives to restraint and what to do if restraints or enablers are assessed as being needed.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18"/>
        <w:gridCol w:w="1280"/>
        <w:gridCol w:w="95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and include establishing and documenting enduring power of attorney requirements and processes for residents unable to consent is defined and documented.  Clinical files reviewed showed that informed consent has been gained appropriately using the organisation’s standard consent form and evidenced in the resident’s files reviewed.  Where a resident is deemed as incompetent to make an informed choice the enduring power of attorney (EPOA) will consent on behalf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There is a focus on the development of advance care planning for all residents to reduce the need to be transferred to hospital unless an acute situation arises.  The seven of seven resident files reviewed all had an advance care plan that was signed by the GP.  Each advance care plan was discussed with and signed by the resident and acknowledged by family/EPOA as being aware of the wishes of their relative.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The acting clinical nurse manager was able to provide an example of the involvement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the one complaint received from a resident last year was investigated. The local advocate was asked by the facility to meet with residents including the complainant to discuss the issue (meals). A suggestion made at the meeting was implemented. The matter is now closed and all communication and actions taken are documented and completed within the timeframes.  The general manager (GM) is responsible for complaints management and follow up. All staff interviewed confirmed a sound understanding of the complaint process and what actions are required. There have been no complaints submitted to the Office of the Health and Disability Commissioner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 being made aware of the Code and the Nationwide Health and Disability Advocacy Service (Advocacy Service) as part of the admission information provided and discussions with staff. The Code is displayed in the main corridor of the facility together with information on advocacy services, how to make a complaint and feedback forms also found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maintain privacy throughout the audit.  All residents have a private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partaking in community events, arranging their own visits to the doctor and participation in clubs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whanau.  There is a current Māori health plan developed with input from cultural advisers.  Values and beliefs are acknowledged within the support of the Te Whare Tapa Wha model with cultural aspects of care integrated throughout care planning.  Guidance on tikanga best practice is available and is supported by staff who identify as Māori in the facility.  At the time of audit there were no residents who affiliated with their Maori culture.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for example, the attending of church.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diabetes nurse specialist, wound care specialist, a psychogeriatrician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current residents being able to speak English, and staff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 term objectives and the associated operational plans. A sample of monthly reports to the board of directors showed adequate information to monitor performance is reported including complaints, financial performance, emerging risks and issues.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general manager (GM) who holds relevant qualifications and has been in the role for 16 years. Responsibilities and accountabilities are defined in a job description and individual employment agreement.  The GM confirms knowledge of the sector, regulatory and reporting requirements and maintains currency through attendance at conferences and leadership and management courses.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well as the Aged Residential Care contract, the service holds agreement with the DHB for provision of primary care, including palliative care, transitional care and residential respite services. There is also a young persons with disability (YPD) contract in place with the MoH, though there have been no YPD residents admitted for some years. Twenty two residents were receiving rest home level care and 18 hospital level care at the time of audit. There are one resident living in the serviced apartments receiving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Moana House is part of a business entity comprising eight aged care facilities who share common factors such as being located rurally and governed by not for profit organisations.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GM is absent, the clinical manager carries out all the required duties under delegated authority. During absences of key clinical staff, the clinical management is overseen by a senior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audit activities, a regular residents and family satisfaction survey, monitoring of outcomes, and reporting of clinical incidents including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team meeting, RN meetings and full staff meetings. Staff reported their involvement in quality and risk management activities through audit activities and wider group discussion at meetings. The benchmarking graphs are displayed in staff areas. Relevant corrective actions are developed and implemented to address any shortfalls. Resident and family satisfaction surveys are completed annually. The most recent (May 2017) survey showed an increase in the number of surveys returned (64%). The relative and resident feedback was positive about care and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All the policies reviewed were current and comply with these standards and the ARC contract.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GM described the processes for the identification, monitoring, review and reporting of risks and development of mitigation strategies. The designated Health and Safety officer and the GM are familiar with the Health and Safety at Work Act (2015) and have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All incidents were reviewed by the clinical nurse manager (CNM) and signed off by the GM. Where further investigation or improvement is required, corrective actions are recorded and there are processes to ensure actions are implemented and then closed off in a timely manner.  A range of adverse event data, for example, falls-with and without injury, urinary tract infections (UTIs) and skin tears is collated, and reported to CTCA for benchmarking each month. The facility also retains its own month by month comparison and analysis reports.</w:t>
            </w:r>
          </w:p>
          <w:p w:rsidR="00EB7645" w:rsidRPr="00BE00C7" w:rsidP="00BE00C7">
            <w:pPr>
              <w:pStyle w:val="OutcomeDescription"/>
              <w:spacing w:before="120" w:after="120"/>
              <w:rPr>
                <w:rFonts w:cs="Arial"/>
                <w:b w:val="0"/>
                <w:lang w:eastAsia="en-NZ"/>
              </w:rPr>
            </w:pPr>
            <w:r w:rsidRPr="00BE00C7">
              <w:rPr>
                <w:rFonts w:cs="Arial"/>
                <w:b w:val="0"/>
                <w:lang w:eastAsia="en-NZ"/>
              </w:rPr>
              <w:t>The GM described essential notification reporting requirements, including for pressure injuries. What needs to be notified is also documented in policy. There have been three notifications of significant events made to the Ministry of Health since the previous audit. Two of these were of transferred in clients with notifiable pressure injuries. No police investigations, coroner’s inquests, or issues based audits have occurred.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and validation of qualifications and practising certificates (APCs), where required.  There is no policy or practice of police checking. Otherwise, the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at the end of 90 days.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still to complete training and recognition as an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as determined by the resident’s current needs and acuity. An afterhours on call roster is in place, with staff reporting that good access to advice is available when needed. Recruitment for a permanent clinical nurse manager is underway.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All RNs and team leaders hold current first aid certificate ensuring at least one person is on site with a current certificate. There is 24 hour/seven days a week (24/7) RN coverage in the hospital. The serviced apartments are within the main building and the needs of any rest home level care residents there are taken into account with staff allocation.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increase in dual service beds from five to twelve has been taken into account with rostering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Two examples reviewed were of a patient recently transferred to the local acute care facility in December of 2017 and a resident transferred to another facility (due to a change in level of care) in November 2017.  Archived files showed all relevant documentation was provided and evidence of communication with the family and GP was evident.  Families of the residents reported being kept well informed during the transfers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was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Appropriate processes are in place to ensure this is managed in a safe manner, should this be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facility is currently developing an approved food safety plan and aware of the March 2018 deadline.  Food temperatures, including for high risk items, are monitored appropriately and recorded as part of the plan. The cook interviewed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There is a resident feedback book in the dining room, and positive comments about meals provided by the kitchen staff have been entered by residents.  Residents were seen to be given sufficient time to eat their meal in an unhurried fashion and those requiring assistance had this provided.  The rest home resident who resides in the facility apartments was seen to have their meals in the main dining room with options of having a tray in their room for breakfast.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whanau/family.   Example of this occurring was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a pain scale, falls risk, skin integrity, nutritional screening, challenging behaviours and depression scale, as a means to identify any deficits and to inform care planning when the resident is initially admitted to the facility. The sample of care plans reviewed had an integrated range of resident-related information.  Residents have an interRAI assessment completed by one of two trained interRAI assessors on site (one of the interRAI trained staff is the general manager), however not all residents had an up to date interRAI assessment (please refer to criterion 1.3.3.3).  Residents and families confirmed their involvement in the assessment process.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and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One of nine GPs interviewed, verified that medical input is sought in a timely manner, that medical orders are followed, and ‘care is appropriate for the level of care provided at the facility’.  The facility has a contracted physiotherapist that visits once a week and a physiotherapy assistant (staff member) who works ten hours a fortnight supporting the residents with an exercise plan set by the physio.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one activities co-ordinator, two activities assistants and regular volunteers which include the St Johns carers and different members of the community.  The activities staff work Monday to Friday 8am to 4.30pm and Saturdays from 9am to 12mdi-day.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and group), twice weekly van trips, clubs such as the gardening club, ‘knit n’ natter’ group and other regular entertainment.  The resident receiving rest home care and residing in the facility’s apartments was seen to be included and partaking in activities at the time of audit.  Residents and families/whānau are involved in evaluating and improving the programme through residents’ meetings and satisfaction surveys. Residents interviewed confirmed they find the programme interactive.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were identified in progress notes and consistently reviewed, and progress evaluated as clinically indicated for infections and wounds, for example.  When necessary, and for unresolved problems, long term care plans are added to an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nine GP’s (four of those nine GP’s are locum support’), residents may choose to use another medical practitioner. If the need for other non-urgent services are indicated or requested, the GP or RN sends a referral to seek specialist input.  Copies of referrals were sighted in residents’ files, including to clinical nurse specialists.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 maintenance employee is the designated chemical handler and has completed the required chemical handling approved handler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06 October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said that they are happy with the environment and confirmed they know the processes they should follow if any repairs or maintenance is required. Review of maintenance journals demonstrated that requests were appropriately actioned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All 27 rest home/dual purpose rooms have their own toilet. Eleven hospital rooms have their own toilet and share showers between two. There are six other communal shower rooms across the rest of the facility and a bed shower is available. Communal toilets are located across all areas of the home including three visitors and staff toilets.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Appropriately secured and approved handrails are provided in the toilet/shower areas, and other equipment/accessories are available and were sighted in use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In December 2017 the provider notified the Ministry of Heath of their intention to reconfigure seven rest home bedrooms as dual purpose. These rooms were inspected on site and all meet the requirements for provision of hospital level care. The number of dual service beds is now 12.</w:t>
            </w:r>
          </w:p>
          <w:p w:rsidR="00EB7645" w:rsidRPr="00BE00C7" w:rsidP="00BE00C7">
            <w:pPr>
              <w:pStyle w:val="OutcomeDescription"/>
              <w:spacing w:before="120" w:after="120"/>
              <w:rPr>
                <w:rFonts w:cs="Arial"/>
                <w:b w:val="0"/>
                <w:lang w:eastAsia="en-NZ"/>
              </w:rPr>
            </w:pPr>
            <w:r w:rsidRPr="00BE00C7">
              <w:rPr>
                <w:rFonts w:cs="Arial"/>
                <w:b w:val="0"/>
                <w:lang w:eastAsia="en-NZ"/>
              </w:rPr>
              <w:t>There is room on site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are three dining areas and three lounge areas which are easily access for residents and staff.  Additional to this are five smaller lounges for residents to use for visits 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in a fit for purpose laundry by staff employed to carry out laundry tasks each day of the week.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Designated cleaners are on site for up to six hours each every day. They attend regular training in subjects appropriate to their roles, as confirmed in interview and sighted in rosters and training records.  Chemicals were stored in lockable cupboards and were in appropriately labelled containers. All areas inspected throughout the facility were spotlessly clean. The methods for cleaning are reviewed and new systems are introduced if required. Residents and their families commented that the home was always clean and odourless. Cleaning and laundry processes are monitored for effectiveness through the internal audit programme. These audits have revealed no issues.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25 March 1988. A trial evacuation takes place six-monthly with a copy sent to the New Zealand Fire Service, the most recent being on 21 August 2017. The residents in the serviced apartments are always included in fire drills. These apartments are within and linked to the main facility’s emergency systems and sprinklers and hard wired smoke detectors are installed.</w:t>
            </w:r>
          </w:p>
          <w:p w:rsidR="00EB7645" w:rsidRPr="00BE00C7" w:rsidP="00BE00C7">
            <w:pPr>
              <w:pStyle w:val="OutcomeDescription"/>
              <w:spacing w:before="120" w:after="120"/>
              <w:rPr>
                <w:rFonts w:cs="Arial"/>
                <w:b w:val="0"/>
                <w:lang w:eastAsia="en-NZ"/>
              </w:rPr>
            </w:pPr>
            <w:r w:rsidRPr="00BE00C7">
              <w:rPr>
                <w:rFonts w:cs="Arial"/>
                <w:b w:val="0"/>
                <w:lang w:eastAsia="en-NZ"/>
              </w:rPr>
              <w:t>The new staff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Moana House is a designated Civil Defence point for community assembly in the event of disaster or civil defence emergency. The facility is mindful of this and stores include food, blankets, mobile phones and portable gas and they estimate they could provide for a maximum of 51 residents and staff and community for up to five days. The system was sighted and discussed with the support services manager, who is a member of the local emergency response team. The site uses town supply water and has its own bore for emergency use.  There is a generator on site. Emergency lighting is regularly tested and often used because of frequent power outages.</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Residents and families reported staff usually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Doors and windows are locked each evening at a predetermined time to maintain security. There have been no security incidents in recent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Heating is provided by [by central electric heating systems with outlets in residents’ rooms and in the common areas. All parts of the home were warm and well ventilated throughout the audit and residents and families confirmed the environment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 the risk of infection to residents, staff and visitors.  The programme is guided by a comprehensive and current infection control manual, with input from the GP and local medical centre.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general manager and tabled at monthly staff meetings and two monthly infection control meetings.  This committee includes the general manager, IPC coordinator, the health and safety officer, and representatives from food services and household management.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and two other main entrances that visitors enter the facility by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for seven years.  She has attended relevant study days, as verified in training records sighted.  Additional support and information is accessed from the infection control team at the DHB, the community laboratory, the GP, medical centre and public health unit, as required.  The coordinator has access to residents’ records and diagnostic results to ensure timely treatment and resolution of any infections.  Five residents have been identified by the facility who present frequently with chronic infections; long term plans identify these issues and interventions are in place to reduce and minimise the risk of further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 the requirements of the infection prevention and control standard and current accepted good practice.  Policies were last reviewed in September 2017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sanitiser dispensers and hand washing signs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in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and this occurs at staff handovers.</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all staff, the general manager and the board of directors as required.  Data is benchmarked externally within the group of eight other facilities.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if required. The service has a philosophy and practice of no restraint which has been maintained for many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four residents using enablers (bed levers and one person who wears an alert bracelet which triggers an alarm if it goes beyond external doors) at the time of this audit. The clinical nurse manager provides support and oversight for enacting the policy and providing staff with ongoing restraint education. This person demonstrated a sound understanding of the organisation’s policies, procedures and practice and the responsibilities of the role. </w:t>
            </w:r>
          </w:p>
          <w:p w:rsidR="00EB7645" w:rsidRPr="00BE00C7" w:rsidP="00BE00C7">
            <w:pPr>
              <w:pStyle w:val="OutcomeDescription"/>
              <w:spacing w:before="120" w:after="120"/>
              <w:rPr>
                <w:rFonts w:cs="Arial"/>
                <w:b w:val="0"/>
                <w:lang w:eastAsia="en-NZ"/>
              </w:rPr>
            </w:pPr>
            <w:r w:rsidRPr="00BE00C7">
              <w:rPr>
                <w:rFonts w:cs="Arial"/>
                <w:b w:val="0"/>
                <w:lang w:eastAsia="en-NZ"/>
              </w:rPr>
              <w:t>Alternatives to the use of restraint include the use of sensor mats, effective distraction and redirection, and provision of an engaging activities programme. This was evident by observations on the audit days, residents’ files reviewed, and from interviews with staff from a range of roles.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80"/>
        <w:gridCol w:w="1280"/>
        <w:gridCol w:w="7816"/>
        <w:gridCol w:w="1359"/>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eight staff files reviewed had evidence of at least two reference checks but no evidence of police checking. The GM interviewed stated it has not been their practice to do this, as the application form asks for a statement about criminal convictions, and the manager is always informed by local police when known criminals move into the area. Best safe practice employment process, require police checks for people who desire to work in aged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Prospective employees are not being police checked.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criminal background checks are conducted on all potential employees.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client-specific initial care plans and long-term care plans.  Residents have an interRAI assessment completed by one of two trained interRAI assessors on site (one of the interRAI trained staff is the general manager).  Two days a week are dedicated to completing interRAI assessments, however due to an interRAI assessor currently away on extended sick leave, four residents do not have a current and up to date interRAI and the assessments are overdue by 14 days.  The general manager has commenced these interRAI assessments.  Staff interviewed stated that they knew the residents very well and were able to identify and meet their needs.  Residents and families confirmed their involvement in the assessment process.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(4) of 40 residents did not have an up to date interRAI assessment.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interRAI assessments are completed with the required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26"/>
        <w:gridCol w:w="1280"/>
        <w:gridCol w:w="9119"/>
        <w:gridCol w:w="221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Moana House combined with seven other aged care facilities in the wider Waikato community who are governed by charitable trusts and formed a company, Community Trust Care Aotearoa (CTCA) in 2014. The aims of the Trust are to who work collaboratively and share resources in ways that sustain and support the individual trusts (eg, bulk purchase of products and supply agreements, benchmarking and information systems).  A recent evaluation has proved cost savings, for example $35,000 saved in continence supplies over a three year period.  Qualitative measures include enhancing all directors’ professionalism and overall improved governance, and gains from providing peer support for a range of employees who were previously working in isolation, for example, activities staff, clinical managers, and facility managers. The group is also working together to share methods and resources for staff education which has improved the frequency and calibre of ongoing staff training. There is now monthly benchmarking of adverse events which benefits each service by providing them with comparative data and using group intelligence to identify how to halt unwanted trends and replicate favourable trends. The group company received a finalist’s award for Business Innovation by an International Forum (Eldercare Innovation Awards) in 2017. Resident care and options for service delivery have been enhanced, as evidenced by the feedback in formal surveys and anecdotal reports.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benefits resulting from the formation of CTCA have been evaluated and proven using qualitative and quantitative measures.  Residents have benefited from ideas for different activities generated at activities meetings, improved performance of clinical nurse managers who feel more supported in their roles and an increase in other staff skills and knowledge.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Moana House Trust Board - Moana House</w:t>
    </w:r>
    <w:bookmarkEnd w:id="58"/>
    <w:r>
      <w:rPr>
        <w:rFonts w:cs="Arial"/>
        <w:sz w:val="16"/>
        <w:szCs w:val="20"/>
      </w:rPr>
      <w:tab/>
      <w:t xml:space="preserve">Date of Audit: </w:t>
    </w:r>
    <w:bookmarkStart w:id="59" w:name="AuditStartDate1"/>
    <w:r>
      <w:rPr>
        <w:rFonts w:cs="Arial"/>
        <w:sz w:val="16"/>
        <w:szCs w:val="20"/>
      </w:rPr>
      <w:t>8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