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Waiapu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Waiapu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January 2018</w:t>
      </w:r>
      <w:bookmarkEnd w:id="7"/>
      <w:r w:rsidRPr="009418D4">
        <w:rPr>
          <w:rFonts w:cs="Arial"/>
        </w:rPr>
        <w:tab/>
        <w:t xml:space="preserve">End date: </w:t>
      </w:r>
      <w:bookmarkStart w:id="8" w:name="AuditEndDate"/>
      <w:r w:rsidR="00A4268A">
        <w:rPr>
          <w:rFonts w:cs="Arial"/>
        </w:rPr>
        <w:t>12 January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Waiapu House Lifecare provides rest home and hospital level care for up to 74 residents. The service is operated by Heritage Lifecare Limited (HLL) and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management, staff and contracted allied health providers. A general practitioner was not available for interview.</w:t>
      </w:r>
    </w:p>
    <w:p w:rsidRPr="00A4268A">
      <w:pPr>
        <w:spacing w:before="240" w:line="276" w:lineRule="auto"/>
        <w:rPr>
          <w:rFonts w:eastAsia="Calibri"/>
        </w:rPr>
      </w:pPr>
      <w:r w:rsidRPr="00A4268A">
        <w:rPr>
          <w:rFonts w:eastAsia="Calibri"/>
        </w:rPr>
        <w:t>This audit has resulted in a continuous improvement for infection prevention and control. There were one area identified as requiring improvement relating to staff members name being identifiable in progress notes.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and care provided support personal privacy, independence, individuality and dignity. Staff interact with residents in a respectful manner. There was no evidence of abuse, neglect or discrimination.</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 and act on any advance directives.</w:t>
      </w:r>
    </w:p>
    <w:p w:rsidRPr="00A4268A">
      <w:pPr>
        <w:spacing w:before="240" w:line="276" w:lineRule="auto"/>
        <w:rPr>
          <w:rFonts w:eastAsia="Calibri"/>
        </w:rPr>
      </w:pPr>
      <w:r w:rsidRPr="00A4268A">
        <w:rPr>
          <w:rFonts w:eastAsia="Calibri"/>
        </w:rPr>
        <w:t xml:space="preserve">Residents who identify as Māori, or other cultures, have their needs met in a manner that respects their individual cultural values and beliefs.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Monitoring of the services provided to the governing body is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identification of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performance review. Staff levels and skill mix meet the changing needs of residents.</w:t>
      </w:r>
    </w:p>
    <w:p w:rsidRPr="00A4268A">
      <w:pPr>
        <w:spacing w:before="240" w:line="276" w:lineRule="auto"/>
        <w:rPr>
          <w:rFonts w:eastAsia="Calibri"/>
        </w:rPr>
      </w:pPr>
      <w:r w:rsidRPr="00A4268A">
        <w:rPr>
          <w:rFonts w:eastAsia="Calibri"/>
        </w:rPr>
        <w:t xml:space="preserve">There was no information of a personal nature on display. There is secure storage of records.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Entry to the service is clearly defined in policies. If a potential resident is declined entry to the service, this is recorded and the referrer informed. </w:t>
      </w:r>
    </w:p>
    <w:p w:rsidRPr="00A4268A" w:rsidP="00621629">
      <w:pPr>
        <w:spacing w:before="240" w:line="276" w:lineRule="auto"/>
        <w:rPr>
          <w:rFonts w:eastAsia="Calibri"/>
        </w:rPr>
      </w:pPr>
      <w:r w:rsidRPr="00A4268A">
        <w:rPr>
          <w:rFonts w:eastAsia="Calibri"/>
        </w:rPr>
        <w:t>The organisation has systems and processes implemented to assess, plan and evaluate the care needs of residents requiring hospital and rest home level care. Staff are qualified to perform their roles and deliver all aspects of service delivery. All residents are assessed on admission and assessment details are retained in the individual resident’s record.</w:t>
      </w:r>
    </w:p>
    <w:p w:rsidRPr="00A4268A" w:rsidP="00621629">
      <w:pPr>
        <w:spacing w:before="240" w:line="276" w:lineRule="auto"/>
        <w:rPr>
          <w:rFonts w:eastAsia="Calibri"/>
        </w:rPr>
      </w:pPr>
      <w:r w:rsidRPr="00A4268A">
        <w:rPr>
          <w:rFonts w:eastAsia="Calibri"/>
        </w:rPr>
        <w:t xml:space="preserve">The residents’ lifestyle plans document the needs, outcomes and/or goals and these are reviewed at least six monthly, or more often as required. The service uses a mix of electronic and paper based assessment tools. The residents, and where appropriate the family/whanau, are involved in the lifestyle planning and review. </w:t>
      </w:r>
    </w:p>
    <w:p w:rsidRPr="00A4268A" w:rsidP="00621629">
      <w:pPr>
        <w:spacing w:before="240" w:line="276" w:lineRule="auto"/>
        <w:rPr>
          <w:rFonts w:eastAsia="Calibri"/>
        </w:rPr>
      </w:pPr>
      <w:r w:rsidRPr="00A4268A">
        <w:rPr>
          <w:rFonts w:eastAsia="Calibri"/>
        </w:rPr>
        <w:t xml:space="preserve">The activities available are appropriate for residents requiring hospital and rest home level care, including the needs of younger people under the age of 65. The programme is a strength of the service and meets the interests of the residents. </w:t>
      </w:r>
    </w:p>
    <w:p w:rsidRPr="00A4268A" w:rsidP="00621629">
      <w:pPr>
        <w:spacing w:before="240" w:line="276" w:lineRule="auto"/>
        <w:rPr>
          <w:rFonts w:eastAsia="Calibri"/>
        </w:rPr>
      </w:pPr>
      <w:r w:rsidRPr="00A4268A">
        <w:rPr>
          <w:rFonts w:eastAsia="Calibri"/>
        </w:rPr>
        <w:t xml:space="preserve">The service has implemented a web based medication management system that complies with current legislation. Staff who assist in medication management are assessed as competent to perform their role. There is a process in place for residents to safely self-administer their medications. </w:t>
      </w:r>
    </w:p>
    <w:p w:rsidRPr="00A4268A" w:rsidP="00621629">
      <w:pPr>
        <w:spacing w:before="240" w:line="276" w:lineRule="auto"/>
        <w:rPr>
          <w:rFonts w:eastAsia="Calibri"/>
        </w:rPr>
      </w:pPr>
      <w:r w:rsidRPr="00A4268A">
        <w:rPr>
          <w:rFonts w:eastAsia="Calibri"/>
        </w:rPr>
        <w:t xml:space="preserve">The menu plan has been developed for Heritage Lifecare and has been reviewed by a dietitian. Each resident is assessed on admission for any identified needs in relation to nutritional status, weight, likes and dislikes. The kitchen has registered a food safety plan.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One enabler and six restraints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There is a documented and implemented infection control programme which is appropriate to the service. The plan and outcomes are reviewed annually. Infection prevention and control policies and procedures are clearly documented and implemented to minimise risk of infection to residents, staff and visitors. The policies reflect current accepted good practice and are readily available for staff.  The GP, or other specialised input, is sought as required.</w:t>
      </w:r>
    </w:p>
    <w:p w:rsidRPr="00A4268A">
      <w:pPr>
        <w:spacing w:before="240" w:line="276" w:lineRule="auto"/>
        <w:rPr>
          <w:rFonts w:eastAsia="Calibri"/>
        </w:rPr>
      </w:pPr>
      <w:r w:rsidRPr="00A4268A">
        <w:rPr>
          <w:rFonts w:eastAsia="Calibri"/>
        </w:rPr>
        <w:t>Infection control education is provided by the infection control coordinator or external specialists, who have current knowledge of best practice. The education is relevant to the service setting.</w:t>
      </w:r>
    </w:p>
    <w:p w:rsidRPr="00A4268A">
      <w:pPr>
        <w:spacing w:before="240" w:line="276" w:lineRule="auto"/>
        <w:rPr>
          <w:rFonts w:eastAsia="Calibri"/>
        </w:rPr>
      </w:pPr>
      <w:r w:rsidRPr="00A4268A">
        <w:rPr>
          <w:rFonts w:eastAsia="Calibri"/>
        </w:rPr>
        <w:t xml:space="preserve">The type of infection surveillance undertaken is appropriate to the size and type of the service. Results of the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31"/>
        <w:gridCol w:w="1280"/>
        <w:gridCol w:w="95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demonstrated their knowledge of the Code of Health and Disability Services Consumers' Rights (the Code). The Code is included in staff orientation and in the in-service education programmes. Residents' rights are upheld by staff (eg, staff knocking on residents' doors prior to entering their rooms, staff speaking to residents with respect and dignity, staff calling residents by their preferred names). Staff observed on the days of the audit demonstrated knowledge of the Code when interacting with residents.</w:t>
            </w:r>
          </w:p>
          <w:p w:rsidR="00EB7645" w:rsidRPr="00BE00C7" w:rsidP="00BE00C7">
            <w:pPr>
              <w:pStyle w:val="OutcomeDescription"/>
              <w:spacing w:before="120" w:after="120"/>
              <w:rPr>
                <w:rFonts w:cs="Arial"/>
                <w:b w:val="0"/>
                <w:lang w:eastAsia="en-NZ"/>
              </w:rPr>
            </w:pPr>
            <w:r w:rsidRPr="00BE00C7">
              <w:rPr>
                <w:rFonts w:cs="Arial"/>
                <w:b w:val="0"/>
                <w:lang w:eastAsia="en-NZ"/>
              </w:rPr>
              <w:t>The residents reported that they understand their rights. The relatives reported that residents are treated with respect and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was seen of the consent process for the collection and storage of health information, outings and indemnity, use of photographs for identification, sharing of information with an identified next of kin, and for general care and treatment. The resident’s right to withdraw consent and change their mind is noted. Information is provided on enduring power of attorney (EPOA) and ensuring, where applicable, this is activated. </w:t>
            </w:r>
          </w:p>
          <w:p w:rsidR="00EB7645" w:rsidRPr="00BE00C7" w:rsidP="00BE00C7">
            <w:pPr>
              <w:pStyle w:val="OutcomeDescription"/>
              <w:spacing w:before="120" w:after="120"/>
              <w:rPr>
                <w:rFonts w:cs="Arial"/>
                <w:b w:val="0"/>
                <w:lang w:eastAsia="en-NZ"/>
              </w:rPr>
            </w:pPr>
            <w:r w:rsidRPr="00BE00C7">
              <w:rPr>
                <w:rFonts w:cs="Arial"/>
                <w:b w:val="0"/>
                <w:lang w:eastAsia="en-NZ"/>
              </w:rPr>
              <w:t>There are guidelines in the policy for advance directives which meet legislative requirements. The consent can be reviewed and altered as the resident wishes. An advance directive and advance care plan are used to enable residents to choose and make decisions related to end of life care. The files reviewed have signed advance care plans that identify residents’ wishes and meet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(where appropriate) are included in care decisions.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Advocacy information is available in brochure format at the entrance to the facility. Residents and family/whanau are aware of their right to have support persons. Education from the Nationwide Health and Disability Advocacy Service is undertaken annually as part of the in-service education programme. The staff interviewed reported knowledge of residents’ rights and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reported they are supported to be able to remain in contact with the community through outings and walks. Policy includes procedures to be undertaken to assist residents to access community services and a mobility van is available. The activities programme involves linking with other aged care providers and support services for the younger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complaints/compliments policy and associated forms meet the requirements of Right 10 of the Code. Information on the complaint process is provided to residents and families on admission and those interviewed knew how to do so.</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five complaints have been received over the last six months and the actions taken, through to an agreed resolution, are clearly documented and completed within the timeframes. Action plans showed any required follow-up and improvements have been made where possible. The facility manager is responsible for complaints management and follow-up. All staff interviewed confirmed a sound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details that staff will be provided with training on the Code and that residents will be provided with the Code information on entry to the service. Copy of the Code and other information related to rights are in the residents’ rooms and displayed throughout the service. Opportunities for discussion and clarification relating to the Code are provided to residents and their families, as confirmed by interview with the clinical staff. Discussions relating to residents' rights and responsibilities take place formally (in staff meetings and training forums) and informally (eg, with the resident in their room). Residents and family/whanau report that the residents are addressed in a respectful manner that upholds their rights.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privacy and dignity policy details how staff are to ensure the physical and auditory privacy of residents, ensuring the protection of personal property and maintaining the confidentiality of resident related information. The service has several younger people and their independence and links with age appropriate community resources is encouraged. </w:t>
            </w:r>
          </w:p>
          <w:p w:rsidR="00EB7645" w:rsidRPr="00BE00C7" w:rsidP="00BE00C7">
            <w:pPr>
              <w:pStyle w:val="OutcomeDescription"/>
              <w:spacing w:before="120" w:after="120"/>
              <w:rPr>
                <w:rFonts w:cs="Arial"/>
                <w:b w:val="0"/>
                <w:lang w:eastAsia="en-NZ"/>
              </w:rPr>
            </w:pPr>
            <w:r w:rsidRPr="00BE00C7">
              <w:rPr>
                <w:rFonts w:cs="Arial"/>
                <w:b w:val="0"/>
                <w:lang w:eastAsia="en-NZ"/>
              </w:rPr>
              <w:t>The residents interviewed and files reviewed evidenced that the individual values and beliefs of the residents are respected. There were no concerns expressed by the residents and family/whānau about abuse or neglect. Staff interviewed reported knowledge of residents' rights and understand dignity, respect and what to do if they suspected the resident was at risk of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awareness policy includes guidance for staff on the provision of culturally appropriate care to Maori residents. A commitment to the Treaty of Waitangi is included. Family/next of kin input and involvement in service delivery and decision making is sought if applicable. The in-service education programme includes cultural safety. Staff demonstrated an understanding of meeting the needs of residents who identify as Maori and the importance of whanau.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current residents who identified as Maori. The clinical staff reported that there are no known barriers to Maori accessing the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cultural and/or spiritual needs of the residents are provided for in consultation with the resident and family as part of the admission process and ongoing assessment. Specific health issues and food preferences are identified on admission. The lifestyle plan is developed to ensure that care and services are delivered in a culturally and/or spiritually sensitive manner in accordance with the resident’s individual values and beliefs. If required, a person acceptable to the resident is sought from the community to provide advice, training and support for the staff to enable the facility to meet the cultural/spiritual needs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Residents reported that their individual cultural needs, values and beliefs are met. Staff confirmed the need to respect the individual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reported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 based policies, input from external specialist services and allied health professionals. The service has access and support from visiting specialist nurses, palliative services and mental health teams. Residents and relatives satisfaction surveys evidenced overall satisfaction with the quality of the care and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although reported this was rarely required due to all residents being able to communicate effectively in English. There are communication strategies in place for residents with cognitive impairment or who have non-verbal means of communication.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described annual and longer term objectives and the associated operational plans. Waiapu House site specific objectives were also clearly documented in the business plan sighted. A sample of monthly reports to the senior manager showed adequate information to monitor performance is reported including occupancy, financial performance, emerging risks and issues, quality (clinical) indicators (see standard 1.2.3 Quality and Risk Management), results of internal audits and variations to expected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has been in this role for one year. The facility manager is supported by a clinical services manager, an experienced registered nurse, who was appointed to the role in July 2017. Both have completed the organisation’s management training. Both are supported by the regional operations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Responsibilities and accountabilities are defined in the job descriptions and individual employment agreements reviewed. The facility manager interviewed confirmed knowledge of the sector, regulatory and reporting requirements and maintains currency through attending aged care related seminars and conferences and other relevant training suitable for the position.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Hawke`s Bay District Health Board for age related residential care, respite and day care services, palliative care, LTC support-Chronic Health Conditions, ‘engAGE’ GP residential care services and under 65 (YPD).  On the day of the audit 66 residents were receiving services; 41 rest home care; 25 hospital level care inclusive of one resident on the ‘engAGE’ GP programme; under 65 (YPD) nil residents and one resident receiving mental health input.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facility manager is absent, the clinical services manager carries out all the required duties under delegated authority. During absences of key clinical staff, the clinical management is overseen by a recently employed registered nurse who is experienced in the sector and with interRAI assessments, with support from the regional operations manager. Also, additional support is available from the national quality manager, and the quality manager who currently oversees two facilities.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internal audit activities, regular resident meetings, monitoring of clinical indicators, incidents including accidents, infections, pressure injuries, falls (with and without injury) staff incidents and health and safety issues.</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There is monthly reporting to Heritage Lifecare Limited (HLL) support office. From the monthly reports, graphs and summaries of the facility`s data are developed against each of the individual clinical indicators and returned to the facility manager. These reports are discussed at the monthly quality and risk/infection prevention and control/health and safety meetings (Q&amp;R/IPC/H&amp;S), at the registered nurse (RN) meetings, and at the staff meetings. The results and graphs (a quality improvement suggested at the previous audit), are now displayed on the family/resident noticeboard and in the staff room. Staff interviewed reported their involvement in these different meetings. Regular internal audit activities occur each month against a calendar of audits. The results are discussed at the QR/IPC/H&amp;S meetings. Relevant corrective actions are also discussed and were noted in meeting minutes. Meetings with residents are held regularly and they are able to raise and discuss any concerns or issues they have during these meetings.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system of monitoring corrective actions which result from internal audits required formal reporting through the facility`s regional operations manager and involvement of the national quality manager if needed. The clinical service manager was aware of any areas identified and described the actions taken to address them. The most recent Q&amp;R/IPC/H&amp;S meeting minutes were sighted and recorded discussion of the last internal audit and the actions to be taken.</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delivery and contractual requirements, including reference to the interRAI assessments and other contracts held by this facility. Policies are based on best practice and were current. The document control system ensures a systematic and regular review process, referencing of relevant sources, approval, distribution and removal of any obsolete documents. This is undertaken by designated staff at the organisation`s support office.</w:t>
            </w:r>
          </w:p>
          <w:p w:rsidR="00EB7645" w:rsidRPr="00BE00C7" w:rsidP="00BE00C7">
            <w:pPr>
              <w:pStyle w:val="OutcomeDescription"/>
              <w:spacing w:before="120" w:after="120"/>
              <w:rPr>
                <w:rFonts w:cs="Arial"/>
                <w:b w:val="0"/>
                <w:lang w:eastAsia="en-NZ"/>
              </w:rPr>
            </w:pPr>
            <w:r w:rsidRPr="00BE00C7">
              <w:rPr>
                <w:rFonts w:cs="Arial"/>
                <w:b w:val="0"/>
                <w:lang w:eastAsia="en-NZ"/>
              </w:rPr>
              <w:t>The national quality manager described the processes for the identification, monitoring and reporting of risks and development of mitigation strategies. The organisation has policies and procedures which provide guidance on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forms reviewed showed these were fully completed, incidents investigated, action plans developed and actions followed-up in a timely manner. Adverse event data is collated, analysed and reported to the support office monthly. An electronic system has been developed and implemented for any incidents/accidents reported. The information is entered into the electronic system (GOSH) from the hardcopy incident record, then the form is stamped and filed in the individual resident`s record by the clinical services manager. A selection of these reports was sighted for 2017. Staff understood their responsibilities for reporting and recording adverse events.</w:t>
            </w:r>
          </w:p>
          <w:p w:rsidR="00EB7645" w:rsidRPr="00BE00C7" w:rsidP="00BE00C7">
            <w:pPr>
              <w:pStyle w:val="OutcomeDescription"/>
              <w:spacing w:before="120" w:after="120"/>
              <w:rPr>
                <w:rFonts w:cs="Arial"/>
                <w:b w:val="0"/>
                <w:lang w:eastAsia="en-NZ"/>
              </w:rPr>
            </w:pPr>
            <w:r w:rsidRPr="00BE00C7">
              <w:rPr>
                <w:rFonts w:cs="Arial"/>
                <w:b w:val="0"/>
                <w:lang w:eastAsia="en-NZ"/>
              </w:rPr>
              <w:t>The national quality manager described essential notification reporting requirements, including for pressure injuries and infection outbreaks. Examples of notifications of significant events made to the Ministry of Health, since the previous audit were reviewed. The facility manager was well informed of statutory and/or regulatory obligations to report. The service’s open disclosure policy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annual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New staff members reported, and files reviewed confirmed, that orientation has been completed as required. Staff reported that their orientation prepared them for their role. Staff records reviewed showed documentation of completed orientation and a performance review after three months and then annually thereafter.</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at the facility annually with mandatory training requirements being covered in addition to any site-specific needs. The facility`s quality coordinator interviewed works between two facilities, assists with the development of the annual education plan for staff and is available for advice on any quality management issues. Care staff have either completed or commenced a New Zealand Qualification Authority education programme to meet the requirements of the provider`s agreement with the Hawke`s Bay District Health Board (HBDHB). There are sufficient trained and competent registered nurses who are maintaining their annual competency requirements to undertake interRAI assessments (that is, six staff, with one awaiting the completed competency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and records reviewed showed that key competencies (medication, restraint, first aid and hand hygiene) have been addressed for the majority of staff. All staff education records are accessible on the spread sheet maintained electronically. Records reviewed demonstrated completion of the required training and completion of annual performance appraisals.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adequate staff available to complete the work allocated to them. Residents and family interviewed supported this. Observations and review of a four week roster cycle confirmed adequate staff cover has been provided, with staff replaced in any unplanned absence. No bureau staff are contracted at this facility. InterRAI data is used to guide staffing decisions. At least one staff member on duty has a current first aid certificate and there is 24 hour/seven days a week RN coverage for the hospital level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necessary demographic, personal, clinical and health information was completed in the residents’ files sampled for review. Clinical notes were current and integrated with GP and allied health service provider notes. This included interRAI assessment information entered into the Momentum electronic database. An improvement is required in recording the staff members’ names in the progress notes sampled. </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cataloguing system.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policy includes the procedure to be followed when a resident is admitted to the home. The admission agreement contains all required information and is based on an aged care association agreement. Entry screening processes are documented and communicated to the resident and their family/whanau to ensure the service can meet the needs of the resident. The residents and family/whanau reported the admission agreement was discussed with them prior to admission and all aspects were understood. Needs assessments from various funders (eg, DHB, ACC) for either rest home, hospital level of care or specialist rehabilitation services were sighted in the resident’s files sampled as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exit, discharge or transfer is documented using specific forms. The service utilises the transfer forms approved by the DHB and this was confirmed in files reviewed. Known risks are identified to the place of transfer to manage the residents safely. Expressed concerns of the resident and family/whānau are clearly documented including advance directives and enduring power of attorney (EPOA) documentation. This was confirmed in residents’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A safe system for medicine management, using an electronic system, was observed on the days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Two RNs check medications against the prescription when they are delivered.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fridges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medications are prescribed through the web based system for good electronic prescribing practices, which includes the live update of any changed medications, the date is recorded on the commencement and discontinuation of medicines and all requirements for pro re nata (PRN) medicines are met. The required three-monthly GP review is consistently recorded on the medicine record. There are no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residents in the rest home who were self-administering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analysis of any medication errors, with quality projects and internal audits evidencing the reduction in medication errors since the introduction of the web based medication management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implemented cover all aspects of food preparation. Documentation identifies that safe food hygiene management practices are followed.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has been reviewed by a registered dietitian as being suitable for the residents living in a long-term care facility. The kitchen has dietary information for all residents and their likes and dislikes are catered for. Residents are routinely weighed at least monthly, and more frequently when indicated. Residents with additional or modified nutritional needs or specific diets have these needs met. The residents and family/whānau reported being overall satisfied with the meals (although did provide some suggestions for improvement), and fluids provided, including catering for their individual preferences.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fridge and freezer recordings are undertaken daily and meet requirements. The service has submitted a food safety plan with the council, though no external audits have occurred to date. Any non-conformance from the internal reviews or residents’ suggestions/feedback from satisfaction surveys have been actioned.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currently no vacancy, the local Needs Assessment and Service Coordination (NASC) is advised to ensure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they are no longer suitable for the services offered, a referral for reassessment to the NASC is made and a new placement found, in consultation with the resident and whānau/family. Examples of this occurring were discussed. The clinical manager reported that they refer residents to different levels/types of care if they are unable to support the resident (such as psychogeriatric or secure dementia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clause in the access agreement related to when a resident’s placement can be terminated.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 which includes assessment of the residents` health and personal care needs, is completed on the day of admission. Registered nurses utilise standardised risk assessment tools for the initial and ongoing assessments. The interRAI, along with other paper based assessments, information gained from the resident and their family/whanau, referral information, observations and examinations carried out are used as a basis for developing the long-term lifestyle plan. The residents and family/whanau expressed satisfaction with the support provided and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sampled, evidence was sighted of interventions related to the desired outcomes. Risks identified on admission are included in the lifestyle plan and these included falls risk, pressure area risk and pain management. The assessment outcomes from the interRAI assessment process were included to update the lifestyle plan. The lifestyle plans are discussed with the clinical team at handover. There are specific treatment plans developed by the multidisciplinary team and DHB staff for the residents admitted under the rehabilitation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All health professionals document in the resident's individual clinical file and have access to lifestyle plans and progress notes as part of the integrated file system. Documentation in files reviewed included nursing notes, medical reviews and hospital correspondence. The residents reported that they are included in the lifestyle planning and are aware of any changes and these are discussed with them. Care staff reported they are informed of any changes to lifestyle plans at shift changeover. The residents reported satisfaction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provided to residents was consistent with their needs, goals and the plan of care. The attention to meeting a diverse range of resident’s individualised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and activities coordinator plan activities to meet the resident’s abilities. Information gained by an activities assessment and resident’s history assessment is used when developing the activity plan. There are planned activities that cover physical, social, recreational and emotional needs of the residents. The activities programme is an evolving plan to match weather conditions and resident’s abilities. Activities reflect residents’ goals, ordinary patterns of life and include normal community activities. Individual, group activities and regular events are offered. Residents and families/whānau are involved in evaluating and improving the programme through residents’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the files sampled had lifestyle plans that have been developed within the last six months on the Heritage Lifestyle Plan format. None of these files sampled are due for the six-monthly evaluations. The interRAI assessment tool outcome scores were on the files sampled. The service has processes in place to use the built-in evaluation scores when the service reassesses the resident using the interRAI assessment, and records this on their own paper based evaluation record.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there are changes in the resident’s needs, the service changes the long-term lifestyle plan to capture these changes. The long-term lifestyle plans identify the need, interventions and evaluation of the interventions. There are also additional short term plans, such as wound treatment, falls and falls minimisation plans, which capture any short-term changes. Wounds are evaluated at each dressing change and at least weekly by the clinical team. If the issue then becomes a long-term need, these are then recorded and updated on the long-term lifestyle plan. Any changes to lifestyle plans are reviewed by the clinical team (nurses, caregivers, physio-therapist) at handover.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radiology, health screening, and medical/surgical specialists. There are several specialists/health providers that also conduct visits to Waiapu House Lifecare such as audiologists, podiatrists and dietitians.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as necessary. An external company is contracted to supply and manage all chemicals and cleaning products and they also provide relevant education and training for staff. Material data sheets were readily available where chemicals are used and stored and staff interviewed knew what to do should any chemical spill/event occur.</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warrant of fitness was displayed at reception and the expiry date was 01 March 2018.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are maintained. The testing and tagging of electrical equipment and calibration of bio medical equipment is current and confirmed in documentation reviewed, interviews with maintenance personal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Residents confirmed they know the processes they should follow if any repairs or maintenance is required, and any requests are appropriately actioned and that they are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bathrooms and toilet facilities throughout the facility. This includes a shower, toilet and basin in all ensuites provided. Privacy is maintained. Appropriately secured and approved handrails are provided in the toilet/shower areas, and other equipment/accessories are available to promote resident independence. Visitor toilets are available throughout the facility in each service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provided single accommodation. Rooms are personalised with furnishings, photos and other personal items displayed. There is room to store mobility aids, wheel chairs and mobility scooters. Staff and residents reported the adequacy of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There are six other lounges available throughout the facility.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Laundry staff cover seven days a week and staff interviewed demonstrated a sound knowledge of the laundry processes, dirty/clean flow and handling of soiled linen. All equipment and resources were available, and a monitoring programme was evident and explained by the staff and maintenance personal.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 designated cleaning team who have received appropriate training. Product data sheets are provided and material data sheets are accessible. Training is provided by a contracted service provider. Chemicals were stored in a lockable cupboard and were in labelled containers. The cleaning trollies when not in use are stored in a locked room with key pad access. Cleaning and laundry processes are monitored through the internal audit programme and by the product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30 July 2008 by the New Zealand Fire Safety Eastern Fire Region. A trial fire evacuation takes place six monthly with a copy sent to the New Zealand Fire Service, the most recent being the 26 July 2017. The staff receive training as part of the orientation process. Staff interviewed confirmed their awareness of the emergency procedures and education is provided by the health and safety representative and management.</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barbeques were sighted and meet the requirements for the number of residents at this facility. Water storage tanks are located in the complex, and a generator for power supply can be accessed as needed. Emergency lighting is available and is regularly tested. Regular checks of all resources occur. Checklists are developed and implemented. First aid supplies are accessible in all service areas.</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staff recheck on the night shift at the commencement of their shift. Education is provided to staff on the security reporting system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Rooms have natural light and opening external windows. Heating is provided by ceiling and wall heaters and residents have a temperature thermostat in each individual room and in the communal areas. Areas were warm and well ventilated throughout the audit and residents and families confirmed the facilities are maintained at a comfortable temperature.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infection control coordinators for both buildings. They have a job description that outlines their roles and responsibilities for infection prevention and control. Infection control matters are discussed at the staff meetings and the combined infection control/quality/safety committee meetings. The quality/health and safety committee reviews the monthly quality, risk and infection control issues. The review of the infection control programme was conducted in April 2017. The programme reviews the effectiveness of the infection control programme, education, surveillance and equipment.    </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 processes in place to ensure staff and visitors suffering from infections do not infect others. There is a notice at the front door to advice relatives not to visit if they are unwell. There is sanitising hand gel located throughout the facility for staff, visitors and residents to use. Staff demonstrated good knowledge and application of infection prevention and control principles.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implements the infection control programme, with support from all staff. Infection control matters are discussed at the monthly meeting. If the infection control coordinator requires additional advice or support regarding infection prevention and control they can access this through the DHB and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and procedures have been developed by an external infection prevention and control advisory service and reflect current accepted good practice. The service has access to good practice resources from this specialist infection prevention specialist, as well as DHB infection control specialists. The policies are appropriate to the services offered by the facility and reviewed by the national support office. </w:t>
            </w:r>
          </w:p>
          <w:p w:rsidR="00EB7645" w:rsidRPr="00BE00C7" w:rsidP="00BE00C7">
            <w:pPr>
              <w:pStyle w:val="OutcomeDescription"/>
              <w:spacing w:before="120" w:after="120"/>
              <w:rPr>
                <w:rFonts w:cs="Arial"/>
                <w:b w:val="0"/>
                <w:lang w:eastAsia="en-NZ"/>
              </w:rPr>
            </w:pPr>
            <w:r w:rsidRPr="00BE00C7">
              <w:rPr>
                <w:rFonts w:cs="Arial"/>
                <w:b w:val="0"/>
                <w:lang w:eastAsia="en-NZ"/>
              </w:rPr>
              <w:t>Staff demonstrated knowledge and understanding of standard precautions and stated they undertake actions per the policies and procedures. Staff were observed to be washing hands and using personal protective equipment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infection control coordinator. There are online learning modules that are part of the mandatory education programme on infection prevention and control. The infection control coordinator has attended ongoing education related to infection prevention and control to maintain knowledge of good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required, infection control education can be conducted informally with residents, such as reinforcement of infection control practices during a recent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standardised definitions applicable to aged care that are provided by the external benchmarking service to identify infections. The type of surveillance undertaken is appropriate to the aged care service with data collected on urinary tract infections, influenza, skin infections and respiratory tract infections. There is monthly collection and collation of the types and numbers of infections in both the rest home and hospital services.</w:t>
            </w:r>
          </w:p>
          <w:p w:rsidR="00EB7645" w:rsidRPr="00BE00C7" w:rsidP="00BE00C7">
            <w:pPr>
              <w:pStyle w:val="OutcomeDescription"/>
              <w:spacing w:before="120" w:after="120"/>
              <w:rPr>
                <w:rFonts w:cs="Arial"/>
                <w:b w:val="0"/>
                <w:lang w:eastAsia="en-NZ"/>
              </w:rPr>
            </w:pPr>
            <w:r w:rsidRPr="00BE00C7">
              <w:rPr>
                <w:rFonts w:cs="Arial"/>
                <w:b w:val="0"/>
                <w:lang w:eastAsia="en-NZ"/>
              </w:rPr>
              <w:t>The data and reporting of the statistics and analysis is provided to the organisational wide governance/quality team. The outcomes are fed back to the staff at the next staff meeting. The infection surveillance records included the review and analysis of the data. With an increase in the number of urinary tract infections, the service implemented actions to reduce the recurrence of spread of the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had an outbreak of norovirus in October 2017. Learning and actions that were implemented from this demonstrated a continuous improvement rating.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provides guidance on the safe use of both restraints and enablers. The restraint coordinator provides support and oversight for enabler and restraint management in the facility and demonstrated a sound understanding of the organisation`s policies, procedures and practice and the role and responsibilities involved. On the day of the audit, one resident was using an enabler and six restraints were in use. Two residents were each using two forms of restraint. The resident using the enabler, which was the least restrictive, was used voluntarily at their request.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alternatives have been explored. This was evident on review of the restraint approval minutes, records reviewed, and from interview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made up of the facility manager, clinical services manager, one registered nurse and the health and safety officer, are responsible for the approval of the use of restraints and the restraint processes. It was evident from review of restraint approval group meeting minutes, residents’ records and interviews with the coordinator that there are clear lines of accountability and that all restraints have been approved, and the overall use of restraints is being monitored and analysed. Evidence of family/whanau/EPOA involvement in the decision making was on record in each case reviewed. Use of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and included all requirements of the Standard. The registered nurse undertakes the initial assessment with the restraint coordinator`s involvement, and input from the resident`s family/whanau/EPOA. The registered nurse restraint coordinator described the documented process. Families confirmed their involvement. The individual resident`s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restraint coordinator described how alternatives to restraints are discussed with staff and family members, for example, the use of sensor mats and/or low beds. When restraints are in use, frequent monitoring occurs to ensure the resident remains safe. Records of monitoring had the necessary details. Access to advocacy is provided if requested and all processes ensure dignity and privacy are maintained and respected.</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updated every month and reviewed at each restraint approval group meeting six monthly. The register was reviewed and contained all residents currently using a restraint and sufficient information to provide an auditable record.</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interviewed understood that the use of restraint was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records showed that the individual use of restraints is reviewed and evaluated during the care plan and interRAI reviews, six month restraint evaluations and at the restraint approval group meetings. Families interviewed confirmed their involvement in the evaluation process and their satisfaction with the restraint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committee undertakes a six monthly review of all restraint use which includes all the requirements of the Standard. Six monthly restraint meetings and reports are completed and individual use of restraint use is reported to the quality and staff meetings. Minutes of meetings reviewed confirmed this includes analysis and evaluation of the amount and type of restraint use in the facility, whether all alternatives to restraint have been considered, the effectiveness of the restraint use, the competency of staff and the appropriateness of restraint/enabler education and feedback from the doctor, staff and families. A six monthly internal audit that is carried out also informs these meetings. Any changes to policies, guidelines, education and processes are implemented if indicated. Data reviewed, minutes and interview with the restraint coordinator confirmed that the use of restraint has been reduced by three residents over the past six months.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52"/>
        <w:gridCol w:w="1280"/>
        <w:gridCol w:w="5431"/>
        <w:gridCol w:w="2711"/>
        <w:gridCol w:w="21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1.2.9.9</w:t>
            </w:r>
          </w:p>
          <w:p w:rsidR="00EB7645" w:rsidRPr="00BE00C7" w:rsidP="00BE00C7">
            <w:pPr>
              <w:pStyle w:val="OutcomeDescription"/>
              <w:spacing w:before="120" w:after="120"/>
              <w:rPr>
                <w:rFonts w:cs="Arial"/>
                <w:b w:val="0"/>
                <w:lang w:eastAsia="en-NZ"/>
              </w:rPr>
            </w:pPr>
            <w:r w:rsidRPr="00BE00C7">
              <w:rPr>
                <w:rFonts w:cs="Arial"/>
                <w:b w:val="0"/>
                <w:lang w:eastAsia="en-NZ"/>
              </w:rPr>
              <w:t>All records are legible and the name and designation of the service provider is identifiable.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Records were legible with the signature and designation of the person making the entry identifiable. The staff member’s name was not recorded in most of the progress notes sampled in the nine of nine residents’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Nine of nine residents’ files sampled did not consistently record the staff member’s name in the progress notes.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records record the name of the staff member making any entry.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6"/>
        <w:gridCol w:w="1280"/>
        <w:gridCol w:w="6247"/>
        <w:gridCol w:w="45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initiative project was conducted on outbreak management from October 2017 to January 2018. After debriefing, an analysis of a previous outbreak of norovirus the service implemented infection prevention and control processes and procedures. This included the analysis of suspected infections against those that were confirmed as infections using standardised definitions. The outcomes of the quality initiative have been reported through the quality system and back to the national clinical governance team. From the analysis of the data and learning from a previous outbreak, changes were implemented. Training and consultation with the DHB and other specialists, critical thinking and clinical reflection resulted in early interventions for suspected infectious diseases. The data analysis highlighted a decrease in the spread of infections when a subsequent resident was suspected to have an infectious disease. The quality initiative records that the goals of the project have been met, evaluation has been completed and reported to the clinical governance team and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infection prevention and control project related to management of outbreaks is rated beyond the expected full attainment. The infection prevention and control team have conducted a project and data analysis on actions to implement when an outbreak is suspected. The quality improvement projects sighted have a documented review process which includes analysis and reporting of findings to management and staff. The project’s documentation evidences action taken based on findings and improvement to service provision, with the reduction of the spread of infections during an outbreak. Resident safety has been measured because of the review process, which evidences positive outcomes in reducing the spread of infections and increasing resident’s wellbeing.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Waiapu House</w:t>
    </w:r>
    <w:bookmarkEnd w:id="58"/>
    <w:r>
      <w:rPr>
        <w:rFonts w:cs="Arial"/>
        <w:sz w:val="16"/>
        <w:szCs w:val="20"/>
      </w:rPr>
      <w:tab/>
      <w:t xml:space="preserve">Date of Audit: </w:t>
    </w:r>
    <w:bookmarkStart w:id="59" w:name="AuditStartDate1"/>
    <w:r>
      <w:rPr>
        <w:rFonts w:cs="Arial"/>
        <w:sz w:val="16"/>
        <w:szCs w:val="20"/>
      </w:rPr>
      <w:t>11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