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Levin War Veterans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Levin Home for War Veterans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December 2017</w:t>
      </w:r>
      <w:bookmarkEnd w:id="7"/>
      <w:r w:rsidRPr="009418D4">
        <w:rPr>
          <w:rFonts w:cs="Arial"/>
        </w:rPr>
        <w:tab/>
        <w:t xml:space="preserve">End date: </w:t>
      </w:r>
      <w:bookmarkStart w:id="8" w:name="AuditEndDate"/>
      <w:r w:rsidR="00A4268A">
        <w:rPr>
          <w:rFonts w:cs="Arial"/>
        </w:rPr>
        <w:t>6 December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Levin Home for War Veterans is owned by Presbyterian Support Central (PSC) and provides care for up to 80 residents at rest home, hospital and dementia level care.  Occupancy on the days of the audit was 65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at PSC Levin Home for War Veterans commenced the role in September 2016 and also manages the nearby PSC Reevedon facility.  The facility manager is supported by a clinical nurse manager, clinical coordinator, administration team leader and a regional manager.  Residents interviewed spoke positively about the service provided.</w:t>
      </w:r>
    </w:p>
    <w:p w:rsidRPr="00A4268A">
      <w:pPr>
        <w:spacing w:before="240" w:line="276" w:lineRule="auto"/>
        <w:rPr>
          <w:rFonts w:eastAsia="Calibri"/>
        </w:rPr>
      </w:pPr>
      <w:r w:rsidRPr="00A4268A">
        <w:rPr>
          <w:rFonts w:eastAsia="Calibri"/>
        </w:rPr>
        <w:t>The service has addressed nine of the eleven shortfalls from the previous certification audit relating to Māori values and beliefs, service provision, assessments, care planning, interventions, evaluations and medicine management.    Improvements continue to be required in relation to information management systems, and activities.</w:t>
      </w:r>
    </w:p>
    <w:p w:rsidRPr="00A4268A">
      <w:pPr>
        <w:spacing w:before="240" w:line="276" w:lineRule="auto"/>
        <w:rPr>
          <w:rFonts w:eastAsia="Calibri"/>
        </w:rPr>
      </w:pPr>
      <w:r w:rsidRPr="00A4268A">
        <w:rPr>
          <w:rFonts w:eastAsia="Calibri"/>
        </w:rPr>
        <w:t>This audit has identified further improvements required around the integration of care and building warrant of fitness.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ensures effective communication with all stakeholders including residents and families.  Full information is provided at entry to residents and family/whānau.  The rights of the residents and/or their family to make a complaint is understood, respected and upheld by the service.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PSC Levin Home for War Veterans continues to implement the Presbyterian Support Services Central quality and risk management system that supports the provision of clinical care.  Key components of the quality management system link to monthly senior team meetings.  An annual resident satisfaction survey is completed and there are regular resident meetings.  There are human resources policies including recruitment, selection, orientation and staff training and development.  The service has a documented induction programme for all roles within the service.  There is an organisational training programme covering relevant aspects of care and support.  The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A registered nurse assesses and reviews residents' needs, outcomes and goals with the resident and/or family/whānau input.  Resident files included medical notes by the contracted GP and visiting allied health professionals.  The recreational team provide an activities programme for the residents that is varied, interesting and involves the families/whānau and community.  Medication policies comply with legislative requirements and guidelines.  Registered nurses and healthcare assistants responsible for administration of medicines complete education and annual medication competencies.  All meals are prepared on-site.  Food, fridge and freezer temperatures are recorded.  Special dietary needs are catered for.  Residents and family/whānau interviewed were complimentary about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warrant of fitness expired on 1 September 2017.  There was no current warrant of fitness for the building.  Advised that it has been delayed due to three unresolved issues relating to the building, which are still to be addressed.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had no residents requiring enablers and no residents assessed as requiring the use of restraint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resident/family.  The facility manager leads the investigation and management of complaints (verbal and written).  There is a complaint register that records activity.  Complaints are discussed at the senior management team meeting and the two-monthly staff meetings.  Information on making a complaint and the forms are visible around the facility.  Three complaints have been made since the last audit.   Follow-up communication, investigation and outcomes were documented.  One complaint received in September 2017 is still ongoing.  Discussion with residents and relatives confirmed they were aware of how to make a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that identified as Maori on the day of the audit.  The resident’s file was reviewed and had cultural beliefs and values identified.  This is an improvement on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seven residents (five hospital and two rest home) and five family members (hospital) confirmed they were given time and explanation about services and procedures on admission. There are six-monthly meetings held with relatives.  The facility manager, clinical nurse manager and clinical coordinator have an open-door policy.  Accident/incident forms have a section to indicate if family have been informed (or not) of an accident/incident.  Twelve accident/incident forms sampled from October and November 2017 identify that family were notified following a resident incident.  Interviews with four healthcare assistants (HCA), three registered nurses (RN), one clinical coordinator and one clinical nurse manager confirmed that family members are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Levin Home for War Veterans is part of the Presbyterian Support Central organisation (PSC) and provides rest home, hospital and dementia level of care for up to 80 residents.  The hospital services are provided in three wings (Kowhai has twelve beds, Rimu has four beds and Totara Wing has fifteen beds).  The rest home services are provided in two wings (Pohutakawa wing has seven beds and Kauri Wing has twenty-four beds). There is an 18-bed dementia level care unit (Matai).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65 residents (26 residents at rest home level including 1 resident on respite, 31 residents at hospital level and 8 residents in the dementia care).  All residents were on the aged related residential care (ARRC) agreement.  Across the 62-rest home/hospital beds, there are 12 dual purpose beds (6 in the hospital area and 6 in the rest home areas).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at PSC Levin Home for War Veterans commenced the role in September 2016 and also manages the nearby PSC Reevedon facility.  The facility manager was absent during the days of the audit.  The clinical nurse manager, clinical coordinator and administration team leader provide support to the facility manager.  The clinical nurse manager has been in the position since August 2016 and has over 10 years’ experience within the aged care industry.  The clinical coordinator has been in the role for one year and has worked at the facility for five years.  The administration team leader has been in the position for 10 years.  The facility manager is also supported by a regional manager, who visits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Levin Home for War Veterans has a 2017–2018 business plan and a mission and vision statement defined.  The business plan outlines a number of goals for the year, each of which has defined objectives against quality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at least eight hours annually of professional development activities related to managing a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overall quality monitoring programme (QMP) that is part of the quality programme and includes internal benchmarking with the other PSC sites.  The senior team meeting acts as the quality committee and they meet twice a month.  Information is fed back to the monthly clinical focused meetings and bi-monthly staff meetings.  A range of other meetings is held at the facility.  Meeting minutes and reports are provided to the senior team, clinical and staff meeting, actions are identified in minutes and quality improvement forms, which are being signed off and reviewed for effectiveness.  The facility manager has an understanding of the contractual agreements and requirements.  The regional manager provides oversight and support to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Progress with the quality programme/goals has been monitored and reviewed through the monthly senior team meetings.  There is an internal audit calendar in place and the schedule has been adhered to for 2016 and 2017 (year to date).  Feedback on monthly accident and incidents are provided to all meetings.  The service has linked the complaints process with its quality management system, including the benchmarking programme and fed back through the senior team, clinical and staff meetings.  The service has a health and safety management system, and this includes a health and safety rep (HCA) who has completed health and safety training.  Monthly reports are completed and reported to meetings and at the quarterly Health and Safety Committee meeting.  Health and Safety Committee meetings include identification of hazards and accident/incident reporting and trends.  A falls prevention strategy programme is in place that includes the analysis of falls incidents and high-risk fallers, the identification of interventions on a case-by-case basis to minimise future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The facility manager is responsible for document control within the service; ensuring staff are kept up to date with the changes.  A resident and relative satisfaction survey is completed annually.  The 2017 relative satisfaction survey confirmed a satisfactory result with the service.  Corrective actions were developed to address any concerns from the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reports aggregated figures monthly to the senior team, clinical and staff meeting.  Incident forms are completed by staff, the resident is reviewed by the RN at the time of event and the form is forwarded to the clinical nurse manager for final sign off.  A sample of twelve resident related incident reports (eight hospital, two rest home and two dementia level) were reviewed.  All reports and corresponding resident files reviewed evidence that appropriate clinical care is provided following an incident.  The HCAs interviewed could describe the incident reporting process.  Discussions with the clinical nurse manager confirmed their awareness of the requirement to notify relevant authorities in relation to essential notifications and evidence of this occurring was sighted on audit.  One section 31 notification was submitted to the Ministry of Health in May 2017, relating to a police investigation for a missing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which include recruitment.  Staff process requires that relevant checks are completed to validate the individual’s qualification, experience and veracity.  A copy of practising certificates is kept.  Six staff files were reviewed (one clinical nurse manager, one clinical coordinator, one RN, one recreation officer and two HCA’s).  All files contained employment agreements and job descriptions.  Outstanding annual appraisals had been completed and the 2017 performance appraisal schedule was being adhered to.  The service is using the PSC recently introduced orientation programme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2017 is being implemented.  The majority of HCA’s have completed an aged care education programme.  Staff attend annual compulsory study days which includes training around the Eden Alternative programme.  The clinical coordinators and RN’s are able to attend external training.  Eight hours of education or in-service education has been provided annually.  All individual records and attendance numbers are maintained.  A schedule of which staff have attended education is maintained and follow-up action and sessions are offered to ensure all staff receive the required training.  Five of ten RNs are interRAI trained. There are thirteen HCAs on the roster in the dementia unit and all thirteen have completed the required dementia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The facility manager and clinical nurse manager work full-time, Monday through to Friday.  The facility manager is on call for any non-clinical matters and the clinical nurse manager is on-call for any clinical issues.  Advised by the clinical nurse manager that extra staff can be called on for increased resident requirements.  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area (3 wings, Kowhai, Rimu and Totara), there are 29 residents in total (26 hospital and 3 rest home residents).  There is a clinical coordinator who is supported by an RN on the morning shift and two RNs on the afternoon shift and one RN on the night shift.  There are six HCA’s in the hospital area on the morning shift, five HCA’s on the afternoon shift and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rest home area (two wings, Pohutakawa and Kauri), there are 28 residents in total (23 rest home and 5 hospital residents).  There is an RN on the morning shift, who is supported by two HCA’s on the morning and two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wing (Matai), there are eight residents in total.  There are two HCA’s on the morning shift and two on the afternoon shift and two HCAs on the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care plan is also developed in this time.  Not all amendments to care plans were signed and dated with the designation recorded and this is an area that continues to require improvement.  Residents' files are protected from unauthorised access by being locked away in the nurses’ stations.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files were reviewed (four hospital, four rest home (including one respite) and two dementia).  There are policies and procedures in place for safe medicine management that meet legislative requirements.  All clinical staff who administer medications have been assessed for competency on an annual basis.  Education around safe medication administration has been provided.  Staff were observed to be safely administering medications.  Registered nurses interviewed were able to describe their role in regard to medicine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and there were no residents self-medicating on the day of audit.   All medication charts sampled met legislative prescribing requirements.  The medication charts reviewed identified that the GP had seen and reviewed the resident three-monthly.  The pharmacy and RN medication checks had been completed.  The previous audit finding to these had been addressed.  The medication fridge temperatures are recorded regularly, and these were within acceptable ranges.  There were no residents currently self-medicating, however the RNs interviewed could describe the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PSC Levin are prepared and cooked on-site.  There is a five-weekly seasonal menu which had been reviewed by a dietitian.  Meals are delivered to the dining areas.  Dietary needs are known with individual likes and dislikes accommodated with one identified exception.  Pureed, gluten free and diabetic desserts are provided.  Cultural and religious food preferences are met.  Finger food (sandwiches, fruit and biscuits) are available in the dementia unit 24 hours a day.  Staff were observed assisting residents with their meals and drinks.  Supplements are provided to residents with identified weight loss issues.  Resident meetings and surveys allow for the opportunity for resident feedback on the meals and food services generally.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overall satisfied with the food and confirmed alternative food choices were offered for dislikes.  Fridge, freezer and chiller temperatures are taken and recorded daily.  Temperatures are recorded daily of meals before serving.  All food services staff have completed training in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 the sampled appropriate assessment tools were completed including interRAI assessments.  Care plans sampled were developed on the basis of these assessments and linked to the long-term care plan.  Pains assessments were all well documented in medimap and linked to care plan interventions.  This is an improvement on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care plans reviewed (two rest home – including a respite file, two hospital and one dementia).  All care plans included interventions to support current needs and medical issues.  One resident file with weight loss was reviewed and included implemented interventions to manage this.  One resident with behaviours that challenge included documented de-escalation techniques.  Continence management was clearly documented in the interventions for the five resident files reviewed including the respite resident.  Short term care plans were in use for acute changes in health status.  The previous audit finding relating to documentation of interventions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 family members confirmed on interview they are notified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short-term care plans were commenced with a change in heath condition and linked to the long-term support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Registered nurses were able to describe access for wound and continence specialist input as required.  </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policies and procedures are in place.  Adequate dressing supplies were sighted in treatment rooms.  There is evidence of GP, dietitian and specialist involvement in wounds/pressure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12 wounds.  In the hospital there were two lesions, four moisture wounds, two abrasions and two ulcers.  In the dementia unit there was a skin tear and a lesion.  All wound care documentation was fully completed addressing the previous audit finding.</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facility acquired pressure injuries on the day of audit and one DHB acquired PI.  All were graded stage II.</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use and sighted for  behaviour monitoring, food &amp; fluids, weight and turning charts.  This is an improvement on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member of the two-person recreation team had retired the week before audit.  A replacement person was commencing the week following audit. The diversional therapist currently on staff is continuing to provide individual and group activities in the rest home/hospital and dementia care units five days per week (on weekends the care staff are allocated activities to undertake).  The recreation programme is supported by a team of volunteers.  The recreational programme provides individual and group activities that are meaningful and reflect ordinary patterns of life.  There are regular outings/drives and involvement in community events (including church and day-care).  One-on-one activity occurs for residents who are unable or choose not to be involved 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All files reviewed had a documented recreational plan and the plans had been reviewed six-monthly at the same time as the care plans were reviewed.  Activity participation was noted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and one-on-one feedback from residents (as appropriate) and families.</w:t>
            </w:r>
          </w:p>
          <w:p w:rsidR="00EB7645" w:rsidRPr="00BE00C7" w:rsidP="00BE00C7">
            <w:pPr>
              <w:pStyle w:val="OutcomeDescription"/>
              <w:spacing w:before="120" w:after="120"/>
              <w:rPr>
                <w:rFonts w:cs="Arial"/>
                <w:b w:val="0"/>
                <w:lang w:eastAsia="en-NZ"/>
              </w:rPr>
            </w:pPr>
            <w:r w:rsidRPr="00BE00C7">
              <w:rPr>
                <w:rFonts w:cs="Arial"/>
                <w:b w:val="0"/>
                <w:lang w:eastAsia="en-NZ"/>
              </w:rPr>
              <w:t>Relatives and residents stated they were satisfied with the activities provided.  Activity plans in the dementia unit did not evidence activities across 24-hour activity plans.  The previous audit finding remains unaddressed.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residents’ files reviewed, all initial care plans were documented and evaluated by the RN within three weeks of admission.  Long-term care plans had been reviewed at least six-monthly or earlier for any health changes.  The GP reviews the residents at least three-monthly or earlier if required.  Evidence of three-monthly GP reviews were seen in all residents’ files sampled.  Ongoing nursing evaluations occur daily/as indicated and are documented within the progress notes.  Evaluations reviewed identified that when a resident’s health status had changed, interventions were updated to reflect this, and this is an improvement on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expired on 1 September 2017.  There was no current warrant of fitness for the building. Advised that it has been delayed due to three unresolved issues relating to the building that are still to be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Systems are in place and are appropriate to the size and complexity of the facility.  The surveillance data is collected and analysed monthly to identify areas for improvement or corrective action requirements.  Infection control internal audits have been completed.  Benchmarking occurs with fellow PSC facilities, trends are identified, and quality initiatives are discussed at RN and senior team meetings.  There is a policy describing surveillance methodology for monitoring of infections.  Definitions of infections are in place appropriate to the complexity of service provided.  Since the previous audit, all residents had been treated prophylactically for scabies.  No actual positives in residents were identified (staff only).  Regional public health was notified and a Section 31 lodged.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restraint minimisation and safe practice policy applicable to the service that complies with the Restraint Minimisation and Safe Practice Guideline 2008.  The organisational policy for restraint minimisation and enabler use ensures that enablers are voluntary, the least restrictive option and allows residents to maintain their independence.  There is a restraint and enabler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restraint and no residents using enablers.  Staff interviews, and staff records evidence education has been given on restraint minimisation and safe practice (RMSP), enabler usage and prevention and/or de-escalation techniques.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1"/>
        <w:gridCol w:w="1280"/>
        <w:gridCol w:w="4716"/>
        <w:gridCol w:w="3553"/>
        <w:gridCol w:w="20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1.2.9.9</w:t>
            </w:r>
          </w:p>
          <w:p w:rsidR="00EB7645" w:rsidRPr="00BE00C7" w:rsidP="00BE00C7">
            <w:pPr>
              <w:pStyle w:val="OutcomeDescription"/>
              <w:spacing w:before="120" w:after="120"/>
              <w:rPr>
                <w:rFonts w:cs="Arial"/>
                <w:b w:val="0"/>
                <w:lang w:eastAsia="en-NZ"/>
              </w:rPr>
            </w:pPr>
            <w:r w:rsidRPr="00BE00C7">
              <w:rPr>
                <w:rFonts w:cs="Arial"/>
                <w:b w:val="0"/>
                <w:lang w:eastAsia="en-NZ"/>
              </w:rPr>
              <w:t>All records are legible and the name and designation of the service provider is identifiable.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An initial care plan is also developed in this time.  Not all amendments to care plans were signed and dated with the designation recorded and this continues to be an area requiring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alterations or amendments to the long-term care plans or wound care plans are signed dated or the designation is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any alterations or amendments to the long-term care plan or wound care plans are signed and dated, and the designation is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RNs could access clinical advice from incontinence and wound specialists along with the dietitian. The long-term care plans include input from allied health professionals, however this was not always documented as integrated.  The previous audit finding remains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nurse advice was sought from, and documented, by the clinical nurse specialist for a hospital resident with a PI, but there was no evidence of the advice being incorporated into care.  There was no explanation as to why this was not the case.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Incorporate advice from clinical specialists into care planning, if advice is not appropriate/feasible evidence of discussion be available.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activities assessment and a Tree of Life is undertaken for each resident and the activities programme is varied to accommodate the interests of the residents.  Activity plans in the dementia unit did not evidence activities across 24-hour activity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eight files of residents in the dementia unit did not include a 24-hour activity plan as per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24-hour individual activity plan is documented for each resident residing in the dementia care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current building warrant of fitness for the building.  Three unresolved issues relating to the building are still to be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current building warrant of fitness for the building.  Three unresolved issues relating to the building are still to be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current building warrant of fitness.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Levin War Veterans</w:t>
    </w:r>
    <w:bookmarkEnd w:id="58"/>
    <w:r>
      <w:rPr>
        <w:rFonts w:cs="Arial"/>
        <w:sz w:val="16"/>
        <w:szCs w:val="20"/>
      </w:rPr>
      <w:tab/>
      <w:t xml:space="preserve">Date of Audit: </w:t>
    </w:r>
    <w:bookmarkStart w:id="59" w:name="AuditStartDate1"/>
    <w:r>
      <w:rPr>
        <w:rFonts w:cs="Arial"/>
        <w:sz w:val="16"/>
        <w:szCs w:val="20"/>
      </w:rPr>
      <w:t>5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