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Tararu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Tararu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February 2018</w:t>
      </w:r>
      <w:bookmarkEnd w:id="7"/>
      <w:r w:rsidRPr="009418D4">
        <w:rPr>
          <w:rFonts w:cs="Arial"/>
        </w:rPr>
        <w:tab/>
        <w:t xml:space="preserve">End date: </w:t>
      </w:r>
      <w:bookmarkStart w:id="8" w:name="AuditEndDate"/>
      <w:r w:rsidR="00A4268A">
        <w:rPr>
          <w:rFonts w:cs="Arial"/>
        </w:rPr>
        <w:t>7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Tararu Rest Home and Hospital is a Bupa residential care facility.  The service currently provides care for up to 62 residents at hospital and rest home levels of care.  On the day of the audit there were 56 residents.</w:t>
      </w:r>
    </w:p>
    <w:p w:rsidRPr="00A4268A">
      <w:pPr>
        <w:spacing w:before="240" w:line="276" w:lineRule="auto"/>
        <w:rPr>
          <w:rFonts w:eastAsia="Calibri"/>
        </w:rPr>
      </w:pPr>
      <w:r w:rsidRPr="00A4268A">
        <w:rPr>
          <w:rFonts w:eastAsia="Calibri"/>
        </w:rPr>
        <w:t>The care home manager has been in this role for over two years and had previously held the position of financial manager at Tararu for eight years.  She is supported by a clinical manager/RN who has worked at Tararu for ten years and been in the role for seven years.  Relatives and residents spoke positively about the service.</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This audit identified three shortfalls around meetings, care plan interventions and self-medication for residents.</w:t>
      </w:r>
    </w:p>
    <w:p w:rsidRPr="00A4268A">
      <w:pPr>
        <w:spacing w:before="240" w:line="276" w:lineRule="auto"/>
        <w:rPr>
          <w:rFonts w:eastAsia="Calibri"/>
        </w:rPr>
      </w:pPr>
      <w:r w:rsidRPr="00A4268A">
        <w:rPr>
          <w:rFonts w:eastAsia="Calibri"/>
        </w:rPr>
        <w:t>Improvements continue to be required around medication management from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was evidence that residents and family are kept informed.  Open disclosure is practiced.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A facility manager and clinical manager are responsible for the day-to-day operations of the facility.  A risk management programme is in place, which includes managing adverse events and health and safety processes.  The facility is benchmarked against other Bupa facilities.</w:t>
      </w:r>
    </w:p>
    <w:p w:rsidRPr="00A4268A">
      <w:pPr>
        <w:spacing w:before="240" w:line="276" w:lineRule="auto"/>
        <w:rPr>
          <w:rFonts w:eastAsia="Calibri"/>
        </w:rPr>
      </w:pPr>
      <w:r w:rsidRPr="00A4268A">
        <w:rPr>
          <w:rFonts w:eastAsia="Calibri"/>
        </w:rPr>
        <w:t xml:space="preserve">An annual resident/relative satisfaction survey is completed and there is documented resident/relative communication.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is in place.  </w:t>
      </w:r>
    </w:p>
    <w:p w:rsidRPr="00A4268A">
      <w:pPr>
        <w:spacing w:before="240" w:line="276" w:lineRule="auto"/>
        <w:rPr>
          <w:rFonts w:eastAsia="Calibri"/>
        </w:rPr>
      </w:pPr>
      <w:r w:rsidRPr="00A4268A">
        <w:rPr>
          <w:rFonts w:eastAsia="Calibri"/>
        </w:rPr>
        <w:t xml:space="preserve">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 monthly.  Resident files included medical notes by the contracted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medicines records reviewed included documentation of allergies and sensitivities and are reviewed at least three 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All food and baking is done on-site.  Residents' nutritional needs are identified and documented.  Choices are available and are provided.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Enablers are voluntary and the least restrictive option.  There was one resident with restraint and six residents who required an enabler during the audit.  Appropriate assessments, care planning, monitoring and evaluations are in place around restraint and enabler use.  Enabler use is voluntary.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control management systems are in place to minimise the risk of infection to consumers, service providers and visitors.  The infection control coordinator is appropriately trained.  The type of surveillance undertaken is appropriate to the size and complexity of the organisation.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9"/>
        <w:gridCol w:w="1280"/>
        <w:gridCol w:w="98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is maintained by the facility manager using an electronic complaint register.  Documentation including follow-up letters and resolution demonstrates that complaints are being managed in accordance with guidelines set forth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residents and relatives confirmed they were provided with information on complaints and complaints forms.  Complaints forms, and a suggestions box are in a visible location at the entrance to the facility.  There were no complaints in 2016.  One complaint received in 2017 was reviewed with evidence of appropriate follow-up actions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(one clinical manager, one facility manager, two registered nurses, four caregivers (two rest home, and two hospital)) showed understanding of open disclosure.  Evidence of communication with family/whānau is recorded on the family/whānau communication record, which is held in each resident’s file.  Electronic accident/incident forms have a section to indicate if next of kin have been informed (or not) of an accident/incident.  Twelve accident/incident forms reviewed identified family are kept informed.  All four residents interviewed (two rest home level and two hospital level) said that communication with staff was good.  The three families interviewed (all hospital level)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available interpreters is available.  Interpreter services are used where indicated.  The information pack is available in large print and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There is a site-specific introduction booklet providing information for family, friends and visitors visiting the facility included in the enquiry pack, along with a new resident’s handbook providing practical information for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Tararu Rest Home and Hospital is a Bupa residential care facility.  The service currently provides care for up to 62 residents at hospital and rest home levels of care.  On the day of the audit, there were 56 residents (23 hospital level and two rest home level residents in the 31-bed hospital and 31 rest home residents in the rest home wing).  There were two residents in the two DHB transition short-term funded beds.  There are seven dual-purpose beds.  A vision, mission statement and objectives are in place.  Annual goals for the facility have been determined, which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this role for over two years and had previously held the position of financial manager at Tararu for eight years.  She is supported by a clinical manager/RN who has worked at Tararu for ten years and been in the role for seven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documented.  Interviews with the managers and staff reflect their understanding of the quality and risk management systems that have been put into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areas, wounds, and medication errors.  An annual internal audit schedule was sighted for the service with evidence of internal audits occurring as per the audit schedule.  Corrective actions are implemented when service shortfalls are identified and signed off when completed.  Quality and risk data, including trends in data and benchmarked results are discussed informally by the management team.  Meetings have not all been held as scheduled and minutes reviewed do not all evidence that quality data is shared and documented as appropriate with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a senior caregiver facilitate health and safety for the service.  The health and safety team have established goals.  One documented health and safety team meeting involved representatives from a variety of areas from throughout the service.  The health and safety representative (senior caregiver) has completed a two-day training course including information on the new legislation.  The care home manager states she is more aware of her responsibilities since the new legislation.  Quality, clinical and staff meeting minutes did not always document quality and risk data.  Staff and resident meetings have been held infrequently.  Hazard identification forms and a hazard register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an investigation of residents’ falls on a case-by-case basis to ensure that strategies to reduce falls have been implemented.  Other strategies include sensor mats, and hourly checks on residents at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entries reports are completed via an electronic database for each incident/accident with immediate action noted and any follow-up action(s) required.  Incident/accident data is linked to the organisation's quality and risk management programme and is used for comparative purposes.  Twelve accident/incident forms were reviewed.  Each event involving a resident reflected a clinical assessment and follow-up by a registered nurse.  Incidents are benchmarked and analysed for trends for each area (link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A section 31 notification was made on the day of the audit relating to a current unstageable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Five staff files sampled (one clinical nurse manager, one registered nurse, one caregiver, one cook, and one activities coordinator) included evidence of the recruitment process, employment contracts, completed orientation, and annual performance appraisals.  The orientation programme provides new staff with relevant information for safe work practice and is developed specifically to worker type.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that is being implemented.  Caregivers are encouraged to complete an aged care education programme.  Opportunistic education is provided via toolbox talks.  Education and training for clinical staff is linked to external education provided by the district health board.  Additional training is also offered in relation to new client needs.  The management team has implemented regular training days and staff attendance is actively monitored.  Staff are appraised annually on their performance.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managed by an experienced activities coordinator who attends six monthly activities training days.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shares a rotating on-call roster with the clinical manager from a sister village.  The care home manager and clinical manager are available during weekdays.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the current 23 hospital level care residents, on day shift, there is one RN, and three caregivers:  two work a full shift, and one that works 0700- 1300.  The afternoon shift is covered by an RN, and four caregivers: two who work the full shift and two who work 1500 to 2130.  On the night shift there is one RN and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 for 33 residents on day shift, there is one senior caregiver and two caregivers who all work the full shift.  The afternoon shift is covered by one caregiver who works the full shift and two others working shorter shifts.  The rest home night shift is covered by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confirmed staffing overall was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are four residents self-administering medications at the time of audit.  All four had signed informed consent forms but not all medicines were stored safely.  The service uses robotic packs and an electronic medication management system.  The RN checks all medications on delivery against the medication and any pharmacy errors recorded and fed back to the supplying pharmacy.  Medications are securely and appropriately stored in the nurses’ station.  The medication fridges have temperatures recorded daily and these are within acceptable ranges.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who administer medications have been assessed for competency on an annual basis.  Education around safe medication administration has been provided.  Staff were observed to be safely administering medications.  Registered nurses and care staff interviewed were able to describe their role in regard to medicine administration.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Twelve medication charts were reviewed.  Photo identification and allergy status were on all charts.  All medication charts for long-term residents had been reviewed by the GP at least three-monthly and signed either on the review section of the medication chart or through GP notes.  Not all medications were documented as prescribed, this is a continued shortfall from the previous audit, and not all medications were documented as administered as charted.  The self-medication process was not followed safely for all residents that self-medicate.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oversees the food services and is supported by a kitchenhand on duty each day.  The national menus have been audited and approved by an external dietitian.  The main meal is in the evening.  All baking and meals are cooked on-site in the main kitchen.  Meals are delivered in bain maries to each kitchenette, where they are served.  The cook receives dietary information for new residents and is notified of any dietary changes, weight loss or other dietary requirements.  Food allergies and dislikes are listed in the kitchen.  Special diets such as diabetic desserts, vegetarian, pureed and alternative choices for dislikes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End-cooked food temperatures are recorded on each meal daily.  Serving temperatures from bain-maries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staff have completed on-site food safety education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six files sampled had detailed progress which reflected the interventions detailed in the long-term care plans.  When a resident's condition alters, the registered nurse initiates a review and if required, GP or specialist consultation.  The family members confirmed on interview they are notified of any changes to their relative’s health including (but not limited to) accident/incidents, infections, health professional visits and changes in medications.  Discussions with families and notifications were documented in the resident file sampled in the family/whānau contact form.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two rest homes residents with wounds (one skin tear and one unstageable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For hospital level, there were two residents with pressure injuries; one grade two and one resident had three, almost healed, grade two pressure injuries (the delicate new skin was covered with opsite and remained on the wound log to ensure monitoring).  Other wounds for hospital level care included bruises, grazes and skin tears, a blister, an ulcer, and sacral excoriation.  All wounds had an assessment, management plan and evaluations.</w:t>
            </w:r>
          </w:p>
          <w:p w:rsidR="00EB7645" w:rsidRPr="00BE00C7" w:rsidP="00BE00C7">
            <w:pPr>
              <w:pStyle w:val="OutcomeDescription"/>
              <w:spacing w:before="120" w:after="120"/>
              <w:rPr>
                <w:rFonts w:cs="Arial"/>
                <w:b w:val="0"/>
                <w:lang w:eastAsia="en-NZ"/>
              </w:rPr>
            </w:pPr>
            <w:r w:rsidRPr="00BE00C7">
              <w:rPr>
                <w:rFonts w:cs="Arial"/>
                <w:b w:val="0"/>
                <w:lang w:eastAsia="en-NZ"/>
              </w:rPr>
              <w:t>Stocks of continence and dressing supplies are monitored by the RNs and ordered on a regular basis.  Sufficient continence and dressing supplies are available.  Registered nurses were able to describe access for wound and continence specialist input as required.</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in use (sighted) include; continence diary, monthly blood pressure and weight monitoring, two-hourly turning charts, and behaviour monitoring charts.  Not all monitoring was documented as taking place as per plan and not all care interventions advised by allied health were documented into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reported their needs were being met.  There was clear documented evidence of relative contact following GP reviews, incidents, infections, care plan reviews or any changes to resident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employees two activities coordinators, one full time and one part-time and between them they provide an integrated programme for rest home and hospital level of care residents activities Monday to Friday and alternate Saturdays.  On or soon after admission, a social history is taken and information from this is fed into the care plan.  This is reviewed six-monthly as part of the care plan review/evaluation and a record is kept of individual residents’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family/resident completes a ‘Map of Life’ on admission, which includes previous hobbies, community links, family, and interests.  The individual activity plan is incorporated into the ‘My Day My Way’ care plan, and is reviewed at the same time as the care plan in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plan is completed within timeframes, a monthly record of attendance to activities is maintained and evaluations are completed six-monthly.  A monthly activities programme is given to all residents, and is displayed on noticeboards throughout the facility.  There are general activities for all residents to join in and activities for more able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resources available for care staff to use for one-on-one time with residents.  Activity participation sheets were maintained in files sampled.  Families are invited to the resident meetings.  The service also receives feedback and suggestions for the programme through surveys and one-on-one feedback from residents (as appropriate) and families.  Residents interviewed stated they feel the activities are very good, and they are kept as busy as they want to be.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long-term residents had been evaluated by registered nurses’ six-monthly.  There is a comprehensive six monthly multidisciplinary review documented.  The multidisciplinary review involves the clinical manager, RN, GP, any allied health member involved in individual resident care, activities staff and resident/family.  The family are notified of the outcome of the review if unable to attend.  There is at least a three-monthly review by the medical practitioner.  The family members interviewed confirmed they are invited to attend the multidisciplinary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evaluations describe the resident’s progress against the residents identified goals.  InterRAI assessments have been utilised in conjunction with the six-monthly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displays a current building warrant of fitness that expires 18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uses the information obtained through surveillance to determine infection control activities, resources, and education needs within the facility.  Infections are included on a monthly register and a monthly report is completed by the infection control coordinator.  There are standard definitions of infections in place appropriate to the complexity of service provided.  Infection control data is collated monthly and results are distributed to staff noticeboards.  Benchmarking occurs against other Bupa facilities.  </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infections are entered into the computer software which collects all infections.  Infections are included on a monthly register and a monthly report is completed by the infection control coordinator and forwarded to the management team.  Internal infection control audits also assist the service in evaluating infection control needs.  There is close liaison with the GP that advises and provides feedback/information to the service.  Systems in place are appropriate to the size and complexity of the facility.  There has been one outbreak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Enablers are assessed as required for maintaining safety and independence and are used voluntarily by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hospital resident requiring the use of bedrails at night.  There are six hospital residents requiring the use of an enabler (bedrails).  Use of an enabler is voluntary.  An assessment for restraint/enabler use and consent forms are completed in one restraint and two enabler files reviewed.  The care plans reviewed document the use of enabler or restraint and contain appropriate interventions.  Restraint education and audits have been completed.  The policy includes comprehensive restraint procedures.  Interviews with the staff confirm their understanding of restraints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8"/>
        <w:gridCol w:w="1280"/>
        <w:gridCol w:w="4241"/>
        <w:gridCol w:w="4808"/>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responsible for collecting adverse event data and implementation of the internal audit programme, as per the internal audit schedule.  Quality data is collected, analysed, benchmarked and trended and where corrective actions are required, these have been implemented.  The health and safety risk management plan has documented goals for 2017.  The health and safety team including representatives from all areas have met on one occasion and discussed hazard management. </w:t>
            </w:r>
          </w:p>
          <w:p w:rsidR="00EB7645" w:rsidRPr="00BE00C7" w:rsidP="00BE00C7">
            <w:pPr>
              <w:pStyle w:val="OutcomeDescription"/>
              <w:spacing w:before="120" w:after="120"/>
              <w:rPr>
                <w:rFonts w:cs="Arial"/>
                <w:b w:val="0"/>
                <w:lang w:eastAsia="en-NZ"/>
              </w:rPr>
            </w:pPr>
            <w:r w:rsidRPr="00BE00C7">
              <w:rPr>
                <w:rFonts w:cs="Arial"/>
                <w:b w:val="0"/>
                <w:lang w:eastAsia="en-NZ"/>
              </w:rPr>
              <w:t>Data is being trended and analysed at the facility and Bupa level.  Staff are informed by graphs on the staff room noticeboard regarding the number and type of adverse events each month.  Meetings have not all been held as scheduled and minutes reviewed do not all evidence that quality data is shared and documented as appropriate with staff and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system dictates that quality data is discussed at quality, staff and where appropriate at resident meetings, but these meetings did not occur according to the Bupa meeting schedule.  Where meeting minutes were documented, they did not evidence that quality results are communicated.  In 2017, there was documentation identifying one staff meeting, one health and safety meeting and one resident meeting.  There were three quality meetings in 2017, however only one of these had associated minutes documented.  The other two were evidenced by notations on paper.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meetings are held as scheduled and that quality data is shared and documented as appropriate with staff and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charting system.  All medications are safely stored in secure rooms.  A medication round observed, evidenced that a safe and correct process is followed.  Not all medications have been signed by the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(i)One resident with oxygen has the oxygen monitored, but it is not prescribed on the medications chart.  (ii) One resident has a medication chart that has not been signed by the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all medications are prescribed and signed for by the prescriber.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supports residents to self-medicate.  There are policies, procedures and documentation templates in place to support this.  Resident have lockable drawers in their rooms.  Four self-medication residents were reviewed.  All had an assessment and competency that was documented as reviewed three monthly.  One of the four residents followed correct storage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four residents who self-administer medications, three were not following correct process: One resident stored medication but had locked the drawer, one resident could not find their medication and one resident stored the medications on the table in their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who self-medicate follow correct storage process for their medications.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care plans reviewed documented all interventions according to assessments, progress notes, GP and allied health professionals.  A generic STCP did not reflect personalised interventions for a resident with a current UTI.  A review of progress notes, monitoring charts and discussion with residents and family evidences that care interventions take place according to the care plan for four of six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care plans include interventions to reflect all current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care plans include interventions to reflect all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Tararu Rest Home &amp; Hospital</w:t>
    </w:r>
    <w:bookmarkEnd w:id="58"/>
    <w:r>
      <w:rPr>
        <w:rFonts w:cs="Arial"/>
        <w:sz w:val="16"/>
        <w:szCs w:val="20"/>
      </w:rPr>
      <w:tab/>
      <w:t xml:space="preserve">Date of Audit: </w:t>
    </w:r>
    <w:bookmarkStart w:id="59" w:name="AuditStartDate1"/>
    <w:r>
      <w:rPr>
        <w:rFonts w:cs="Arial"/>
        <w:sz w:val="16"/>
        <w:szCs w:val="20"/>
      </w:rPr>
      <w:t>7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