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Ruapehu Masonic Association Trust - Masonic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Ruapehu Masonic Association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Masonic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February 2018</w:t>
      </w:r>
      <w:bookmarkEnd w:id="7"/>
      <w:r w:rsidRPr="009418D4">
        <w:rPr>
          <w:rFonts w:cs="Arial"/>
        </w:rPr>
        <w:tab/>
        <w:t xml:space="preserve">End date: </w:t>
      </w:r>
      <w:bookmarkStart w:id="8" w:name="AuditEndDate"/>
      <w:r w:rsidR="00A4268A">
        <w:rPr>
          <w:rFonts w:cs="Arial"/>
        </w:rPr>
        <w:t>28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Masonic Court rest home provides rest home level of care for up to 56 residents.  On the day of the audit there were 36 residents. </w:t>
      </w:r>
    </w:p>
    <w:p w:rsidRPr="00A4268A">
      <w:pPr>
        <w:spacing w:before="240" w:line="276" w:lineRule="auto"/>
        <w:rPr>
          <w:rFonts w:eastAsia="Calibri"/>
        </w:rPr>
      </w:pPr>
      <w:r w:rsidRPr="00A4268A">
        <w:rPr>
          <w:rFonts w:eastAsia="Calibri"/>
        </w:rPr>
        <w:t>Masonic Court rest home is governed by a Trust Board.  The facility manager has been in the role two and a half years and is responsible for the daily operations for the facility.  She is supported by a full-time clinical nurse leader.  Residents and family interviewed were complimentary of the service they receive.</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This audit identified an improvement required around neurological observations.</w:t>
      </w:r>
    </w:p>
    <w:p w:rsidRPr="00A4268A">
      <w:pPr>
        <w:spacing w:before="240" w:line="276" w:lineRule="auto"/>
        <w:rPr>
          <w:rFonts w:eastAsia="Calibri"/>
        </w:rPr>
      </w:pPr>
      <w:r w:rsidRPr="00A4268A">
        <w:rPr>
          <w:rFonts w:eastAsia="Calibri"/>
        </w:rPr>
        <w:t>A continuous improvement rating has been awarded around a quality project.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staff at Masonic Court rest home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Masonic Court rest home has a documented quality and risk management system.  Quality management processes are reflected in the quality improvement plan’s objectives and goals.  Quality data is collated for infections, accident/incidents, concerns and complaints and surveys.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in resident records demonstrated service integration and were evaluated at least six-monthly.  Resident files included medical notes by the general practitioner and visiting allied health professionals.  The registered nurses and medication competent caregivers are responsible for administration of medicines and complete annual education and medication competencies.  </w:t>
      </w:r>
    </w:p>
    <w:p w:rsidRPr="00A4268A" w:rsidP="00621629">
      <w:pPr>
        <w:spacing w:before="240" w:line="276" w:lineRule="auto"/>
        <w:rPr>
          <w:rFonts w:eastAsia="Calibri"/>
        </w:rPr>
      </w:pPr>
      <w:r w:rsidRPr="00A4268A">
        <w:rPr>
          <w:rFonts w:eastAsia="Calibri"/>
        </w:rPr>
        <w:t xml:space="preserve">The medicine charts reviewed met legislative prescribing requirements and were reviewed at least three-monthly by the general practitioner.  The diversional therapist and activities assistant provide and implement an interesting and varied activity programme.  The programme includes community visitors and outings, entertainment and activities that meet the individual recreational, physical, cultural and cognitive abilities and preferences for each resident group.  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All bedrooms have ensuite toilets or full ensuites.  Documented policies and procedures for the cleaning and laundry services are implemented with appropriate monitoring systems in place to evaluate the effectiveness of these services.  A civil defence/emergency plan is documented for the service.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should this be required.  At the time of the audit there were no restraints or enablers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48"/>
        <w:gridCol w:w="1280"/>
        <w:gridCol w:w="9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nine care staff (one registered nurse (RN), six caregivers, one cook and one diversional therapist) confirmed their familiarity with the Code.  Six residents and seven 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established informed consent policies/procedures and advanced directives.  General consents obtained on admission were sighted in the six residents’ files.  Advanced directives if known were on the residents’ files.  Resuscitation plans for competent residents were appropriately signed.  An informed consent policy is implemented.  Systems are in place to ensure residents, and where appropriate their family/whānau, are provided with appropriate information to make informed choices and informed decisions.  Residents and relatives interviewed confirmed they have been made aware of and fully understand informed consent processes and confirmed that appropriate information had been provided.  Long-term resident files reviewed had a signed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identifies who the resident can contact to access advocacy services.  The information pack provided to residents prior to entry includes advocacy information.  Staff were aware of the right for advocacy and how to access and provide advocate information to residents if needed.  Residents and family members that were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facility manager leads the investigation of any concerns/complaints in consultation with the RN for clinical concerns/complaints.  Complaint forms are visible throughout the facility.  A complaints procedure is provided to residents within the information pack at entry.  A complaints register is maintained.  There have been two complaints made in 2017 since the last audit.  The documentation for each complaint shows investigation and actions taken for resolution to the satisfaction of the complainant.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a manager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House rules are signed by staff at commencement of employment.  Residents and relatives interviewed reported that residents are able to choose to engage in activities and access community resources.  There is an abuse and neglect policy in place.  Abuse and neglect training was last provided in October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guidelines for the provision of culturally safe services for Māori residents.  There is a Māori health plan.  On the day of the audit there were no residents that identified as Māori.  A member of staff is a Kaumātua and is able to offer guidance on cultural awareness.  Discussions with staff confirm that they are aware of the need to respond with appropriate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 of service delivery in the facility.  Staffing policies include pre-employment, the requirement to attend orientation and ongoing in-service training.  The facility manager and clinical nurse leader share the responsibility for coordinating the internal audit programme.  Monthly staff and quarterly quality meetings and monthly residents’ meetings are conducted.  Residents and relatives interviewed spoke positively about the care and support provided.  Staff interviewed stated that they feel supported by the facility manager, clinical nurse leader and the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Five residents and four relatives confirmed on interview that the staff and management are approachable and available.  Twelve accident/incident forms reviewed identified family were notified following a resident incident.  Relatives interviewed confirmed they are notified of any accident/incidents.  Families are invited to attend the monthly resident/family meetings.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Court rest home provides care for up to 56 rest home level of care residents.  On the day of audit there were 36 residents, which included one resident on respite, two on an intermediate care DHB contract and one on a non-weight bearing DHB contract.  All other residents were on the aged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Masonic Court rest home is governed by a Trust of nine board members with a range of experience and skills including clinical expertise.  Masonic Court’s philosophy and values flow from the principles of the freemasonry and underpins the business plan, quality goals and objectives.  The 2018 quality improvement plan included objectives and goals to set by the Masonic Court rest home quality improvement committee.  The quality improvement plan for 2017 has been reviewed quarterly (sighted) and reported to the board of trustees.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(non-clinical) works full-time and has been in the position for two and a half years.  She has 17 years’ experience in healthcare management.  The facility manager is supported by a clinical nurse leader.  The clinical nurse leader has been in the position since July 2017.  He has previous experience as a nurse supervisor and clinical quality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at least eight hours annually of professional development activities related to managing a rest home.  The facility manager and clinical nurse leader have access to a regional aged care education/consultant.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reported that in the event of her temporary absence the clinical nurse leader fills the role with support from the RNs and other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Court rest home has a documented quality and risk management system.  Quality management processes are reflected in the quality improvement plan’s objectives and goals.  The facility managers’ monthly report to the board of trustees covers staffing, resident occupancy, quality improvement activities, accident/incident data, audits (internal and external) and any complaints/compliments.  There are policies and procedures implemented to provide assurance that the service is meeting accepted good practice and adhering to relevant standards, including those standards relating to the Health and Disability Services (Safety) Act 2001.  Policies are up-to-date and are reviewed two-yearly.  Staff interviewed confirmed they are made aware of new/reviewed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they are aware of the results of internal audits, health and safety and infection control data, trends and corrective actions, new or reviewed policies and procedures.  Infection control, health and safety, management and general staff meetings are held regularly.  Data is collected in relation to a variety of quality activities and internal audits are completed as scheduled and include environmental, infection control, organisational and clinical audits including quarterly medication audits.  Areas of non-compliance identified through quality activities are actioned for improvement.  Meeting minutes and quality data is available for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and risk management system in place including policies to guide practice.  The service has a health and safety committee with specific role responsibilities.  The health and safety officer (caregiver) has completed the specific health and safety training.  Hazard identification forms and a current hazard register are in place.  Fall prevention strategies are in place that include the analysis of falls accident/incidents and the identification of interventions on a case-by-case basis to minimise future falls.  Resident satisfaction survey (August 2017) and family satisfaction survey (October 2017) have been collated.  The resident satisfaction survey had a 90% satisfaction result and the family satisfaction survey had an 85% satisfaction result of either excellent or very good.  Results have been fed back to participants.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that includes definitions and outlines responsibilities.  Twelve accident/incident forms for the month of February 2018 were reviewed.  All document timely RN review and follow-up.  However, neurological observations were not fully completed for five resident falls that resulted in a potential head injury.  Discussions with the facility manager confirmed an awareness of the requirement to notify relevant authorities in relation to essential notifications including section 31 notifications.  There has been one section 31 notification lodged for an unstageable pressure injury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Seven staff files (one facility manager, one clinical nurse leader, one RN, three caregivers and one recreational officer) were reviewed.  The recruitment and staff selection process require that relevant checks are completed to validate the individual’s qualifications, experience and suitability for the role.  Annual performance appraisals were current.  Current practising certificates were sighted for the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leader has completed interRAI training and the two RNs were due to start interRAI training.  The service has an orientation programme in place to provide new staff with relevant information for safe work practice.  The RNs and caregivers’ complete competencies relevant to their role such as medications.  There is an education planner in place that covers compulsory education requirements over a two-year period.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There are always two care staff on duty 24 hours a day, seven days a week.  The facility manager and clinical nurse leader both work 40 hours per week Monday to Friday and are available on call 24/7.  The clinical nurse leader is supported by RNs who works from Monday to Sunday 7.30 am to 4.00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supported by four caregivers (two long and two short shifts) on the morning shift and three caregivers (two long and one short shift) on the afternoon shift, and two caregivers on the night shift.  Caregivers interviewed confirmed the RNs are readily available after hours.  The rosters sighted confirmed that staff are replaced on the roster.  Resident acuity is monitored, and additional staff are available to assist with more dependant residents.  There are dedicated activity, cleaning, laundry and food services staff.  Interviews with residents and family identify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Files and relevant care and support information for residents is able to be referenced and retrieved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for long-term care or short-term care are provided for families and residents prior to admission or on entry to the service.  The service also has a web site.  All admission agreements reviewed (for three long-term residents) aligned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Clinical staff that administer medications (RNs and senior caregivers) have been assessed for competency on an annual basis and attend annual medication education.  All medication is checked on delivery against the medication chart.  All medications are stored safely.  The medication fridge is maintained within the acceptable temperature range.  All eye drops, and ointments were dated on opening.  There were four residents self-medicating on the day of audit.  Self-medication competencies had been reviewed three-monthly.  Twelve medication charts reviewed met legislative requirements.  Medications had been signed as administered in line with prescription charts.  Appropriate practice was demonstrated on the witnessed medication 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and cooked on-site.  There are two cooks (one is also kitchen supervisor) and four kitchenhands employed.  Food services staff have attended food safety and chemical safety training.  The menu has been reviewed by a dietitian.  Cultural preferences and special diets are met.  The cook receives a resident dietary profile for all residents and is notified of any dietary changes.  Likes and dislikes are known and accommodated.  Special diets are accommodated including allergies and modified food textures.  Individual breakfast trays have individual teapots, each with a brightly knitted tea cosy.  Resident’s interviewed like this homely touch.</w:t>
            </w:r>
          </w:p>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are taken and recorded daily.  End-cooked food and serving temperatures are recorded daily.  Perishable foods sighted in all the fridges were dated.  The dishwasher is checked regularly by the chemical supplier.  Chemicals are stored safely.  A maintenance and cleaning schedule is maintained.  Resident meetings along with direct input from residents, provides resident feedback on the meals and food services generally.  Residents and family members interviewed were satisfied with the meals provided.  Alternatives are offered for dislikes.  The service received an A Rating for their kitchen under their Food Safety Plan verification.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and care plan on admission, including a clinical risk assessment and relevant risk assessment tools.  InterRAI assessments are completed six monthly or earlier due to health changes.  Paper-based assessments such as falls, pain, continence (as examples) were also used.  Resident needs and supports were identified through available information such as discharge summaries, medical notes and in consultation with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individualised.  New templates were clear and included reference to a wide range of resident holistic needs.   Support needs as assessed were included in the long-term care plans reviewed.  Short-term care plans are used for changes to health status and were sighted in resident files, for example, pain, infections and wounds, and have either been resolved or if ongoing, transferred to the long-term care plan.  Long-term care plans evidenced resident (as appropriate) and family/whānau involvement in the care plan process.  </w:t>
            </w:r>
          </w:p>
          <w:p w:rsidR="00EB7645" w:rsidRPr="00BE00C7" w:rsidP="00BE00C7">
            <w:pPr>
              <w:pStyle w:val="OutcomeDescription"/>
              <w:spacing w:before="120" w:after="120"/>
              <w:rPr>
                <w:rFonts w:cs="Arial"/>
                <w:b w:val="0"/>
                <w:lang w:eastAsia="en-NZ"/>
              </w:rPr>
            </w:pPr>
            <w:r w:rsidRPr="00BE00C7">
              <w:rPr>
                <w:rFonts w:cs="Arial"/>
                <w:b w:val="0"/>
                <w:lang w:eastAsia="en-NZ"/>
              </w:rPr>
              <w:t>Relatives interviewed confirmed they were involved in the care planning process.  Resident files demonstrated service integration.  The residents on short-term contracts (respite care, intermediate care and non-weight bearing) had all identified needs included in the short-stay support plan with short-term care plans for acute needs.  There was evidence of allied healthcare professionals involved in the care of the resident including physiotherapist, podiatrist and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RN initiates a review and if required, GP, nurse specialist consultation.  There is documented evidence on the family/whānau contact form in each resident file, that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Nutritional requirements and assessments are completed on admission identifying resident nutritional status and preferences.  Two residents with weight loss had documented intervention of high protein drinks and snacks.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was aware of both resident’s weight loss.  Adequate dressing supplies were sighted in the treatment rooms.  Wound management policies and procedures are in place.  Wound assessment and treatment forms, ongoing evaluation form and evaluation notes were in place for residents with wounds.  District nurse and wound specialist review were documented for chronic wounds and pressure injuries.  The service has three residents with a pressure injury at the time of audit (one unstageable, and two grade two).  All had documented wound assessments, plans and evaluations and all were improving.  Ten current wounds were reviewed.  All had an assessment, management plan and evaluations.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introduced new wound management templates, and these were observed to be clear and well documented.  Continence products are available and resident files include a urinary continence assessment, bowel management, and continence products identified.  There is access to a continence nurse specialist by referral.  Residents are weighed monthly or more frequently if weight is of concern.  Monitoring forms are used for weight, vital signs, and blood sugar levels, pain, challenging behaviour and food and fluid charts (link to 1.2.4.3 for neurological observations).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diversional therapists (DT) that works Monday – Sunday.  They are supported by an activity assistant on Mondays and occasionally on Sundays.  The programme is seven days a week and integrated to meet the physical and psychosocial well-being of the residents.  There are regular outings into the community.  The service has a van for regular outings.  One-on-one activities such as individual walks, reading and chats and hand massage occur for residents who choose not to be involved in group activities.  Themes and events are celebrated.  The varied programme includes guest speakers, charity high teas so that residents can donate to charity of their choice.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Bingo, crafts, reminiscing, inter-home games, and craft groups are some of the activities on offer.  A diversional therapy resident profile is completed on admission.  Individual activity plans were seen in long-term resident files.  The DT is involved in the six-monthly review with the RN.  The service receives feedback and suggestions for the programme through two monthly resident meetings and direct feedback from residents and families.  Residents interviewed spoke very positively about the varied activities programme which they have input 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within three weeks of admission and long-term care plans developed.  Long-term care plans have been evaluated by an RN six monthly or earlier for any health changes in the long-term files reviewed.  Written evaluations reviewed on the care plan identified progress towards goals.  Short stay residents are evaluated daily.  Family had been invited to attend the care plan review and informed of any changes if unable to attend.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and posted on the wall in the laundry.  Chemicals are stored in locked areas throughout the facility.  Personal protective clothing is available for staff and were seen to be worn by staff when carrying out their duties on the day of audit.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3 August 2018.  There are three maintenance staff who between them undertake preventative and reactive maintenance and grounds management.  Daily maintenance requests are addressed.  There is an annual maintenance plan, which includes monthly checks, for example, hot water temperature, call bells, resident equipment and safety checks.  Electrical equipment has been tested and tagged.  Clinical equipment has been calibrated and/or serviced.  Essential contractors are available 24-hours.  The facility has wide corridors with sufficient space for residents to safely mobilise using mobility aids.  The outside area for residents is well designed and appropriate for residents who like to go outside.  The caregivers and RNs stated they have sufficient equipment to safely deliver the care and support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communal showers and toilets to meet the needs of the residents in both wings.  Hand basins, toilets and shower facilities are of an appropriate design.  The communal toilets and showers have privacy locks.  Residents interviewed confirmed care staff respect the resident’s privacy when attending to their personal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spacious.  There is adequate room to safely manoeuvre mobility aids or hoists.  Residents and families are encouraged to personalise bedrooms.  A tour of the facility evidenced personalised rooms, which included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recreation area where most group activities take place.  The service has a large lounge and a large dining area as well as smaller quiet lounges, and several smaller seating areas.  All communal areas are accessible to residents.  Caregivers assist to transfer residents to communal areas for dining and activities as required.  The service has recently created a small sensory room.  This room is a quiet, relaxing area that has been popular with both residents and village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staff on duty five days a week and cleaning staff on duty seven days a week.  All laundry is completed on-site.  The laundry staff have completed chemical safety training and laundry processes.  The laundry has a designated dirty to clean flow which the laundry person was able to explain.  There is appropriate personal protective-wear readily available.  The cleaners’ trolleys are stored in a locked area when not in use.  Internal audits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and disaster management plans in place to ensure health, civil defence and other emergencies are included.  Six-monthly fire evacuation practice documentation was sighted, with the last fire evacuation drill occurring on 15 August 2017.  A contracted service provides checking of all facility equipment including fire equipment.  Fire training and security situations are part of orientation of new staff and include competency assessments.  There are adequate supplies in the event of a civil defence emergency including food, water, blankets, a generator, and gas cooking.  </w:t>
            </w:r>
          </w:p>
          <w:p w:rsidR="00EB7645" w:rsidRPr="00BE00C7" w:rsidP="00BE00C7">
            <w:pPr>
              <w:pStyle w:val="OutcomeDescription"/>
              <w:spacing w:before="120" w:after="120"/>
              <w:rPr>
                <w:rFonts w:cs="Arial"/>
                <w:b w:val="0"/>
                <w:lang w:eastAsia="en-NZ"/>
              </w:rPr>
            </w:pPr>
            <w:r w:rsidRPr="00BE00C7">
              <w:rPr>
                <w:rFonts w:cs="Arial"/>
                <w:b w:val="0"/>
                <w:lang w:eastAsia="en-NZ"/>
              </w:rPr>
              <w:t>Emergency equipment is available at the facility.  Short-term backup power for emergency lighting is in place.  A minimum of one person trained in first aid and cardiopulmonary resuscitation (CPR) is available at all times.  All RNs hold a current first aid certificate.  There is a new call bell system in place and there are call bells in the residents’ rooms, and lounge/dining room areas.  Call bells have display boards in all corridors and the nurse’s station.  The facility manager reports that the new call bell system has reduced the time for call bell answering, which is closely monitored by the service.  Residents were observed to have their call bells in close proximity (link quality project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The environment is maintained at a safe and comfortable temperature.  The residents and family interviewed confirmed temperatures are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It is linked into the quality management system.  A RN (clinical nurse leader) is the designated infection control coordinator with support from other members of the infection control team.  Infection control is reported monthly to the quality meeting and there are quarterly infection control meetings.  Minutes are available for staff.  Internal audits have been conducted and include hand hygiene and infection control practices.  Education is provided for all new staff on orientation.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RN is the designated infection control (IC) coordinator.  There are adequate resources to implement the infection control programme for the size and complexity of the organisation.  The IC nurse and IC team have external support from the IC nurse specialist at the DHB.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are appropriate for the size and complexity of the service.  The infection control manual outlines a range of policies, standards and guidelines and includes defining roles, responsibilities and oversight,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attended training through Bug Control.  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meetings.  If there is an emergent issue, it is acted upon in a timely manner.  Reports are easily accessible to the facility manager and clinical nurse leader.  One outbreak during November 2017 (Norovirus) has been effectively managed.  Notification was made to public health and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restraint free.  An RN oversees the enabler/restraint process within the facility.  There were no residents on restraint and no residents using an enabler at the time of the audit.  There is a documented definition of restraint and enablers, which is congruent with the definition in NZS 8134.0.  There are clear guidelines in the policy to determine what restraint is and what an enabler is.  </w:t>
            </w: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3"/>
        <w:gridCol w:w="1280"/>
        <w:gridCol w:w="4271"/>
        <w:gridCol w:w="4116"/>
        <w:gridCol w:w="16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accident/incident reporting policy that includes definitions and outlines responsibilities.  Twelve accident/incident forms for the month of February 2018 were reviewed.  All document timely RN review and follow-up.  However, neurological observations were not fully completed for five resident falls that resulted in a potential head injury.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accident/incident forms were reviewed in total.  Eight of the twelve accident/incident forms reviewed were for resident unwitnessed falls with a potential head injury.   For four of the eight unwitnessed falls with a potential head injury incident, the neurological observations were not fully completed as per the policy requirement.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 forms are fully completed for any resident fall with a head injury as per the policy requirement.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84"/>
        <w:gridCol w:w="1280"/>
        <w:gridCol w:w="2712"/>
        <w:gridCol w:w="78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week a chart is published documenting average call-bell answer times.  It was identified that call bells were taking a long time to be answered and therefore the service implemented a quality project to address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implementing quality projects as a follow up from data being collected.  Following discussion and a business case to the board the service introduced the following.  It was identified that the current call bell system that used staff pagers was not ensuring prompt answering of bells.  A new call bell system was purchased.  This new call bell system has display boards in all wings and communal areas.  The nurse’s station and managers office have a computer screen identifying all calls.  The computer screens have allowed the management team to oversee all calls and monitor call bell answer times at the time of the call.  </w:t>
            </w:r>
          </w:p>
          <w:p w:rsidR="00EB7645" w:rsidRPr="00BE00C7" w:rsidP="00BE00C7">
            <w:pPr>
              <w:pStyle w:val="OutcomeDescription"/>
              <w:spacing w:before="120" w:after="120"/>
              <w:rPr>
                <w:rFonts w:cs="Arial"/>
                <w:b w:val="0"/>
                <w:lang w:eastAsia="en-NZ"/>
              </w:rPr>
            </w:pPr>
            <w:r w:rsidRPr="00BE00C7">
              <w:rPr>
                <w:rFonts w:cs="Arial"/>
                <w:b w:val="0"/>
                <w:lang w:eastAsia="en-NZ"/>
              </w:rPr>
              <w:t>Discussions were held with staff regarding the importance of call bell answering.  Each week a poster is displayed showing call bell answer times.  Observation of staff over the two-day audit evidenced that they monitor themselves and ensure that call bells are answered.  During February 2017, 19% to 30 % call bells took over 10 minutes to answer.  During February 2018, this has fallen to 3% to 4.4%.  Residents interviewed said the call bells were answered well</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Ruapehu Masonic Association Trust - Masonic Court Rest Home</w:t>
    </w:r>
    <w:bookmarkEnd w:id="58"/>
    <w:r>
      <w:rPr>
        <w:rFonts w:cs="Arial"/>
        <w:sz w:val="16"/>
        <w:szCs w:val="20"/>
      </w:rPr>
      <w:tab/>
      <w:t xml:space="preserve">Date of Audit: </w:t>
    </w:r>
    <w:bookmarkStart w:id="59" w:name="AuditStartDate1"/>
    <w:r>
      <w:rPr>
        <w:rFonts w:cs="Arial"/>
        <w:sz w:val="16"/>
        <w:szCs w:val="20"/>
      </w:rPr>
      <w:t>27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