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Melrose Rest Home and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Melrose Rest Home and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April 2018</w:t>
      </w:r>
      <w:bookmarkEnd w:id="7"/>
      <w:r w:rsidRPr="009418D4">
        <w:rPr>
          <w:rFonts w:cs="Arial"/>
        </w:rPr>
        <w:tab/>
        <w:t xml:space="preserve">End date: </w:t>
      </w:r>
      <w:bookmarkStart w:id="8" w:name="AuditEndDate"/>
      <w:r w:rsidR="00A4268A">
        <w:rPr>
          <w:rFonts w:cs="Arial"/>
        </w:rPr>
        <w:t>11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Melrose Rest Home and Retirement Village (Oceania Healthcare Limited) can provide care for up to 88 residents. This certification audit was conducted against the Health and Disability Service Standards and the service contract with the district health board. The service provides rest home and hospital level care. Occupancy on the day of the audit was 68.</w:t>
      </w:r>
    </w:p>
    <w:p w:rsidRPr="00A4268A">
      <w:pPr>
        <w:spacing w:before="240" w:line="276" w:lineRule="auto"/>
        <w:rPr>
          <w:rFonts w:eastAsia="Calibri"/>
        </w:rPr>
      </w:pPr>
      <w:r w:rsidRPr="00A4268A">
        <w:rPr>
          <w:rFonts w:eastAsia="Calibri"/>
        </w:rPr>
        <w:t xml:space="preserve">The audit process included the review of policies and procedures, the review of residents and staff files, and observations and interviews with residents, family, management and staff. </w:t>
      </w:r>
    </w:p>
    <w:p w:rsidRPr="00A4268A">
      <w:pPr>
        <w:spacing w:before="240" w:line="276" w:lineRule="auto"/>
        <w:rPr>
          <w:rFonts w:eastAsia="Calibri"/>
        </w:rPr>
      </w:pPr>
      <w:r w:rsidRPr="00A4268A">
        <w:rPr>
          <w:rFonts w:eastAsia="Calibri"/>
        </w:rPr>
        <w:t>The business and care manager is responsible for the overall management of the facility and is supported by the regional and executive management team. Service delivery is monitored. There were no improvements required.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accessible in information packs and displayed within the service. Residents and family members confirmed their rights are met, staff are respectful of their needs and communication is appropriate. </w:t>
      </w:r>
    </w:p>
    <w:p w:rsidRPr="00A4268A">
      <w:pPr>
        <w:spacing w:before="240" w:line="276" w:lineRule="auto"/>
        <w:rPr>
          <w:rFonts w:eastAsia="Calibri"/>
        </w:rPr>
      </w:pPr>
      <w:r w:rsidRPr="00A4268A">
        <w:rPr>
          <w:rFonts w:eastAsia="Calibri"/>
        </w:rPr>
        <w:t xml:space="preserve">Residents, families and enduring power of attorney are provided with information required prior to giving informed consent. The Health and Disability Commissioner's Code of Health and Disability Services Consumers' Rights is discussed and explained to residents and their families.  </w:t>
      </w:r>
    </w:p>
    <w:p w:rsidRPr="00A4268A">
      <w:pPr>
        <w:spacing w:before="240" w:line="276" w:lineRule="auto"/>
        <w:rPr>
          <w:rFonts w:eastAsia="Calibri"/>
        </w:rPr>
      </w:pPr>
      <w:r w:rsidRPr="00A4268A">
        <w:rPr>
          <w:rFonts w:eastAsia="Calibri"/>
        </w:rPr>
        <w:t>A complaints register is maintained. Complaints are managed as per the timeframes in the Health and Disability Commissioner Code of Health and Disability Services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 provided at Melrose Rest Home and Retirement Village. The business and care manager is qualified and experienced in management systems and processes. The business and care manager and the clinical manager are supported by the clinical and quality manager (regional), the operations manager (regional) and the senior clinical and quality manager (national) regarding oversight of the service and clinical care. </w:t>
      </w:r>
    </w:p>
    <w:p w:rsidRPr="00A4268A">
      <w:pPr>
        <w:spacing w:before="240" w:line="276" w:lineRule="auto"/>
        <w:rPr>
          <w:rFonts w:eastAsia="Calibri"/>
        </w:rPr>
      </w:pPr>
      <w:r w:rsidRPr="00A4268A">
        <w:rPr>
          <w:rFonts w:eastAsia="Calibri"/>
        </w:rPr>
        <w:t>Oceania Healthcare Limited has a documented quality and risk management system that supports the provision of clinical care at the service. Policies are reviewed at support office and are current. Quality and risk performance is reported through meetings at the facility and monitored by the organisation's management team through the business status reports. Benchmarking reports are produced that include incidents/accidents; infections; complaints and clinical indicators. Resident information is identifiable, accurately recorded, current, confidential, accessible when required and securely stored.</w:t>
      </w:r>
    </w:p>
    <w:p w:rsidRPr="00A4268A">
      <w:pPr>
        <w:spacing w:before="240" w:line="276" w:lineRule="auto"/>
        <w:rPr>
          <w:rFonts w:eastAsia="Calibri"/>
        </w:rPr>
      </w:pPr>
      <w:r w:rsidRPr="00A4268A">
        <w:rPr>
          <w:rFonts w:eastAsia="Calibri"/>
        </w:rPr>
        <w:t xml:space="preserve">There are human resource policies implemented around recruitment, selection, orientation, staff training and development. Staff, residents and family confirmed that staffing levels are adequate and residents and relatives have access to staff when needed. Staff are allocated to support residents as per their individual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initial assessments, initial care plans, short-term care plans for acute conditions and person centred care plans for long-term service delivery are completed within the required timeframes. Care plan evaluations are documented, resident-focused and indicate progress towards meeting the residents’ desired outcomes.</w:t>
      </w:r>
    </w:p>
    <w:p w:rsidRPr="00A4268A" w:rsidP="00621629">
      <w:pPr>
        <w:spacing w:before="240" w:line="276" w:lineRule="auto"/>
        <w:rPr>
          <w:rFonts w:eastAsia="Calibri"/>
        </w:rPr>
      </w:pPr>
      <w:r w:rsidRPr="00A4268A">
        <w:rPr>
          <w:rFonts w:eastAsia="Calibri"/>
        </w:rPr>
        <w:t xml:space="preserve">Where the progress of a resident is different from expected, a short-term care plan is completed for acute problems. The residents and the family members have opportunity to contribute to assessments, care plans and evaluation of resident care. </w:t>
      </w:r>
    </w:p>
    <w:p w:rsidRPr="00A4268A" w:rsidP="00621629">
      <w:pPr>
        <w:spacing w:before="240" w:line="276" w:lineRule="auto"/>
        <w:rPr>
          <w:rFonts w:eastAsia="Calibri"/>
        </w:rPr>
      </w:pPr>
      <w:r w:rsidRPr="00A4268A">
        <w:rPr>
          <w:rFonts w:eastAsia="Calibri"/>
        </w:rPr>
        <w:t>The planned activities are appropriate to the group setting. Younger residents have additional activities to address their social needs. Individual activities are provided either within group settings or on a one-on-one basis. Interviews with residents and families confirmed satisfaction with the activities programme.</w:t>
      </w:r>
    </w:p>
    <w:p w:rsidRPr="00A4268A" w:rsidP="00621629">
      <w:pPr>
        <w:spacing w:before="240" w:line="276" w:lineRule="auto"/>
        <w:rPr>
          <w:rFonts w:eastAsia="Calibri"/>
        </w:rPr>
      </w:pPr>
      <w:r w:rsidRPr="00A4268A">
        <w:rPr>
          <w:rFonts w:eastAsia="Calibri"/>
        </w:rPr>
        <w:t>The medicines management system is electronic and appropriate for the service. Staff responsible for medicine management attend medication management in-service education and have current medication competencies. There were three residents self-administering medicines according to policy.</w:t>
      </w:r>
    </w:p>
    <w:p w:rsidRPr="00A4268A" w:rsidP="00621629">
      <w:pPr>
        <w:spacing w:before="240" w:line="276" w:lineRule="auto"/>
        <w:rPr>
          <w:rFonts w:eastAsia="Calibri"/>
        </w:rPr>
      </w:pPr>
      <w:r w:rsidRPr="00A4268A">
        <w:rPr>
          <w:rFonts w:eastAsia="Calibri"/>
        </w:rPr>
        <w:t>The facility had a food service audit completed to ensure food services meet the new legislative requirements. The menu has been reviewed by a registered dietitian and meets nutritional guidelines for older people. Residents’ special dietary requirements and needs are met, including having their choices taken into consideration.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All building and plant comply with legislation, with a current building warrant of fitness in place. The environment is appropriate to the needs of the residents. A preventative and reactive maintenance programme includes equipment and electrical checks.</w:t>
      </w:r>
    </w:p>
    <w:p w:rsidRPr="00A4268A">
      <w:pPr>
        <w:spacing w:before="240" w:line="276" w:lineRule="auto"/>
        <w:rPr>
          <w:rFonts w:eastAsia="Calibri"/>
        </w:rPr>
      </w:pPr>
      <w:r w:rsidRPr="00A4268A">
        <w:rPr>
          <w:rFonts w:eastAsia="Calibri"/>
        </w:rPr>
        <w:t>Residents are provided with accessible and safe external areas. Residents’ rooms are of an appropriate size to allow for care to be provided and for the safe use and manoeuvring of mobility aids. Essential emergency and security systems are in place and fire drills completed every six months. Call bells are available to all residents and are monitored monthly.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uses Oceania Healthcare Limited policies and procedures for restraint minimisation and safe practice. There are systems in place to ensure assessment of residents is undertaken and consent obtained prior to restraint or enabler use. The restraint coordinator confirmed that enabler use is voluntary. </w:t>
      </w:r>
    </w:p>
    <w:p w:rsidRPr="00A4268A">
      <w:pPr>
        <w:spacing w:before="240" w:line="276" w:lineRule="auto"/>
        <w:rPr>
          <w:rFonts w:eastAsia="Calibri"/>
        </w:rPr>
      </w:pPr>
      <w:r w:rsidRPr="00A4268A">
        <w:rPr>
          <w:rFonts w:eastAsia="Calibri"/>
        </w:rPr>
        <w:t xml:space="preserve">There were six residents using restraint and thirteen residents using enablers on audit days. </w:t>
      </w:r>
    </w:p>
    <w:p w:rsidRPr="00A4268A">
      <w:pPr>
        <w:spacing w:before="240" w:line="276" w:lineRule="auto"/>
        <w:rPr>
          <w:rFonts w:eastAsia="Calibri"/>
        </w:rPr>
      </w:pPr>
      <w:r w:rsidRPr="00A4268A">
        <w:rPr>
          <w:rFonts w:eastAsia="Calibri"/>
        </w:rPr>
        <w:t>The residents’ files reviewed demonstrated that the service focuses on de-escalation processes, and restraint and enabler use is documented in residents’ care plans.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prevention and control policies and procedures include guidelines on prevention and minimisation of infection. New employees are provided with training in infection control practices and there is ongoing infection control education available for all staff. </w:t>
      </w:r>
    </w:p>
    <w:p w:rsidRPr="00A4268A">
      <w:pPr>
        <w:spacing w:before="240" w:line="276" w:lineRule="auto"/>
        <w:rPr>
          <w:rFonts w:eastAsia="Calibri"/>
        </w:rPr>
      </w:pPr>
      <w:r w:rsidRPr="00A4268A">
        <w:rPr>
          <w:rFonts w:eastAsia="Calibri"/>
        </w:rPr>
        <w:t xml:space="preserve">The infection control surveillance data confirmed that the surveillance programme is appropriate for the size and complexity of the service. The surveillance of infections is occurring according to the infection control programme. The surveillance data is collated, analysed, benchmarked within the organisation and reported to their support office. </w:t>
      </w:r>
    </w:p>
    <w:p w:rsidRPr="00A4268A">
      <w:pPr>
        <w:spacing w:before="240" w:line="276" w:lineRule="auto"/>
        <w:rPr>
          <w:rFonts w:eastAsia="Calibri"/>
        </w:rPr>
      </w:pPr>
      <w:r w:rsidRPr="00A4268A">
        <w:rPr>
          <w:rFonts w:eastAsia="Calibri"/>
        </w:rPr>
        <w:t>There has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31"/>
        <w:gridCol w:w="1280"/>
        <w:gridCol w:w="91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that they receive services that meet their needs and they receive information relevant to their needs. Staff receive education on the Health and Disability Commissioner Code of Health and Disability Services Consumers' Rights during their induction to the service and through the annual mandatory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had training in the Code during the previous 12 months and interviews with staff confirmed their understanding of the Code. Examples were provided on ways the Code is implemented in their everyday practice including: maintaining residents' privacy; giving residents choices; encouraging independence and ensuring residents can continue to practise their own personal values and beliefs. </w:t>
            </w:r>
          </w:p>
          <w:p w:rsidR="00EB7645" w:rsidRPr="00BE00C7" w:rsidP="00BE00C7">
            <w:pPr>
              <w:pStyle w:val="OutcomeDescription"/>
              <w:spacing w:before="120" w:after="120"/>
              <w:rPr>
                <w:rFonts w:cs="Arial"/>
                <w:b w:val="0"/>
                <w:lang w:eastAsia="en-NZ"/>
              </w:rPr>
            </w:pPr>
            <w:r w:rsidRPr="00BE00C7">
              <w:rPr>
                <w:rFonts w:cs="Arial"/>
                <w:b w:val="0"/>
                <w:lang w:eastAsia="en-NZ"/>
              </w:rPr>
              <w:t>The auditors noted respectful attitudes towards residents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and procedure to guide staff in relation to gathering of informed consent. Staff ensure that all residents are aware of treatment and interventions planned for them, and the resident and/or significant others are included in the planning of that care. Residents’ files identified that informed consent is obtained. Staff confirmed their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Service information pack includes information regarding informed consent. The BCM and CM discuss informed consent processes with residents and their families during the admission process. The policy and procedure includes guidelines for consent for resuscitation/advance directives and resuscitation orders are completed for residents when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for residents relating to advocacy services is available at the entrance to the facility and in information packs provided to residents and family on admission to the service. Staff interviews confirmed that written information on the role of advocacy services is also provided to complainants at the time when their complaint is acknowledged. Staff training regarding advocacy services was last provided in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residents confirmed that the service provides opportunities for the family/EPOA to be involved in decisions and stated they have been informed about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residents may have visitors of their choice at any time. The facility is secured in the evenings. Visitors can access the facility to visit after doors are locked using the bell at the hospital entrance. Families confirmed they could visit at any time and are always made to feel welcome.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to maintain family and friend networks. Residents' files reviewed demonstrated that progress notes and the content of care plans include regular outings and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are in line with the Code and include periods for responding to a complaint. Complaint forms are available at the entrance of the facility. A complaints register is in place and the register includes: the date the complaint is received; the source of the complaint; a description of the complaint; and the date the complaint is resolved. </w:t>
            </w:r>
          </w:p>
          <w:p w:rsidR="00EB7645" w:rsidRPr="00BE00C7" w:rsidP="00BE00C7">
            <w:pPr>
              <w:pStyle w:val="OutcomeDescription"/>
              <w:spacing w:before="120" w:after="120"/>
              <w:rPr>
                <w:rFonts w:cs="Arial"/>
                <w:b w:val="0"/>
                <w:lang w:eastAsia="en-NZ"/>
              </w:rPr>
            </w:pPr>
            <w:r w:rsidRPr="00BE00C7">
              <w:rPr>
                <w:rFonts w:cs="Arial"/>
                <w:b w:val="0"/>
                <w:lang w:eastAsia="en-NZ"/>
              </w:rPr>
              <w:t>Evidence relating to each lodged complaint is held in the complaints folder and register. Complaints reviewed indicated complaints are investigated promptly and issues are resolved in a timely manner. Staff, residents and family confirmed they knew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managing complaints. Residents and family stated that complaints are dealt with as soon as they are identified. Residents and family members were able to describe their rights and advocacy services particularly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(BCM) and the clinical manager (CM) discuss the Code with residents and their family during the admission process. Discussion relating to the Code is also included on the agenda and discussed at the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their rights are being upheld by the service. Information on the Code is given to next of kin or enduring power of attorney (EPOA) to read and discuss with the resident in private. The posters identifying residents’ rights and advocacy services are displayed in the facility in te reo Māori 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dignity, respect and quality of life. The service ensures that each resident has the right to privacy and dignity. Conversations of a private nature are held in the resident’s room and there are areas in the facility which can be used for private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available for staff to assist them in managing resident practices and/or expressions of sexuality and intimacy in an appropriate and discreet manner with strategies documented to manage any inappropriate behaviour if there are any issues for a resident.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report that they knock on bedroom doors prior to entering rooms, ensure doors are shut when cares are being given and do not hold personal discussions in public areas. This was observed on the days of the audit. Residents and families confirmed that residents’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the prevention and detection of abuse and neglect by ensuring provision of quality care. Staff receive annual training on abuse and neglect and can describe signs. There are no documented incidents of abuse or neglect in the business status reports or on the incident/accident forms reviewed in residents’ files. Residents, staff and family confirmed that there was no evidence of abuse or neglect. Staff interviewed were aware of the need to ensure residents are not exploited, neglected or abused and staff can describe the process for escalating any issues.</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confirmed that cultural and/or spiritual values and individual preferences are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cultural responsiveness policy which outlines the processes for working with people from other cultures. A Māori health plan outlines how to work with Māori and the relevance of the Treaty of Waitangi. The rights of the residents/family to practise their own beliefs are acknowledged in the Māori health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who identify as Māori are able to provide support for Māori residents and their families, if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residents’ files confirmed that specific cultural needs are identified in the residents’ care plans. The BCM stated that a kaumātua can be accessed by the service to support staff on tikanga protocols and general advice. Staff are aware of the importance of whānau in the delivery of care for the Māori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 interviews confirmed there are choices for residents regarding their care and services. Residents and family are involved in the assessment and the care planning processes. Information gathered during assessment includes the resident’s cultural values and beliefs. The initial care plan, the person centred care plan and interRAI assessment are based on assessment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Oceania Healthcare Limited (Oceania) policies and procedures which are based on good practice, current legislation and guidelines. Interviews confirmed awareness of how to identify and manage discrimination, abuse and neglect, harassment and exploitation. Staff training includes discussion of the staff code of conduct and prevention of inappropriate care. There were no complaints recorded in the complaints register for the previous 12 months relating to any form of discrimination.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the responsibilities of position including ethical issues relevant to the role. Staff complete orientation and induction include recognition of discrimination, abuse and neglect. Staff confirmed their understanding of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Oceania policies to guide practice. The policies align with the Health and Disability Services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quality framework includes their internal audit programme. Benchmarking occurs across all the Oceania facilities. There is a training programme for all staff and managers are encouraged to complete management training.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expressed a high level of satisfaction with the care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the complaints procedure and the open disclosure procedure alert staff to their responsibility to notify family/EPOA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Procedures guide staff on the process to ensure full and frank open disclosure is available. Family are informed if the resident has an incident/accident, has a change in health or a change in needs, as evidenced in completed accident/incident forms. Family contact is recorded in residents’ files. Family confirmed that they are invited to the care planning meetings for their family member and can attend the residents’ meetings. Families confirmed they are well informed.</w:t>
            </w:r>
          </w:p>
          <w:p w:rsidR="00EB7645" w:rsidRPr="00BE00C7" w:rsidP="00BE00C7">
            <w:pPr>
              <w:pStyle w:val="OutcomeDescription"/>
              <w:spacing w:before="120" w:after="120"/>
              <w:rPr>
                <w:rFonts w:cs="Arial"/>
                <w:b w:val="0"/>
                <w:lang w:eastAsia="en-NZ"/>
              </w:rPr>
            </w:pPr>
            <w:r w:rsidRPr="00BE00C7">
              <w:rPr>
                <w:rFonts w:cs="Arial"/>
                <w:b w:val="0"/>
                <w:lang w:eastAsia="en-NZ"/>
              </w:rPr>
              <w:t>Residents sign an admission agreement on entry to the service. This provides clear information around what is paid for by the service and by the resident. The admission agreements reviewed were signed on the day of admission. Staff are familiar with how translating and interpreting services can be accessed. Residents in the service did not require interpreting services on audit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Melrose Rest Home and Retirement Village is part of the Oceania Healthcare Limited (Oceania) with the executive management team providing support to the service. Communication between the service and managers occurs monthly with the clinical and quality manager providing support during the audit. The monthly business status report provides the executive management with progress against identified indicators.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mission statement and philosophy are displayed at the entrance to the facility. Information in booklets is given to new residents and staff training is provided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business and care manager (BCM) supported by a clinical manager (CM). The BCM has worked for Oceania for ten years as a BCM and transferred to Melrose Rest Home and Retirement Village eleven months ago. The clinical care service is overseen by the CM, who is a registered nurse (RN) and has been in this position for approximately three years. The CM has past experience in clinical management at another aged care facility. The management team is well supported in their roles and have completed appropriate induction and orientation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88 residents with 65 beds occupied at the time of audit. Occupancy included 33 residents requiring rest home level care and 32 residents requiring hospital level care. Of the 32 residents requiring hospital level care, 2 residents are identified as being under the young people with disability, under a Accident Compensation Corporation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BCM, the CM is responsible for the day to day operation of the service and is supported by a senior RN, the regional clinical and quality manager and the regional operations manager. In the absence of the CM, the BCM with the support and help of the regional clinical and quality manager, ensures continuity of clinical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Melrose Rest Home and Retirement Village uses the Oceania’s quality and risk management framework that is documented to guide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organisational policies and procedures are available to staff and guide service delivery. The policies and procedures are relevant to the scope and complexity of the service and reflect current accepted good practice and reference legislative requirements. The Oceania management group reviews all policies with input from relevant personnel. New and revised policies are presented to staff to read and sign to evidence that they have read and understood the policy. Staff confirmed that they are advised of updated policies.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number of clinical indicators such as: complaints; incidents and accidents; surveillance of infections; pressure injuries; falls; medication errors and implementation of an internal audit programme. Completed audits for 2017 and 2018, clinical indicators and quality improvement data is recorded on various registers and forms. Quality improvement data provides evidence that data is being collected, collated and analysed to identify trends. Where required, corrective action plans are developed, implemented and evaluated.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communication with all staff, residents and family through the facility’s meetings. Staff meetings evidenced all aspects of quality improvement, risk management and clinical indicators are discussed. Staff reported that they are kept informed of quality improvements. Copies of meeting minutes are available for review for the staff that were unable to attend the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satisfaction survey for family and residents in 2017 evidences satisfaction with services provided and this was confirmed by residents and family interviewed.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along with a hazard management programme. There is evidence of hazard identification forms completed when a hazard is identified. Hazards are addressed or risks minimised or isolated. Health and safety is audited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in which the service is required to report and notify statutory authorities, including unexpected deaths, police involvement, sentinel events, infectious disease outbreaks and changes in key management roles.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 reports selected for review had a corresponding note in the progress notes to inform staff that the accident/incident occurred. There is evidence of open disclosure for recorded events. Staff interviews and review of documentation evidenced that staff document adverse, unplanned or untoward events on an accident/incident form which are signed off by the BCM.</w:t>
            </w:r>
          </w:p>
          <w:p w:rsidR="00EB7645" w:rsidRPr="00BE00C7" w:rsidP="00BE00C7">
            <w:pPr>
              <w:pStyle w:val="OutcomeDescription"/>
              <w:spacing w:before="120" w:after="120"/>
              <w:rPr>
                <w:rFonts w:cs="Arial"/>
                <w:b w:val="0"/>
                <w:lang w:eastAsia="en-NZ"/>
              </w:rPr>
            </w:pPr>
            <w:r w:rsidRPr="00BE00C7">
              <w:rPr>
                <w:rFonts w:cs="Arial"/>
                <w:b w:val="0"/>
                <w:lang w:eastAsia="en-NZ"/>
              </w:rPr>
              <w:t>Information is regularly shared at monthly meetings with accidents/incidents graphed, trends analysed and benchmarking of data occurring with other Oceania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 relation to human resource management are available and implemented. The skills and knowledge required for each position is documented in job descriptions. These were reviewed on staff files along with employment agreements, reference checks, and police vetting and completed orientations. Current copies of annual practising certificates were reviewed for all staff and contractors that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mandatory education and training programme with an annual training schedule documented. Staff are also supported to complete education via external education providers. Staff have completed training around pressure injuries in 2017 and 2018. Individual staff attendance records and attendance records for each education session were reviewed and evidenced that ongoing education is provided. Nine RNs have completed interRAI assessments training and competencies.</w:t>
            </w:r>
          </w:p>
          <w:p w:rsidR="00EB7645" w:rsidRPr="00BE00C7" w:rsidP="00BE00C7">
            <w:pPr>
              <w:pStyle w:val="OutcomeDescription"/>
              <w:spacing w:before="120" w:after="120"/>
              <w:rPr>
                <w:rFonts w:cs="Arial"/>
                <w:b w:val="0"/>
                <w:lang w:eastAsia="en-NZ"/>
              </w:rPr>
            </w:pPr>
            <w:r w:rsidRPr="00BE00C7">
              <w:rPr>
                <w:rFonts w:cs="Arial"/>
                <w:b w:val="0"/>
                <w:lang w:eastAsia="en-NZ"/>
              </w:rPr>
              <w:t>An appraisal schedule is in place and current staff appraisals were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and new staff are required to demonstrate competency on a number of tasks, including personal cares. The staff orientation covers the essential components of the service provided. Healthcare assistants confirmed their role in supporting and buddying new staff. </w:t>
            </w:r>
          </w:p>
          <w:p w:rsidR="00EB7645" w:rsidRPr="00BE00C7" w:rsidP="00BE00C7">
            <w:pPr>
              <w:pStyle w:val="OutcomeDescription"/>
              <w:spacing w:before="120" w:after="120"/>
              <w:rPr>
                <w:rFonts w:cs="Arial"/>
                <w:b w:val="0"/>
                <w:lang w:eastAsia="en-NZ"/>
              </w:rPr>
            </w:pPr>
            <w:r w:rsidRPr="00BE00C7">
              <w:rPr>
                <w:rFonts w:cs="Arial"/>
                <w:b w:val="0"/>
                <w:lang w:eastAsia="en-NZ"/>
              </w:rPr>
              <w:t>Annual competencies are completed by care staff, for example: hoist; oxygen use; hand washing; wound management; medication management; moving and handling; and restraint. Education and training hours are at least eight hours a year for each staff member. The RNs’ training records reviewed evidenced eight hours or more of relevant training. Registered nurses are supported to attend external training to ensure they are continuing to build upon existing knowledge and skills.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is the foundation for workforce planning. Staffing levels are reviewed for anticipated workloads, identified numbers and appropriate skill mix, or as required due to changes in the services provided and the number of residents. Rosters sighted reflected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There are 68 staff, including the management team, clinical staff, activates coordinator, and household staff. There is a RN on each shift. The BCM and CM are on call after hours. Residents and families confirmed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residents’ records. This includes information is collected on admission with the involvement of the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privacy and confidentiality of residents’ records. Staff described the procedures for maintaining confidentiality of residents’ records. Resident care and support information can be accessed in a timely manner. Documents containing sensitive resident information is not displayed in a way that could be viewed by other residents or members of the public. Resident files are protected from unauthorised access by being locked away in an office. Archived records are securely stored and easily retrievable. </w:t>
            </w:r>
          </w:p>
          <w:p w:rsidR="00EB7645" w:rsidRPr="00BE00C7" w:rsidP="00BE00C7">
            <w:pPr>
              <w:pStyle w:val="OutcomeDescription"/>
              <w:spacing w:before="120" w:after="120"/>
              <w:rPr>
                <w:rFonts w:cs="Arial"/>
                <w:b w:val="0"/>
                <w:lang w:eastAsia="en-NZ"/>
              </w:rPr>
            </w:pPr>
            <w:r w:rsidRPr="00BE00C7">
              <w:rPr>
                <w:rFonts w:cs="Arial"/>
                <w:b w:val="0"/>
                <w:lang w:eastAsia="en-NZ"/>
              </w:rPr>
              <w:t>All components of the residents’ records reviewed include the resident’s unique identifier. The clinical records are integrated, including information such as medical notes, assessment information and reports from other health professionals.  Medication charts are kept separate from residents’ files and are accessible by authorised personnel only.</w:t>
            </w:r>
          </w:p>
          <w:p w:rsidR="00EB7645" w:rsidRPr="00BE00C7" w:rsidP="00BE00C7">
            <w:pPr>
              <w:pStyle w:val="OutcomeDescription"/>
              <w:spacing w:before="120" w:after="120"/>
              <w:rPr>
                <w:rFonts w:cs="Arial"/>
                <w:b w:val="0"/>
                <w:lang w:eastAsia="en-NZ"/>
              </w:rPr>
            </w:pPr>
            <w:r w:rsidRPr="00BE00C7">
              <w:rPr>
                <w:rFonts w:cs="Arial"/>
                <w:b w:val="0"/>
                <w:lang w:eastAsia="en-NZ"/>
              </w:rPr>
              <w:t>Residents’ progress notes are completed on every shift, detailing resident response to service provision and progress towards identified goals. Entries made by the service providers in the progress notes identify the name and designation of the person making the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Processes for residents to enter into the service are recorded and implemented. Needs assessments are completed for rest home and hospital levels of care.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and review of records confirmed the admission process was completed by staff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resident transfers are managed in a planned and coordinated manner. There is open communication between services, the resident and the family. At the time of transition appropriate information is supplied to the new service or individual responsible for the ongoing management of the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areas evidence an appropriate and secure medicine administration system. The medicines storage area is free from heat, moisture and light, with medicines stored in original dispensed packs. Registered nurses complete weekly checks of medicines registers. There is evidence of six monthly physical stocktakes by the pharmacy. The medication fridge temperatures are completed and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authorised to administer medicines have current competencies and education in medicine management is provided. Residents' medicine charts record all medications. Electronic medicine charts evidenced current residents' photo identification, legibility, as required (PRN) medication is identified for individual residents and correctly prescribed, three monthly medicine reviews are conducted and discontinued medicines are dated and signed by the GP. </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administer their own medicines and have competency checks completed at each medical review. The service does not use standing orders.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Dietary assessments are undertaken for each resident on admission and a dietary profile developed. The meals are prepared on-site. The kitchen manager is a chef and is responsible for the food service with the support of other kitchen staff. Personal food preferences of the residents, special diets and modified nutritional requirements are known to the chef. Special equipment, to meet residents’ nutritional needs, was sighted. Residents' files demonstrated monthly monitoring of individual resident's weight. Residents stated they were satisfied with the food service. Residents who are identified with weight loss have completed short-term care plans and relevant interventions to monitor the weight loss. Meals are prepared on-site and the chef is responsible for food services and is supported by kitchen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residents’ satisfaction with meals was verified by residents and family interviews, satisfaction surveys and confirmed in the residents’ meeting minutes. All aspects of food procurement, production, preparation, storage, transportation, delivery and disposal, complies with current legislation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an external food control plan audit completed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to inform residents and family of the reasons why services had been declined, should this occur. When residents are declined access to the service, residents and their family, the referring agency and/or the general practitioner (GP) and or the nurse practitioner (NP) are informed of the decline to entry. The residents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outcomes and goals are identified through the assessment processes, including interRAI assessments. Assessments are recorded, reflecting data from a range of sources, including: the resident; family; GP/NP; and specialists as applicable. Policies and protocols are in place to ensure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Resources and equipment available meet the needs of residents. The assessments are conducted in a safe and appropriate environment, usually in the resident’s room. Interviews with residents and family confirmed their involvement in the assessments, care planning, review, treatment and evaluation of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reviewed were individualised, integrated and up to date. InterRAI assessments are completed by RNs and inform the person centred care plans. The short-term care plans are developed for the management of acute problems, when required, and signed off by the RN when problems are resolved. Interviews with residents confirmed they have input into their care planning and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evidence interventions based on assessed needs, desired outcomes or goals of the residents. The GP/NP documentation and records reviewed were current. Interviews with residents and families confirmed their and their relatives’ care and treatments meet their needs. Staff interviews confirmed they are familiar with the needs of the residents they are allocated to. Family communication is recorded in the residents’ files. Nursing progress notes and observation charts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plans, implements and evaluates the activities programme. There is one activities programme for the rest home and hospital residents. Younger people with disabilities have specific activities added to their activities programmes to facilitate more social interaction with others. Interview with the activities coordinator confirmed the activities programme meets the needs of the service groups. </w:t>
            </w:r>
          </w:p>
          <w:p w:rsidR="00EB7645" w:rsidRPr="00BE00C7" w:rsidP="00BE00C7">
            <w:pPr>
              <w:pStyle w:val="OutcomeDescription"/>
              <w:spacing w:before="120" w:after="120"/>
              <w:rPr>
                <w:rFonts w:cs="Arial"/>
                <w:b w:val="0"/>
                <w:lang w:eastAsia="en-NZ"/>
              </w:rPr>
            </w:pPr>
            <w:r w:rsidRPr="00BE00C7">
              <w:rPr>
                <w:rFonts w:cs="Arial"/>
                <w:b w:val="0"/>
                <w:lang w:eastAsia="en-NZ"/>
              </w:rPr>
              <w:t>Regular exercises and outings are provided for those residents able to participate. The activity programme includes input from external agencies and supports participation in ordinary unplanned/spontaneous activities, including festive occasions and celebrations. There are current, individualised activities care plans in residents’ files. The residents’ activities attendance records are maintained. The residents’ meeting minutes evidenced residents’ involvement into planning the activities programme. One-on-one activities for residents are identified and time allocations clearly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Changes in residents are noted and reported to the RN. Care plan evaluations and reassessments occur every six months or when the resident’s condition changes. Short-term care plans are initiated for short-term concerns, such as: infections; wound care; changes in mobility and other acute conditions. Short-term care plans are reviewed daily, weekly or fortnightly, as indicated by the degree of risk noted during the assessment process. All wounds were reviewed and wound care plans evidence timely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processes in place to provide opportunities for residents to choose when accessing or when being referred to other health and/or disability services. The family communication sheets, located in the residents’ files, confirmed family involvement. The service has a multidisciplinary team approach. Progress notes and communication records confirm residents and their families are advised of their options to access other health and disability services. Referrals are documented in the residents’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policies and procedures guide staff for the management of waste and hazardous substances are in place and incidents are reported on in a timely manner. Policies and procedures specify labelling requirements in line with legislation, including the requirements for labels to be clear, accessible to read and free from damage.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hazard register is current. Material safety data sheets are available throughout the facility and accessible for staff. Staff receive training and education in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Protective clothing and equipment that is appropriate to the recognised risks is provided. During a tour of the facility, protective clothing and equipment was observed in all high-risk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There have been no building modifications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 planned and reactive maintenance schedule implemented. The service has an annual test and tag programme and this is up to date, with checking and calibrating of clinical equipment annually. Interviews with staff and observation of the facility confirmed there is adequate equipment.</w:t>
            </w:r>
          </w:p>
          <w:p w:rsidR="00EB7645" w:rsidRPr="00BE00C7" w:rsidP="00BE00C7">
            <w:pPr>
              <w:pStyle w:val="OutcomeDescription"/>
              <w:spacing w:before="120" w:after="120"/>
              <w:rPr>
                <w:rFonts w:cs="Arial"/>
                <w:b w:val="0"/>
                <w:lang w:eastAsia="en-NZ"/>
              </w:rPr>
            </w:pPr>
            <w:r w:rsidRPr="00BE00C7">
              <w:rPr>
                <w:rFonts w:cs="Arial"/>
                <w:b w:val="0"/>
                <w:lang w:eastAsia="en-NZ"/>
              </w:rPr>
              <w:t>There are quiet areas throughout the facility for residents and visitors to meet and there are areas that provide privacy when required. There are internal courtyards and lawns, areas with shade and outdoor table and 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toilets/bathing facilities. All toilet facilities have a system that indicates if it is engaged or vacant. Appropriately secured and approved handrails are provided in the toilet/shower/bathing areas and other equipment/accessories are made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Auditors observed residents being supported to access communal toilets and showers, in ways that are respectful and dignified.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all bedrooms to allow residents and staff to move around within the room safely. Equipment was sighted in rooms requiring this with sufficient space for the equipment, staff and the resident. </w:t>
            </w:r>
          </w:p>
          <w:p w:rsidR="00EB7645" w:rsidRPr="00BE00C7" w:rsidP="00BE00C7">
            <w:pPr>
              <w:pStyle w:val="OutcomeDescription"/>
              <w:spacing w:before="120" w:after="120"/>
              <w:rPr>
                <w:rFonts w:cs="Arial"/>
                <w:b w:val="0"/>
                <w:lang w:eastAsia="en-NZ"/>
              </w:rPr>
            </w:pPr>
            <w:r w:rsidRPr="00BE00C7">
              <w:rPr>
                <w:rFonts w:cs="Arial"/>
                <w:b w:val="0"/>
                <w:lang w:eastAsia="en-NZ"/>
              </w:rPr>
              <w:t>Rooms are individualised with furnishings, photos and other personal decorations belonging to the resident, the service encourages residents to make the suite their own. There are designated areas to store mobility aids, hoists and wheelchairs. The hospital rooms and assisted care rooms are large enough to accommodate specific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lounge/dining areas including areas that can be used for activities. All areas are easily accessed by residents and staff. Residents can access areas for privacy, if required. Furniture is appropriate to the setting and arranged in a manner which enables residents to mobilise freely.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dining areas have space for residents and staff to move around easily. Residents can choose to have their meals in their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completed on site and is delivered daily. There are processes in place for collection, transportation and delivery of linen and residents’ personal clothing. The effectiveness of the cleaning and laundry services is audited as part of the internal audit programme. There are cleaners on site during the day, seven days a week. The cleaners have a trolley to put chemicals in and the cleaners are aware that the trolley must be with them at all times. The cleaner described the cleaning processes. There are safe and secure storage areas and staff have appropriate and adequate access to these areas, as required. Chemicals are labelled and stored safely within these areas. Products are used with training around use of products provided throughout the year. The cleaner confirmed that they had training at least annually. Sluice rooms are available for the disposal of soiled water/waste. 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stated they were satisfied with the cleaning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A disaster management plan is in place with clear information for staff to follow in the event of an emergency. The emergency equipment is accessible, stored correctly, not expired and stocked to a level appropriate to the service setting. Information in relation to emergency and security situations is available and displayed for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Zealand Fire Service letter approving the fire evacuation scheme (May 2010) was sighted. Trial evacuations are held six monthly. Emergency and security management education is provided at orientation and at the in-service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call bell system in place that is used by the residents, family and staff members to summon assistance when required. Call bells are available in all resident areas. Call bells are monitored by the maintenance staff monthly. Residents confirmed they have a call bell system in place, it is accessible and that staff respond in a timely manner. The external doors are locked in the evenings. Staff complete a check in the evening that confirms that security measures have been put in place.</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documenting service provider/contractor identification requirements along with policy/procedures for visitor identification are available and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ensure the service is responsive to resident feedback in relation to heating and ventilation, wherever practicable. Residents are provided with adequate natural light, safe ventilation, heating and an environment that is maintained at a safe and comfortable temperature. Families and residents confirmed that rooms are maintained at an appropriate temperature. There are designated smoking areas for the staff and residents that are away from the building.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and procedures manual provides information and resources to inform staff on infection prevention and control. Strategies are in place to prevent exposure of infections to others. The responsibility for infection control is clearly defined in the infection prevention and control policy, including the responsibilities of the Oceania infection control committee; infection control nurse and the infection control team. There is a signed infection control nurse job description outlining responsibilities of the position. The service has a documented infection prevention and control programme which is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is supported in their role by the BCM, the regional clinical and quality manager and the infection control team. The infection control nurse is a RN and also holds the position of the CM.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staff, physical, and information resources to implement the infection control programme. The programme is suitable for the type and size of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team and the infection control committee is represented throughout the service with staff having a range of skills, expertise, and resources to implement the infection control programme. The infection control nurse has access to specialists at the district health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and procedures are relevant to the service and reflect current accepted good practice and relevant legislative requirements. Policies are accessible to all staff. The infection control policies and procedures are developed and reviewed regularly in consultation and with input from relevant staff and external specialists. Infection control policies and procedures identify links to other documentation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provided to all staff and forms part of the staff orientation and the ongoing education programme. Interviews with staff advised that clinical staff identify situations where infection control education is required for a resident, including hand hygiene and cough etiquette.</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has additional training in relation to their role. The infection control staff education is provided by the infection control nurse, RNs and external specialists. Education sessions have evidence of staff attendance/participation and content of the presentations. Staff are required to complete infection control competencies. These were sighted in staff files and confirmed at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is responsible for the surveillance programme. Monthly surveillance analysis is completed and reported at staff facility’s meetings. The type of surveillance undertaken is appropriate to the size and complexity of this service. Standardised definitions are used for the identification and classification of infection events, indicators or outcomes. Infection logs are maintained. Residents’ files evidenced the residents’ who were diagnosed with an infection had short-term care plans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reported they are made aware of any infections through: verbal handovers; short-term care plans; progress notes; and communication with RNs and the CM. The facility’s surveillance data is benchmarked against other Oceania facilities and this information is shared with staff and management.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and enabler definitions in the Oceania company-wide policy are congruent with the definitions in the standard. Assessment of residents, care planning, monitoring and evaluation of restraint and enabler use is recorded and implemented. There were six residents at the facility using restraints and thirteen using enablers on audit days. The restraint and enabler use is documented in the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Enabler use is activated when a resident voluntarily requests an enabler to maintain their independence or safety. Interviews confirmed staff understand the difference between enabler and restraint use. Enabler use and prevention and/or de-escalation education and training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Legislation and requirements for restraint, including definitions and safe and appropriate guidelines for management of the use of restraint, is documented. The processes implemented reflected safe use of restraint. Restraint approval is completed with the RN, the GP/NP and the restraint coordinator. Restraint assessment authorisation and plans are completed by the RNs. The requirements for the use of the restraint are explained to the resident and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culturally safe practices; identification of desired outcomes; and possible alternatives to restraint. Restraint risks and monitoring timeframes are identified in the restraint assessment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utilises alternative means to minimise risk, for example, the use of sensor mats prior to implementation of restraint. Restraint consents are signed by the GP or NP, family and the restraint coordinator. The NP confirmed that the facility uses restraint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evaluates all episodes of restraint. Reviews include the effectiveness of the restraint in use, restraint-related injuries and whether the restraint is still required. Family members confirm they are involved in the evaluation of the restraints’ effectiveness and reviews. Evaluation is undertaken to measure the effectiveness of restraint use and completed three monthly. The resident/family/whānau are involved in the restraint evaluation process. Staff confirmed their understanding and use of the restraint. The person centred care plans identify restraint goals, interventions and outcomes in relation to restraint.</w:t>
            </w:r>
          </w:p>
          <w:p w:rsidR="00EB7645" w:rsidRPr="00BE00C7" w:rsidP="00BE00C7">
            <w:pPr>
              <w:pStyle w:val="OutcomeDescription"/>
              <w:spacing w:before="120" w:after="120"/>
              <w:rPr>
                <w:rFonts w:cs="Arial"/>
                <w:b w:val="0"/>
                <w:lang w:eastAsia="en-NZ"/>
              </w:rPr>
            </w:pPr>
            <w:r w:rsidRPr="00BE00C7">
              <w:rPr>
                <w:rFonts w:cs="Arial"/>
                <w:b w:val="0"/>
                <w:lang w:eastAsia="en-NZ"/>
              </w:rPr>
              <w:t>Restraint documentation was sighted in the residents’ files and progress notes reflect restraint related matters. Restraint minimisation and safe practices are reviewed by the restraint committee at three monthly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monthly monitoring and annual quality reviews are completed for the use of restraint/enablers. Restraint committee meetings are held monthly. Senior staff and registered nurses attend. The restraint coordinator reports to management and to support office on a monthly basis. Quality review findings and any recommendations are used to improve service provision and resident safety. The restraint minimisation policies are current and are available to guide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is provided to all staff in the form of workshops or study days and covers alternatives to restraint use as well as the management processes for restraint minimisation and safe practice.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Melrose Rest Home and Retirement Village</w:t>
    </w:r>
    <w:bookmarkEnd w:id="58"/>
    <w:r>
      <w:rPr>
        <w:rFonts w:cs="Arial"/>
        <w:sz w:val="16"/>
        <w:szCs w:val="20"/>
      </w:rPr>
      <w:tab/>
      <w:t xml:space="preserve">Date of Audit: </w:t>
    </w:r>
    <w:bookmarkStart w:id="59" w:name="AuditStartDate1"/>
    <w:r>
      <w:rPr>
        <w:rFonts w:cs="Arial"/>
        <w:sz w:val="16"/>
        <w:szCs w:val="20"/>
      </w:rPr>
      <w:t>10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