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Little Sisters of The Poor Aged Care New Zealand Limited - Sacred Heart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Little Sisters of The Poor Aged Care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Sacred Heart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February 2018</w:t>
      </w:r>
      <w:bookmarkEnd w:id="7"/>
      <w:r w:rsidRPr="009418D4">
        <w:rPr>
          <w:rFonts w:cs="Arial"/>
        </w:rPr>
        <w:tab/>
        <w:t xml:space="preserve">End date: </w:t>
      </w:r>
      <w:bookmarkStart w:id="8" w:name="AuditEndDate"/>
      <w:r w:rsidR="00A4268A">
        <w:rPr>
          <w:rFonts w:cs="Arial"/>
        </w:rPr>
        <w:t>22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reconfigured the certified services by converting 17 rest home beds to dual-purpose.  The dual-purpose beds have increased to a total of 24 beds.  One room (Room 29) remains as rest home only.  The total beds have remained unchanged.  The 17 rest home rooms were verified at this audit as suitable for dual-purpose.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Sacred Heart Home and Hospital provides hospital (geriatric) and rest home level care.  The board undertakes a mission 'to provide health care services for the elderly, all cultures and all religions.  The service provides rest home and hospital level of care for up to 53 residents, with 52 residents on the day of audit.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This audit process included the review of policies and procedures, the review of residents’ and staff files, observations, and interviews with residents, management and staff.  </w:t>
      </w:r>
    </w:p>
    <w:p w:rsidRPr="00A4268A">
      <w:pPr>
        <w:spacing w:before="240" w:line="276" w:lineRule="auto"/>
        <w:rPr>
          <w:rFonts w:eastAsia="Calibri"/>
        </w:rPr>
      </w:pPr>
      <w:r w:rsidRPr="00A4268A">
        <w:rPr>
          <w:rFonts w:eastAsia="Calibri"/>
        </w:rPr>
        <w:t>Sacred Heart Home and Hospital is managed by a Mother Superior and another sister, who is in the role of clinical manager.  Both receive support from the sisters living at Sacred Heart, administration staff, registered nurses and care staff.  The residents and relatives interviewed all spoke positively about the care and support provided.</w:t>
      </w:r>
    </w:p>
    <w:p w:rsidRPr="00A4268A">
      <w:pPr>
        <w:spacing w:before="240" w:line="276" w:lineRule="auto"/>
        <w:rPr>
          <w:rFonts w:eastAsia="Calibri"/>
        </w:rPr>
      </w:pPr>
      <w:r w:rsidRPr="00A4268A">
        <w:rPr>
          <w:rFonts w:eastAsia="Calibri"/>
        </w:rPr>
        <w:t xml:space="preserve">Two of the three shortfalls identified at the previous audit have been addressed.  These were around medication storage and a communal shower.  Further improvement continues to be required around wound management. </w:t>
      </w:r>
    </w:p>
    <w:p w:rsidRPr="00A4268A">
      <w:pPr>
        <w:spacing w:before="240" w:line="276" w:lineRule="auto"/>
        <w:rPr>
          <w:rFonts w:eastAsia="Calibri"/>
        </w:rPr>
      </w:pPr>
      <w:r w:rsidRPr="00A4268A">
        <w:rPr>
          <w:rFonts w:eastAsia="Calibri"/>
        </w:rPr>
        <w:t xml:space="preserve">This surveillance audit identified an additional improvement required around interRAI timeframes.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with residents and families is appropriately managed.  Complaints are actioned and include documented response to complainants.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Sacred Heart is implementing a quality and risk management system that supports the provision of clinical care.  Quality and risk data is collated for residents’ falls, infection rates, complaints received, restraint use, pressure injuries and medication errors.  Corrective actions are developed and implemented.  Complaints processes are implemented and managed according to the code.  The service has a culture of health and safety.  There are human resources policies including recruitment, job descriptions, selection, orientation and staff training and development.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assessments and care plans are developed in consultation with the resident/family/whānau.  The activity programme is varied and appropriate to the level of abilities of the residents.  Medications are appropriately managed, stored, and administered with supporting documentation.  Medication training and competencies are completed by all staff responsible for administering medicines.  Food is prepared on-site with individual food preferences, dislikes and dietary requirements assessed by the registered nurses.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displays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Staff regularly receive education and training on restraint minimisation and managing challenging behaviours.  There were twelve residents voluntarily using enablers and two residents with restraints.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(registered nurse) is responsible for coordinating education and training for staff.  The infection control coordinator uses the information obtained through surveillance to assist in determining infection control activities and education needs within the facility.  This includes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facility manager (Mother Superior) leads the investigation of any concerns/complaints.  Sacred Heart has a complaints procedure which is provided to residents within the information pack at entry.  Seven complaints from 2017 were reviewed and reflected evidence of responding to the complaints in a timely manner with appropriate follow-up actions taken.  There have been no complaints to date for 2018.  Documentation including follow-up letters and resolution demonstrates that complaints are being managed in accordance with guidelines set forth by the Health and Disability Commission.  There is a suggestions/complaints box.  Discussions with residents and families confirmed they were provided with information on complaints during their entry to the service.  Complaints forms, and a suggestions box are located in a visible location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facility manager (Mother Superior), clinical nurse manager (CNM) or registered nurse (RN) welcomes residents and families on entry and explain about services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ten incident forms reviewed for January and February 2018, identify family were notified following a resident incident/accident.  The RNs confirm family are kept informed.  The relatives interviewed confirmed they are notified promptly of any incidents/accidents.  Six residents (four rest home and two hospital) interviewed stated they were welcomed on entry and were given time and explanation about the services and procedures.  Family members (one hospital, one rest home) advised that they are encouraged to discuss any concerns with the facility manager and/or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is certified to provide hospital (geriatric and medical) and rest home level care for up to 53 residents.  There is a 28-bed dedicated hospital wing, and a 25- bed rest home wing.  As part of this audit, 17 of the rest home rooms were verified as suitable to be used as dual -purpose.  The dual-purpose beds have increased to a total of 24 beds (one rest home bed and 24 dual-purpose beds).  At the time of this audit, there were 52 residents including 28 hospital level care residents and 24 rest home level care residents.  All residents were under the aged related contract.  There were no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governed by a mission board located in Auckland.  Sacred Heart concentrates on providing care to the residents in a holistic and focused way.  The business plan goals for 2017 have been reviewed and evaluated.  A business, quality and risk management plan describes the five key goals of the facility (consumer focus, provision of effective programmes, certification and contractual requirements, risk management and continuous improvements).  Each goal describes the objectives, management controls, measurements and allocated responsibility.  Goals are monitored annually by the quality improvement team.  The Mother Superior oversees the running of the facility with clinical management delegated to a nurse manager.  The nurse manager has been in the role for the past three years and is a registered nurse with extensive experience in aged care management.  </w:t>
            </w:r>
          </w:p>
          <w:p w:rsidR="00EB7645" w:rsidRPr="00BE00C7" w:rsidP="00BE00C7">
            <w:pPr>
              <w:pStyle w:val="OutcomeDescription"/>
              <w:spacing w:before="120" w:after="120"/>
              <w:rPr>
                <w:rFonts w:cs="Arial"/>
                <w:b w:val="0"/>
                <w:lang w:eastAsia="en-NZ"/>
              </w:rPr>
            </w:pPr>
            <w:r w:rsidRPr="00BE00C7">
              <w:rPr>
                <w:rFonts w:cs="Arial"/>
                <w:b w:val="0"/>
                <w:lang w:eastAsia="en-NZ"/>
              </w:rPr>
              <w:t>Regular visits from the trust board members, monthly reports and six-monthly board meetings ensure that there is good communication between the mission board and local governance.  The facility manager and clinical nurse manager have maintained over eight hours annually of professional development activities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Sacred Heart is implementing a quality and risk management system.  The Mother Superior and a designated Sister (quality coordinator) oversee the quality programme.  The quality programme includes goals for 2018.  The 2017 plan has been reviewed.  Quality and risk management systems are implemented with a number of quality initiatives that reflect evidence of evaluation and positive outcomes for residents and/or staff.  Interviews with the manager, clinical nurse manager and staff (three caregivers, three registered nurses, one activities coordinator, one cook and two kitchenhands) reflect their understanding of the quality and risk management systems that have been put into place.  The service collates accident/incident and infection control data.  Meeting minutes, monthly data comparisons, trends and graphs are available for staff information.  The caregivers interviewed were aware of quality data results, trends and corrective actions.  An internal audit programme covers all aspects of the service.  The outcomes of internal audits are discussed with staff at the various meetings.  Corrective actions have been developed and implemented for shortfalls in service areas.  A corrective action plan, following a complaint in 2017 was implemented and closed out. </w:t>
            </w:r>
          </w:p>
          <w:p w:rsidR="00EB7645" w:rsidRPr="00BE00C7" w:rsidP="00BE00C7">
            <w:pPr>
              <w:pStyle w:val="OutcomeDescription"/>
              <w:spacing w:before="120" w:after="120"/>
              <w:rPr>
                <w:rFonts w:cs="Arial"/>
                <w:b w:val="0"/>
                <w:lang w:eastAsia="en-NZ"/>
              </w:rPr>
            </w:pPr>
            <w:r w:rsidRPr="00BE00C7">
              <w:rPr>
                <w:rFonts w:cs="Arial"/>
                <w:b w:val="0"/>
                <w:lang w:eastAsia="en-NZ"/>
              </w:rPr>
              <w:t>A resident and relative survey was conducted in April 2017.  Results have been collated, analysed and reported back to residents or family.  Outcomes from the survey evidence a high level of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including those standards relating to the Health and Disability Services (Safety) Act 2001.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health and safety and risk management system in place including policies to guide practice.  There are designated health and safety staff representatives.  Hazard identification forms and a hazard register are in place.  A health and safety orientation programme is in place for staff.  Staff confirm they are kept informed on health and safety matters at meetings.  Fall prevention strategies are in place that include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sample of ten accident/incident forms for January and February were reviewed.  There has been RN notification and clinical assessments completed within a timely manner.  Accidents/incidents were recorded in the resident progress notes.  There is documented evidence the family/whānau had been notified promptly of accidents/incidents.  Pressure injuries (current and previous) have been reported.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the data to the quality meetings, the health and safety meeting and the staff meetings.  Staff interviewed confirm incident and accident data are discussed at the various meetings and information and graphs have been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(two care workers, two RNs, one activity coordinator and one clinical nurse manager) sampled, contained all relevant employment documentation.  Current practising certificates were sighted for the RNs, and allied health professionals.  Performance appraisals were up-to-date.  The service has an orientation programme in place that provides new staff with relevant information for safe work practice.  Staff interviewed believed new staff were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planner in place covers the compulsory education requirements as well as additional clinical in-service and external education.  Nine of the twelve RNs have completed interRAI training.  The service has an on-site aged care training programme available for all staff.  Staff complete competencies relevant to their role including medication, observations and safe manual handling.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morning shift in the hospital (28 occupied beds) is covered by two registered nurses and five care workers and the afternoon shift has one RN and four care workers.  The rest home (24 occupied beds) morning and afternoon shifts include an RN and three care workers on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Mother Superior, the clinical manager and the other Sisters are on-site full time and available after hours.  Night shift is covered by one RN and two care workers.  A diversional therapist is rostered Monday to Friday.  She is supported by an activities coordinator who commences work mid-afternoon (four hours) on Monday to Friday.  Staff reported that staffing levels and the skill mix were appropriate and safe.  Residents interviewed advised that they felt there is sufficient staffing.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clinical staff who administer medications have been assessed for competency on an annual basis.  Education around safe medication administration has been provided.  Registered nurses and care staff interviewed were able to describe their role in regard to medicine administration.  All medications are managed appropriately in line with required guidelines and legislation.  Twelve medication charts sampled met all the prescribing requirements.  Residents who wish to self-medicate are appropriately assessed and supported to do so.  Self-medicating competencies are reviewed three monthly and provided with a locking bedside cabinet to store medications.   Residents are checked daily to ensure medications are taken.  Previous shortfalls around self-medicating has been addressed.  Internal medication audits are conducted six monthly.  The medication charts reviewed identified that the GP had seen and reviewed the resident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Sacred Heart home and hospital are prepared and cooked on-site.  There are four weekly summer and winter menus, which have been reviewed by a dietitian.   Meals are prepared in a well-appointed kitchen adjacent to the rest home dining room for serving.  There is adequate space in the rest home dining room to support the increase in dual-purpose beds.  Food is transported to the hospital residents in hot boxes and served immediately to residents.  Kitchen staff are trained in safe food handling and food safety procedures are adhered to.  There is food available for residents outside of meal times.  Residents who require special eating aids are provided for, to promote independence.  Resident dietary profiles and likes and dislikes are known to food services staff and any changes are communicated to the kitchen via the registered nurse or nurse manager.  A dietitian visits the service as required.  Supplements are provided to residents with identified weight loss issues.  Weights are monitored monthly or more frequently if required.  Resident meetings and surveys allow for the opportunity for resident feedback on the meals and food services generally.  Interviews with residents and family members indicate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written record of each resident’s progress is documented.  Changes are followed-up by a registered nurse.  When a resident's condition alters, the registered nurse initiates a review and if required, a GP consultation or referral to the appropriate health professional is actioned.  The clinical staff interviewed advised that they have all the equipment referred to in care plans necessary to provide care.  Dressing supplies are available and treatment rooms are well stocked for use.  Wound documentation was reviewed and includes wound assessment, treatment plans and evaluations and progress notes.  Dressings were completed as per timeframes and assessments fully completed.  This is an improvement on previous audit; however, pressure injury staging is not documented and therefore further improvements are required around wound care documentation.  Wound care nurse specialist advice is readily available.  Continence products are available and specialist continence advice is available as needed.  Short-term care plans are recorded, reviewed and resolved or carried over to the long-term care plan.  A physiotherapist and physiotherapist assistant are employed to assess and assist resident’s mobility and transfer needs.    Monitoring charts are utilised such as (but not limited to) turning charts, weight, behaviour, and food/fluid.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and activities assistant provide an activities programme over five days per week.  Group activities are voluntary and developed by the activities staff.  Residents are able to participate in a range of activities that are appropriate to their cognitive and physical capabilities.  Sacred Heart home and hospital has its own van, which is used for resident outings.  The group activity plans are displayed on noticeboards around the facility.  In all files reviewed, there is evidence of one-on-one activities for those residents who do not participate in group activities.  All interactions observed on the day of the audit indicated a friendly relationship between residents and activity staff.  The resident files reviewed included a section of the lifestyle care plan was for activity and is reviewed six monthly.  Residents interviewed spoke very positively of the activity programme with feedback and suggestions for activities made via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are evaluated within three weeks of admission.  Long-term care plans are reviewed and evaluated by the registered nurses or when changes to care occur, as sighted in the files reviewed.  A multi-disciplinary team meeting is conducted annually for each resident and involves all relevant personnel.  The house GP examines the residents and reviews medication three monthly.  Short-term care plans focus on acute and short-term needs, ongoing problems have been recorded in long-term care plans.  Progress notes were comprehensive and documented follow-up of incidents or changes in resident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4 March 2018.  The maintenance person/health and safety leader oversees the maintenance programme.  Scheduled maintenance is carried out and staff record issues that require attention.  Hot water temperature checks are conducted and is provided between 40 and 45 degrees Celsius in resident areas.  Medical equipment including scales and hoists have been checked and calibrated annually.  Electrical equipment has been tested.  There is sufficient equipment for the potential increase in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internal seating area at the entrance available for residents and visitors.  Residents were observed safely mobilising throughout the facility.  There is easy access to the outdoors.  The exterior and gardens are well maintained with safe paving, outdoor shaded seating, lawn, gardens and car parking.  Interviews with the registered nurses and the caregivers confirmed that there was adequate equipment to carry out the cares according to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reconfigured the certified services by converting 17 rest home beds to dual-purpose.  The dual-purpose beds have increased to a total of 24 beds.  One room (Room 29) remains as rest home only.  The total beds have remained unchanged.  The 17 rest home rooms were verified at this audit as suitable for dual-purpose.  Rooms were spacious and allowed for the use of mobility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rooms are all single rooms with full ensuites in the hospital area and toilet and hand basin in the dual-purpose and rest home area.  The number of resident communal toilets and showers provided in the rest home is adequate.  Hand washing and drying facilities are located adjacent to the toilets.  Liquid soap and paper towels are available in all toilets.  Fixtures, fittings and floor and wall surfaces in the hospital area are made of accepted materials to support good hygiene and infection prevention and control practices.  The communal toilets and showers are well signed and identifiable and include vacant/engaged and in-use signs.  All communal showers in the rest home area meet infection prevention standards.  This previous partial attainment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Communal bathrooms in the rest home area allow for the use of mobility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and relevant information is displayed for staff.  Definitions of infections are in place appropriate to the complexity of service provided.  Infection control data is discussed at facility meetings.  Annual infection control reports are provided.  Internal audits for infection control are included in the annual audit schedule.  There is close liaison with the GP that advises and provides feedback/information to the service.  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Interviews with the staff confirm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 service had two residents using restraint in the hospital unit, one with bedrails and a lap belt and one just with bedrails.  There were 12 hospital residents documented using bedrails as an enabler.  All enabler use is voluntary.  A sample of files reviewed evidenced completed enabler monitoring forms.  The restraint/enabler assessment form was completed, with input from the RN, GP and the resident’s family and this was documented in the files of residents who were using bedrails.  Two residents using bedrails as enablers were interviewed and confirmed the use is voluntary.  There are clear guidelines in the policy to determine what a restraint is and what an enabler is.  The restraint standards are being implemented and implementation is reviewed through internal audits and facility meetings.  There was a restraint/enabler annual review completed for the enabler use in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21"/>
        <w:gridCol w:w="1280"/>
        <w:gridCol w:w="8330"/>
        <w:gridCol w:w="130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 files (four hospital and two rest home) reviewed evidence that an initial assessment and initial care plan were developed for each resident within 24 hours of admission.  Long-term care plans have been commenced and evaluated at six-month intervals.  Long-term care plans are based on the interRAI assessment and contain triggers identified in the interRAI assessment, however, not all resident files evidence that interRAI reviews have been completed within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six files (two hospital and one rest home) did not have interRAI assessment reviewed within the six-month timeframe.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interRAI assessments are reviewed within the six-month timeframe.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wound care charts sighted in both rest home and hospital wings have completed wound assessments, plans and are regularly evaluated.  All dressing changes occur as planned frequency.  Wound plans contain instruction on type of dressing required, and instruction for caregivers responsible for dressing changes in the rest home area.  Wound care specialist is involved with the resolving pressure injury.  The GP reviews residents more frequently when they have a wound.  Photos are obtained of wounds regularly, to show progression or deterioration; however, pressure injuries are not staged on the wound assessment form.  Wound evaluations are comprehensive and document measurements to indicate progression of the wound.  On the day of the audit two charts were in place for pressure injuries, one long-term pressure injury which is now resolving, and the other was acquired prior to admission which has since been proved not to be a pressure injury.  A section 31 had been completed for a stage three pressure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pressure injury wound care chart did not indicate the stage of the pressure injury on any of the assessment forms sighted. </w:t>
            </w:r>
          </w:p>
          <w:p w:rsidR="00EB7645" w:rsidRPr="00BE00C7" w:rsidP="00BE00C7">
            <w:pPr>
              <w:pStyle w:val="OutcomeDescription"/>
              <w:spacing w:before="120" w:after="120"/>
              <w:rPr>
                <w:rFonts w:cs="Arial"/>
                <w:b w:val="0"/>
                <w:lang w:eastAsia="en-NZ"/>
              </w:rPr>
            </w:pPr>
            <w:r w:rsidRPr="00BE00C7">
              <w:rPr>
                <w:rFonts w:cs="Arial"/>
                <w:b w:val="0"/>
                <w:lang w:eastAsia="en-NZ"/>
              </w:rPr>
              <w:t>ii) One wound care chart sighted for pressure injury had not been updated to reflect the wound was not pressure related.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wound care charts are fully completed to include pressure injury stage.</w:t>
            </w:r>
          </w:p>
          <w:p w:rsidR="00EB7645" w:rsidRPr="00BE00C7" w:rsidP="00BE00C7">
            <w:pPr>
              <w:pStyle w:val="OutcomeDescription"/>
              <w:spacing w:before="120" w:after="120"/>
              <w:rPr>
                <w:rFonts w:cs="Arial"/>
                <w:b w:val="0"/>
                <w:lang w:eastAsia="en-NZ"/>
              </w:rPr>
            </w:pPr>
            <w:r w:rsidRPr="00BE00C7">
              <w:rPr>
                <w:rFonts w:cs="Arial"/>
                <w:b w:val="0"/>
                <w:lang w:eastAsia="en-NZ"/>
              </w:rPr>
              <w:t>ii) Ensure all wound charts are updated to reflect changes.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Little Sisters of The Poor Aged Care New Zealand Limited - Sacred Heart Home and Hospital</w:t>
    </w:r>
    <w:bookmarkEnd w:id="58"/>
    <w:r>
      <w:rPr>
        <w:rFonts w:cs="Arial"/>
        <w:sz w:val="16"/>
        <w:szCs w:val="20"/>
      </w:rPr>
      <w:tab/>
      <w:t xml:space="preserve">Date of Audit: </w:t>
    </w:r>
    <w:bookmarkStart w:id="59" w:name="AuditStartDate1"/>
    <w:r>
      <w:rPr>
        <w:rFonts w:cs="Arial"/>
        <w:sz w:val="16"/>
        <w:szCs w:val="20"/>
      </w:rPr>
      <w:t>22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