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Erin Park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Erin Park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March 2018</w:t>
      </w:r>
      <w:bookmarkEnd w:id="7"/>
      <w:r w:rsidRPr="009418D4">
        <w:rPr>
          <w:rFonts w:cs="Arial"/>
        </w:rPr>
        <w:tab/>
        <w:t xml:space="preserve">End date: </w:t>
      </w:r>
      <w:bookmarkStart w:id="8" w:name="AuditEndDate"/>
      <w:r w:rsidR="00A4268A">
        <w:rPr>
          <w:rFonts w:cs="Arial"/>
        </w:rPr>
        <w:t>6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Erin Park is a Bupa facility that provides rest home and hospital (geriatric and medical), residential disability services (intellectual and physical) levels of care for up to 115 residents and on the day of the audit there were 99 residents.  The service is managed by an acting manager, who is a registered nurse (RN) and qualified and experienced for the role.  The manager is supported by a clinical manager/RN.  Residents and the GP interviewed spoke positively about the service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 xml:space="preserve">The service has addressed the shortfall from the previous certification audit around interRAI assessments.  This audit identified improvements required around age appropriate activities for younger residents, meetings, and post-fall neurological observations.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Complaints and concerns have been managed appropriately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acting manager is supported by a clinical manager, registered nurses, caregivers and support staff.  The quality and risk management programme includes a service philosophy, goals and a quality and risk management programme.  Quality activities generate improvements in practice and service delivery.  Resident and family meetings are held, and satisfaction is monitored via annual satisfaction surveys.  Health and safety policies, systems and processes are implemented to manage risk.  Incidents and accidents are reported and investigated.  A comprehensive education and training programme is implemented with a current plan in place.  </w:t>
      </w:r>
    </w:p>
    <w:p w:rsidRPr="00A4268A">
      <w:pPr>
        <w:spacing w:before="240" w:line="276" w:lineRule="auto"/>
        <w:rPr>
          <w:rFonts w:eastAsia="Calibri"/>
        </w:rPr>
      </w:pPr>
      <w:r w:rsidRPr="00A4268A">
        <w:rPr>
          <w:rFonts w:eastAsia="Calibri"/>
        </w:rPr>
        <w:t xml:space="preserve">Appropriate employment processes are adhered to.  There is a roster that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senior caregivers are responsible for the administration of medicines and complete education and medication competencies.  Medication charts are reviewed three monthly by the GP. </w:t>
      </w:r>
    </w:p>
    <w:p w:rsidRPr="00A4268A" w:rsidP="00621629">
      <w:pPr>
        <w:spacing w:before="240" w:line="276" w:lineRule="auto"/>
        <w:rPr>
          <w:rFonts w:eastAsia="Calibri"/>
        </w:rPr>
      </w:pPr>
      <w:r w:rsidRPr="00A4268A">
        <w:rPr>
          <w:rFonts w:eastAsia="Calibri"/>
        </w:rPr>
        <w:t>The activities coordinator and her assistants implement the activity programme.  There are regular outings, and celebrations.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posted in a visible location.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either restraints or enablers.  Restraint management processes are available if restraint is used.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type of surveillance undertaken is appropriate to the size and complexity of the organisation.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01"/>
        <w:gridCol w:w="1280"/>
        <w:gridCol w:w="97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Five complaints have been lodged for 2018 (YTD).  All complaints had a noted investigation, timelines determined by HDC were met, and corrective actions (where indicated) were actioned and signed off as being implemented.</w:t>
            </w:r>
          </w:p>
          <w:p w:rsidR="00EB7645" w:rsidRPr="00BE00C7" w:rsidP="00BE00C7">
            <w:pPr>
              <w:pStyle w:val="OutcomeDescription"/>
              <w:spacing w:before="120" w:after="120"/>
              <w:rPr>
                <w:rFonts w:cs="Arial"/>
                <w:b w:val="0"/>
                <w:lang w:eastAsia="en-NZ"/>
              </w:rPr>
            </w:pPr>
            <w:r w:rsidRPr="00BE00C7">
              <w:rPr>
                <w:rFonts w:cs="Arial"/>
                <w:b w:val="0"/>
                <w:lang w:eastAsia="en-NZ"/>
              </w:rPr>
              <w:t>A DHB complaint for 2018 has an action plan in place that covers all aspects of the complaint.  Ongoing updates and evaluation of progress against the action plan are documented, education has been provided to ensure staff learning takes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and logged through an electronic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residents interviewed (three rest home, three hospital and four younger people with disability (YPD))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family communication is held in the front of each resident’s file.  Eight incidents/accidents forms selected for review indicated that family were informed.  Four families interviewed (three hospital, one rest home) confirmed they have been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Erin Park is part of the Bupa group of aged care facilities.  The care facility has a total of 115 beds suitable for rest home, hospital (geriatric and medical) and residential disability (intellectual and physical) levels of care.  On the day of audit there were 99 residents.  The upstairs rest home, has 51 beds including six dual-service beds, there were 47 rest home residents (including two YPD residents and one under a long-term chronic condition’s contract).  The downstairs hospital, has 64 beds with 52 residents (including seven YPD residents and one respite).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Bupa's overall vision and values are displayed in a visible location.  The service provides a person-centred approach to care and support.  All staff are made aware of the vision and values during their induction to the service.  There is an overall Bupa business plan and risk management plan.  There are documented quality/health and safety goals that are reviewed monthly and signed off when achieved.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currently recruiting for a home manager, the operations manager (an experienced RN and home manager) is undertaking this role.  Notifications to the relevant authorities have been sent regarding the home management.  The manager (operations manager) is supported by a new clinical manager/RN.  The new clinical manager was previously a unit manager at the home and is supported by a Bupa clinical nurse specialist whist he is orientated to the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care home manager and clinical manager have maintained over eight hours annually of professional development activities related to their respective roles with the clinical manager completing a clinical manager specific orientation at the time of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documented.  Interviews with the acting care home manager, clinical manager and seven staff (three caregivers, one staff RN, one cook, one diversional therapist, and one activities coordinator)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include reference to interRAI for an aged care service and meet current health and safety legislative requirements.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in place.  In addition to scheduled monthly internal audits, an annual facility health check is conducted by a member of the Bupa quality &amp; riks team.  Areas of non-compliance include the initiation of corrective actions with sign-off by the care home manager when implemented.  Data collected (eg, falls, medication errors, wounds, skin tears, pressure injuries, complaints, challenging behaviours) are collated and analysed.  Meeting minutes have not been held regularly in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undergo annual health and safety training which begins during their orientation.  All staff are provided with information about their responsibility under the Health Safety at Work Act 2015.  Health and safety meetings have not been held regularly during 2017.  Contractors are required to be inducted into the facility and sign a health and safety information sheet when this has been completed.  Bupa facilities have been awarded ACC work safety management practice at a tertiary level (expiry 5 July 2018).  </w:t>
            </w:r>
          </w:p>
          <w:p w:rsidR="00EB7645" w:rsidRPr="00BE00C7" w:rsidP="00BE00C7">
            <w:pPr>
              <w:pStyle w:val="OutcomeDescription"/>
              <w:spacing w:before="120" w:after="120"/>
              <w:rPr>
                <w:rFonts w:cs="Arial"/>
                <w:b w:val="0"/>
                <w:lang w:eastAsia="en-NZ"/>
              </w:rPr>
            </w:pPr>
            <w:r w:rsidRPr="00BE00C7">
              <w:rPr>
                <w:rFonts w:cs="Arial"/>
                <w:b w:val="0"/>
                <w:lang w:eastAsia="en-NZ"/>
              </w:rPr>
              <w:t>Annual satisfaction surveys are completed with the 2017 survey showing an increase in Net promoter scores and overall satisfaction from the previous year.</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physiotherapy input and intentional rounding.  All residents have a transfer plan completed by a physiotherapist as part of their admission process.  Interviews with the caregivers confirmed that they are aware of which residents are at risk of falling and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There were 35 incidents logged for January 2018.  A sample of eight resident falls-related incidents were sampled.    Adverse events were investigated by the clinical manager and/or registered nursing staff in all eight accident/incident forms reviewed.  Adverse events are trended and analysed with results communicated as part of management reports to senior management.  There is documented evidence to support actions are undertaken to minimise the number of incidents.  Clinical follow-up of residents is conducted by a registered nurse.  Unwitnessed falls do not always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acting care home manager confirmed her awareness of the requirement to notify relevant authorities in relation to essential notifications.  Examples were provided of authorities being notified including a section 31 report being completed for a wandering resident (day of audit) and a coroner’s case during 2017.  One resident incident during 2017 included a section 31 and an in-depth root cause analysis and action plan.  This is in the process of implementation.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Six staff files reviewed (two caregivers, two RNs, one activities person and the clinical manager) evidenced that reference checks are completed before employment is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orientation programme that provides new staff with relevant information for safe work practice.  The education programme being implemented is extensive and includes in-service training, competency assessments, and impromptu (tool box) talks.  Caregivers are expected to complete an aged care education programme that meets the New Zealand Quality Authority (NZQSA) requirements.  The service ensures staff education includes training specific to caring for younger people.  Specific education has included external education around Huntingdon’s and Parkinson’s, and also internal education around privacy and sexuality.</w:t>
            </w:r>
          </w:p>
          <w:p w:rsidR="00EB7645" w:rsidRPr="00BE00C7" w:rsidP="00BE00C7">
            <w:pPr>
              <w:pStyle w:val="OutcomeDescription"/>
              <w:spacing w:before="120" w:after="120"/>
              <w:rPr>
                <w:rFonts w:cs="Arial"/>
                <w:b w:val="0"/>
                <w:lang w:eastAsia="en-NZ"/>
              </w:rPr>
            </w:pPr>
            <w:r w:rsidRPr="00BE00C7">
              <w:rPr>
                <w:rFonts w:cs="Arial"/>
                <w:b w:val="0"/>
                <w:lang w:eastAsia="en-NZ"/>
              </w:rPr>
              <w:t>The cook has completed a qualification in food safety and food hygiene.  All kitchen staff have completed their food safety training on-site.  Chemical safety training is included in staff orientation and as a regular in-service topic.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of twelve RNs have completed their interRAI training and one in training.  In addition to in-house training, the staff attend external training including sessions offered by the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in-service education and training, a range of staff competencies are completed for applicable staff that include (but are not limited to) blood sugar levels and insulin administration, catheterisation for males and females, controlled drug administration, medication administration, manual handling, naso-gastric tube care, nebulisers, oxygen administration, restraint free environment, syringe driver, wound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is in place.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manager/RN and clinical manager/RN work Monday – Friday.  The care home manager and clinical manager share on call when not available on-site.  The manager is currently the operations manager with an RN clinical specialist on site when the operations manager is not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covers two floors with an elevator placed in an accessible location. </w:t>
            </w:r>
          </w:p>
          <w:p w:rsidR="00EB7645" w:rsidRPr="00BE00C7" w:rsidP="00BE00C7">
            <w:pPr>
              <w:pStyle w:val="OutcomeDescription"/>
              <w:spacing w:before="120" w:after="120"/>
              <w:rPr>
                <w:rFonts w:cs="Arial"/>
                <w:b w:val="0"/>
                <w:lang w:eastAsia="en-NZ"/>
              </w:rPr>
            </w:pPr>
            <w:r w:rsidRPr="00BE00C7">
              <w:rPr>
                <w:rFonts w:cs="Arial"/>
                <w:b w:val="0"/>
                <w:lang w:eastAsia="en-NZ"/>
              </w:rPr>
              <w:t>Kowhai and Remu Wings.  Rest home only up to 51 residents with 47 on day of audit (upstairs)</w:t>
            </w:r>
          </w:p>
          <w:p w:rsidR="00EB7645" w:rsidRPr="00BE00C7" w:rsidP="00BE00C7">
            <w:pPr>
              <w:pStyle w:val="OutcomeDescription"/>
              <w:spacing w:before="120" w:after="120"/>
              <w:rPr>
                <w:rFonts w:cs="Arial"/>
                <w:b w:val="0"/>
                <w:lang w:eastAsia="en-NZ"/>
              </w:rPr>
            </w:pPr>
            <w:r w:rsidRPr="00BE00C7">
              <w:rPr>
                <w:rFonts w:cs="Arial"/>
                <w:b w:val="0"/>
                <w:lang w:eastAsia="en-NZ"/>
              </w:rPr>
              <w:t>There is an RN and EN on duty during the day Monday to Friday.  The care givers roster includes; AM; three long shifts and one short shift (three long shifts at the weekend).  PM; two long shifts.  Night; one caregiver.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Nicau hospital level with up to 31 residents and 29 on the day of audit (upstairs) </w:t>
            </w:r>
          </w:p>
          <w:p w:rsidR="00EB7645" w:rsidRPr="00BE00C7" w:rsidP="00BE00C7">
            <w:pPr>
              <w:pStyle w:val="OutcomeDescription"/>
              <w:spacing w:before="120" w:after="120"/>
              <w:rPr>
                <w:rFonts w:cs="Arial"/>
                <w:b w:val="0"/>
                <w:lang w:eastAsia="en-NZ"/>
              </w:rPr>
            </w:pPr>
            <w:r w:rsidRPr="00BE00C7">
              <w:rPr>
                <w:rFonts w:cs="Arial"/>
                <w:b w:val="0"/>
                <w:lang w:eastAsia="en-NZ"/>
              </w:rPr>
              <w:t>There is an RN on duty for each shift Monday to Sunday, plus an EN Monday to Friday.  The care givers roster includes; AM; four long shifts and one short shift.  PM; three long shifts and one short.  Night; Two caregivers.</w:t>
            </w:r>
          </w:p>
          <w:p w:rsidR="00EB7645" w:rsidRPr="00BE00C7" w:rsidP="00BE00C7">
            <w:pPr>
              <w:pStyle w:val="OutcomeDescription"/>
              <w:spacing w:before="120" w:after="120"/>
              <w:rPr>
                <w:rFonts w:cs="Arial"/>
                <w:b w:val="0"/>
                <w:lang w:eastAsia="en-NZ"/>
              </w:rPr>
            </w:pPr>
            <w:r w:rsidRPr="00BE00C7">
              <w:rPr>
                <w:rFonts w:cs="Arial"/>
                <w:b w:val="0"/>
                <w:lang w:eastAsia="en-NZ"/>
              </w:rPr>
              <w:t>Hospital- Matai wing.  With up to 33 residents and 23 on the day of audit (staffing is increased when occupancy increases) (downstairs)</w:t>
            </w:r>
          </w:p>
          <w:p w:rsidR="00EB7645" w:rsidRPr="00BE00C7" w:rsidP="00BE00C7">
            <w:pPr>
              <w:pStyle w:val="OutcomeDescription"/>
              <w:spacing w:before="120" w:after="120"/>
              <w:rPr>
                <w:rFonts w:cs="Arial"/>
                <w:b w:val="0"/>
                <w:lang w:eastAsia="en-NZ"/>
              </w:rPr>
            </w:pPr>
            <w:r w:rsidRPr="00BE00C7">
              <w:rPr>
                <w:rFonts w:cs="Arial"/>
                <w:b w:val="0"/>
                <w:lang w:eastAsia="en-NZ"/>
              </w:rPr>
              <w:t>There is an RN on duty for each shift Monday to Sunday, plus an EN Monday to Friday.  The care givers roster includes; AM; three long shifts and one short shift.  PM; three long shifts and one short.  Night; Two caregivers.</w:t>
            </w:r>
          </w:p>
          <w:p w:rsidR="00EB7645" w:rsidRPr="00BE00C7" w:rsidP="00BE00C7">
            <w:pPr>
              <w:pStyle w:val="OutcomeDescription"/>
              <w:spacing w:before="120" w:after="120"/>
              <w:rPr>
                <w:rFonts w:cs="Arial"/>
                <w:b w:val="0"/>
                <w:lang w:eastAsia="en-NZ"/>
              </w:rPr>
            </w:pPr>
            <w:r w:rsidRPr="00BE00C7">
              <w:rPr>
                <w:rFonts w:cs="Arial"/>
                <w:b w:val="0"/>
                <w:lang w:eastAsia="en-NZ"/>
              </w:rPr>
              <w:t>Nicau and Matai share an RN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Separate cleaning and laundry staff are rostered.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A process is in place for residents to self-administer.  There are no standing orders.  There are no vaccines stored on-site.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recorded and fed back to the supplying pharmacy.  Medications are administered by RNs, ENs and senior CGs.  Staff attend annual education and have an annual medication competency completed.  The medication fridge temperature is checked weekly.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Twelve medication charts were reviewed (six rest home and six hospital).  Medications are reviewed at least three 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three cooks who cover Monday to Sunday 9.00 am – 5.30 pm.  There are four kitchen assistants in the morning and four in the afternoon.  All have current food safety certificates.  The head cook oversees the procurement of the food and management of the kitchen.  There is a well-equipped kitchen and all meals are cooked on-site.  Meals are served directly from the kitchen in the rest home and from a bain marie on one floor of the hospital and hot boxes on the other.  Special equipment such as lipped plates is available.  On the day of audit, meals were observed to be hot and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on a kitchen whiteboard.  The four-weekly menu cycle is approved by the BUPA dietitian.  All resident/families interviewed were very satisfied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 that they notify family members about any changes in their relative’s health status.  All care plans sampled had interventions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not always taken when there is a blow to the head or for an unwitnessed fall (link 1.2.4.3).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 there are adequate clinical supplies and equipment provided including continence and wound care supplies and these were sighted.  Continence management is documented in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forms are documented on short-term care plans in place for all wounds.  Wound monitoring occurs as planned.  There are currently fifteen wounds being treated.  There are currently three pressure injuries.  Documentation was completed as per policy and procedure.  All have wound management plans.  Residents are repositioned two hourly and this is documented on turning charts.  One resident is on an air mattress.  The unstageable pressure injury has had input from the CMDHB wound care nurse specialist and the plastics clinic.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activities coordinator who works 32 and a half hours a week, one activities assistant who works 30 hours a week and one physiotherapy/activities assistant who works 32 and a half hours a week.  The physiotherapy/activities assistant implements a physiotherapy/exercise programme in the morning and activities in the afternoon.  On the days of audit residents were observed singing/dancing to entertainers, participating in exercises and a quiz and playing mini-golf.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and some residents had them in their rooms as well.  Residents have the choice of a variety of activities in which to participate, and these include exercises, crosswords, games, rummikub, music and movies.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Catholic communion each Friday and the Manurewa Bible singers visit monthly.  A local church also holds services on special occasions.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has a van outing once or twice a week and the hospital once a fortnight.  Special events like birthdays, Easter, Mothers’ Day, Anzac Day and the Melbourne Cup are celebrated.  There is pet therapy weekly and the facility has also adopted three cats. </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local schools.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individual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two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long term care plans reviewed had been evaluated by the registered nurse six monthly or when changes to care occurred.  The respite plan was short-term only.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is due 16 March 2018.  There is disabled access to the gardens and external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The surveillance data is collected and analysed monthly to identify areas for improvement or corrective action requirements.  Infection control internal audits have been completed.  Infection rates have been low.  Trends are identified, and quality initiatives are discussed at staff and quality meetings.  There is a policy describing surveillance methodology for monitoring of infections.  Definitions of infections are in place appropriate to the complexity of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Systems are in place that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no residents using restraints or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RN is the restraint coordinator.  The restraint coordinator understands strategies around restraint minimisation and reports that she has been able to maintain a restraint-free environment since she has been in her role (July 2016).  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Restraint is discussed as part of staff meetings and in separate (six-monthly) restraint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2"/>
        <w:gridCol w:w="1280"/>
        <w:gridCol w:w="4553"/>
        <w:gridCol w:w="4082"/>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Bupa meeting schedule in place.  Quality meetings for January and February 2018 were comprehensively documented and included discussion on a wide range of quality data including the quality goals for 2018 (to reduce skin tears and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meetings evidences that they were not held according to schedule during 2017.  Examples include: No staff meetings documented, quality meeting (the main meeting where processes are brought together and discussed) were documented for March and September and health and safety and infection control meetings only held March and September.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meetings are held according to the documented schedule to ensure communication with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Incidents and accidents are logged into the Bupa electronic database.  All incidents are collated and reported to the senior management team (link to 1.2.3.6).  Neurological observations had not always completed where the resident had potentially hit their head.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eight resident falls recorded, seven required neuro observation according to Bupa policy; three of the seven had no neurological observations documented for unwitnessed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documented post unwitnessed falls as per Bupa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planned weekly activity programme which provides a variety of activities which meet the needs of the aged care residents.  This programme is not always tailored to the needs of the YPD residents and there are few community links.  When interviewed, four YPD residents stated that they would like more age appropriate activities and to go out more.  Their activity/care plans do not reflect this.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Age appropriate activities and community links are not documented in the activity/care plan for YPD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age appropriate activities and community links are documented in the activity/care plan for YPD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Erin Park Rest Home &amp; Hospital</w:t>
    </w:r>
    <w:bookmarkEnd w:id="58"/>
    <w:r>
      <w:rPr>
        <w:rFonts w:cs="Arial"/>
        <w:sz w:val="16"/>
        <w:szCs w:val="20"/>
      </w:rPr>
      <w:tab/>
      <w:t xml:space="preserve">Date of Audit: </w:t>
    </w:r>
    <w:bookmarkStart w:id="59" w:name="AuditStartDate1"/>
    <w:r>
      <w:rPr>
        <w:rFonts w:cs="Arial"/>
        <w:sz w:val="16"/>
        <w:szCs w:val="20"/>
      </w:rPr>
      <w:t>5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