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E5EB9">
      <w:pPr>
        <w:pStyle w:val="Heading1"/>
        <w:rPr>
          <w:rFonts w:cs="Arial"/>
        </w:rPr>
      </w:pPr>
      <w:bookmarkStart w:id="0" w:name="PRMS_RIName"/>
      <w:r>
        <w:rPr>
          <w:rFonts w:cs="Arial"/>
        </w:rPr>
        <w:t>Senior Care Investment Limited - Fraser Manor Rest Home</w:t>
      </w:r>
      <w:bookmarkEnd w:id="0"/>
    </w:p>
    <w:p w:rsidR="00460D43" w:rsidRDefault="000E5EB9">
      <w:pPr>
        <w:pStyle w:val="Heading2"/>
        <w:spacing w:after="0"/>
        <w:rPr>
          <w:rFonts w:cs="Arial"/>
        </w:rPr>
      </w:pPr>
      <w:r>
        <w:rPr>
          <w:rFonts w:cs="Arial"/>
        </w:rPr>
        <w:t>Introduction</w:t>
      </w:r>
    </w:p>
    <w:p w:rsidR="00460D43" w:rsidRDefault="000E5EB9">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0E5EB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0E5EB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0E5EB9"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0E5EB9">
      <w:pPr>
        <w:spacing w:before="240" w:after="240"/>
        <w:rPr>
          <w:rFonts w:cs="Arial"/>
          <w:lang w:eastAsia="en-NZ"/>
        </w:rPr>
      </w:pPr>
      <w:r>
        <w:rPr>
          <w:rFonts w:cs="Arial"/>
          <w:lang w:eastAsia="en-NZ"/>
        </w:rPr>
        <w:t>The specifics of this audit included:</w:t>
      </w:r>
    </w:p>
    <w:p w:rsidR="009D18F5" w:rsidRPr="009D18F5" w:rsidRDefault="000C2E01" w:rsidP="000C2E01">
      <w:pPr>
        <w:pBdr>
          <w:top w:val="single" w:sz="4" w:space="1" w:color="auto"/>
          <w:left w:val="single" w:sz="4" w:space="4" w:color="auto"/>
          <w:bottom w:val="single" w:sz="4" w:space="1" w:color="auto"/>
          <w:right w:val="single" w:sz="4" w:space="4" w:color="auto"/>
        </w:pBdr>
        <w:tabs>
          <w:tab w:val="left" w:pos="2430"/>
        </w:tabs>
        <w:rPr>
          <w:rFonts w:cs="Arial"/>
        </w:rPr>
      </w:pPr>
      <w:r>
        <w:rPr>
          <w:rFonts w:cs="Arial"/>
        </w:rPr>
        <w:tab/>
      </w:r>
    </w:p>
    <w:p w:rsidR="005A5115" w:rsidRPr="009418D4" w:rsidRDefault="000E5EB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Senior Care Investments Limited</w:t>
      </w:r>
      <w:bookmarkEnd w:id="4"/>
    </w:p>
    <w:p w:rsidR="005A5115" w:rsidRPr="009418D4" w:rsidRDefault="000E5E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Fraser Manor Rest Home</w:t>
      </w:r>
      <w:bookmarkEnd w:id="5"/>
    </w:p>
    <w:p w:rsidR="005A5115" w:rsidRPr="009418D4" w:rsidRDefault="000E5E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0E5EB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April 2018</w:t>
      </w:r>
      <w:bookmarkEnd w:id="7"/>
      <w:r w:rsidRPr="009418D4">
        <w:rPr>
          <w:rFonts w:cs="Arial"/>
        </w:rPr>
        <w:tab/>
        <w:t xml:space="preserve">End date: </w:t>
      </w:r>
      <w:bookmarkStart w:id="8" w:name="AuditEndDate"/>
      <w:r>
        <w:rPr>
          <w:rFonts w:cs="Arial"/>
        </w:rPr>
        <w:t>1 May 2018</w:t>
      </w:r>
      <w:bookmarkEnd w:id="8"/>
    </w:p>
    <w:p w:rsidR="005A5115" w:rsidRPr="009418D4" w:rsidRDefault="000E5EB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Ownership of Fraser Manor Rest Home will change in mid-June 2018.</w:t>
      </w:r>
    </w:p>
    <w:bookmarkEnd w:id="9"/>
    <w:p w:rsidR="005272BD" w:rsidRPr="009418D4" w:rsidRDefault="000E5EB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rsidR="009D18F5" w:rsidRDefault="000B435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0E5EB9">
      <w:pPr>
        <w:pStyle w:val="Heading1"/>
        <w:rPr>
          <w:rFonts w:cs="Arial"/>
        </w:rPr>
      </w:pPr>
      <w:r>
        <w:rPr>
          <w:rFonts w:cs="Arial"/>
        </w:rPr>
        <w:lastRenderedPageBreak/>
        <w:t>Executive summary of the audit</w:t>
      </w:r>
    </w:p>
    <w:p w:rsidR="00460D43" w:rsidRDefault="000E5EB9">
      <w:pPr>
        <w:pStyle w:val="Heading2"/>
        <w:rPr>
          <w:rFonts w:cs="Arial"/>
        </w:rPr>
      </w:pPr>
      <w:r>
        <w:rPr>
          <w:rFonts w:cs="Arial"/>
        </w:rPr>
        <w:t>Introduction</w:t>
      </w:r>
    </w:p>
    <w:p w:rsidR="00460D43" w:rsidRDefault="000E5EB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0E5EB9">
      <w:pPr>
        <w:pStyle w:val="ListParagraph"/>
        <w:numPr>
          <w:ilvl w:val="0"/>
          <w:numId w:val="1"/>
        </w:numPr>
        <w:spacing w:before="240" w:after="240"/>
        <w:rPr>
          <w:rFonts w:cs="Arial"/>
          <w:lang w:eastAsia="en-NZ"/>
        </w:rPr>
      </w:pPr>
      <w:r>
        <w:rPr>
          <w:rFonts w:cs="Arial"/>
          <w:lang w:eastAsia="en-NZ"/>
        </w:rPr>
        <w:t>consumer rights</w:t>
      </w:r>
    </w:p>
    <w:p w:rsidR="00460D43" w:rsidRDefault="000E5EB9">
      <w:pPr>
        <w:pStyle w:val="ListParagraph"/>
        <w:numPr>
          <w:ilvl w:val="0"/>
          <w:numId w:val="1"/>
        </w:numPr>
        <w:spacing w:before="240" w:after="240"/>
        <w:rPr>
          <w:rFonts w:cs="Arial"/>
          <w:lang w:eastAsia="en-NZ"/>
        </w:rPr>
      </w:pPr>
      <w:r>
        <w:rPr>
          <w:rFonts w:cs="Arial"/>
          <w:lang w:eastAsia="en-NZ"/>
        </w:rPr>
        <w:t>organisational management</w:t>
      </w:r>
    </w:p>
    <w:p w:rsidR="00460D43" w:rsidRDefault="000E5EB9">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0E5EB9">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E5EB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E5EB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E5EB9">
      <w:pPr>
        <w:pStyle w:val="Heading2"/>
        <w:spacing w:after="0"/>
        <w:rPr>
          <w:rFonts w:cs="Arial"/>
        </w:rPr>
      </w:pPr>
      <w:bookmarkStart w:id="11" w:name="_GoBack"/>
      <w:bookmarkEnd w:id="11"/>
      <w:r>
        <w:rPr>
          <w:rFonts w:cs="Arial"/>
        </w:rPr>
        <w:t>General overview of the audit</w:t>
      </w:r>
    </w:p>
    <w:p w:rsidR="00E536CC" w:rsidRDefault="000E5EB9">
      <w:pPr>
        <w:spacing w:before="240" w:line="276" w:lineRule="auto"/>
        <w:rPr>
          <w:rFonts w:eastAsia="Calibri"/>
        </w:rPr>
      </w:pPr>
      <w:bookmarkStart w:id="12" w:name="GeneralOverview"/>
      <w:r w:rsidRPr="00A4268A">
        <w:rPr>
          <w:rFonts w:eastAsia="Calibri"/>
        </w:rPr>
        <w:t xml:space="preserve">Fraser Manor Rest Home provides rest home level care for up to 32 residents. Residents and families spoke positively about the care provided. </w:t>
      </w:r>
    </w:p>
    <w:p w:rsidR="005272BD" w:rsidRPr="00A4268A" w:rsidRDefault="000E5EB9">
      <w:pPr>
        <w:spacing w:before="240" w:line="276" w:lineRule="auto"/>
        <w:rPr>
          <w:rFonts w:eastAsia="Calibri"/>
        </w:rPr>
      </w:pPr>
      <w:r w:rsidRPr="00A4268A">
        <w:rPr>
          <w:rFonts w:eastAsia="Calibri"/>
        </w:rPr>
        <w:t xml:space="preserve">Ownership of Fraser Manor Rest Home will change in mid-June 2018. The current and new owners were in attendance during the audit. The newly appointed facility manager is one of the new owners. </w:t>
      </w:r>
    </w:p>
    <w:p w:rsidR="005272BD" w:rsidRPr="00A4268A" w:rsidRDefault="000E5EB9">
      <w:pPr>
        <w:spacing w:before="240" w:line="276" w:lineRule="auto"/>
        <w:rPr>
          <w:rFonts w:eastAsia="Calibri"/>
        </w:rPr>
      </w:pPr>
      <w:r w:rsidRPr="00A4268A">
        <w:rPr>
          <w:rFonts w:eastAsia="Calibri"/>
        </w:rPr>
        <w:t xml:space="preserve">This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005272BD" w:rsidRPr="00A4268A" w:rsidRDefault="000E5EB9">
      <w:pPr>
        <w:spacing w:before="240" w:line="276" w:lineRule="auto"/>
        <w:rPr>
          <w:rFonts w:eastAsia="Calibri"/>
        </w:rPr>
      </w:pPr>
      <w:r w:rsidRPr="00A4268A">
        <w:rPr>
          <w:rFonts w:eastAsia="Calibri"/>
        </w:rPr>
        <w:t xml:space="preserve">This audit has identified one area requiring improvement relating to policy management. </w:t>
      </w:r>
    </w:p>
    <w:bookmarkEnd w:id="12"/>
    <w:p w:rsidR="005272BD" w:rsidRPr="00A4268A" w:rsidRDefault="005272BD">
      <w:pPr>
        <w:spacing w:before="240" w:line="276" w:lineRule="auto"/>
        <w:rPr>
          <w:rFonts w:eastAsia="Calibri"/>
        </w:rPr>
      </w:pPr>
    </w:p>
    <w:p w:rsidR="00460D43" w:rsidRDefault="000E5EB9" w:rsidP="000E6E02">
      <w:pPr>
        <w:pStyle w:val="Heading2"/>
        <w:spacing w:before="0"/>
        <w:rPr>
          <w:rFonts w:cs="Arial"/>
        </w:rPr>
      </w:pPr>
      <w:r>
        <w:rPr>
          <w:rFonts w:cs="Arial"/>
        </w:rPr>
        <w:lastRenderedPageBreak/>
        <w:t>Consumer rights</w:t>
      </w:r>
    </w:p>
    <w:p w:rsidR="00460D43" w:rsidRDefault="000E5EB9">
      <w:pPr>
        <w:spacing w:before="240" w:line="276" w:lineRule="auto"/>
        <w:rPr>
          <w:rFonts w:eastAsia="Calibri"/>
        </w:rPr>
      </w:pPr>
      <w:bookmarkStart w:id="13"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provided support personal privacy, independence, individuality and dignity. Staff interact with residents in a respectful manner. </w:t>
      </w:r>
    </w:p>
    <w:p w:rsidR="005272BD" w:rsidRPr="00A4268A" w:rsidRDefault="000E5EB9">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005272BD" w:rsidRPr="00A4268A" w:rsidRDefault="000E5EB9">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005272BD" w:rsidRPr="00A4268A" w:rsidRDefault="000E5EB9">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005272BD" w:rsidRPr="00A4268A" w:rsidRDefault="000E5EB9">
      <w:pPr>
        <w:spacing w:before="240" w:line="276" w:lineRule="auto"/>
        <w:rPr>
          <w:rFonts w:eastAsia="Calibri"/>
        </w:rPr>
      </w:pPr>
      <w:r w:rsidRPr="00A4268A">
        <w:rPr>
          <w:rFonts w:eastAsia="Calibri"/>
        </w:rPr>
        <w:t xml:space="preserve">A complaints register is maintained with complaints resolved promptly and effectively. </w:t>
      </w:r>
    </w:p>
    <w:bookmarkEnd w:id="13"/>
    <w:p w:rsidR="005272BD" w:rsidRPr="00A4268A" w:rsidRDefault="005272BD">
      <w:pPr>
        <w:spacing w:before="240" w:line="276" w:lineRule="auto"/>
        <w:rPr>
          <w:rFonts w:eastAsia="Calibri"/>
        </w:rPr>
      </w:pPr>
    </w:p>
    <w:p w:rsidR="00460D43" w:rsidRDefault="000E5EB9" w:rsidP="000E6E02">
      <w:pPr>
        <w:pStyle w:val="Heading2"/>
        <w:spacing w:before="0"/>
        <w:rPr>
          <w:rFonts w:cs="Arial"/>
        </w:rPr>
      </w:pPr>
      <w:r>
        <w:rPr>
          <w:rFonts w:cs="Arial"/>
        </w:rPr>
        <w:t>Organisational management</w:t>
      </w:r>
    </w:p>
    <w:p w:rsidR="00460D43" w:rsidRDefault="000E5EB9">
      <w:pPr>
        <w:spacing w:before="240" w:line="276" w:lineRule="auto"/>
        <w:rPr>
          <w:rFonts w:eastAsia="Calibri"/>
        </w:rPr>
      </w:pPr>
      <w:bookmarkStart w:id="14" w:name="OrganisationalManagement"/>
      <w:r w:rsidRPr="00A4268A">
        <w:rPr>
          <w:rFonts w:eastAsia="Calibri"/>
        </w:rPr>
        <w:t>Business and quality and risk management plans prepared by the new owners include the scope, direction, goals, values and mission statement of the organisation. A month long transition to the new owners has commenced. Monitoring of the services provided to the current owner is regular and effective and the new owner indicates they will be continuing this monitoring. An experienced and suitably qualified person manages the facility.</w:t>
      </w:r>
    </w:p>
    <w:p w:rsidR="005272BD" w:rsidRPr="00A4268A" w:rsidRDefault="000E5EB9">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w:t>
      </w:r>
    </w:p>
    <w:p w:rsidR="005272BD" w:rsidRPr="00A4268A" w:rsidRDefault="000E5EB9">
      <w:pPr>
        <w:spacing w:before="240" w:line="276" w:lineRule="auto"/>
        <w:rPr>
          <w:rFonts w:eastAsia="Calibri"/>
        </w:rPr>
      </w:pPr>
      <w:r w:rsidRPr="00A4268A">
        <w:rPr>
          <w:rFonts w:eastAsia="Calibri"/>
        </w:rPr>
        <w:lastRenderedPageBreak/>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needs of residents. </w:t>
      </w:r>
    </w:p>
    <w:p w:rsidR="005272BD" w:rsidRPr="00A4268A" w:rsidRDefault="000E5EB9">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4"/>
    <w:p w:rsidR="005272BD" w:rsidRPr="00A4268A" w:rsidRDefault="005272BD">
      <w:pPr>
        <w:spacing w:before="240" w:line="276" w:lineRule="auto"/>
        <w:rPr>
          <w:rFonts w:eastAsia="Calibri"/>
        </w:rPr>
      </w:pPr>
    </w:p>
    <w:p w:rsidR="00460D43" w:rsidRDefault="000E5EB9" w:rsidP="000E6E02">
      <w:pPr>
        <w:pStyle w:val="Heading2"/>
        <w:spacing w:before="0"/>
        <w:rPr>
          <w:rFonts w:cs="Arial"/>
        </w:rPr>
      </w:pPr>
      <w:r>
        <w:rPr>
          <w:rFonts w:cs="Arial"/>
        </w:rPr>
        <w:t>Continuum of service delivery</w:t>
      </w:r>
    </w:p>
    <w:p w:rsidR="00E536CC" w:rsidRPr="005E14A4" w:rsidRDefault="000E5EB9" w:rsidP="00621629">
      <w:pPr>
        <w:spacing w:before="240" w:line="276" w:lineRule="auto"/>
        <w:rPr>
          <w:rFonts w:eastAsia="Calibri"/>
        </w:rPr>
      </w:pPr>
      <w:bookmarkStart w:id="15" w:name="ContinuumOfServiceDelivery"/>
      <w:r w:rsidRPr="00A4268A">
        <w:rPr>
          <w:rFonts w:eastAsia="Calibri"/>
        </w:rPr>
        <w:t xml:space="preserve">Access to the facility is appropriate and efficiently managed with relevant information provided to the potential resident/family. </w:t>
      </w:r>
    </w:p>
    <w:p w:rsidR="005272BD" w:rsidRPr="00A4268A" w:rsidRDefault="000E5EB9"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005272BD" w:rsidRPr="00A4268A" w:rsidRDefault="000E5EB9"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005272BD" w:rsidRPr="00A4268A" w:rsidRDefault="000E5EB9" w:rsidP="00621629">
      <w:pPr>
        <w:spacing w:before="240" w:line="276" w:lineRule="auto"/>
        <w:rPr>
          <w:rFonts w:eastAsia="Calibri"/>
        </w:rPr>
      </w:pPr>
      <w:r w:rsidRPr="00A4268A">
        <w:rPr>
          <w:rFonts w:eastAsia="Calibri"/>
        </w:rPr>
        <w:t>Medicines are safely managed and administered by staff who are competent to do so.</w:t>
      </w:r>
    </w:p>
    <w:p w:rsidR="005272BD" w:rsidRPr="00A4268A" w:rsidRDefault="000E5EB9"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15"/>
    <w:p w:rsidR="005272BD" w:rsidRPr="00A4268A" w:rsidRDefault="005272BD" w:rsidP="00621629">
      <w:pPr>
        <w:spacing w:before="240" w:line="276" w:lineRule="auto"/>
        <w:rPr>
          <w:rFonts w:eastAsia="Calibri"/>
        </w:rPr>
      </w:pPr>
    </w:p>
    <w:p w:rsidR="00460D43" w:rsidRDefault="000E5EB9" w:rsidP="000E6E02">
      <w:pPr>
        <w:pStyle w:val="Heading2"/>
        <w:spacing w:before="0"/>
        <w:rPr>
          <w:rFonts w:cs="Arial"/>
        </w:rPr>
      </w:pPr>
      <w:r>
        <w:rPr>
          <w:rFonts w:cs="Arial"/>
        </w:rPr>
        <w:t>Safe and appropriate environment</w:t>
      </w:r>
    </w:p>
    <w:p w:rsidR="00460D43" w:rsidRDefault="000E5EB9">
      <w:pPr>
        <w:spacing w:before="240" w:line="276" w:lineRule="auto"/>
        <w:rPr>
          <w:rFonts w:eastAsia="Calibri"/>
        </w:rPr>
      </w:pPr>
      <w:bookmarkStart w:id="16"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005272BD" w:rsidRPr="00A4268A" w:rsidRDefault="000E5EB9">
      <w:pPr>
        <w:spacing w:before="240" w:line="276" w:lineRule="auto"/>
        <w:rPr>
          <w:rFonts w:eastAsia="Calibri"/>
        </w:rPr>
      </w:pPr>
      <w:r w:rsidRPr="00A4268A">
        <w:rPr>
          <w:rFonts w:eastAsia="Calibri"/>
        </w:rPr>
        <w:lastRenderedPageBreak/>
        <w:t>Waste and hazardous substances are well managed. Staff use protective equipment and clothing. Chemicals, soiled linen and equipment are safely stored. Laundry is undertaken onsite and evaluated for effectiveness.</w:t>
      </w:r>
    </w:p>
    <w:p w:rsidR="005272BD" w:rsidRPr="00A4268A" w:rsidRDefault="000E5EB9">
      <w:pPr>
        <w:spacing w:before="240" w:line="276" w:lineRule="auto"/>
        <w:rPr>
          <w:rFonts w:eastAsia="Calibri"/>
        </w:rPr>
      </w:pPr>
      <w:r w:rsidRPr="00A4268A">
        <w:rPr>
          <w:rFonts w:eastAsia="Calibri"/>
        </w:rPr>
        <w:t>Staff are trained in emergency procedures, use of emergency equipment and attend regular fire drills.  Fire evacuation procedures are regularly practised.  Residents reported a timely staff response to call bells.  Security is maintained.</w:t>
      </w:r>
    </w:p>
    <w:bookmarkEnd w:id="16"/>
    <w:p w:rsidR="005272BD" w:rsidRPr="00A4268A" w:rsidRDefault="005272BD">
      <w:pPr>
        <w:spacing w:before="240" w:line="276" w:lineRule="auto"/>
        <w:rPr>
          <w:rFonts w:eastAsia="Calibri"/>
        </w:rPr>
      </w:pPr>
    </w:p>
    <w:p w:rsidR="00460D43" w:rsidRDefault="000E5EB9" w:rsidP="000E6E02">
      <w:pPr>
        <w:pStyle w:val="Heading2"/>
        <w:spacing w:before="0"/>
        <w:rPr>
          <w:rFonts w:cs="Arial"/>
        </w:rPr>
      </w:pPr>
      <w:r>
        <w:rPr>
          <w:rFonts w:cs="Arial"/>
        </w:rPr>
        <w:t>Restraint minimisation and safe practice</w:t>
      </w:r>
    </w:p>
    <w:p w:rsidR="00460D43" w:rsidRDefault="000E5EB9">
      <w:pPr>
        <w:spacing w:before="240" w:line="276" w:lineRule="auto"/>
        <w:rPr>
          <w:rFonts w:eastAsia="Calibri"/>
        </w:rPr>
      </w:pPr>
      <w:bookmarkStart w:id="17" w:name="RestraintMinimisationAndSafePractice"/>
      <w:r w:rsidRPr="00A4268A">
        <w:rPr>
          <w:rFonts w:eastAsia="Calibri"/>
        </w:rPr>
        <w:t>The organisation has implemented policies and procedures that support the minimisation of restraint.  One restraint is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bookmarkEnd w:id="17"/>
    <w:p w:rsidR="005272BD" w:rsidRPr="00A4268A" w:rsidRDefault="005272BD">
      <w:pPr>
        <w:spacing w:before="240" w:line="276" w:lineRule="auto"/>
        <w:rPr>
          <w:rFonts w:eastAsia="Calibri"/>
        </w:rPr>
      </w:pPr>
    </w:p>
    <w:p w:rsidR="00460D43" w:rsidRDefault="000E5EB9" w:rsidP="000E6E02">
      <w:pPr>
        <w:pStyle w:val="Heading2"/>
        <w:spacing w:before="0"/>
        <w:rPr>
          <w:rFonts w:cs="Arial"/>
        </w:rPr>
      </w:pPr>
      <w:r>
        <w:rPr>
          <w:rFonts w:cs="Arial"/>
        </w:rPr>
        <w:t>Infection prevention and control</w:t>
      </w:r>
    </w:p>
    <w:p w:rsidR="00460D43" w:rsidRDefault="000E5EB9">
      <w:pPr>
        <w:spacing w:before="240" w:line="276" w:lineRule="auto"/>
        <w:rPr>
          <w:rFonts w:eastAsia="Calibri"/>
        </w:rPr>
      </w:pPr>
      <w:bookmarkStart w:id="18"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005272BD" w:rsidRPr="00A4268A" w:rsidRDefault="000E5EB9">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5272BD" w:rsidRPr="00A4268A" w:rsidRDefault="000E5EB9">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bookmarkEnd w:id="18"/>
    <w:p w:rsidR="005272BD" w:rsidRPr="00A4268A" w:rsidRDefault="005272BD">
      <w:pPr>
        <w:spacing w:before="240" w:line="276" w:lineRule="auto"/>
        <w:rPr>
          <w:rFonts w:eastAsia="Calibri"/>
        </w:rPr>
      </w:pPr>
    </w:p>
    <w:p w:rsidR="00460D43" w:rsidRDefault="000E5EB9" w:rsidP="000E6E02">
      <w:pPr>
        <w:pStyle w:val="Heading2"/>
        <w:spacing w:before="0"/>
        <w:rPr>
          <w:rFonts w:cs="Arial"/>
        </w:rPr>
      </w:pPr>
      <w:r>
        <w:rPr>
          <w:rFonts w:cs="Arial"/>
        </w:rPr>
        <w:lastRenderedPageBreak/>
        <w:t>Summary of attainment</w:t>
      </w:r>
    </w:p>
    <w:p w:rsidR="00460D43" w:rsidRDefault="000E5EB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272BD">
        <w:tc>
          <w:tcPr>
            <w:tcW w:w="1384" w:type="dxa"/>
            <w:vAlign w:val="center"/>
          </w:tcPr>
          <w:p w:rsidR="00460D43" w:rsidRDefault="000E5EB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E5EB9">
            <w:pPr>
              <w:keepNext/>
              <w:spacing w:before="60" w:after="60"/>
              <w:jc w:val="center"/>
              <w:rPr>
                <w:rFonts w:cs="Arial"/>
                <w:b/>
                <w:sz w:val="20"/>
                <w:szCs w:val="20"/>
              </w:rPr>
            </w:pPr>
            <w:r>
              <w:rPr>
                <w:rFonts w:cs="Arial"/>
                <w:b/>
                <w:sz w:val="20"/>
                <w:szCs w:val="20"/>
              </w:rPr>
              <w:t>Continuous Improvement</w:t>
            </w:r>
          </w:p>
          <w:p w:rsidR="00460D43" w:rsidRDefault="000E5EB9">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0E5EB9">
            <w:pPr>
              <w:keepNext/>
              <w:spacing w:before="60" w:after="60"/>
              <w:jc w:val="center"/>
              <w:rPr>
                <w:rFonts w:cs="Arial"/>
                <w:b/>
                <w:sz w:val="20"/>
                <w:szCs w:val="20"/>
              </w:rPr>
            </w:pPr>
            <w:r>
              <w:rPr>
                <w:rFonts w:cs="Arial"/>
                <w:b/>
                <w:sz w:val="20"/>
                <w:szCs w:val="20"/>
              </w:rPr>
              <w:t>Fully Attained</w:t>
            </w:r>
          </w:p>
          <w:p w:rsidR="00460D43" w:rsidRDefault="000E5EB9">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0E5EB9">
            <w:pPr>
              <w:keepNext/>
              <w:spacing w:before="60" w:after="60"/>
              <w:jc w:val="center"/>
              <w:rPr>
                <w:rFonts w:cs="Arial"/>
                <w:b/>
                <w:sz w:val="20"/>
                <w:szCs w:val="20"/>
              </w:rPr>
            </w:pPr>
            <w:r>
              <w:rPr>
                <w:rFonts w:cs="Arial"/>
                <w:b/>
                <w:sz w:val="20"/>
                <w:szCs w:val="20"/>
              </w:rPr>
              <w:t>Partially Attained Negligible Risk</w:t>
            </w:r>
          </w:p>
          <w:p w:rsidR="00460D43" w:rsidRDefault="000E5EB9">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0E5EB9">
            <w:pPr>
              <w:keepNext/>
              <w:spacing w:before="60" w:after="60"/>
              <w:jc w:val="center"/>
              <w:rPr>
                <w:rFonts w:cs="Arial"/>
                <w:b/>
                <w:sz w:val="20"/>
                <w:szCs w:val="20"/>
              </w:rPr>
            </w:pPr>
            <w:r>
              <w:rPr>
                <w:rFonts w:cs="Arial"/>
                <w:b/>
                <w:sz w:val="20"/>
                <w:szCs w:val="20"/>
              </w:rPr>
              <w:t>Partially Attained Low Risk</w:t>
            </w:r>
          </w:p>
          <w:p w:rsidR="00460D43" w:rsidRDefault="000E5EB9">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0E5EB9">
            <w:pPr>
              <w:keepNext/>
              <w:spacing w:before="60" w:after="60"/>
              <w:jc w:val="center"/>
              <w:rPr>
                <w:rFonts w:cs="Arial"/>
                <w:b/>
                <w:sz w:val="20"/>
                <w:szCs w:val="20"/>
              </w:rPr>
            </w:pPr>
            <w:r>
              <w:rPr>
                <w:rFonts w:cs="Arial"/>
                <w:b/>
                <w:sz w:val="20"/>
                <w:szCs w:val="20"/>
              </w:rPr>
              <w:t>Partially Attained Moderate Risk</w:t>
            </w:r>
          </w:p>
          <w:p w:rsidR="00460D43" w:rsidRDefault="000E5EB9">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0E5EB9">
            <w:pPr>
              <w:keepNext/>
              <w:spacing w:before="60" w:after="60"/>
              <w:jc w:val="center"/>
              <w:rPr>
                <w:rFonts w:cs="Arial"/>
                <w:b/>
                <w:sz w:val="20"/>
                <w:szCs w:val="20"/>
              </w:rPr>
            </w:pPr>
            <w:r>
              <w:rPr>
                <w:rFonts w:cs="Arial"/>
                <w:b/>
                <w:sz w:val="20"/>
                <w:szCs w:val="20"/>
              </w:rPr>
              <w:t>Partially Attained High Risk</w:t>
            </w:r>
          </w:p>
          <w:p w:rsidR="00460D43" w:rsidRDefault="000E5EB9">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0E5EB9">
            <w:pPr>
              <w:keepNext/>
              <w:spacing w:before="60" w:after="60"/>
              <w:jc w:val="center"/>
              <w:rPr>
                <w:rFonts w:cs="Arial"/>
                <w:b/>
                <w:sz w:val="20"/>
                <w:szCs w:val="20"/>
              </w:rPr>
            </w:pPr>
            <w:r>
              <w:rPr>
                <w:rFonts w:cs="Arial"/>
                <w:b/>
                <w:sz w:val="20"/>
                <w:szCs w:val="20"/>
              </w:rPr>
              <w:t>Partially Attained Critical Risk</w:t>
            </w:r>
          </w:p>
          <w:p w:rsidR="00460D43" w:rsidRDefault="000E5EB9">
            <w:pPr>
              <w:keepNext/>
              <w:spacing w:before="60" w:after="60"/>
              <w:jc w:val="center"/>
              <w:rPr>
                <w:rFonts w:cs="Arial"/>
                <w:b/>
                <w:sz w:val="20"/>
                <w:szCs w:val="20"/>
              </w:rPr>
            </w:pPr>
            <w:r>
              <w:rPr>
                <w:rFonts w:cs="Arial"/>
                <w:b/>
                <w:sz w:val="20"/>
                <w:szCs w:val="20"/>
              </w:rPr>
              <w:t>(PA Critical)</w:t>
            </w:r>
          </w:p>
        </w:tc>
      </w:tr>
      <w:tr w:rsidR="005272BD">
        <w:tc>
          <w:tcPr>
            <w:tcW w:w="1384" w:type="dxa"/>
            <w:vAlign w:val="center"/>
          </w:tcPr>
          <w:p w:rsidR="00460D43" w:rsidRDefault="000E5EB9">
            <w:pPr>
              <w:keepNext/>
              <w:spacing w:before="60" w:after="60"/>
              <w:rPr>
                <w:rFonts w:cs="Arial"/>
                <w:b/>
                <w:sz w:val="20"/>
                <w:szCs w:val="20"/>
              </w:rPr>
            </w:pPr>
            <w:r>
              <w:rPr>
                <w:rFonts w:cs="Arial"/>
                <w:b/>
                <w:sz w:val="20"/>
                <w:szCs w:val="20"/>
              </w:rPr>
              <w:t>Standards</w:t>
            </w:r>
          </w:p>
        </w:tc>
        <w:tc>
          <w:tcPr>
            <w:tcW w:w="1701" w:type="dxa"/>
            <w:vAlign w:val="center"/>
          </w:tcPr>
          <w:p w:rsidR="00460D43" w:rsidRDefault="000E5EB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0E5EB9" w:rsidP="00A4268A">
            <w:pPr>
              <w:spacing w:before="60" w:after="60"/>
              <w:jc w:val="center"/>
              <w:rPr>
                <w:rFonts w:cs="Arial"/>
                <w:sz w:val="20"/>
                <w:szCs w:val="20"/>
                <w:lang w:eastAsia="en-NZ"/>
              </w:rPr>
            </w:pPr>
            <w:bookmarkStart w:id="20" w:name="TotalStdFA"/>
            <w:r>
              <w:rPr>
                <w:rFonts w:cs="Arial"/>
                <w:sz w:val="20"/>
                <w:szCs w:val="20"/>
                <w:lang w:eastAsia="en-NZ"/>
              </w:rPr>
              <w:t>49</w:t>
            </w:r>
            <w:bookmarkEnd w:id="20"/>
          </w:p>
        </w:tc>
        <w:tc>
          <w:tcPr>
            <w:tcW w:w="1843" w:type="dxa"/>
            <w:vAlign w:val="center"/>
          </w:tcPr>
          <w:p w:rsidR="00460D43" w:rsidRDefault="000E5EB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0E5EB9"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0E5EB9"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0E5EB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0E5EB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272BD">
        <w:tc>
          <w:tcPr>
            <w:tcW w:w="1384" w:type="dxa"/>
            <w:vAlign w:val="center"/>
          </w:tcPr>
          <w:p w:rsidR="00460D43" w:rsidRDefault="000E5EB9">
            <w:pPr>
              <w:keepNext/>
              <w:spacing w:before="60" w:after="60"/>
              <w:rPr>
                <w:rFonts w:cs="Arial"/>
                <w:b/>
                <w:sz w:val="20"/>
                <w:szCs w:val="20"/>
              </w:rPr>
            </w:pPr>
            <w:r>
              <w:rPr>
                <w:rFonts w:cs="Arial"/>
                <w:b/>
                <w:sz w:val="20"/>
                <w:szCs w:val="20"/>
              </w:rPr>
              <w:t>Criteria</w:t>
            </w:r>
          </w:p>
        </w:tc>
        <w:tc>
          <w:tcPr>
            <w:tcW w:w="1701" w:type="dxa"/>
            <w:vAlign w:val="center"/>
          </w:tcPr>
          <w:p w:rsidR="00460D43" w:rsidRDefault="000E5EB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0E5EB9" w:rsidP="00A4268A">
            <w:pPr>
              <w:spacing w:before="60" w:after="60"/>
              <w:jc w:val="center"/>
              <w:rPr>
                <w:rFonts w:cs="Arial"/>
                <w:sz w:val="20"/>
                <w:szCs w:val="20"/>
                <w:lang w:eastAsia="en-NZ"/>
              </w:rPr>
            </w:pPr>
            <w:bookmarkStart w:id="27" w:name="TotalCritFA"/>
            <w:r>
              <w:rPr>
                <w:rFonts w:cs="Arial"/>
                <w:sz w:val="20"/>
                <w:szCs w:val="20"/>
                <w:lang w:eastAsia="en-NZ"/>
              </w:rPr>
              <w:t>100</w:t>
            </w:r>
            <w:bookmarkEnd w:id="27"/>
          </w:p>
        </w:tc>
        <w:tc>
          <w:tcPr>
            <w:tcW w:w="1843" w:type="dxa"/>
            <w:vAlign w:val="center"/>
          </w:tcPr>
          <w:p w:rsidR="00460D43" w:rsidRDefault="000E5EB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0E5EB9"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0E5EB9"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0E5EB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0E5EB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0B435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272BD">
        <w:tc>
          <w:tcPr>
            <w:tcW w:w="1384" w:type="dxa"/>
            <w:vAlign w:val="center"/>
          </w:tcPr>
          <w:p w:rsidR="00460D43" w:rsidRDefault="000E5EB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E5EB9">
            <w:pPr>
              <w:keepNext/>
              <w:spacing w:before="60" w:after="60"/>
              <w:jc w:val="center"/>
              <w:rPr>
                <w:rFonts w:cs="Arial"/>
                <w:b/>
                <w:sz w:val="20"/>
                <w:szCs w:val="20"/>
              </w:rPr>
            </w:pPr>
            <w:r>
              <w:rPr>
                <w:rFonts w:cs="Arial"/>
                <w:b/>
                <w:sz w:val="20"/>
                <w:szCs w:val="20"/>
              </w:rPr>
              <w:t>Unattained Negligible Risk</w:t>
            </w:r>
          </w:p>
          <w:p w:rsidR="00460D43" w:rsidRDefault="000E5EB9">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0E5EB9">
            <w:pPr>
              <w:keepNext/>
              <w:spacing w:before="60" w:after="60"/>
              <w:jc w:val="center"/>
              <w:rPr>
                <w:rFonts w:cs="Arial"/>
                <w:b/>
                <w:sz w:val="20"/>
                <w:szCs w:val="20"/>
              </w:rPr>
            </w:pPr>
            <w:r>
              <w:rPr>
                <w:rFonts w:cs="Arial"/>
                <w:b/>
                <w:sz w:val="20"/>
                <w:szCs w:val="20"/>
              </w:rPr>
              <w:t>Unattained Low Risk</w:t>
            </w:r>
          </w:p>
          <w:p w:rsidR="00460D43" w:rsidRDefault="000E5EB9">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0E5EB9">
            <w:pPr>
              <w:keepNext/>
              <w:spacing w:before="60" w:after="60"/>
              <w:jc w:val="center"/>
              <w:rPr>
                <w:rFonts w:cs="Arial"/>
                <w:b/>
                <w:sz w:val="20"/>
                <w:szCs w:val="20"/>
              </w:rPr>
            </w:pPr>
            <w:r>
              <w:rPr>
                <w:rFonts w:cs="Arial"/>
                <w:b/>
                <w:sz w:val="20"/>
                <w:szCs w:val="20"/>
              </w:rPr>
              <w:t>Unattained Moderate Risk</w:t>
            </w:r>
          </w:p>
          <w:p w:rsidR="00460D43" w:rsidRDefault="000E5EB9">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0E5EB9">
            <w:pPr>
              <w:keepNext/>
              <w:spacing w:before="60" w:after="60"/>
              <w:jc w:val="center"/>
              <w:rPr>
                <w:rFonts w:cs="Arial"/>
                <w:b/>
                <w:sz w:val="20"/>
                <w:szCs w:val="20"/>
              </w:rPr>
            </w:pPr>
            <w:r>
              <w:rPr>
                <w:rFonts w:cs="Arial"/>
                <w:b/>
                <w:sz w:val="20"/>
                <w:szCs w:val="20"/>
              </w:rPr>
              <w:t>Unattained High Risk</w:t>
            </w:r>
          </w:p>
          <w:p w:rsidR="00460D43" w:rsidRDefault="000E5EB9">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0E5EB9">
            <w:pPr>
              <w:keepNext/>
              <w:spacing w:before="60" w:after="60"/>
              <w:jc w:val="center"/>
              <w:rPr>
                <w:rFonts w:cs="Arial"/>
                <w:b/>
                <w:sz w:val="20"/>
                <w:szCs w:val="20"/>
              </w:rPr>
            </w:pPr>
            <w:r>
              <w:rPr>
                <w:rFonts w:cs="Arial"/>
                <w:b/>
                <w:sz w:val="20"/>
                <w:szCs w:val="20"/>
              </w:rPr>
              <w:t>Unattained Critical Risk</w:t>
            </w:r>
          </w:p>
          <w:p w:rsidR="00460D43" w:rsidRDefault="000E5EB9">
            <w:pPr>
              <w:keepNext/>
              <w:spacing w:before="60" w:after="60"/>
              <w:jc w:val="center"/>
              <w:rPr>
                <w:rFonts w:cs="Arial"/>
                <w:b/>
                <w:sz w:val="20"/>
                <w:szCs w:val="20"/>
              </w:rPr>
            </w:pPr>
            <w:r>
              <w:rPr>
                <w:rFonts w:cs="Arial"/>
                <w:b/>
                <w:sz w:val="20"/>
                <w:szCs w:val="20"/>
              </w:rPr>
              <w:t>(UA Critical)</w:t>
            </w:r>
          </w:p>
        </w:tc>
      </w:tr>
      <w:tr w:rsidR="005272BD">
        <w:tc>
          <w:tcPr>
            <w:tcW w:w="1384" w:type="dxa"/>
            <w:vAlign w:val="center"/>
          </w:tcPr>
          <w:p w:rsidR="00460D43" w:rsidRDefault="000E5EB9">
            <w:pPr>
              <w:keepNext/>
              <w:spacing w:before="60" w:after="60"/>
              <w:rPr>
                <w:rFonts w:cs="Arial"/>
                <w:b/>
                <w:sz w:val="20"/>
                <w:szCs w:val="20"/>
              </w:rPr>
            </w:pPr>
            <w:r>
              <w:rPr>
                <w:rFonts w:cs="Arial"/>
                <w:b/>
                <w:sz w:val="20"/>
                <w:szCs w:val="20"/>
              </w:rPr>
              <w:t>Standards</w:t>
            </w:r>
          </w:p>
        </w:tc>
        <w:tc>
          <w:tcPr>
            <w:tcW w:w="1701" w:type="dxa"/>
            <w:vAlign w:val="center"/>
          </w:tcPr>
          <w:p w:rsidR="00460D43" w:rsidRDefault="000E5EB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0E5EB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0E5EB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0E5EB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0E5EB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272BD">
        <w:tc>
          <w:tcPr>
            <w:tcW w:w="1384" w:type="dxa"/>
            <w:vAlign w:val="center"/>
          </w:tcPr>
          <w:p w:rsidR="00460D43" w:rsidRDefault="000E5EB9">
            <w:pPr>
              <w:spacing w:before="60" w:after="60"/>
              <w:rPr>
                <w:rFonts w:cs="Arial"/>
                <w:b/>
                <w:sz w:val="20"/>
                <w:szCs w:val="20"/>
              </w:rPr>
            </w:pPr>
            <w:r>
              <w:rPr>
                <w:rFonts w:cs="Arial"/>
                <w:b/>
                <w:sz w:val="20"/>
                <w:szCs w:val="20"/>
              </w:rPr>
              <w:t>Criteria</w:t>
            </w:r>
          </w:p>
        </w:tc>
        <w:tc>
          <w:tcPr>
            <w:tcW w:w="1701" w:type="dxa"/>
            <w:vAlign w:val="center"/>
          </w:tcPr>
          <w:p w:rsidR="00460D43" w:rsidRDefault="000E5EB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0E5EB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0E5EB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0E5EB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0E5EB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0E5EB9">
      <w:pPr>
        <w:pStyle w:val="Heading1"/>
        <w:rPr>
          <w:rFonts w:cs="Arial"/>
        </w:rPr>
      </w:pPr>
      <w:r>
        <w:rPr>
          <w:rFonts w:cs="Arial"/>
        </w:rPr>
        <w:lastRenderedPageBreak/>
        <w:t>Attainment against the Health and Disability Services Standards</w:t>
      </w:r>
    </w:p>
    <w:p w:rsidR="00460D43" w:rsidRDefault="000E5EB9">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0E5EB9">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0E5EB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0E5EB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0E5EB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E5EB9" w:rsidP="00BE00C7">
            <w:pPr>
              <w:pStyle w:val="OutcomeDescription"/>
              <w:spacing w:before="120" w:after="120"/>
              <w:rPr>
                <w:rFonts w:cs="Arial"/>
                <w:b/>
                <w:lang w:eastAsia="en-NZ"/>
              </w:rPr>
            </w:pPr>
            <w:r w:rsidRPr="00BE00C7">
              <w:rPr>
                <w:rFonts w:cs="Arial"/>
                <w:b/>
                <w:lang w:eastAsia="en-NZ"/>
              </w:rPr>
              <w:t>Audit Evidence</w:t>
            </w: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0E5EB9"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0E5EB9"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and include advance care planning, establishing and documenting enduring power of attorney requirements and processes for residents unable to consent.  Nineteen of 29 residents have an advance directive.  Clinical files reviewed showed that informed consent has been gained appropriately using the organisation’s standard consent form and this was evident in six of six </w:t>
            </w:r>
            <w:r w:rsidRPr="00BE00C7">
              <w:rPr>
                <w:rFonts w:cs="Arial"/>
                <w:lang w:eastAsia="en-NZ"/>
              </w:rPr>
              <w:lastRenderedPageBreak/>
              <w:t xml:space="preserve">residents’ files reviewed.  Where a resident is deemed incompetent to make an informed choice the enduring power of attorney (EPOA) will consent on behalf of the resident.  Staff were observed to gain consent for day to day care.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0E5EB9"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visits, activities, and entertainment for example the attending of a concert once a month at the senior citizens hall and men’s day out.  The activity co-ordinator interviewed reported that four residents with the support of the community are independent in attending regular community events, such as church and support groups/meetings.   There are 13 residents that also attend the 65 plus club in the community which is a club where residents from different facilities gather once a month for the day.</w:t>
            </w:r>
          </w:p>
          <w:p w:rsidR="00EB7645" w:rsidRPr="00BE00C7" w:rsidRDefault="000E5EB9" w:rsidP="00BE00C7">
            <w:pPr>
              <w:pStyle w:val="OutcomeDescription"/>
              <w:spacing w:before="120" w:after="120"/>
              <w:rPr>
                <w:rFonts w:cs="Arial"/>
                <w:lang w:eastAsia="en-NZ"/>
              </w:rPr>
            </w:pPr>
            <w:r w:rsidRPr="00BE00C7">
              <w:rPr>
                <w:rFonts w:cs="Arial"/>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Information on the complaint process is provided to residents and families on admission and those interviewed knew how to use the system.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complaints register reviewed showed that two complaints have been received over the past year and that actions taken, through to an </w:t>
            </w:r>
            <w:r w:rsidRPr="00BE00C7">
              <w:rPr>
                <w:rFonts w:cs="Arial"/>
                <w:lang w:eastAsia="en-NZ"/>
              </w:rPr>
              <w:lastRenderedPageBreak/>
              <w:t>agreed resolution, are documented and completed within the timeframes.  The facility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0E5EB9"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Residents interviewed reported being made aware of the Code and the Nationwide Health and Disability Advocacy Service (Advocacy Service) as part of the admission information provided, discussion with staff. The Code is displayed in the main dining room area, together with information on advocacy services at reception and how to make a complaint and feedback forms.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prospective provider is experienced in health management.  Existing clinical staff are transitioning to the new provider following the sale and they have a good understanding of the requirements of the Code as part of their existing roles.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0E5EB9"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Residents are encouraged to maintain their independence by attending community activities and participation in clubs of their choosing.  Five of 30 residents arrange to see their own GP in the community.  There are several lounge like areas and small alcoves throughout the facility where residents can meet with their visitors in areas other than their bedrooms.   Care plans included documentation related to the resident’s abilities, and strategies to maximise independence.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w:t>
            </w:r>
          </w:p>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Staff understood the service’s policy on abuse and neglect, including what to do should there be any signs. Education on abuse and neglect was confirmed to occur during orientation and annually.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0E5EB9"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acknowledging the four cornerstones of Maori Health which include Whanau (family health), Tinana (physical health), Hinengaro (mental health) and Wairua (spiritual health).  Also acknowledged is Whatumanawa (or the emotional health) of the resident.   There are two residents who affiliate with their Maori culture and evidence of staff acknowledging and respecting the resident’s individual cultural needs was integrated throughout the resident’s care planning and activities.   Guidance on tikanga best practice is available as required.  The families were unable to be interviewed at the time of audit, however evidence of regular communication was sighted in the residents’ files.  The two residents interviewed reported that they felt supported in their beliefs and very happy with the care provided.</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Residents verified that they were consulted on their individual culture, values and beliefs and that staff respected these. Resident’s personal preferences, required interventions and special needs were included in care plans reviewed, such as special foods and choice of activities. The resident satisfaction survey in September 2017 confirmed that individual needs are being met.</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0E5EB9"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w:t>
            </w:r>
            <w:r w:rsidRPr="00BE00C7">
              <w:rPr>
                <w:rFonts w:cs="Arial"/>
                <w:lang w:eastAsia="en-NZ"/>
              </w:rPr>
              <w:lastRenderedPageBreak/>
              <w:t>procedures and demonstrated a clear understanding of the process they would follow, should they suspect any form of exploitation.</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0E5EB9"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service encourages and promotes good practice through input from external specialist services and allied health professionals, for example, wound care specialist, psychogeriatrician, mental health services for older persons, and education of staff.  The general practitioner/house doctor (GP) confirmed the service sought prompt and appropriate medical intervention when required and were responsive to medical requests. </w:t>
            </w:r>
          </w:p>
          <w:p w:rsidR="00EB7645" w:rsidRPr="00BE00C7" w:rsidRDefault="000E5EB9" w:rsidP="00BE00C7">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w:t>
            </w:r>
          </w:p>
          <w:p w:rsidR="00EB7645" w:rsidRPr="00BE00C7" w:rsidRDefault="000E5EB9" w:rsidP="00BE00C7">
            <w:pPr>
              <w:pStyle w:val="OutcomeDescription"/>
              <w:spacing w:before="120" w:after="120"/>
              <w:rPr>
                <w:rFonts w:cs="Arial"/>
                <w:lang w:eastAsia="en-NZ"/>
              </w:rPr>
            </w:pPr>
            <w:r w:rsidRPr="00BE00C7">
              <w:rPr>
                <w:rFonts w:cs="Arial"/>
                <w:lang w:eastAsia="en-NZ"/>
              </w:rPr>
              <w:t>Other examples of good practice noticed were the staff knocking on residents’ doors before entering and the observation of staff encouraging and supporting residents to make day to day decisions.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0E5EB9"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Staff knew how to access interpreter services, although reported this was rarely required due to all current residents able to speak English.  Staff support a resident who is profoundly deaf and another resident who is profoundly deaf and blind with the use of white boards to support communication along with clear verbal communication and cues.  The activities co-ordinator also visits each day and reads the daily mail and news-paper to the resident.  The two residents interviewed reported that they were happy with the care that was provided, and despite having a sensory impairment, ‘felt part of the home’ and included in day to day </w:t>
            </w:r>
            <w:r w:rsidRPr="00BE00C7">
              <w:rPr>
                <w:rFonts w:cs="Arial"/>
                <w:lang w:eastAsia="en-NZ"/>
              </w:rPr>
              <w:lastRenderedPageBreak/>
              <w:t xml:space="preserve">activities.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0E5EB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The new owner’s strategic and business plan outlines the purpose, values, scope, direction and goals of the organisation. The document describes annual and longer term objectives and the associated operational plans. A sample of reports to the new owners show adequate information to monitor performance is reported including any emerging risks and issues.</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service is managed by a facility manager who has relevant experience and has been in the role for one month, she will be continuing in the role for the new owners.. Responsibilities and accountabilities are defined in a job description and individual employment agreement.  The facility manager confirmed knowledge of the sector, regulatory and reporting requirements.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service holds contracts with the DHB for Rest Home Care (level 2). Thirty residents were receiving services under the contract at the time of audit. At interview the new owner demonstrated knowledge of the ARRC agreement and is seeking an appointment with the DHB contract manager to discuss a current boarder at the Rest home.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The recently appointed facility manager will be continuing in her role under the new owners. When the facility manager is absent, a relieving manager will be engaged to carry out all the required duties under delegated authority. During absences of key clinical staff, the clinical management is overseen by the senior registered nurse who is experienced in the sector and able to take responsibility for any clinical issues that may arise. Staff reported the current arrangements work well. No immediate staffing changes are planned by the new owner.</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continuous </w:t>
            </w:r>
            <w:r w:rsidRPr="00BE00C7">
              <w:rPr>
                <w:rFonts w:cs="Arial"/>
                <w:lang w:eastAsia="en-NZ"/>
              </w:rPr>
              <w:lastRenderedPageBreak/>
              <w:t>quality improvement principles.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regular patient feedback, and clinical incidents including infections. The new owner has </w:t>
            </w:r>
            <w:r w:rsidRPr="00BE00C7">
              <w:rPr>
                <w:rFonts w:cs="Arial"/>
                <w:lang w:eastAsia="en-NZ"/>
              </w:rPr>
              <w:lastRenderedPageBreak/>
              <w:t>reviewed the current quality and risk system and will continue implementation of those systems. Over time the quality and risk systems will be incorporated into the new strategic planning.</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Meeting minutes reviewed confirmed regular review and analysis of data and that related information is reported and discussed at the health and safety and staff meetings. Staff reported their involvement in quality and risk management activities through audit activities. Relevant corrective actions are developed and implemented to address any shortfalls. Resident and family feedback is sought quarterly. Most recent results show 95% were satisfied or very satisfied with the service. </w:t>
            </w:r>
          </w:p>
          <w:p w:rsidR="00EB7645" w:rsidRPr="00BE00C7" w:rsidRDefault="000E5EB9"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(LTCF) assessment tool and process.  Policies were current. The document control system ensures a systematic and regular review process, approval, distribution and removal of obsolete documents.  On review of policies it is noted that some do not make reference to relevant legislation or good practice. The new owner indicates policies will be reviewed over the next six months.</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facility manager described the processes for the identification, monitoring, review and reporting of risks and development of mitigation strategies. A review of the risk register shows all aspects of the business are included.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Staff document adverse and near miss events on an incident form. A sample of incident forms reviewed showed these were fully completed, incidents were investigated, action plans developed and actions followed-up in a timely manner.  Adverse event data is collated, analysed and reported by the facility manager and the owner.</w:t>
            </w:r>
          </w:p>
          <w:p w:rsidR="00EB7645" w:rsidRPr="00BE00C7" w:rsidRDefault="000E5EB9" w:rsidP="00BE00C7">
            <w:pPr>
              <w:pStyle w:val="OutcomeDescription"/>
              <w:spacing w:before="120" w:after="120"/>
              <w:rPr>
                <w:rFonts w:cs="Arial"/>
                <w:lang w:eastAsia="en-NZ"/>
              </w:rPr>
            </w:pPr>
            <w:r w:rsidRPr="00BE00C7">
              <w:rPr>
                <w:rFonts w:cs="Arial"/>
                <w:lang w:eastAsia="en-NZ"/>
              </w:rPr>
              <w:t>The new facility manager described essential notification reporting requirements, including for pressure injuries.  She advised there have been no notifications of significant events made to the Ministry of Health since the previous audit. The new owners have begun involvement in the incident management processes and will continue the current practices into the future.</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w:t>
            </w:r>
          </w:p>
          <w:p w:rsidR="00EB7645" w:rsidRPr="00BE00C7" w:rsidRDefault="000E5EB9"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0E5EB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There is a documented good employer policy that states minimum staffing level and skill mix each duty. The facility adjusts staffing levels to meet the changing needs of residents.  An afterhours on call roster is in place, with staff reporting that good access to registered nurse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There is 24 hour a day, seven day a week on call availability of a general practitioner. The GP undertakes one planned visit per week. The new owner understands the requirements around staff numbers as outlined in the Good Employer policy and intends to retain this policy and the same roster pattern. No immediate staff changes are planned except a job title change for the senior registered nurse to clinical manager.</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0E5EB9"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0E5EB9"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0E5EB9"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NASC (Support net) and the GP for residents accessing respite care.  </w:t>
            </w:r>
          </w:p>
          <w:p w:rsidR="00EB7645" w:rsidRPr="00BE00C7" w:rsidRDefault="000E5EB9"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including the acute setting, the resident and the family/whānau.  The facility will ring the acute setting prior to transfer.   At the time of </w:t>
            </w:r>
            <w:r w:rsidRPr="00BE00C7">
              <w:rPr>
                <w:rFonts w:cs="Arial"/>
                <w:lang w:eastAsia="en-NZ"/>
              </w:rPr>
              <w:lastRenderedPageBreak/>
              <w:t xml:space="preserve">transition between services, appropriate information is provided for the ongoing management of the resident.  All referrals are documented in the progress notes. An example reviewed of a patient recently transferred to the local acute care facility showed documentation with the use of the ‘yellow envelope’ and supporting documents.  The progress notes sighted showed that the family of the resident was kept well informed during the transfer of their relative.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0E5EB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were competent to perform the function they manage.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RDefault="000E5EB9"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0E5EB9"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The facility does not have standing orders.</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There are two residents who were self-administering medications at the time of audit.  One of the two residents is identified as a boarder and </w:t>
            </w:r>
            <w:r w:rsidRPr="00BE00C7">
              <w:rPr>
                <w:rFonts w:cs="Arial"/>
                <w:lang w:eastAsia="en-NZ"/>
              </w:rPr>
              <w:lastRenderedPageBreak/>
              <w:t xml:space="preserve">independent with medications including the organising and delivery of their medications to the facility.  The boarder has not had a self-medication competency and her medications were not securely stored.  By the end of audit, a secure box was made available.  The senior registered nurse interviewed reported that the boarder is fully competent to manage their own medications.  The second resident has been assessed six-monthly by the GP and is deemed competent to self-administer medications.   Medication in the resident’s room was sighted as secure. </w:t>
            </w:r>
          </w:p>
          <w:p w:rsidR="00EB7645" w:rsidRPr="00BE00C7" w:rsidRDefault="000E5EB9" w:rsidP="00BE00C7">
            <w:pPr>
              <w:pStyle w:val="OutcomeDescription"/>
              <w:spacing w:before="120" w:after="120"/>
              <w:rPr>
                <w:rFonts w:cs="Arial"/>
                <w:lang w:eastAsia="en-NZ"/>
              </w:rPr>
            </w:pPr>
            <w:r w:rsidRPr="00BE00C7">
              <w:rPr>
                <w:rFonts w:cs="Arial"/>
                <w:lang w:eastAsia="en-NZ"/>
              </w:rPr>
              <w:t>There is an implemented process for comprehensive analysis of any medication errors.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food service is provided on site by one of two cooks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The service operates with an approved food safety plan and registration issued by the Tauranga City Council and expires 16 March 2019. Food temperatures, including for high risk items, are monitored appropriately and recorded as part of the plan. The cook interviewed has been employed by the facility for three months and is booked to attend safe food handling training in May 2018, with kitchen assistants/care staff having completed relevant food handling training.                           </w:t>
            </w:r>
          </w:p>
          <w:p w:rsidR="00EB7645" w:rsidRPr="00BE00C7" w:rsidRDefault="000E5EB9"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0E5EB9"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Information is documented using validated nursing assessment tools such as falls risk, skin integrity, nutritional screening, as a means to identify any deficits and to inform care planning. The sample of care plans reviewed had an integrated range of resident-related information.  All residents (with the exception of the boarder) have current interRAI assessments completed by one of two trained interRAI assessors on site.  Residents and families confirmed their involvement in the assessment process.  There is currently one resident in the facility with a wound and evidence of a wound management plan was sighted with regular input from the GP.  The facility has sent a referral to the wound clinical nurse specialist.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0E5EB9"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0E5EB9"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house doctor (GP) interviewed, verified that medical input is sought in a timely manner, that medical orders are followed, and care is excellent. Care staff confirmed that care was provided as outlined in the documentation. A range of equipment and resources was available, suited to the level of care provided and in accordance with the residents’ needs.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0E5EB9"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activities programme is provided by one activity co-ordinator who supports residents Monday – Friday 9 am to 2 pm and supported by a volunteer once a week.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daily and as part of the formal six-monthly care plan review.  The activity co-ordinator each morning will check with staff that no changes have occurred over night and visits each resident to encourage participation in the planned activities for the day or spend one to one with residents who wish to stay in their rooms.  If a resident does not attend their normal activities and/or is noted to be spending more time in their room, the activities co-ordinator will notify the clinical nurse manager and document in the progress notes.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Activities reflect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interactive.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0E5EB9"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0E5EB9" w:rsidP="00BE00C7">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Although the service has a ‘house doctor/GP’, residents may choose to use another medical practitioner. If the need for other non-urgent services are indicated or requested, the GP or RN sends a referral to seek specialist input.  Copies of referrals were sighted in residents’ files, including to the wound clinical nurse specialist and mental health services for older people.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0E5EB9"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displayed where necessary. A register of all chemicals held on site was reviewed. Material safety data sheets were available where chemicals are stored and staff interviewed knew what to do should any chemical spill/event occur.  There is provision and availability of protective clothing and equipment and staff were observed using this.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0E5EB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A current building warrant of fitness (expiry date 28 June 2018) is publicly displayed.  </w:t>
            </w:r>
          </w:p>
          <w:p w:rsidR="00EB7645" w:rsidRPr="00BE00C7" w:rsidRDefault="000E5EB9"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is promoted.</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They included both grassed and paved areas. </w:t>
            </w:r>
          </w:p>
          <w:p w:rsidR="00EB7645" w:rsidRPr="00BE00C7" w:rsidRDefault="000E5EB9" w:rsidP="00BE00C7">
            <w:pPr>
              <w:pStyle w:val="OutcomeDescription"/>
              <w:spacing w:before="120" w:after="120"/>
              <w:rPr>
                <w:rFonts w:cs="Arial"/>
                <w:lang w:eastAsia="en-NZ"/>
              </w:rPr>
            </w:pPr>
            <w:r w:rsidRPr="00BE00C7">
              <w:rPr>
                <w:rFonts w:cs="Arial"/>
                <w:lang w:eastAsia="en-NZ"/>
              </w:rPr>
              <w:t>Residents confirmed they know the processes they should follow if any repairs or maintenance is required, any requests are appropriately actioned and that they are happy with the environment.</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new owner confirms they have no immediate plans for change of the facility or the campus. Scheduled maintenance will continue..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0E5EB9"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This includes 17 toilets and 13 shower rooms for the 30 residents. Appropriately secured and approved handrails are provided in the toilet/shower areas, and other equipment/accessories are available to promote resident independence.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All bedrooms provide single accommodation. Two bedrooms are licenced for double occupation but are only used for one resident. Rooms are personalised with furnishings, photos and other personal items displayed. </w:t>
            </w:r>
          </w:p>
          <w:p w:rsidR="00EB7645" w:rsidRPr="00BE00C7" w:rsidRDefault="000E5EB9" w:rsidP="00BE00C7">
            <w:pPr>
              <w:pStyle w:val="OutcomeDescription"/>
              <w:spacing w:before="120" w:after="120"/>
              <w:rPr>
                <w:rFonts w:cs="Arial"/>
                <w:lang w:eastAsia="en-NZ"/>
              </w:rPr>
            </w:pPr>
            <w:r w:rsidRPr="00BE00C7">
              <w:rPr>
                <w:rFonts w:cs="Arial"/>
                <w:lang w:eastAsia="en-NZ"/>
              </w:rPr>
              <w:t>There is room to store mobility aids, wheel chairs and mobility scooters. Staff and residents reported the adequacy of bedrooms.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0E5EB9"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three lounge areas are spacious and enable easy access for residents and staff.  Residents can access areas for privacy, if required.  Furniture is appropriate to the setting and residents’ needs.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0E5EB9"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Laundry is undertaken on site in a dedicated laundry. Care staff demonstrated a sound knowledge of the laundry processes, dirty/clean flow and handling of soiled linen. Residents interviewed reported the laundry is managed well and their clothes are returned in a timely manner. There are dedicated cleaning staff. The facility was clean and all cleaning equipment and products are stored in a locked room.</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0E5EB9"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documented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A trial evacuation takes place six-monthly with a copy sent to the New Zealand Fire Service, the most recent being in November 2017. The orientation programme includes fire and security training.  Staff confirmed their awareness of the emergency procedures.</w:t>
            </w:r>
          </w:p>
          <w:p w:rsidR="00EB7645" w:rsidRPr="00BE00C7" w:rsidRDefault="000E5EB9"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requirements for the 30 residents. Water is stored in large containers and there are torches and lanterns in case of power loss. Emergency lighting is regularly tested.</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Call bells alert staff to residents requiring assistance.  Each bedroom and communal area has a call bell. Residents and family reported staff respond promptly to call bells. </w:t>
            </w:r>
          </w:p>
          <w:p w:rsidR="00EB7645" w:rsidRPr="00BE00C7" w:rsidRDefault="000E5EB9"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a security company checks the premises at night.</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0E5EB9"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opening external windows and many have doors that open onto outside garden or small patio areas.  Heating is provided by underfloor gas in residents’ rooms and in the communal areas. Areas were warm and well ventilated throughout the audit and residents and families confirmed the facilities are maintained at a comfortable temperature.</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a clinical nurse specialist. The infection control programme and manual are reviewed annually.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senior registered nurse is the designated IPC coordinator, whose role and responsibilities are defined in a job description. Infection control matters, including surveillance results, are reported monthly to the facility manager, and tabled at the health and safety committee meeting.  This committee includes the facility manager, IPC coordinator, the health and safety officer, and representatives from food services and household management. </w:t>
            </w:r>
          </w:p>
          <w:p w:rsidR="00EB7645" w:rsidRPr="00BE00C7" w:rsidRDefault="000E5EB9" w:rsidP="00BE00C7">
            <w:pPr>
              <w:pStyle w:val="OutcomeDescription"/>
              <w:spacing w:before="120" w:after="120"/>
              <w:rPr>
                <w:rFonts w:cs="Arial"/>
                <w:lang w:eastAsia="en-NZ"/>
              </w:rPr>
            </w:pPr>
            <w:r w:rsidRPr="00BE00C7">
              <w:rPr>
                <w:rFonts w:cs="Arial"/>
                <w:lang w:eastAsia="en-NZ"/>
              </w:rPr>
              <w:t>If an outbreak occurs signage is placed at the main entrance to the facility and requests anyone who is or has been unwell in the past 48 hours or 72 hours if history of gastroenteritis, not to enter the facility. The infection control manual provides guidance for staff about how long they must stay away from work if they have been unwell. Staff interviewed understood these responsibilities.</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0E5EB9"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IPC coordinator has appropriate skills, knowledge and qualifications for the role, and has been in this role eight months.  She has undertaken training in infection prevention and control as verified in training records sighted.  Additional support and information is accessed from the infection control team at the DHB, the community laboratory, the GP and </w:t>
            </w:r>
            <w:r w:rsidRPr="00BE00C7">
              <w:rPr>
                <w:rFonts w:cs="Arial"/>
                <w:lang w:eastAsia="en-NZ"/>
              </w:rPr>
              <w:lastRenderedPageBreak/>
              <w:t>public health unit, Ministry of health and DHB portfolio manager as required.  The coordinator has access to residents’ records and diagnostic results to ensure timely treatment and resolution of any infections.</w:t>
            </w:r>
          </w:p>
          <w:p w:rsidR="00EB7645" w:rsidRPr="00BE00C7" w:rsidRDefault="000E5EB9"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infection.</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0E5EB9"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infection prevention and control standard and current accepted good practice.  Policies were last reviewed in 2017 and included appropriate referencing.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0E5EB9"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  An example of this occurred when in April 2018 there was a gastroenteritis outbreak and minutes of meetings sighted extra training for all staff including kitchen and laundry staff, residents and families.</w:t>
            </w:r>
          </w:p>
          <w:p w:rsidR="00EB7645" w:rsidRPr="00BE00C7" w:rsidRDefault="000E5EB9"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unwell and increasing fluids during hot weather.</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0E5EB9"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infections of the urinary tract, respiratory tract, skin and wound infections (cellulitis, soft tissue, wounds and scabies), gastro-intestinal and eye infections.  The IPC coordinator reviews all reported infections, and these are documented.  New infections and any required management plan are discussed at handover to ensure early intervention occurs.</w:t>
            </w:r>
          </w:p>
          <w:p w:rsidR="00EB7645" w:rsidRPr="00BE00C7" w:rsidRDefault="000E5EB9"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via regular staff meetings and at staff handovers.  Reports identify trends for the current year, and comparisons against previous years and this is reported to the facility manager and staff at meetings.   The annual report for 2017 identified that the facility overall had a total of 66 infections, with 2016 showing a total of 62 infections.  The report also discusses and breaks down specific infections.</w:t>
            </w:r>
          </w:p>
          <w:p w:rsidR="00EB7645" w:rsidRPr="00BE00C7" w:rsidRDefault="000E5EB9" w:rsidP="00BE00C7">
            <w:pPr>
              <w:pStyle w:val="OutcomeDescription"/>
              <w:spacing w:before="120" w:after="120"/>
              <w:rPr>
                <w:rFonts w:cs="Arial"/>
                <w:lang w:eastAsia="en-NZ"/>
              </w:rPr>
            </w:pPr>
            <w:r w:rsidRPr="00BE00C7">
              <w:rPr>
                <w:rFonts w:cs="Arial"/>
                <w:lang w:eastAsia="en-NZ"/>
              </w:rPr>
              <w:t>For the period of October 2017 – March 2018 the facility recorded a total of six infections, one resident with four infections was identified requiring frequent antibiotics. One resident admitted in December 2017 (not recorded in the monthly surveillance reports) was discharged three of four times back to the facility with antibiotics prescribed and commenced.  Both residents have an extensive medical history and co-morbidities.  Appropriate interventions in the residents’ care plans were sighted to minimise and reduce the risk of infections.</w:t>
            </w:r>
          </w:p>
          <w:p w:rsidR="00EB7645" w:rsidRPr="00BE00C7" w:rsidRDefault="000E5EB9" w:rsidP="00BE00C7">
            <w:pPr>
              <w:pStyle w:val="OutcomeDescription"/>
              <w:spacing w:before="120" w:after="120"/>
              <w:rPr>
                <w:rFonts w:cs="Arial"/>
                <w:lang w:eastAsia="en-NZ"/>
              </w:rPr>
            </w:pPr>
            <w:r w:rsidRPr="00BE00C7">
              <w:rPr>
                <w:rFonts w:cs="Arial"/>
                <w:lang w:eastAsia="en-NZ"/>
              </w:rPr>
              <w:t>A summary report for a recent gastrointestinal infection outbreak was reviewed.  From 15 April 2018 to 23 April 2018, 15 residents and eight staff were affected.  Documentation sighted demonstrated a thorough process for investigation and follow up.    Learnings from the event have now been incorporated into practice, with additional staff education implemented.</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w:t>
            </w:r>
            <w:r w:rsidRPr="00BE00C7">
              <w:rPr>
                <w:rFonts w:cs="Arial"/>
                <w:lang w:eastAsia="en-NZ"/>
              </w:rPr>
              <w:lastRenderedPageBreak/>
              <w:t xml:space="preserve">the facility and demonstrated a sound understanding of the organisation’s policies, procedures and practice and her role and responsibilities.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On the day of audit, one resident was using restraint (bedrails). No residents were using enablers. A similar process is followed for the use of enablers as is used for restraints. </w:t>
            </w:r>
          </w:p>
          <w:p w:rsidR="00EB7645" w:rsidRPr="00BE00C7" w:rsidRDefault="000E5EB9"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on review of the restraint approval group minutes, files reviewed, and from interviews with staff.</w:t>
            </w:r>
          </w:p>
          <w:p w:rsidR="00EB7645" w:rsidRPr="00BE00C7" w:rsidRDefault="000E5EB9" w:rsidP="00BE00C7">
            <w:pPr>
              <w:pStyle w:val="OutcomeDescription"/>
              <w:spacing w:before="120" w:after="120"/>
              <w:rPr>
                <w:rFonts w:cs="Arial"/>
                <w:lang w:eastAsia="en-NZ"/>
              </w:rPr>
            </w:pPr>
            <w:r w:rsidRPr="00BE00C7">
              <w:rPr>
                <w:rFonts w:cs="Arial"/>
                <w:lang w:eastAsia="en-NZ"/>
              </w:rPr>
              <w:t>The new facility manager and owner have been briefed by the senior registered nurse and the general practitioner on practices and requirements when restraint is used. They have access to a copy of the standard and organisation policy.</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The restraint approval group, made up of the senior registered nurse and the general practitioner, are responsible for the approval of the use of restraints and the restraint processes. It was evident from review of restraint approval group meeting minutes and interviews with the coordinator that there are clear lines of accountability, that all restraints have been approved, and the overall use of restraints is being monitored and analysed. Evidence of family/EPOA involvement in the decision making was observed in the one case of restraint currently in use. Use of a restraint or an enabler is part of the plan of care.</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0E5EB9"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Assessments for the use of restraint were documented and included all requirements of the Standard. The registered nurse undertakes the initial assessment with the restraint coordinator’s involvement, and input from the resident’s family/EPOA. The registered nurse interviewed who is the restraint coordinator described the documented process.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The file of the resident currently using restraint was </w:t>
            </w:r>
            <w:r w:rsidRPr="00BE00C7">
              <w:rPr>
                <w:rFonts w:cs="Arial"/>
                <w:lang w:eastAsia="en-NZ"/>
              </w:rPr>
              <w:lastRenderedPageBreak/>
              <w:t>reviewed.</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lastRenderedPageBreak/>
              <w:t>Standard 2.2.3: Safe Restraint Use</w:t>
            </w:r>
          </w:p>
          <w:p w:rsidR="00EB7645" w:rsidRPr="00BE00C7" w:rsidRDefault="000E5EB9"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use of restraints is actively minimised and the restraint coordinator described how alternatives to restraints are discussed with staff and family members (eg, the use of sensor mats and low beds).  </w:t>
            </w:r>
          </w:p>
          <w:p w:rsidR="00EB7645" w:rsidRPr="00BE00C7" w:rsidRDefault="000E5EB9" w:rsidP="00BE00C7">
            <w:pPr>
              <w:pStyle w:val="OutcomeDescription"/>
              <w:spacing w:before="120" w:after="120"/>
              <w:rPr>
                <w:rFonts w:cs="Arial"/>
                <w:lang w:eastAsia="en-NZ"/>
              </w:rPr>
            </w:pPr>
            <w:r w:rsidRPr="00BE00C7">
              <w:rPr>
                <w:rFonts w:cs="Arial"/>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RDefault="000E5EB9" w:rsidP="00BE00C7">
            <w:pPr>
              <w:pStyle w:val="OutcomeDescription"/>
              <w:spacing w:before="120" w:after="120"/>
              <w:rPr>
                <w:rFonts w:cs="Arial"/>
                <w:lang w:eastAsia="en-NZ"/>
              </w:rPr>
            </w:pPr>
            <w:r w:rsidRPr="00BE00C7">
              <w:rPr>
                <w:rFonts w:cs="Arial"/>
                <w:lang w:eastAsia="en-NZ"/>
              </w:rPr>
              <w:t>A restraint register is maintained, updated every month and reviewed at each restraint approval group meeting. The register was reviewed  and sufficient information  provided an auditable record. During 2017 seven episodes of restraint occurred with two occurring in 2018 thus far.</w:t>
            </w:r>
          </w:p>
          <w:p w:rsidR="00EB7645" w:rsidRPr="00BE00C7" w:rsidRDefault="000E5EB9" w:rsidP="00BE00C7">
            <w:pPr>
              <w:pStyle w:val="OutcomeDescription"/>
              <w:spacing w:before="120" w:after="120"/>
              <w:rPr>
                <w:rFonts w:cs="Arial"/>
                <w:lang w:eastAsia="en-NZ"/>
              </w:rPr>
            </w:pPr>
            <w:r w:rsidRPr="00BE00C7">
              <w:rPr>
                <w:rFonts w:cs="Arial"/>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0E5EB9"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The file of the resident using restraint was reviewed and evaluated during care plan and interRAI reviews, six monthly restraint evaluations and at the restraint approval group meetings. The family confirmed their involvement in the evaluation process and their satisfaction with the restraint process.  </w:t>
            </w:r>
          </w:p>
          <w:p w:rsidR="00EB7645" w:rsidRPr="00BE00C7" w:rsidRDefault="000E5EB9" w:rsidP="00BE00C7">
            <w:pPr>
              <w:pStyle w:val="OutcomeDescription"/>
              <w:spacing w:before="120" w:after="120"/>
              <w:rPr>
                <w:rFonts w:cs="Arial"/>
                <w:lang w:eastAsia="en-NZ"/>
              </w:rPr>
            </w:pPr>
            <w:r w:rsidRPr="00BE00C7">
              <w:rPr>
                <w:rFonts w:cs="Arial"/>
                <w:lang w:eastAsia="en-NZ"/>
              </w:rPr>
              <w:t>The evaluation covers all requirements of the Standard, including future options to eliminate use, the impact and outcomes achieved, if the policy and procedure was followed and documentation completed as required</w:t>
            </w:r>
          </w:p>
          <w:p w:rsidR="00EB7645" w:rsidRPr="00BE00C7" w:rsidRDefault="000B4351" w:rsidP="00BE00C7">
            <w:pPr>
              <w:pStyle w:val="OutcomeDescription"/>
              <w:spacing w:before="120" w:after="120"/>
              <w:rPr>
                <w:rFonts w:cs="Arial"/>
                <w:lang w:eastAsia="en-NZ"/>
              </w:rPr>
            </w:pP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0E5EB9"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Quality review of all restraint use occurs six monthly.  Any recommendations for change are documented. No changes were recommended at the last review.</w:t>
            </w:r>
          </w:p>
          <w:p w:rsidR="00EB7645" w:rsidRPr="00BE00C7" w:rsidRDefault="000B4351" w:rsidP="00BE00C7">
            <w:pPr>
              <w:pStyle w:val="OutcomeDescription"/>
              <w:spacing w:before="120" w:after="120"/>
              <w:rPr>
                <w:rFonts w:cs="Arial"/>
                <w:lang w:eastAsia="en-NZ"/>
              </w:rPr>
            </w:pPr>
          </w:p>
        </w:tc>
      </w:tr>
    </w:tbl>
    <w:p w:rsidR="00EB7645" w:rsidRPr="00BE00C7" w:rsidRDefault="000B4351" w:rsidP="00BE00C7">
      <w:pPr>
        <w:pStyle w:val="OutcomeDescription"/>
        <w:spacing w:before="120" w:after="120"/>
        <w:rPr>
          <w:rFonts w:cs="Arial"/>
          <w:lang w:eastAsia="en-NZ"/>
        </w:rPr>
      </w:pPr>
      <w:bookmarkStart w:id="43" w:name="AuditSummaryAttainment"/>
      <w:bookmarkEnd w:id="43"/>
    </w:p>
    <w:p w:rsidR="00460D43" w:rsidRDefault="000E5EB9">
      <w:pPr>
        <w:pStyle w:val="Heading1"/>
        <w:rPr>
          <w:rFonts w:cs="Arial"/>
        </w:rPr>
      </w:pPr>
      <w:r>
        <w:rPr>
          <w:rFonts w:cs="Arial"/>
        </w:rPr>
        <w:lastRenderedPageBreak/>
        <w:t>Specific results for criterion where corrective actions are required</w:t>
      </w:r>
    </w:p>
    <w:p w:rsidR="00460D43" w:rsidRDefault="000E5EB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0E5EB9">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0E5EB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343"/>
        <w:gridCol w:w="4863"/>
        <w:gridCol w:w="2254"/>
        <w:gridCol w:w="2085"/>
      </w:tblGrid>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0E5EB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E5EB9"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0E5EB9"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0E5EB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Criterion 1.2.3.3</w:t>
            </w:r>
          </w:p>
          <w:p w:rsidR="00EB7645" w:rsidRPr="00BE00C7" w:rsidRDefault="000E5EB9" w:rsidP="00BE00C7">
            <w:pPr>
              <w:pStyle w:val="OutcomeDescription"/>
              <w:spacing w:before="120" w:after="120"/>
              <w:rPr>
                <w:rFonts w:cs="Arial"/>
                <w:lang w:eastAsia="en-NZ"/>
              </w:rPr>
            </w:pPr>
            <w:r w:rsidRPr="00BE00C7">
              <w:rPr>
                <w:rFonts w:cs="Arial"/>
                <w:lang w:eastAsia="en-NZ"/>
              </w:rPr>
              <w:t>The service develops and implements policies and procedures that are aligned with current good practice and service delivery, meet the requirements of legislation, and are reviewed at regular intervals as defined by policy.</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Policies are in place to support staff. These cover all aspects of the service and staff say they are easily accessible and useable. Polices are stored in the nurse station or the manager’s office. All policies are current and review dates are noted on each policy. Polices are well written with relevant content, however approx. 40% do not reference legislation or good practice.</w:t>
            </w:r>
          </w:p>
          <w:p w:rsidR="00EB7645" w:rsidRPr="00BE00C7" w:rsidRDefault="000B4351" w:rsidP="00BE00C7">
            <w:pPr>
              <w:pStyle w:val="OutcomeDescription"/>
              <w:spacing w:before="120" w:after="120"/>
              <w:rPr>
                <w:rFonts w:cs="Arial"/>
                <w:lang w:eastAsia="en-NZ"/>
              </w:rPr>
            </w:pP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 xml:space="preserve">Approx 40% of policies do not have evidence of alignment with good practice or reference to relevant legislation. </w:t>
            </w:r>
          </w:p>
          <w:p w:rsidR="00EB7645" w:rsidRPr="00BE00C7" w:rsidRDefault="000B4351" w:rsidP="00BE00C7">
            <w:pPr>
              <w:pStyle w:val="OutcomeDescription"/>
              <w:spacing w:before="120" w:after="120"/>
              <w:rPr>
                <w:rFonts w:cs="Arial"/>
                <w:lang w:eastAsia="en-NZ"/>
              </w:rPr>
            </w:pPr>
          </w:p>
        </w:tc>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Policies where relevant should align to good practice and reference relevant legislation</w:t>
            </w:r>
          </w:p>
          <w:p w:rsidR="00EB7645" w:rsidRPr="00BE00C7" w:rsidRDefault="000B4351" w:rsidP="00BE00C7">
            <w:pPr>
              <w:pStyle w:val="OutcomeDescription"/>
              <w:spacing w:before="120" w:after="120"/>
              <w:rPr>
                <w:rFonts w:cs="Arial"/>
                <w:lang w:eastAsia="en-NZ"/>
              </w:rPr>
            </w:pPr>
          </w:p>
          <w:p w:rsidR="00EB7645" w:rsidRPr="00BE00C7" w:rsidRDefault="000E5EB9"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0B4351" w:rsidP="00BE00C7">
      <w:pPr>
        <w:pStyle w:val="OutcomeDescription"/>
        <w:spacing w:before="120" w:after="120"/>
        <w:rPr>
          <w:rFonts w:cs="Arial"/>
          <w:lang w:eastAsia="en-NZ"/>
        </w:rPr>
      </w:pPr>
      <w:bookmarkStart w:id="44" w:name="AuditSummaryCAMCriterion"/>
      <w:bookmarkEnd w:id="44"/>
    </w:p>
    <w:p w:rsidR="00460D43" w:rsidRDefault="000E5EB9">
      <w:pPr>
        <w:pStyle w:val="Heading1"/>
        <w:rPr>
          <w:rFonts w:cs="Arial"/>
        </w:rPr>
      </w:pPr>
      <w:r>
        <w:rPr>
          <w:rFonts w:cs="Arial"/>
        </w:rPr>
        <w:lastRenderedPageBreak/>
        <w:t>Specific results for criterion where a continuous improvement has been recorded</w:t>
      </w:r>
    </w:p>
    <w:p w:rsidR="00460D43" w:rsidRDefault="000E5EB9">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0E5EB9">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0E5EB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5272BD">
        <w:tc>
          <w:tcPr>
            <w:tcW w:w="0" w:type="auto"/>
          </w:tcPr>
          <w:p w:rsidR="00EB7645" w:rsidRPr="00BE00C7" w:rsidRDefault="000E5EB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0B4351" w:rsidP="00BE00C7">
      <w:pPr>
        <w:pStyle w:val="OutcomeDescription"/>
        <w:spacing w:before="120" w:after="120"/>
        <w:rPr>
          <w:rFonts w:cs="Arial"/>
          <w:lang w:eastAsia="en-NZ"/>
        </w:rPr>
      </w:pPr>
      <w:bookmarkStart w:id="45" w:name="AuditSummaryCAMImprovment"/>
      <w:bookmarkEnd w:id="45"/>
    </w:p>
    <w:p w:rsidR="008F3634" w:rsidRDefault="000E5EB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FDB" w:rsidRDefault="000E5EB9">
      <w:r>
        <w:separator/>
      </w:r>
    </w:p>
  </w:endnote>
  <w:endnote w:type="continuationSeparator" w:id="0">
    <w:p w:rsidR="003C3FDB" w:rsidRDefault="000E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B4351">
    <w:pPr>
      <w:pStyle w:val="Footer"/>
    </w:pPr>
  </w:p>
  <w:p w:rsidR="005A4A55" w:rsidRDefault="000B4351"/>
  <w:p w:rsidR="005A4A55" w:rsidRDefault="000E5EB9"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E5EB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Senior Care Investment Limited - Fraser Manor Rest Home</w:t>
    </w:r>
    <w:bookmarkEnd w:id="46"/>
    <w:r>
      <w:rPr>
        <w:rFonts w:cs="Arial"/>
        <w:sz w:val="16"/>
        <w:szCs w:val="20"/>
      </w:rPr>
      <w:tab/>
      <w:t xml:space="preserve">Date of Audit: </w:t>
    </w:r>
    <w:bookmarkStart w:id="47" w:name="AuditStartDate1"/>
    <w:r>
      <w:rPr>
        <w:rFonts w:cs="Arial"/>
        <w:sz w:val="16"/>
        <w:szCs w:val="20"/>
      </w:rPr>
      <w:t>30 April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0B4351">
      <w:rPr>
        <w:rFonts w:cs="Arial"/>
        <w:noProof/>
        <w:sz w:val="16"/>
        <w:szCs w:val="20"/>
      </w:rPr>
      <w:t>3</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0B4351">
      <w:rPr>
        <w:rFonts w:cs="Arial"/>
        <w:noProof/>
        <w:sz w:val="16"/>
        <w:szCs w:val="20"/>
      </w:rPr>
      <w:t>30</w:t>
    </w:r>
    <w:r>
      <w:rPr>
        <w:rFonts w:cs="Arial"/>
        <w:sz w:val="16"/>
        <w:szCs w:val="20"/>
      </w:rPr>
      <w:fldChar w:fldCharType="end"/>
    </w:r>
  </w:p>
  <w:p w:rsidR="005A4A55" w:rsidRDefault="000B43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B4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FDB" w:rsidRDefault="000E5EB9">
      <w:r>
        <w:separator/>
      </w:r>
    </w:p>
  </w:footnote>
  <w:footnote w:type="continuationSeparator" w:id="0">
    <w:p w:rsidR="003C3FDB" w:rsidRDefault="000E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B4351">
    <w:pPr>
      <w:pStyle w:val="Header"/>
    </w:pPr>
  </w:p>
  <w:p w:rsidR="005A4A55" w:rsidRDefault="000B43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B4351">
    <w:pPr>
      <w:pStyle w:val="Header"/>
    </w:pPr>
  </w:p>
  <w:p w:rsidR="005A4A55" w:rsidRDefault="000B43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B4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EB329AC2">
      <w:start w:val="1"/>
      <w:numFmt w:val="decimal"/>
      <w:lvlText w:val="%1."/>
      <w:lvlJc w:val="left"/>
      <w:pPr>
        <w:ind w:left="360" w:hanging="360"/>
      </w:pPr>
    </w:lvl>
    <w:lvl w:ilvl="1" w:tplc="70D8A10E" w:tentative="1">
      <w:start w:val="1"/>
      <w:numFmt w:val="lowerLetter"/>
      <w:lvlText w:val="%2."/>
      <w:lvlJc w:val="left"/>
      <w:pPr>
        <w:ind w:left="1080" w:hanging="360"/>
      </w:pPr>
    </w:lvl>
    <w:lvl w:ilvl="2" w:tplc="1A5A4340" w:tentative="1">
      <w:start w:val="1"/>
      <w:numFmt w:val="lowerRoman"/>
      <w:lvlText w:val="%3."/>
      <w:lvlJc w:val="right"/>
      <w:pPr>
        <w:ind w:left="1800" w:hanging="180"/>
      </w:pPr>
    </w:lvl>
    <w:lvl w:ilvl="3" w:tplc="3ECA3836" w:tentative="1">
      <w:start w:val="1"/>
      <w:numFmt w:val="decimal"/>
      <w:lvlText w:val="%4."/>
      <w:lvlJc w:val="left"/>
      <w:pPr>
        <w:ind w:left="2520" w:hanging="360"/>
      </w:pPr>
    </w:lvl>
    <w:lvl w:ilvl="4" w:tplc="C19CEE52" w:tentative="1">
      <w:start w:val="1"/>
      <w:numFmt w:val="lowerLetter"/>
      <w:lvlText w:val="%5."/>
      <w:lvlJc w:val="left"/>
      <w:pPr>
        <w:ind w:left="3240" w:hanging="360"/>
      </w:pPr>
    </w:lvl>
    <w:lvl w:ilvl="5" w:tplc="420882EE" w:tentative="1">
      <w:start w:val="1"/>
      <w:numFmt w:val="lowerRoman"/>
      <w:lvlText w:val="%6."/>
      <w:lvlJc w:val="right"/>
      <w:pPr>
        <w:ind w:left="3960" w:hanging="180"/>
      </w:pPr>
    </w:lvl>
    <w:lvl w:ilvl="6" w:tplc="482E895E" w:tentative="1">
      <w:start w:val="1"/>
      <w:numFmt w:val="decimal"/>
      <w:lvlText w:val="%7."/>
      <w:lvlJc w:val="left"/>
      <w:pPr>
        <w:ind w:left="4680" w:hanging="360"/>
      </w:pPr>
    </w:lvl>
    <w:lvl w:ilvl="7" w:tplc="760C4A74" w:tentative="1">
      <w:start w:val="1"/>
      <w:numFmt w:val="lowerLetter"/>
      <w:lvlText w:val="%8."/>
      <w:lvlJc w:val="left"/>
      <w:pPr>
        <w:ind w:left="5400" w:hanging="360"/>
      </w:pPr>
    </w:lvl>
    <w:lvl w:ilvl="8" w:tplc="A558BBEE" w:tentative="1">
      <w:start w:val="1"/>
      <w:numFmt w:val="lowerRoman"/>
      <w:lvlText w:val="%9."/>
      <w:lvlJc w:val="right"/>
      <w:pPr>
        <w:ind w:left="6120" w:hanging="180"/>
      </w:pPr>
    </w:lvl>
  </w:abstractNum>
  <w:abstractNum w:abstractNumId="1">
    <w:nsid w:val="70640EF3"/>
    <w:multiLevelType w:val="hybridMultilevel"/>
    <w:tmpl w:val="5E381990"/>
    <w:lvl w:ilvl="0" w:tplc="47864168">
      <w:start w:val="1"/>
      <w:numFmt w:val="bullet"/>
      <w:lvlText w:val=""/>
      <w:lvlJc w:val="left"/>
      <w:pPr>
        <w:ind w:left="720" w:hanging="360"/>
      </w:pPr>
      <w:rPr>
        <w:rFonts w:ascii="Symbol" w:hAnsi="Symbol" w:hint="default"/>
      </w:rPr>
    </w:lvl>
    <w:lvl w:ilvl="1" w:tplc="B27E34E0" w:tentative="1">
      <w:start w:val="1"/>
      <w:numFmt w:val="bullet"/>
      <w:lvlText w:val="o"/>
      <w:lvlJc w:val="left"/>
      <w:pPr>
        <w:ind w:left="1440" w:hanging="360"/>
      </w:pPr>
      <w:rPr>
        <w:rFonts w:ascii="Courier New" w:hAnsi="Courier New" w:cs="Courier New" w:hint="default"/>
      </w:rPr>
    </w:lvl>
    <w:lvl w:ilvl="2" w:tplc="EA9AD57E" w:tentative="1">
      <w:start w:val="1"/>
      <w:numFmt w:val="bullet"/>
      <w:lvlText w:val=""/>
      <w:lvlJc w:val="left"/>
      <w:pPr>
        <w:ind w:left="2160" w:hanging="360"/>
      </w:pPr>
      <w:rPr>
        <w:rFonts w:ascii="Wingdings" w:hAnsi="Wingdings" w:hint="default"/>
      </w:rPr>
    </w:lvl>
    <w:lvl w:ilvl="3" w:tplc="E0B8B636" w:tentative="1">
      <w:start w:val="1"/>
      <w:numFmt w:val="bullet"/>
      <w:lvlText w:val=""/>
      <w:lvlJc w:val="left"/>
      <w:pPr>
        <w:ind w:left="2880" w:hanging="360"/>
      </w:pPr>
      <w:rPr>
        <w:rFonts w:ascii="Symbol" w:hAnsi="Symbol" w:hint="default"/>
      </w:rPr>
    </w:lvl>
    <w:lvl w:ilvl="4" w:tplc="B8D44A86" w:tentative="1">
      <w:start w:val="1"/>
      <w:numFmt w:val="bullet"/>
      <w:lvlText w:val="o"/>
      <w:lvlJc w:val="left"/>
      <w:pPr>
        <w:ind w:left="3600" w:hanging="360"/>
      </w:pPr>
      <w:rPr>
        <w:rFonts w:ascii="Courier New" w:hAnsi="Courier New" w:cs="Courier New" w:hint="default"/>
      </w:rPr>
    </w:lvl>
    <w:lvl w:ilvl="5" w:tplc="47DC20A2" w:tentative="1">
      <w:start w:val="1"/>
      <w:numFmt w:val="bullet"/>
      <w:lvlText w:val=""/>
      <w:lvlJc w:val="left"/>
      <w:pPr>
        <w:ind w:left="4320" w:hanging="360"/>
      </w:pPr>
      <w:rPr>
        <w:rFonts w:ascii="Wingdings" w:hAnsi="Wingdings" w:hint="default"/>
      </w:rPr>
    </w:lvl>
    <w:lvl w:ilvl="6" w:tplc="2A266E8A" w:tentative="1">
      <w:start w:val="1"/>
      <w:numFmt w:val="bullet"/>
      <w:lvlText w:val=""/>
      <w:lvlJc w:val="left"/>
      <w:pPr>
        <w:ind w:left="5040" w:hanging="360"/>
      </w:pPr>
      <w:rPr>
        <w:rFonts w:ascii="Symbol" w:hAnsi="Symbol" w:hint="default"/>
      </w:rPr>
    </w:lvl>
    <w:lvl w:ilvl="7" w:tplc="42C8506E" w:tentative="1">
      <w:start w:val="1"/>
      <w:numFmt w:val="bullet"/>
      <w:lvlText w:val="o"/>
      <w:lvlJc w:val="left"/>
      <w:pPr>
        <w:ind w:left="5760" w:hanging="360"/>
      </w:pPr>
      <w:rPr>
        <w:rFonts w:ascii="Courier New" w:hAnsi="Courier New" w:cs="Courier New" w:hint="default"/>
      </w:rPr>
    </w:lvl>
    <w:lvl w:ilvl="8" w:tplc="F7D683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BD"/>
    <w:rsid w:val="000B4351"/>
    <w:rsid w:val="000C2E01"/>
    <w:rsid w:val="000E5EB9"/>
    <w:rsid w:val="003C3FDB"/>
    <w:rsid w:val="005272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BC5A4-89BE-4828-8FBA-17967637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B4E2-F609-49D8-92F1-8E7A7E56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94D0613A</Template>
  <TotalTime>0</TotalTime>
  <Pages>30</Pages>
  <Words>9268</Words>
  <Characters>52831</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2018-05-27T19:48:00Z</dcterms:created>
  <dcterms:modified xsi:type="dcterms:W3CDTF">2018-05-27T19:48:00Z</dcterms:modified>
</cp:coreProperties>
</file>