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Ellerslie Gardens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Ellerslie Gardens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12 April 2018</w:t>
      </w:r>
      <w:bookmarkEnd w:id="7"/>
      <w:r w:rsidRPr="009418D4">
        <w:rPr>
          <w:rFonts w:cs="Arial"/>
        </w:rPr>
        <w:tab/>
        <w:t xml:space="preserve">End date: </w:t>
      </w:r>
      <w:bookmarkStart w:id="8" w:name="AuditEndDate"/>
      <w:r w:rsidR="00A4268A">
        <w:rPr>
          <w:rFonts w:cs="Arial"/>
        </w:rPr>
        <w:t>12 April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Ellerslie Gardens Home and Hospital provides rest home and hospital level care for up to 97 residents. The service is operated by Heritage Lifecare Limited and managed by a facility manager and a clinical services manager. Residents and family/whanau spoke positively about the care provided. </w:t>
      </w:r>
    </w:p>
    <w:p w:rsidRPr="00A4268A">
      <w:pPr>
        <w:spacing w:before="240" w:line="276" w:lineRule="auto"/>
        <w:rPr>
          <w:rFonts w:eastAsia="Calibri"/>
        </w:rPr>
      </w:pPr>
      <w:r w:rsidRPr="00A4268A">
        <w:rPr>
          <w:rFonts w:eastAsia="Calibri"/>
        </w:rPr>
        <w:t>This surveillance audit was conducted against the Health and Disability Services Standards and the service`s contract with the district health board. The audit process included review of policies and procedures, review of residents` and staff records, observations and interviews with residents, family members, managers, staff and a general practitioner.</w:t>
      </w:r>
    </w:p>
    <w:p w:rsidRPr="00A4268A">
      <w:pPr>
        <w:spacing w:before="240" w:line="276" w:lineRule="auto"/>
        <w:rPr>
          <w:rFonts w:eastAsia="Calibri"/>
        </w:rPr>
      </w:pPr>
      <w:r w:rsidRPr="00A4268A">
        <w:rPr>
          <w:rFonts w:eastAsia="Calibri"/>
        </w:rPr>
        <w:t xml:space="preserve">There were no areas requiring improvement. The one corrective action required from the previous audit has been effectively addressed.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and confirmed to be effective. There is access to interpreting services if required.</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Business quality and risk management plans include the scope, direction, goals, values and mission statement of the organisation. Monitoring of services provided to the governing body is regular and effective. An experienced and suitably qualified person manages the facility.</w:t>
      </w:r>
    </w:p>
    <w:p w:rsidRPr="00A4268A">
      <w:pPr>
        <w:spacing w:before="240" w:line="276" w:lineRule="auto"/>
        <w:rPr>
          <w:rFonts w:eastAsia="Calibri"/>
        </w:rPr>
      </w:pPr>
      <w:r w:rsidRPr="00A4268A">
        <w:rPr>
          <w:rFonts w:eastAsia="Calibri"/>
        </w:rPr>
        <w:t>The quality and risk management system includes collection and analysis of quality improvement data, identifies any trends and leads to improvements. Staff are involved and feedback is sought from residents and families. Adverse events are documented with corrective actions implemented. Actual and potential risk, including health and safety risk are identified and mitigated. Policies and procedures support service delivery and were current and reviewed regularly.</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 service is coordinated in a manner that promotes continuity in service delivery and promotes a team approach to care delivery.  The processes for assessment, planning, provision, evaluation, review and exit are provided within time frames that safely meet the needs of the residents and contractual requirements.</w:t>
      </w:r>
    </w:p>
    <w:p w:rsidRPr="00A4268A" w:rsidP="00621629">
      <w:pPr>
        <w:spacing w:before="240" w:line="276" w:lineRule="auto"/>
        <w:rPr>
          <w:rFonts w:eastAsia="Calibri"/>
        </w:rPr>
      </w:pPr>
      <w:r w:rsidRPr="00A4268A">
        <w:rPr>
          <w:rFonts w:eastAsia="Calibri"/>
        </w:rPr>
        <w:t xml:space="preserve">All residents have interRAI assessments completed and individualised care plans are current and up to date.  When there are changes to the resident’s needs a short-term plan is developed and integrated into a long-term plan, as needed.   All care plans are evaluated at least six monthly.  </w:t>
      </w:r>
    </w:p>
    <w:p w:rsidRPr="00A4268A" w:rsidP="00621629">
      <w:pPr>
        <w:spacing w:before="240" w:line="276" w:lineRule="auto"/>
        <w:rPr>
          <w:rFonts w:eastAsia="Calibri"/>
        </w:rPr>
      </w:pPr>
      <w:r w:rsidRPr="00A4268A">
        <w:rPr>
          <w:rFonts w:eastAsia="Calibri"/>
        </w:rPr>
        <w:t>The service provides planned activities meeting the needs of the residents as individuals and in group settings.  Families reported that they are encouraged to participate in the activities of the facility and those of their relatives.</w:t>
      </w:r>
    </w:p>
    <w:p w:rsidRPr="00A4268A" w:rsidP="00621629">
      <w:pPr>
        <w:spacing w:before="240" w:line="276" w:lineRule="auto"/>
        <w:rPr>
          <w:rFonts w:eastAsia="Calibri"/>
        </w:rPr>
      </w:pPr>
      <w:r w:rsidRPr="00A4268A">
        <w:rPr>
          <w:rFonts w:eastAsia="Calibri"/>
        </w:rPr>
        <w:t xml:space="preserve">The onsite kitchen provides and caters for residents with food available 24 hours of the day and specific dietary likes and dislikes accommodated. The service has a four-week rotating menu which has been approved by a registered dietitian. Residents’ nutritional requirements are met.   </w:t>
      </w:r>
    </w:p>
    <w:p w:rsidRPr="00A4268A" w:rsidP="00621629">
      <w:pPr>
        <w:spacing w:before="240" w:line="276" w:lineRule="auto"/>
        <w:rPr>
          <w:rFonts w:eastAsia="Calibri"/>
        </w:rPr>
      </w:pPr>
      <w:r w:rsidRPr="00A4268A">
        <w:rPr>
          <w:rFonts w:eastAsia="Calibri"/>
        </w:rPr>
        <w:t>A safe medicine administration system was observed at the time of audit.</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current building warrant of fitness which is displayed at reception.</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minimisation of restraint. Three enablers and three restraints were in use at the time of audit.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Surveillance for infections is completed every month.  Results of surveillance are reviewed to assist in minimising and reducing the risk of infection.  The infection surveillance results are reported back to staff and residents, where appropriate, in a timely manner.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91"/>
        <w:gridCol w:w="1280"/>
        <w:gridCol w:w="1026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complaints/compliments policy and associated forms meet the requirements of Right 10. Information on the complaint process is provided to residents and families on admission and those interviewed knew how to do so.</w:t>
            </w:r>
          </w:p>
          <w:p w:rsidR="00EB7645" w:rsidRPr="00BE00C7" w:rsidP="00BE00C7">
            <w:pPr>
              <w:pStyle w:val="OutcomeDescription"/>
              <w:spacing w:before="120" w:after="120"/>
              <w:rPr>
                <w:rFonts w:cs="Arial"/>
                <w:b w:val="0"/>
                <w:lang w:eastAsia="en-NZ"/>
              </w:rPr>
            </w:pPr>
            <w:r w:rsidRPr="00BE00C7">
              <w:rPr>
                <w:rFonts w:cs="Arial"/>
                <w:b w:val="0"/>
                <w:lang w:eastAsia="en-NZ"/>
              </w:rPr>
              <w:t>The complaints/compliments register was reviewed. The register showed 17 complaints had been received for 2017 and three for the first quarter for 2018. All complaints had been actioned through to an agreed resolution and were completed within the required timeframes. Action plans showed any required follow-up and improvements have been made where possible. Each complaint was signed off by the facility manager and dated. The facility manager is responsible for complaints management and follow-up. All staff interviewed confirmed a sound understanding of the complaint process and what actions are required. There have been no complaints received from external sources since the previous audit. One coroner`s case from August 2017 is still in progress.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 relative`s health status, were advised in a timely manner about any incidents or accidents and outcomes of regular and any urgent medical reviews. This was supported in residents` records reviewed. Staff understood the principles of open disclosure which is supported by policies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Staff know how to access interpreter services although reported this was rarely required due to staff being able to provide interpretation as and when required and the use of family members if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developed a business plan inclusive of the purpose, scope, values, direction and objectives set for the organisation with operational considerations included. In addition, the facility manager has personalised the objectives specific to this service for 2018 – 2019.  A sample of weekly and monthly reports to the support office/management showed the information required was reported as requested and was followed up by the national quality manager and quality team.</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facility manager who holds relevant management qualifications and is a registered nurse. The facility manager has been in this role for five years. Responsibilities and accountabilities are defined in a job description and individual employment agreement. The facility manager confirmed knowledge of the sector, regulatory and reporting requirements and maintains currency by attending related business courses and the organisation`s annual conference for facility managers which was attended in November 2017.</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Auckland DHB for up to 96 residents. Rest home care (42) includes two under 65 years (YPD) who are rest home care level, hospital (33), boarder (one) and respite care (one in hospital).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and is understood by staff. This includes the management of incidents and complaints, audit activities, a regular satisfaction survey, monitoring of outcomes, clinical incidents, including infections, and restraint minimisation and safe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Terms of reference and meeting minutes reviewed confirmed more than adequate reporting systems and discussion on quality matters. Regular review and analysis of key quality indicators occurs, and related information is reported and discussed at the quality/staff meetings. Minutes of meetings reviewed includes discussion on pressure injuries, restraints/enablers, falls, complaints, incident/events, infections, audit results and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their involvement in quality and risk management through the internal audit activities that they are involved in where possible. The clinical services manager has only been in this role for two weeks but will be orientated to collate all data and report to the facility manager who then reports all information and outcomes onto the organisation`s support office monthly and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Any relevant corrective actions are developed and implemented to address any shortfall and demonstrated a continuous process of quality improvement is occurring. Resident and family surveys are completed in June annually. The outcome of the 2017 survey provided positive comments for all staffing and management matters.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Heritage Lifecare Limited (HLL) has reviewed the policies and procedures since the previous audit. Any new and/or draft policies requiring consultation are sent out to the facilities for staff to make any changes or have input if needed.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described the processes for the identification, monitoring, review and reporting of risks and development of mitigation strategies. The facility manager is familiar with the Health and Safety at Work Act (2015) and has implemented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 forms reviewed showed these were fully completed, incidents were investigated, action plans developed and actions followed-up in a timely manner. Adverse event data is collated, analysed and reported on the electronic incident management system now implemented (GOSH) and management can access this information anytime.</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described essential notification reporting requirements including pressure injuries. The facility manager advised there has been one coroner`s case that has been in progress since August 2017. All appropriate information is filed, accessible and stored securely in the interim time awaiting final closure of this case.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procedures are based on good employment practice and relevant legislation. The recruitment process includes reference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their role. Staff records reviewed showed documentation of completed orientation and a performance review annually.</w:t>
            </w:r>
          </w:p>
          <w:p w:rsidR="00EB7645" w:rsidRPr="00BE00C7" w:rsidP="00BE00C7">
            <w:pPr>
              <w:pStyle w:val="OutcomeDescription"/>
              <w:spacing w:before="120" w:after="120"/>
              <w:rPr>
                <w:rFonts w:cs="Arial"/>
                <w:b w:val="0"/>
                <w:lang w:eastAsia="en-NZ"/>
              </w:rPr>
            </w:pPr>
            <w:r w:rsidRPr="00BE00C7">
              <w:rPr>
                <w:rFonts w:cs="Arial"/>
                <w:b w:val="0"/>
                <w:lang w:eastAsia="en-NZ"/>
              </w:rPr>
              <w:t>Education is planned on an annual basis including mandatory training requirements. Care staff have either completed or commenced a New Zealand Qualification Authority education programme to meet the requirements of the provider`s agreement with the ADHB. The facility manager is responsible for the provision of education and will be assisted by the newly appointed clinical services manager. ‘Toolbox talks’ are conducted during the handover between shifts and staff interviewed enjoyed these sessions and updates.</w:t>
            </w:r>
          </w:p>
          <w:p w:rsidR="00EB7645" w:rsidRPr="00BE00C7" w:rsidP="00BE00C7">
            <w:pPr>
              <w:pStyle w:val="OutcomeDescription"/>
              <w:spacing w:before="120" w:after="120"/>
              <w:rPr>
                <w:rFonts w:cs="Arial"/>
                <w:b w:val="0"/>
                <w:lang w:eastAsia="en-NZ"/>
              </w:rPr>
            </w:pPr>
            <w:r w:rsidRPr="00BE00C7">
              <w:rPr>
                <w:rFonts w:cs="Arial"/>
                <w:b w:val="0"/>
                <w:lang w:eastAsia="en-NZ"/>
              </w:rPr>
              <w:t>There are five registered nurses who are fully competent to undertake interRAI assessments and three registered nurses are currently in training. The facility manager has management access regarding interRAI and the new clinical nurse manager is interRAI trained however needs to up-date the AIS exams. Records reviewed demonstrated completion of the required training and completion of annual competencies.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policy states that staffing levels reflect the number of residents, acuity of residents, residents` care levels, and the layout of the facility. The facility manager and the clinical services manager adjust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family/whanau interviewed supported this. Observations and review of rosters confirmed adequate staff cover has been provided with staff replaced in any unplanned absence. At least one staff member on duty has a current first aid certificate and there is 24/7 registered nurse coverage.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is current and identifies all aspects of medicine management in line with the Medicines Care Guide for Residential Aged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RN checks medications against the prescription. All medications sighted were within current use by dates. Clinical pharmacist input is provided as required.</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was consistently recorded on the medicine chart.  There was one resident identified on the medication electronic device who was overdue for a medication review; however, evidence was sighted in the resident’s file to show that the GP and medication review had occurred.  </w:t>
            </w:r>
          </w:p>
          <w:p w:rsidR="00EB7645" w:rsidRPr="00BE00C7" w:rsidP="00BE00C7">
            <w:pPr>
              <w:pStyle w:val="OutcomeDescription"/>
              <w:spacing w:before="120" w:after="120"/>
              <w:rPr>
                <w:rFonts w:cs="Arial"/>
                <w:b w:val="0"/>
                <w:lang w:eastAsia="en-NZ"/>
              </w:rPr>
            </w:pPr>
            <w:r w:rsidRPr="00BE00C7">
              <w:rPr>
                <w:rFonts w:cs="Arial"/>
                <w:b w:val="0"/>
                <w:lang w:eastAsia="en-NZ"/>
              </w:rPr>
              <w:t>There were five residents who were self-administering medications at the time of audit. Appropriate processes were in place to ensure this is managed in a safe manner; however, one resident did not have their medication stored securely in their bedroom.  Evidence was provided by the end of the audit that the resident’s medication was now stored in a locked draw.</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  In August 2017, as a result of a medication error, a section 31 notification was required, the case was referred to a coroner.  At the time of the audit the case remained open.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one of three cooks, supported by kitchen staff, and is in line with recognised nutritional guidelines for older people.  The menu follows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facility was issued with a food safety guide certificate on the 22 December 2017.  A grade is pending as the facility is currently awaiting an inspection from the Council.   Food temperatures, including for high risk items, are monitored appropriately and recorded as part of the plan. The cook interviewed has undertaken a safe food handling qualification.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to the facility and a dietary profile developed.  The personal food preferences, any special diets and modified texture requirements are made known to kitchen staff and accommodated in the daily meal plan.  All food is cooked on site and delivered to two dining rooms with residents provided with the option of eating in their rooms. </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and in residents’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pain scale, falls risk, skin integrity, nutritional screening and depression scale as a means to identify any deficits and to inform care planning. The sample of care plans reviewed had an integrated range of resident-related information.  All residents have current interRAI assessments completed by one of five interRAI trained registered nurse.  A further three registered nurses are in the process of completing their interRAI training, the facility manager has access to interRAI and the new clinical services manager is also interRAI trained, however needs to update her yearly competency exam.   Residents and families confirmed their involvement in the assessment process.</w:t>
            </w:r>
          </w:p>
          <w:p w:rsidR="00EB7645" w:rsidRPr="00BE00C7" w:rsidP="00BE00C7">
            <w:pPr>
              <w:pStyle w:val="OutcomeDescription"/>
              <w:spacing w:before="120" w:after="120"/>
              <w:rPr>
                <w:rFonts w:cs="Arial"/>
                <w:b w:val="0"/>
                <w:lang w:eastAsia="en-NZ"/>
              </w:rPr>
            </w:pPr>
            <w:r w:rsidRPr="00BE00C7">
              <w:rPr>
                <w:rFonts w:cs="Arial"/>
                <w:b w:val="0"/>
                <w:lang w:eastAsia="en-NZ"/>
              </w:rPr>
              <w:t>The previous audit identified an area for improvement to ensure that all interRAI assessments were conducted in the required timeframes and that pressure injury assessments were consistent using best practice guidelines.  The corrective action is now addressed, and records were available to demonstrate actions/processes taken for identified pressure injury’s and wounds such as referrals to wound clinical nurse specialist, GP reviews, dietician and physio and that staff have also attending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The ‘house doctor’ interviewed, verified that medical input is sought in a timely manner, that medical orders are followed, and care is of a very good standard.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two activities co-ordinators of one whom is training to become a diversional therapist.   The activities staff support residents from Monday to Saturday 8.30am to 3.30pm.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three monthly and as part of the formal 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 residents’ goals, ordinary patterns of life and include normal community activities. Individual, group activities and regular events are offered.  Several residents are independent and encouraged to connect and interact with the community while other residents are supported by the staff and groups in the community to partake in regular community activities and groups.   Residents and families/whānau are involved in evaluating and improving the programme through residents’ meetings and day to day discussions. Residents interviewed confirmed they find the programme interactive and fun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and there is evidence of working documents throughout the five residents’ files reviewed. Examples of short term care plans being consistently reviewed, and progress evaluated as clinically indicated were noted for infections, skin tears, falls and challenging behaviours.  When necessary, and for unresolved problems, long term care plans are added to and updated.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dated expiry 10 March 2019 was sighted framed and displayed in the reception to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respiratory tract, urinary, wound, gastroenteritis and conjunctivitis infections.   The infection prevention and control (IPC)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and this is reported to the facility and clinical manager/quality, IPC committee and organisation.  Data is benchmarked externally within the group.  </w:t>
            </w:r>
          </w:p>
          <w:p w:rsidR="00EB7645" w:rsidRPr="00BE00C7" w:rsidP="00BE00C7">
            <w:pPr>
              <w:pStyle w:val="OutcomeDescription"/>
              <w:spacing w:before="120" w:after="120"/>
              <w:rPr>
                <w:rFonts w:cs="Arial"/>
                <w:b w:val="0"/>
                <w:lang w:eastAsia="en-NZ"/>
              </w:rPr>
            </w:pPr>
            <w:r w:rsidRPr="00BE00C7">
              <w:rPr>
                <w:rFonts w:cs="Arial"/>
                <w:b w:val="0"/>
                <w:lang w:eastAsia="en-NZ"/>
              </w:rPr>
              <w:t>The facility in November of 2017 had 15 residents diagnosed with a respiratory tract infection.  The residents’ files reviewed highlighted short term and long-term care planning to reduce and minimise the risk of ongoing infection.   Care staff interviewed demonstrated knowledge of residents who also have a higher risk of infections and the preventative interventions required.  The respiratory tract infections were resolved and there were no new residents diagnosed for the month of December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knowledge of the organisation’s policies, procedures and practice and the role and responsibilities. On the day of the audit three residents were using restraints and three residents were using enablers, which were the least restrictive and used voluntarily at their request. Restraint is used as a last resort when all alternatives have been explored. This was evident on review of the restraint approval group minutes, files reviewed and from interview with staff.</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Ellerslie Gardens Home and Hospital</w:t>
    </w:r>
    <w:bookmarkEnd w:id="58"/>
    <w:r>
      <w:rPr>
        <w:rFonts w:cs="Arial"/>
        <w:sz w:val="16"/>
        <w:szCs w:val="20"/>
      </w:rPr>
      <w:tab/>
      <w:t xml:space="preserve">Date of Audit: </w:t>
    </w:r>
    <w:bookmarkStart w:id="59" w:name="AuditStartDate1"/>
    <w:r>
      <w:rPr>
        <w:rFonts w:cs="Arial"/>
        <w:sz w:val="16"/>
        <w:szCs w:val="20"/>
      </w:rPr>
      <w:t>12 April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