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Whalan Lodge Trust - Whalan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Whalan Lodge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Whalan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May 2018</w:t>
      </w:r>
      <w:bookmarkEnd w:id="7"/>
      <w:r w:rsidRPr="009418D4">
        <w:rPr>
          <w:rFonts w:cs="Arial"/>
        </w:rPr>
        <w:tab/>
        <w:t xml:space="preserve">End date: </w:t>
      </w:r>
      <w:bookmarkStart w:id="8" w:name="AuditEndDate"/>
      <w:r w:rsidR="00A4268A">
        <w:rPr>
          <w:rFonts w:cs="Arial"/>
        </w:rPr>
        <w:t>7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Whalan Lodge is a 14-bed rest home.  The facility is governed by a community trust board.  On the day of the audit there were 13 residents.  Whalan Lodge is managed by a facility manager who has been at the service for six months.  She is supported by a part time clinical nurse manager/registered nurse who has worked at Whalan Lodge for ten months and an assistant manager.  Family and residents interviewed spoke positively about the care and support provided.</w:t>
      </w:r>
    </w:p>
    <w:p w:rsidRPr="00A4268A">
      <w:pPr>
        <w:spacing w:before="240" w:line="276" w:lineRule="auto"/>
        <w:rPr>
          <w:rFonts w:eastAsia="Calibri"/>
        </w:rPr>
      </w:pPr>
      <w:r w:rsidRPr="00A4268A">
        <w:rPr>
          <w:rFonts w:eastAsia="Calibri"/>
        </w:rPr>
        <w:t xml:space="preserve">This certification audit was conducted against the health and disability sector standards and the district health board contract.  The audit process included the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Improvements are required around informing family of incidents, internal audits, the hazard register, human resource documentation, staff training, interventions, monitoring, activities programme, care plan evaluations, medication management, food storage and hot water temperatures.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The staff at Whalan Lodge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and advocacy services is easily accessible to residents and families.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Whalan Lodge has a documented quality and risk management system.  Quality data trends analysis related to incident and accidents, infection control, restraint and complaints are collected.  There are human resources policies including recruitment, job descriptions, selection, orientation and staff training and development.  The service has an orientation programme that provides new staff with relevant information for safe work practice.  There is an annual in-service training calendar schedule.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nurse manager takes primary responsibility for managing entry to the service.  Comprehensive service information is available.  The clinical nurse manager completes initial assessments, including interRAI assessments and complete care plans and evaluations.  Care plans are clearly written, and caregivers report they are easy to follow.  Residents interviewed confirmed they were involved in the care planning and review process.  The residents’ files evidenced individual activities were provided either as a group or on a one-on-one basis. </w:t>
      </w:r>
    </w:p>
    <w:p w:rsidRPr="00A4268A" w:rsidP="00621629">
      <w:pPr>
        <w:spacing w:before="240" w:line="276" w:lineRule="auto"/>
        <w:rPr>
          <w:rFonts w:eastAsia="Calibri"/>
        </w:rPr>
      </w:pPr>
      <w:r w:rsidRPr="00A4268A">
        <w:rPr>
          <w:rFonts w:eastAsia="Calibri"/>
        </w:rPr>
        <w:t>There are medication management policies in place.  Staff responsible for medicine management have current medication competencies.  There were no residents who self-administer medicines at the facility.</w:t>
      </w:r>
    </w:p>
    <w:p w:rsidRPr="00A4268A" w:rsidP="00621629">
      <w:pPr>
        <w:spacing w:before="240" w:line="276" w:lineRule="auto"/>
        <w:rPr>
          <w:rFonts w:eastAsia="Calibri"/>
        </w:rPr>
      </w:pPr>
      <w:r w:rsidRPr="00A4268A">
        <w:rPr>
          <w:rFonts w:eastAsia="Calibri"/>
        </w:rPr>
        <w:t>There is a kitchen and on-site staff that provide the food service.  Residents spoke positively about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Whalan Lodge has a current building warrant of fitness.  There is reactive and preventative maintenance at the facility.  </w:t>
      </w:r>
    </w:p>
    <w:p w:rsidRPr="00A4268A">
      <w:pPr>
        <w:spacing w:before="240" w:line="276" w:lineRule="auto"/>
        <w:rPr>
          <w:rFonts w:eastAsia="Calibri"/>
        </w:rPr>
      </w:pPr>
      <w:r w:rsidRPr="00A4268A">
        <w:rPr>
          <w:rFonts w:eastAsia="Calibri"/>
        </w:rPr>
        <w:t xml:space="preserve">Residents’ rooms are of sufficient space to allow services to be provided and for the safe use and manoeuvring of mobility aids.  Residents are able to access areas for privacy, if required.  Furniture is appropriate to the setting and arranged to allow residents to mobilise. </w:t>
      </w:r>
    </w:p>
    <w:p w:rsidRPr="00A4268A">
      <w:pPr>
        <w:spacing w:before="240" w:line="276" w:lineRule="auto"/>
        <w:rPr>
          <w:rFonts w:eastAsia="Calibri"/>
        </w:rPr>
      </w:pPr>
      <w:r w:rsidRPr="00A4268A">
        <w:rPr>
          <w:rFonts w:eastAsia="Calibri"/>
        </w:rPr>
        <w:t xml:space="preserve">There is a designated laundry, which includes storage of cleaning and laundry chemicals.  There are emergency procedures in place and the service has sufficient supplies for use in an emergency.  Communal living areas and resident rooms are appropriately heated and ventilated.  Residents have access to natural light in their rooms and in communal areas.  External garden areas are available with suitable pathways, seating and shade provided.  Smoking is only permitted in a designated external area.  </w:t>
      </w:r>
    </w:p>
    <w:p w:rsidRPr="00A4268A">
      <w:pPr>
        <w:spacing w:before="240" w:line="276" w:lineRule="auto"/>
        <w:rPr>
          <w:rFonts w:eastAsia="Calibri"/>
        </w:rPr>
      </w:pPr>
      <w:r w:rsidRPr="00A4268A">
        <w:rPr>
          <w:rFonts w:eastAsia="Calibri"/>
        </w:rPr>
        <w:t>A civil defence/emergency plan is documented for the service.  There is a first aid trained staff member on duty at all times.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Whalan Lodge has restraint minimisation and safe practice policies and procedures in place.  On the day of audit there were no residents using any restraints or enablers.  Staff receive training around restraint minimisation and the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also as part of the ongoing in-service education programme.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7</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40"/>
        <w:gridCol w:w="1280"/>
        <w:gridCol w:w="91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four care staff (one clinical nurse manager, registered nurse (RN), one caregiver, one carer support and one cook) confirmed their familiarity with the Code (link 1.2.7.5).  Seven residents and three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written consents are obtained on admission.  Specific consents are obtained for specific procedures such as influenza vaccine.  All five resident files contained signed general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Advance directives were signed for separately identifying the resident’s wishes for end of life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caregivers (CG)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Three family and seven residents interviewed confirmed they have been made aware of and fully understand informed consent processes and that appropriate information had been provided.</w:t>
            </w:r>
          </w:p>
          <w:p w:rsidR="00EB7645" w:rsidRPr="00BE00C7" w:rsidP="00BE00C7">
            <w:pPr>
              <w:pStyle w:val="OutcomeDescription"/>
              <w:spacing w:before="120" w:after="120"/>
              <w:rPr>
                <w:rFonts w:cs="Arial"/>
                <w:b w:val="0"/>
                <w:lang w:eastAsia="en-NZ"/>
              </w:rPr>
            </w:pPr>
            <w:r w:rsidRPr="00BE00C7">
              <w:rPr>
                <w:rFonts w:cs="Arial"/>
                <w:b w:val="0"/>
                <w:lang w:eastAsia="en-NZ"/>
              </w:rPr>
              <w:t>All five resident files reviewed had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identifies who the resident can contact to access advocacy services.  Staff interviewed were aware of the right for advocacy and how to access and provide advocate information to residents if needed (link 1.2.7.5).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and procedures are in place.  Residents/family can lodge formal or informal complaints through verbal and written communication, resident meetings, and complaint forms.  Information on the complaints forms includes the contact details for the Health and Disability Advocacy Service.  Complaints forms are available at the entrance.  The service has a complaint’s register.  No complaints have been received since the previous audit.  A complaints procedure is provided to residents within the information pack at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a manager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Residents and relatives interviewed reported that residents are able to choose to engage in activities and access community resources.  There is an abuse and neglect policy in place, however training has not been provided to staff in the last 2 years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There is a Māori health plan.  On the day of the audit there were no residents that identified as Māori.  Discussions with staff confirmed that they are aware of the need to respond with appropriate cultural safety (link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and risk management system has been designed to monitor contractual and standards compliance and the quality of service delivery in the facility.  Staffing policies include pre-employment, the requirement to attend orientation and ongoing in-service training (link 1.2.7.5).  The facility manager and clinical nurse manager/RN share the responsibility for coordinating the internal audit programme.  Monthly staff/quality meetings and four-monthly residents’ meetings are conducted.  Residents and relatives interviewed spoke positively about the care and support provided.  Staff interviewed stated that they feel supported by the facility manager, clinical nurse manager/RN and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Residents and relatives interviewed confirmed that the staff and management are approachable and available.  Ten accident/incident forms reviewed identified that family were not always notified following a resident incident.  Families are invited to attend the four-monthly resident/relative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is governed by a community trust board, which includes seven board members.  Whalan Lodge is a 14-bed rest home.  On the day of the audit, there were 12 residents under the aged related residential care (ARRC) contract and one resident under a palliative care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Whalan Lodge facility manager has been in the position since September 2017.  She has a background in hospitality and human resources management.  The facility manager (FM) reports to the governing board monthly on a variety of topics relating to quality and risk management.  The facility manager is supported by a clinical nurse manager/RN who has been in the role for 10 months.  They are supported by an assistant manager/carer support/relief cook, a casual RN, care staff, the trust board and volunteer members of the community.  The service has a current strategic and business plan, which includes a philosophy of care, and a current quality and risk management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eight hours of professional development in relation to managing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in the event of her temporary absence the assistant manager fills the role with support from the RNs and other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has a documented quality and risk management system.  The facility managers’ monthly report to the board of trustee’s covers staffing, resident occupancy, accident/incident data, and any complaints/compliments.  There are policies and procedures implemented to provide assurance that the service is meeting accepted good practice and adhering to relevant standards, including those standards relating to the Health and Disability Services (Safety) Act 2001.  The service has in place a range of policies and procedures to support service delivery that are developed by an external consultant and reviewed regularly.  Staff interviewed confirmed they are made aware of new/reviewed policies.  Quality data analysis related to incident and accidents, infection control, restraint and complaints are collected.  Monthly staff/quality meeting minutes included discussion around quality data analysis and what actions were required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internal audit calendar schedule in place, however not all internal audits for 2017 and 2018 had been completed as per the required schedule.  Corrective actions required for internal audits that are not compliant have not been fully completed or signed off.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system in place including policies to guide practice.  Health and safety is discussed at the monthly staff/quality meeting.  Hazard identification forms are completed for any accidents or near misses, however there was no documented hazard register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resident/relative satisfaction survey was completed in June 2017, all residents/relatives surveyed were satisfied with the quality of the service being provided.  Fall prevention strategies are in place that include the analysis of falls accident/incidents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that includes definitions and outlines responsibilities.  Ten accident/incident forms were reviewed for March and April 2018.  All document timely RN review and follow-up, however neurological observations were not fully completed for two resident falls that resulted in a potential head injury (link 1.3.6.1).  Ten of ten incident forms did not have documented evidence of notification to next of kin (link 1.1.9.1).  Discussions with the facility 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reviewed (one facility manager, one clinical nurse manager/RN, one caregiver, one carer support and one cook) included evidence of the recruitment process including police vetting, signed employment contracts and job descriptions.  Missing was evidence of completed orientation checklists, annual performance and appraisals reference checks.  A current practising certificate was sighted for the clinical nurse manager/RN.  The two RNs have completed interRAI training.  The service has an orientation programme in place to provide new staff with relevant information for safe work practice.  There is an annual in-service training calendar schedule, however there was no documented evidence of eight hours annual training being completed for all staff in 2017.  Discussion with the caregivers confirmed that monthly in-service training was not completed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rostering, and skill mix policy is in place.  Staff are rostered on to manage the care requirements for the 13 residents in the rest home.  The facility manager is available from Monday to Friday.  The clinical nurse manager works (between 24-26 hours per week) on Monday, Wednesday and Friday.  Senior caregivers share the 24/7 on call duty with support from a designated RN as required.  There is one caregiver on full shifts for the morning, afternoon and night shifts.  They are supported by a carer support who works from 7.00 am to 1.30 pm and one from 4.00 pm to 7.00 pm.  Interviews with caregivers, relatives and residents confirm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Information packs are provided for families and residents prior to admission.  Admission agreements reviewed align with contractual requirements.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appropriate communication between families and other providers in the residents’ files that demonstrated transition, exit, discharge or transfer plans were communicated, when required.  Transition, exit, discharge, or transfer form/letters/plan were located in residents' files sampled, where this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reported that prescribed medications were delivered to the facility and checked by her on entry.  The medication area evidenced an appropriate and secure medicine storage and dispensing system.  The medication fridge temperatures were not reviewed or recorded.  Controlled drugs are stored appropriately but weekly checks have not occurred.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authorised to administer medicines had current competencies.  Medication training was last completed January 2017.  The medication round was observed and evidenced appropriate practices were followed.  Administration records were maintained in files sampled.  All administration charts corresponded with prescriptions.  Specimen signatures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All ten medication charts sampled had photo identification, medicine charts were legible and discontinued medicines were dated and signed by the GPs.  However, ‘as required’ (PRN) medication was identified for individual residents but not always correctly prescribed, and three-monthly medicine reviews were not consistently documented as completed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medicine charts recorded all medications a resident was taking (including name, dose, frequency and route to be given), but not every medication had an individual signature and not every chart had allergies documented.  One resident was having warfarin administered but prescribing practices did not meet medication guidelines.  There were no residents self-administering medicines at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policies and procedures are appropriate to the service setting.  There is a rotating seasonal menu that was reviewed by the dietitian in November 2016.  The cooking is completed by the kitchen manager, volunteers and care staff.  The kitchen manager has completed food safety training.  There is evidence the staff have read the food service policies and procedures.  Fridge, dishwasher, freezer and food temperatures are monitored.  Not all dry food is stored appropriately.  All surfaces in the kitchen meet infection control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the kitchen manager and care staff confirmed they were aware of the residents’ individual dietary needs.  There were copies of the residents' dietary profiles in the kitchen.  The kitchen staff are informed if resident's dietary requirements change, confirmed at interview with the kitchen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demonstrated monthly monitoring of individual resident's weight.  In interviews, residents stated they were satisfied with the food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to inform potential residents and family, in an appropriate manner, of the reasons why the service had been declined would be implemented, if required.  The potential residents would be declined entry if not within the scope of the service or if a bed was not available.  The resident would be referred back to the referring service as reported by the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reviewed identified the residents' needs, outcomes and goals were identified via the assessment process and recorded in files sampled.  The facility has processes in place to seek information from a range of sources.  All residents had current interRAI assessments and care plans addressed some identified needs (link 1.3.5.2).</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and family confirmed their involvement in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sampled the residents’ care plans were personalised to reflect the residents ADL’s.  However, the care plan interventions did not always reflect the assessments and the level of care required.  Short-term care plans were available and used for acute changes in care.  They were signed off by the RN when problems were resolved in files sampled with a short-term care plan.  In interviews, staff reported they received adequate information for continuity of residents’ care.  The residents had input into their care planning and review, confirmed at resident and family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sampled, evidenced some interventions based on assessed needs, desired outcomes or goals of the residents (link 1.3.5.2).  The GP documentation and records were current in files sampled.  In interviews, residents and family confirmed their and their relatives’ current care and that treatment met their needs.  Nursing progress notes and observations charts are not maintained for all monitoring required.  Interviewed staff confirmed they were familiar with the current interventions of the resident they were allocated.</w:t>
            </w:r>
          </w:p>
          <w:p w:rsidR="00EB7645" w:rsidRPr="00BE00C7" w:rsidP="00BE00C7">
            <w:pPr>
              <w:pStyle w:val="OutcomeDescription"/>
              <w:spacing w:before="120" w:after="120"/>
              <w:rPr>
                <w:rFonts w:cs="Arial"/>
                <w:b w:val="0"/>
                <w:lang w:eastAsia="en-NZ"/>
              </w:rPr>
            </w:pPr>
            <w:r w:rsidRPr="00BE00C7">
              <w:rPr>
                <w:rFonts w:cs="Arial"/>
                <w:b w:val="0"/>
                <w:lang w:eastAsia="en-NZ"/>
              </w:rPr>
              <w:t>Wound care management, treatment and review is based on documented assessment findings.  This was evident in the files reviewed of three residents with current wounds.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 service had not had a staff member specifically employed to provide activities for several months.  A variety of volunteers visit, but these are not always regular.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family and staff confirmed the activities programme included input from external agencies and supported ordinary unplanned/spontaneous activities including festive occasions and celebrations.  There were current, individualised activities assessments and care plans in three of five residents’ files.  These were not reviewed six monthly.  The residents’ activities attendance records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Timeframes in relation to care planning evaluations are documented.  The residents' files evidenced the residents' care plans were up-to-date and reviewed six monthly but did not consistently record the degree of achievement to the intervention provided and progress towards meeting the desired outcomes.  In interviews, residents and family confirmed their participation in care plan evaluations.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progress records were entered on each shift in each file sampled.  When resident’s progress was different than expected, the registered nurse (RN) contacts the GP, as required.  Short-term care plans were in some of the residents’ files, used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processes are in place to provide choices to residents in accessing or referring to other health and/or disability services.  This included referrals to DHB specialists in files sampled.  Family communication sheets confirmed family involvement.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All chemicals were labelled with manufacturer labels.  There is a designated area for storage of cleaning/laundry chemicals and they are stored securely.  Material safety datasheets and product user charts are available and accessible for staff.  Staff receive training and education to ensure safe and appropriate handling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There was provision and availability of protective clothing and equipment that was appropriate to the recognised risks, and used by staff.  Interviews with caregivers confirmed management of waste and chemicals, infection control policies and specific tasks/duties for which protective equipment is to be worn.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and expires on 26 August 2018.  There is reactive and preventative maintenance in place.  There is a current test and tag programme of electrical equipment and current calibration of clinical/medical equipment.  Interviews with staff and observation of the facility confirmed there was adequate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 monitoring has not been conducted or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areas at the facility for residents and visitors to meet and areas that provide privacy when required.  There are outside areas where residents can sit with outside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Floor surfaces are appropriate, corridors allow residents to pass each other safely and there is sufficient space to allow the safe use of mobility equipment.  Hand rails are appropriately located in the hallways.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toilets/bathing facilities located at the facility.  Visitors’ toilet and communal toilets are conveniently located and have a system that indicates if it is engaged or vacant.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reported that there are sufficient toilets and showers.  Fixtures, fittings, and floor and wall surfaces are of accepted material for cleaning purposes.  Alcohol hand cleaners were available throughout the facility and at the front door for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all bedrooms to allow residents and staff to move around within the room safely.  Residents interviewed all spoke positively about their rooms.  Rooms are personalised.  Hallways and communal areas allow wheelchair access.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dining room, lounge and balcony for residents use with appropriate setting arranged.  Residents are able to mobilise freely in these areas.  Residents are able to access areas for privacy, if required.  The lounge area was able to be used for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for management of laundry and cleaning practices.  The caregivers are responsible for the laundry.  Residents and family members confirmed satisfaction with laundry and cleaning services.  The sluice is in the laundry.  There is a designated area for the secure storage of cleaning and laundry chemicals.  Laundry and cleaning processes are monitored for effectiveness via the internal audit programme (link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emergency/disaster management plans in place to ensure health, civil defence and other emergencies are included.  Six monthly fire evacuation drills are completed with the last fire evacuation drill occurring on 19 April 2018.  There is a civil defence kit and pandemic/outbreak supplies available in the facility that are checked six monthly.  Fire training and security situations are part of the orientation for new staff.  There are adequate supplies in the event of a civil defence emergency including dry sufficient food, water, blankets and alternate gas cooking (BBQ and gas hobs in the kitchen).  Short-term back-up power (battery bank) for four hours emergency lighting is in place.  There is a first aid trained staff member on duty 24/7.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adequate natural light, safe ventilation, and an environment that is maintained at a safe and comfortable temperature.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stores are appropriately placed for warmth of the facility, heat pumps are available in lounge areas and the resident bedrooms have a heater available.  The service also has wood burners.  Family and residents interviewed confirmed the facilities were maintained at an appropriate temperature.  There is a designated external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Whalan Lodge has an established infection control (IC) programme.  The infection control programme, its content and detail, is appropriate for the size, complexity and degree of risk associated with the service.  It is linked into the incident reporting system.  The clinical nurse manager is the designated infection control nurse with support from the assistant manager and staff (infection control team).  Minutes are available for staff.  Audits have been conducted (link 1.2.3.6) and include hand hygiene and infection control practices.  Education is provided for new staff on orientation and annually (link 1.2.7.4 and 1.2.7.5).  The infection control programme was last reviewed in January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at Whalan Lodge is the infection control nurse.  There are adequate resources to implement the infection control programme for the size and complexity of the organisation.  The IC nurse and IC team (comprising the care staff) has good external support from the local laboratory infection control team and IC nurse specialist at the DHB.  The infection control team is representative of the facility.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were developed by an external provider and have been reviewed and updated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not always occurred (12.7.5).  The nurse manager has completed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Whalan Lodge's infection control manual.  Monthly infection data is collected for all infections based on signs and symptoms of infection.  An individual resident infection form is completed, which includes signs and symptoms of infection, treatment, follow-up, review and resolution.  Surveillance of all infections is entered onto a monthly infection summary.  This data is monitored and evaluated monthly and annually.  Outcomes and actions are discussed at infection control meetings, and monthly staff meetings.  If there is an emergent issue, it is acted upon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On the day of audit, the service had no residents using any restraints or enablers.  Staff receive training around restraint minimisation and the management of challenging behaviours, last occurring in April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97"/>
        <w:gridCol w:w="1280"/>
        <w:gridCol w:w="3502"/>
        <w:gridCol w:w="2478"/>
        <w:gridCol w:w="19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Ten accident/incident forms were reviewed.  Ten of ten incident forms did not have documented evidence of notification to next of kin/family.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were reviewed in total.  Ten of ten incident forms did not have documented evidence of notification to next of kin.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documentation reflects that next of kin are notified of any resident incidents/accidents.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internal audit calendar in place, however not all internal audits for 2017 and 2018 had been completed as per the required schedule.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documented evidence of internal audits being completed as per the required schedule for 34 of 44 internal audits for 2017 and 10 of 21 audits for 2018 year-to-date.  </w:t>
            </w:r>
          </w:p>
          <w:p w:rsidR="00EB7645" w:rsidRPr="00BE00C7" w:rsidP="00BE00C7">
            <w:pPr>
              <w:pStyle w:val="OutcomeDescription"/>
              <w:spacing w:before="120" w:after="120"/>
              <w:rPr>
                <w:rFonts w:cs="Arial"/>
                <w:b w:val="0"/>
                <w:lang w:eastAsia="en-NZ"/>
              </w:rPr>
            </w:pPr>
            <w:r w:rsidRPr="00BE00C7">
              <w:rPr>
                <w:rFonts w:cs="Arial"/>
                <w:b w:val="0"/>
                <w:lang w:eastAsia="en-NZ"/>
              </w:rPr>
              <w:t>ii) Corrective actions required for internal audits that are not compliant, have not been fully completed or signed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all internal audits are completed as per the required schedule.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corrective actions required for internal audits that are not compliant, are fully completed and signed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and risk management system in place including policies to guide practice.  Hazard identification forms are completed for any accidents or near misses, however a current documented hazard register could not be located.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documented hazard register for the facility that includes identified on-going hazards and new hazards could not be located.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documented hazard register in place and this is reviewed regularly.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Recruitment policy and procedures describes the appointment process.  Five staff files selected for review included evidence of the recruitment process including police vetting, signed employment contracts and job descriptions.  Missing was evidence of completed orientation checklists, annual performance appraisals and reference checks.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four of five files did not have documented evidence of completed orientation checklists, two of five did not include an up-to-date annual performance appraisal and four of five did not have reference checks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staff files include completed orientation checklists, annual performance appraisals and reference checks.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in-service training calendar schedule, however there was no documented evidence of eight hours annual training being completed for all staff in 2017.  Discussion with the caregivers confirmed that monthly in-service training was not completed in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documented evidence of eight hours annual training being completed for all staff in 2017.  </w:t>
            </w:r>
          </w:p>
          <w:p w:rsidR="00EB7645" w:rsidRPr="00BE00C7" w:rsidP="00BE00C7">
            <w:pPr>
              <w:pStyle w:val="OutcomeDescription"/>
              <w:spacing w:before="120" w:after="120"/>
              <w:rPr>
                <w:rFonts w:cs="Arial"/>
                <w:b w:val="0"/>
                <w:lang w:eastAsia="en-NZ"/>
              </w:rPr>
            </w:pPr>
            <w:r w:rsidRPr="00BE00C7">
              <w:rPr>
                <w:rFonts w:cs="Arial"/>
                <w:b w:val="0"/>
                <w:lang w:eastAsia="en-NZ"/>
              </w:rPr>
              <w:t>ii) Not all compulsory education has been completed within the required two-year period.  Education not completed includes; abuse and neglect, cultural safety, code of rights, sexuality/intimacy, spirituality/counselling, complaints/open disclosure, nutrition/hydration, and privacy/dignity.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there is eight hours annual training being completed for all staff.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annual education planner is fully implemented, and education is provided to cover all contractual and legal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is delivered and checked by the clinical nurse manager on arrival.  A blister pack storage is used.  All medications are stored safely except that the fridge temperatures are not recorded, and control drug documentation does not meet requirements.  Medication processes do not align with required legislation and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Medication fridge temperatures are not documented as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Weekly controlled drug checks are not documented as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For six of ten medication files sampled, GP three monthly reviews had not been documented as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The prescription on four of ten medication charts sampled had one signature and a bracket to imply the signature applied to all dates and/or medicines prescribed.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Four of ten medication charts did not have indications for use documented for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Allergies were not documented on three of ten medication charts sampled.  </w:t>
            </w:r>
          </w:p>
          <w:p w:rsidR="00EB7645" w:rsidRPr="00BE00C7" w:rsidP="00BE00C7">
            <w:pPr>
              <w:pStyle w:val="OutcomeDescription"/>
              <w:spacing w:before="120" w:after="120"/>
              <w:rPr>
                <w:rFonts w:cs="Arial"/>
                <w:b w:val="0"/>
                <w:lang w:eastAsia="en-NZ"/>
              </w:rPr>
            </w:pPr>
            <w:r w:rsidRPr="00BE00C7">
              <w:rPr>
                <w:rFonts w:cs="Arial"/>
                <w:b w:val="0"/>
                <w:lang w:eastAsia="en-NZ"/>
              </w:rPr>
              <w:t>vii)The warfarin dosage is a verbal instruction given by the practice nurse to a staff member on duty who documents the dose to be administered and the INR on a form.  There was no doctor’s signature.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medication fridge temperatures are taken and recorded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weekly controlled drug checks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three monthly GP medication reviews occur and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each medication on a chart has an individual signature and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Ensure indications for use are documented by the prescriber for all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Ensure allergies are documented for every resident.  </w:t>
            </w:r>
          </w:p>
          <w:p w:rsidR="00EB7645" w:rsidRPr="00BE00C7" w:rsidP="00BE00C7">
            <w:pPr>
              <w:pStyle w:val="OutcomeDescription"/>
              <w:spacing w:before="120" w:after="120"/>
              <w:rPr>
                <w:rFonts w:cs="Arial"/>
                <w:b w:val="0"/>
                <w:lang w:eastAsia="en-NZ"/>
              </w:rPr>
            </w:pPr>
            <w:r w:rsidRPr="00BE00C7">
              <w:rPr>
                <w:rFonts w:cs="Arial"/>
                <w:b w:val="0"/>
                <w:lang w:eastAsia="en-NZ"/>
              </w:rPr>
              <w:t>vii) Ensure warfarin is managed safely and a doctor signs for each changed prescription.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observed to be clean and tidy.  Staff conduct kitchen cleaning and sign off when this is completed.  Interview with the cook confirmed they have conducted food safety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Opened dry goods and cereals were not stored in sealed containers.  Decanted food was not 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food storage complies with legislation.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five resident files had a long-term care plan that addressed some of each resident’s identified issues.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five resident files sampled did not document interventions for all identified needs.  Examples included diabetes management, UTI, warfarin management, pain management behaviour and falls management.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have documented interventions for all identified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needs are partially documented in care plans (link 1.3.5.2).  There was evidence of monitoring of weights, bowel charts and pulse and blood pressure.  Behaviour monitoring of one resident had not occurred and neuro observations for two residents with potential head injuries had not been completed.  Residents on pain relief for acute pain did not have the effectiveness of the given pain-relief medication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five resident files sampled did not have the effectiveness of ‘as required’ pain relief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resident that has behaviours that challenge did not have any behaviour monitoring and two residents with a potential knock to the head did not have neuro observations taken.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 effectiveness of ‘as required’ medications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residents with challenging behaviours have these monitored and a potential hit to the head have neuro observations taken.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 service had an activities programme that was provided by volunteers.  There was no staff member delegated to oversee the activities, and interviews reported that volunteers are sometimes unable to meet the schedule requirements.  Not all residents had activities assessments and plans and not all plans had been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is no staff member designated to provide activities and interviews with residents and families indicated neutrality or discontent with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Two of five resident files sampled did not have an activities assessment or plan documented. </w:t>
            </w:r>
          </w:p>
          <w:p w:rsidR="00EB7645" w:rsidRPr="00BE00C7" w:rsidP="00BE00C7">
            <w:pPr>
              <w:pStyle w:val="OutcomeDescription"/>
              <w:spacing w:before="120" w:after="120"/>
              <w:rPr>
                <w:rFonts w:cs="Arial"/>
                <w:b w:val="0"/>
                <w:lang w:eastAsia="en-NZ"/>
              </w:rPr>
            </w:pPr>
            <w:r w:rsidRPr="00BE00C7">
              <w:rPr>
                <w:rFonts w:cs="Arial"/>
                <w:b w:val="0"/>
                <w:lang w:eastAsia="en-NZ"/>
              </w:rPr>
              <w:t>(iii) Three of three residents with activities plans had not had these reviewed for more than 12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staff with hours dedicated to activities develop and implement an activity plan that meets the needs and interests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(ii) – (iii) Ensure all residents have an activities assessment and plan and this is reviewed at least 6-monthly with the care plan review</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evaluations are conducted six monthly, however the evaluations did not always record the degree of achievement towards meeting the residents’ desired outcomes.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five care plan evaluations do not consistently record the degree of achievement to the intervention provided and progress towards meeting the desired outcomes.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 evaluations did not document progress toward goals.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routinely undertaken testing and tagging of electrical equipment and has had all medical equipment serviced and/or calibrated.  Not water temperature monitoring has not been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of monitoring or recording of hot water temperatures.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hot water temperatures are monitored and recorded regularly.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Whalan Lodge Trust - Whalan Lodge</w:t>
    </w:r>
    <w:bookmarkEnd w:id="58"/>
    <w:r>
      <w:rPr>
        <w:rFonts w:cs="Arial"/>
        <w:sz w:val="16"/>
        <w:szCs w:val="20"/>
      </w:rPr>
      <w:tab/>
      <w:t xml:space="preserve">Date of Audit: </w:t>
    </w:r>
    <w:bookmarkStart w:id="59" w:name="AuditStartDate1"/>
    <w:r>
      <w:rPr>
        <w:rFonts w:cs="Arial"/>
        <w:sz w:val="16"/>
        <w:szCs w:val="20"/>
      </w:rPr>
      <w:t>7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