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Greenwich Gardens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Greenwich Gardens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May 2018</w:t>
      </w:r>
      <w:bookmarkEnd w:id="7"/>
      <w:r w:rsidRPr="009418D4">
        <w:rPr>
          <w:rFonts w:cs="Arial"/>
        </w:rPr>
        <w:tab/>
        <w:t xml:space="preserve">End date: </w:t>
      </w:r>
      <w:bookmarkStart w:id="8" w:name="AuditEndDate"/>
      <w:r w:rsidR="00A4268A">
        <w:rPr>
          <w:rFonts w:cs="Arial"/>
        </w:rPr>
        <w:t>24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Metlifecare Greenwich Gardens Care Home (Greenwich Gardens) provides rest home and hospital level care for up to 48 residents. The service is operated by Metlifecare Limited and clinical services are managed by a nurse manager who has been in the role since the care home was being built and was opened in July 2017. The nurse manager reports to the village manager who takes overall responsibility for all services offered at the facility. The clinical quality and risk manager from Metlifecare senior management team supported the nurse manager on the days of audit.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contracted allied health providers (the physiotherapist and occupational therapist) and a general practitioner.  </w:t>
      </w:r>
    </w:p>
    <w:p w:rsidRPr="00A4268A">
      <w:pPr>
        <w:spacing w:before="240" w:line="276" w:lineRule="auto"/>
        <w:rPr>
          <w:rFonts w:eastAsia="Calibri"/>
        </w:rPr>
      </w:pPr>
      <w:r w:rsidRPr="00A4268A">
        <w:rPr>
          <w:rFonts w:eastAsia="Calibri"/>
        </w:rPr>
        <w:t>This audit has resulted in three areas of continuous improvement related to continuity of service delivery, falls management and nutrition. No areas were identified for improvements.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interacted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values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Residents can access all village facilities. There is a current code of compliance. Electrical and medical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a restraint free environment. No enablers or restraints were in use at the time of audit.  Policy and procedures include a comprehensive assessment, approval and monitoring process with regular reviews should restraint be implemented. Policy identifies that the use of enablers is voluntary for the safety of residents in response to individual requests. Staff demonstrated a sound knowledge and understanding of the restraint and enabler processes. All clinical staff have attended restraint education in the last 12 months.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62"/>
        <w:gridCol w:w="1280"/>
        <w:gridCol w:w="89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  There are different inside and outside areas of the facility that residents with visitors can utilise, other than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Information is on display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For three of the complaints actions taken, through to an agreed resolution, are documented and completed within the timeframes.  One complaint received in May 2018 remains open, but actions taken to date are documented with a family meeting organised. Action plans show any required follow up and improvements have been made where possible.  The nurse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discussion with staff.  The Code is displayed in the main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and/or share a room with their spouse with their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participation in clubs of their choosing, and choosing from the meal plan.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whanau.  The senior registered nurse interviewed reported that there are currently no residents who affiliates with their Maori culture. There are no barriers in supporting residents who are admitted to the facility who identify as Māori.  There is a specific current Māori health plan, and all values and beliefs are acknowledged with the support of the Te Whare Tapa Wha model and integrated into long-term care plans with input from cultural advisers within the local community as required.  With the resident’s consent a referral form is completed and sent to the local rohe for ongoing support.  Guidance on tikanga best practice is available and is supported by staff who identify as Māori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verified that they were consulted on their individual culture, values and beliefs and that staff respected these. Resident’s personal preferences, required interventions and special needs were included in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knocking on resident’s doors before entering and general day to day conversations observed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Throughout the facility there are suggestion boxes with feedback forms to support compliments and complaints and this information is also provided in information packs to new residents and their families.   The noticeboard in the residents’ lounge/dining area provided contact details for the supporting advocate, telephone interpreting services and local iwi contact specific to the facility’s local community.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There are five residents residing at the facility who have a significant sensory loss.  Specialised equipment and community support services have been provided to encourage and maintain their independence and external support.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and site specific strategic and business plans, which are reviewed annually, outline the purpose, values, scope, direction and goals of the organisation. The documents describe annual and longer-term objectives and the associated operational plans. A sample of quarterly reports to the senior clinical management group who report to the board of directors showed adequate information to monitor performance is reported including financial performance, quality outcomes,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nurse manager who has a current annual practising certificate and holds relevant qualifications and is experienced in aged care. The nurse manager has been in the role for 13 months. The nurse manager reports directly to the village manager who has overall responsibility for services provided and has been in the role for over three years.  Responsibilities and accountabilities are defined in a job description and individual employment agreement.  The nurse manager and village manager confirmed their knowledge of the sector, regulatory and reporting requirements and maintain currency through ongoing education in clinical and management sectors.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an Age Related Residential Care (ARRC) contract with Waitemata District Health Board for respite, hospital, medical and rest home level care. All 43 residents were receiving services under the ARRC contract (23 rest home level care and 20 hospital level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village manager is away, the village coordinator and nurse manager undertake this role. When the nurse manager is away the role is covered by a senior registered nurse who carries out all the required duties under delegated authority with support from the village manager and the clinical quality and risk manager from the Metlifecare senior management team. All the above-named staff are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infection control benchmarking, an annual resident/family satisfaction survey undertaken by an independent company, monitoring of outcomes, clinical incidents including infections, wounds, pressure injuries and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head of departments meetings, management/quality and risk team meetings and staff meetings. Reports presented at the meetings include infection control, health and safety, restraint, activities, complaints, audits, resident directed care, staff education, clinical indicators, projects and initiatives and incident and accident data.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audit activities, involvement in projects and initiatives and implementation and reporting of outcomes for corrective actions put in place. Relevant corrective actions are developed and implemented to address any shortfalls. Resident and family satisfaction surveys are completed by an independent company annually. The facility was opened in June 2017 and 2018 results were not yet available at the time of audit. However, any issues raised by residents are addressed promptly as identified in documentation sighted and confirmed during resident and family interviews. One example identified education being put in place for contracted staff to ensure they maintain a high standard of communication with residents when they are providing cares.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Staff can access policies and procedures electronically and in hard copy. All policies sighted at the facility were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members of the health and safety committee described the processes for the identification, monitoring, review and reporting of risks and development of mitigation strategies. Both the village manager and nurse manager are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reviewed daily by the senior registered nurse and reported to the nurse manager. Incidents and accidents are recorded electronically and discussed at two monthly senior management meetings and information is shared at board level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clinical quality and risk manager described essential notification reporting requirements, including for pressure injuries. This information is clearly set out in policy. They advised there have been five section 31 notifications to the Ministry of Health. Four related to pressure injuries (three non-facility acquired), and one related to a sudden death. The coroner’s inquest confirmed that Greenwich Gardens are not an interested party to the investigation and this has been closed for the facility. Notifications for a gastrointestinal outbreak was notified to public health in August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police investigations or issues-based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 documentation of completed orientation and a performance review after a three-month period.  Annual staff appraisals are up to date.</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are about to commence a New Zealand Qualification Authority education programme to meet the requirements of the provider’s agreement with the DHB. A staff member is the internal assessor for the programme.  There are six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24/7 RN coverage in the care unit.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works Monday to Friday 8.30am to 5pm and is on call. The senior registered nurse works five days a week covering Tuesday to Saturday (8-hour shifts) and is on call. Laundry and cleaning staff cover seven days a week. Activities are undertaken Monday to Friday 8am to 4.30pm. The receptionist works 9am to 5.30pm Monday to Friday. Staff in the care facility do not respond to village call bells as the village have dedicated staff who do this. Maintenance and kitchen staff are employed by the village but work across both the village and the care unit. There is a contracted physiotherapist and occupational therapist who work regular hours and on call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(see criterion 1.3.3.4).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the use of the yellow transfer form and supporting documents and communication between the GP, care home, hospital and family.  Family of the resident reported being kept well informed during the transfer of their relative.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 with the last controlled drug audit completed 31 December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and separate specimen fridge and the medication room reviewed were within the recommended range.   The facility offers flu vaccines; however, all vaccines are provided by an external source and no vaccines are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The facility does not use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food services manager and is in line with recognised nutritional guidelines for older people.  The menu provided is seasonal (currently autumn) and was last reviewed by a qualified dietitian in March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was graded an A passing with percentage of 97.   Registration was issued by the Auckland Council and expires 9 May 2019.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kitchen manager visits the resident at the time of admission and provides ongoing support as required.  The personal food preferences, any special diets and modified texture requirements are made known to kitchen staff and accommodated in the daily meal plan.   Evidence of resident satisfaction with meals was verified by resident and family interviews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as a means to identify any deficits and to inform care planning. The sample of care plans reviewed had an integrated range of resident-related information.  All residents have current interRAI assessments completed by one of six trained interRAI assessors on site with one registered nurse booked to commence training in July 2018.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very good.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(whom is currently away on extended leave).  The programme is currently overseen and supported by an occupational therapist who visits the facility weekly and supports the care staff and supporting bureau staff member who has prior experience as an activities co-ordinator and supports the residents Monday to Friday 7 hours a day.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The facility encourages the socialising of all residents (rest home and hospital level care) in the care home and village with activities often integrated and supported in both areas of the village and community outings offered.  The facility’s activities programme is also initiated and supported by regular volunteers some of whom reside in the village and care home providing support with the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A copy of the activities calendar is provided to each pod unit and a copy is also provided to each resident in large print.   Residents and families/whānau are involved in evaluating and improving the programme through residents’ meetings and day to day discussions. Residents interviewed confirmed they find the programme excellent.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dietician, physiotherapist and wound nurse specialist.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Staff who handle chemicals have completed chemical safety education. An external company is contracted to supply and manage all chemicals and cleaning products and they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code of compliance (expiry date 21 May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(17 May 2018) and calibration of bio medical equipment (16 November 2017) is current as confirmed in documentation reviewed, interviews with maintenance personnel and observation of the environment.  The environment is hazard free, residents are safe and independence is promoted. There is very good storage at the facility which assists in keeping walking areas clear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are happy with the environment and that maintenance is undertaken promptly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two large bathrooms which allow shower trolleys to be used and every bedroom has full ensuite facilities.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There are rooms available with adjoining doors for couples to use. At the time of audit two couples were at the facility. One couple use one room as a bedroom and the adjoining room as their lounge area and the other couple use the individual adjoining rooms as bedrooms with the door kept open. These residents report that the adjoining rooms work very well for them. Rooms are personalised with furnishings, photos and other personal items displayed. All bedroom doors are wide enough for beds and lifting equipment to be used.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Numerous communal areas are available for residents to engage in activities.  Each of the four ‘pods’ have dining and lounge areas which contain cooking facilities so that residents and families can share a meal at any time. Residents have full use of all village facilities. During the audit it was observed that care home residents made frequent use of the facilities available such as the café and the library areas.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well-equipped laundry. Dedicated laundry staff demonstrated a sound knowledge of the laundry processes, dirty/clean flow and handling of soiled linen. Residents interviewed reported the laundry is managed well and their clothes are returned in a timely manner. The physical maintenance of the laundry equipment is contracted and checked regularly. The chemical mixes are monitored by the company who supply the chemicals to ensure correct usage is maintained for optimal cleanliness. A monthly report is sighted by the nurse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Cleaning and laundry staff have undertaken safe chemical handling education within the last year as confirmed during interview and in staff training records.  Chemicals were stored securely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external checks by the chemical provider and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18 May 2017.  A trial evacuation takes place six-monthly with a copy sent to the New Zealand Fire Service, the most recent being on 09 May 2018. No follow-up was required.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requirements for the 48 residents. Water storage tanks are located around the complex. Emergency lighting is regularly tested by an approved provider. As a learning from a near-by sister facility who recently had a power cut for several days, Greenwich Gardens has two additional disaster kits ready to go, should another facility require one for a longer than usual emergency.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 If a call bell is not responded to within four minutes, it is escalated to the senior RN pager. The nurse manager provided evidence that any call not responded to within 10 minutes is fully investigated. Investigation identified that the call bell was not being shown as responded to by staff when the staff member remained in the resident’s bedroom and used the call bell to seek another staff member’s assistance. This is being rectified by the company who installed the call bells. Residents are also offered personal pendants for their use which are also responded to by the same pager system.</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the night porter and a security company make checks of the premises at night. CCTV operates at the care facility reception area and this is monitored at the village reception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23 bedrooms have ranch slider access to a balcony area. There is easy outdoor access from communal areas. Heating is provided by electric central heating with heat pumps in every room.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GP, pharmacy and public health.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registered nurse is the designated IPC coordinator, whose role and responsibilities are defined in a job description. Infection control matters, including surveillance results, are reported monthly to the nurse manager, and tabled at the quality/risk committee meeting.  This committee includes the nurse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is identified throughout the facility requesting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since June 2017.  She has undertaken education in infection prevention and control as verified in training records sighted and is booked to attend upcoming relevant study days.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2017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 example of this occurred with a gastro enteritis outbreak in August 2017.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hotter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87 infections since October 2017.  Two residents have been identified with 14 of the 87 infections due to co-morbidities.  One resident has since deceased. The remaining residents’ files reviewed highlighted short term and long-term care planning to reduce and minimise the risk of infection.   Care staff interviewed demonstrated knowledge of residents who have a higher risk of infections and the interventions required.   Eighty-five percent of residents and 63 percent of staff consented and have had the flu vaccine this year.   Data is benchmarked externally within the group and QPS three monthly. Benchmarking has provided assurance that infection rates in the facility are below average for the sector.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in August 2017 where five residents and one staff member were affected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Greenwich Gardens is a restraint free environment with no enablers or restraints in use at the time of audit. This was confirmed by staff and in the restraint committee meeting minutes and staff meeting minutes. The restraint coordinator provides support and oversight for enabler and restraint management in the facility and demonstrated a sound understanding of the organisation’s policies, procedures and practice and their role and responsibilities. Staff training occurs annually and as part of new staff orientation as confirmed in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identifies that enablers are to be the least restrictive and used voluntarily at the resident’s request following appropriate assessment with the intent of promoting independence, comfort and/or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confirmed that restraint would only be used as a last resort when all alternatives have been explored.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9643"/>
        <w:gridCol w:w="16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July 2017 it was identified that the facility would like to support residents to maintain their independence with food choices and decision making.  This is also in line with the organisation’s vision which is ‘To provide quality innovative and sustainable solutions for the lifestyle and care needs of older people’ and also reflects one of the three strategic goals, which relate to the customer experience, the focus to significantly enhance the food and dining experience, and the optimizing of the whole ‘customer journey’.   Menu sheets are provided to each resident daily, who are then supported to choose what they would like to eat for the following day.  Breakfast consists of different cereals and condiments.  There is the option of having a main meal at lunch or dinner and both meal times provide two meal options including different vegetables and deserts options.  There is also the option of a soft diet and snack choices.  A copy of the menu is then provided to residents, who if they have a memory impairment, are able to self-remind themselves what they have chosen, and visiting family members can also see what the resident has chosen to eat.   The kitchen manager meets and greets all new residents and attends the residents’ meetings.  The meals are provided from one of four pod kitchenettes and are set up to provide a ‘homely experience’.   There has been positive feedback in residents’ meetings with residents and families interviewed stating that they were really happy with the food options provided, and that the menus were a ‘talking point’ when visiting.  The staff interviewed stated that there is a lot less food wastage and the nurse manager reporting that the total cost of the food monthly has been reduced by 20 percent from December 2017 to March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rated continuous improvement by encouraging residents to be supported to maintain their independence with choices in their nutritional needs and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July of 2017 it was identified by staff that they did not have enough detailed relevant information about the resident prior to their admission to ensure that the care that was provided by staff was resident focussed care.  A committee was developed to research different ideas and a staff meeting was held to brainstorm.  A questionnaire was developed and provided to three relatives and three residents in September 2017 with the focus on the existing ‘Know me – don’t change’ me booklet, which was part of the existing information pack, and highlights the resident’s life story, hobbies and interests.  As a result, this booklet has been reviewed and now includes the question ‘My life now’, a question that both residents and families reported as being more relevant to them and what they wanted staff to know.   A summary of this book was then developed for each resident under the headings ‘My morning, my afternoon and my night’.  This summary is a working document and all staff are encouraged to update on a regular basis.  A questionnaire was developed and provided to six staff to review the effectiveness of this summary, the response from the staff was positive.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also, as part of the information pack, created an individual admission letter that is addressed specifically to the resident being admitted.  The letter includes information such as the names of the key registered nurse and caregivers that will be supporting the resident on the day of admission and also invites a family member of the resident to stay the initial night and have a meal to support the transition of the resident into the facility.</w:t>
            </w:r>
          </w:p>
          <w:p w:rsidR="00EB7645" w:rsidRPr="00BE00C7" w:rsidP="00BE00C7">
            <w:pPr>
              <w:pStyle w:val="OutcomeDescription"/>
              <w:spacing w:before="120" w:after="120"/>
              <w:rPr>
                <w:rFonts w:cs="Arial"/>
                <w:b w:val="0"/>
                <w:lang w:eastAsia="en-NZ"/>
              </w:rPr>
            </w:pPr>
            <w:r w:rsidRPr="00BE00C7">
              <w:rPr>
                <w:rFonts w:cs="Arial"/>
                <w:b w:val="0"/>
                <w:lang w:eastAsia="en-NZ"/>
              </w:rPr>
              <w:t>In July of 2017 it was identified by staff that they would like to be more accessible and visual to residents.  This issue raised was also initiated due to the organisation’s vision of ‘a paper-less resident record system’.   The facility supports ‘four pods’ or areas that each support 12 residents.  There is no identified nurses’ station, however each pod has an open work station with access to a laptop (stored securely when not in use).  This allows residents and families to have visual access to staff at all times and for staff to remain in the area and be accessible while completing their documentation.   An electronic system has been implemented to create a paperless system which supports all staff including allied staff to complete progress notes and visits as situations arise and have quick access to accumulated data, for example, resident’s weights and observations and incidents.   Long term care plans and evaluations and wound care management are also electronic; however, staff do have access to a paper copy in the resident’s file.   The facility has provided tiered mobile tables that support the use of laptops to be used and/or accessed, for example, while wound dressings and the taking of observations occur.  A verbal, paper and electronic walking handover occurs which involves a visual check of each resident.  The ease and accessibility of the mobile tables and laptop supports increased satisfaction and productivity by also identifying electronically tasks that are required by staff for that shift.  There have been two questionnaires provided to staff facilitated by information technology staff (IT) with initial and updated training provided to all staff which includes education around the electronic device and the ensuring of privacy of residents’ information.  Training is also included in staff orientation.  A third questionnaire by IT for staff was completed in March 2018 and shows staff satisfaction.  Issues raised such as the need to have 24-hour IT support and the security risk around allied support signing in and out are being currently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two areas of continuous improvement by demonstrating an ongoing review process and increased resident and staff satisfaction with the support and information provided to new residents and their family on admission and the implementation of the paperless system to support a team approach and improved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identified that between August and December of 2017 that there was an increase in falls.  A total of 45 falls were documented with 10 residents in particular having had two or more falls in the prior four weeks.  Results also found that there were 14 falls between the hours of 3 pm and 5 pm and 11 falls between the hours of 3pm and 4 pm.  34 of the 45 falls occurred in residents’ bedrooms and results also highlighted an increase in falls between September and November on a Sunday and Wednesday.  As a result, a corrective action was developed in December of 2017 and interventions were put in to place which included a review of all long-term care plans and equipment.  All residents identified were reviewed by the physiotherapist, and the gerontology nurse specialist was also involved.  The visual staff handover and use of privacy curtains in resident’s bedrooms were also reviewed for individual residents.  Discreet high fall (shooting star) signs were placed on the relevant residents’ doors and the same shooting stars sign was also placed on the wall by the resident’s bed to guide and ensure staff leave the resident’s bed at the right height for the resident.   An evaluation in January 2018 found that between 3pm and 6 pm falls were reduced from 16 to 5. Another evaluation in February of 2018 found that the number of falls had not reduced, however found that three of the 10 residents last fell in October 2017 and two of the 10 residents last fell in November and December.  The facility investigated further to see if there was a correlation related to falls occurring on a Sunday and Wednesday, however no contributing factors were identified and subsequently were not highlighted as an issue again in further reviews.   The facility continues to focus on reducing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rated as continuous improvement by demonstrating an ongoing review process and increased individual resident safety for falls.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Greenwich Gardens Care Home</w:t>
    </w:r>
    <w:bookmarkEnd w:id="58"/>
    <w:r>
      <w:rPr>
        <w:rFonts w:cs="Arial"/>
        <w:sz w:val="16"/>
        <w:szCs w:val="20"/>
      </w:rPr>
      <w:tab/>
      <w:t xml:space="preserve">Date of Audit: </w:t>
    </w:r>
    <w:bookmarkStart w:id="59" w:name="AuditStartDate1"/>
    <w:r>
      <w:rPr>
        <w:rFonts w:cs="Arial"/>
        <w:sz w:val="16"/>
        <w:szCs w:val="20"/>
      </w:rPr>
      <w:t>23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