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Pembrey Investments Limited - Brooklands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Pembrey Investments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Brooklands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May 2018</w:t>
      </w:r>
      <w:bookmarkEnd w:id="7"/>
      <w:r w:rsidRPr="009418D4">
        <w:rPr>
          <w:rFonts w:cs="Arial"/>
        </w:rPr>
        <w:tab/>
        <w:t xml:space="preserve">End date: </w:t>
      </w:r>
      <w:bookmarkStart w:id="8" w:name="AuditEndDate"/>
      <w:r w:rsidR="00A4268A">
        <w:rPr>
          <w:rFonts w:cs="Arial"/>
        </w:rPr>
        <w:t>23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Brooklands Retirement Village is certified to provide rest home level care for up to 40 residents.  On the day of audit there were 34 residents.  The service is privately owned and overseen by a managing director.  The facility manager is supported by a full time clinical manager.  </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district health board contract.  The audit process included a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The residents, relatives and general practitioner spoke highly of the care and service provided at Brooklands.  The service has a well-established quality system that identifies ongoing quality improvement.</w:t>
      </w:r>
    </w:p>
    <w:p w:rsidRPr="00A4268A">
      <w:pPr>
        <w:spacing w:before="240" w:line="276" w:lineRule="auto"/>
        <w:rPr>
          <w:rFonts w:eastAsia="Calibri"/>
        </w:rPr>
      </w:pPr>
      <w:r w:rsidRPr="00A4268A">
        <w:rPr>
          <w:rFonts w:eastAsia="Calibri"/>
        </w:rPr>
        <w:t xml:space="preserve">This audit identified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staff at Brooklands Retirement Village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Staff interviewed are familiar with processes to ensure informed consent.  Complaints policies and procedures meet requirements and residents and families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Brooklands Retirement Village is certified to provide rest home level care in a 40-bed facility.  Four rooms are able to be used as double rooms but are currently used as single occupancy.  The facility manager is a registered nurse and has been in the role for two years.  She is supported by the managing director, clinical manager, registered nurse and care staff.   Quality management processes are reflected in the businesses plan’s goals, objectives and policies.  A risk management programme is in place, which includes incident and accident reporting and health and safety processes.  Staff document incidents and accidents.  There are human resources policies including recruitment, job descriptions, selection, orientation and staff training and development.  The service has an orientation programme that provides new staff with relevant information for safe work practice.  The service has an annual training schedule for in-service education.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medication competent caregivers are responsible for administration of medicines and complete annual education and medication competencies.  The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diversional therapist provides and implements an interesting and varied activity programme.  The programme includes community visitors, outings and entertainment.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that includes the provision of a non-restraint environment.  There is a documented definition of restraint and enablers that aligns with the definition in the standards.  There is a restraint register and a register for enablers.  There are currently no residents requiring restraints and no residents using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Responsibility for infection control is undertaken by the clinical manager.  The infection control coordinator has attended external education and coordinate education and training for staff.  There is a suite of infection control policies and guidelines to support practice.  Information obtained through surveillance is used to determine infection control activities and education needs within the facility.  There have been two outbreaks which were well managed.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07"/>
        <w:gridCol w:w="1280"/>
        <w:gridCol w:w="93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six care staff (one clinical manager, one registered nurse (RN), three caregivers (CGs) and one activities coordinator) confirmed their familiarity with the Code.  Eight residents and three family members interviewed confirmed the services being provided are in line with the Code.  Code of Rights and advocacy training has been provided in the past two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written consents are obtained on admission.  All resident files contained signed admission agreements.  The current admission agreement complies with all legislation.  </w:t>
            </w:r>
          </w:p>
          <w:p w:rsidR="00EB7645" w:rsidRPr="00BE00C7" w:rsidP="00BE00C7">
            <w:pPr>
              <w:pStyle w:val="OutcomeDescription"/>
              <w:spacing w:before="120" w:after="120"/>
              <w:rPr>
                <w:rFonts w:cs="Arial"/>
                <w:b w:val="0"/>
                <w:lang w:eastAsia="en-NZ"/>
              </w:rPr>
            </w:pPr>
            <w:r w:rsidRPr="00BE00C7">
              <w:rPr>
                <w:rFonts w:cs="Arial"/>
                <w:b w:val="0"/>
                <w:lang w:eastAsia="en-NZ"/>
              </w:rPr>
              <w:t>Resuscitation status had been signed appropriately in files reviewed.  Advance directives were signed for separately identifying the resident’s wishes for end of life care.  An enduring power of attorney form was signed and present where required</w:t>
            </w:r>
          </w:p>
          <w:p w:rsidR="00EB7645" w:rsidRPr="00BE00C7" w:rsidP="00BE00C7">
            <w:pPr>
              <w:pStyle w:val="OutcomeDescription"/>
              <w:spacing w:before="120" w:after="120"/>
              <w:rPr>
                <w:rFonts w:cs="Arial"/>
                <w:b w:val="0"/>
                <w:lang w:eastAsia="en-NZ"/>
              </w:rPr>
            </w:pPr>
            <w:r w:rsidRPr="00BE00C7">
              <w:rPr>
                <w:rFonts w:cs="Arial"/>
                <w:b w:val="0"/>
                <w:lang w:eastAsia="en-NZ"/>
              </w:rPr>
              <w:t>Eight residents and two relatives interviewed confirmed they were informed before signing consents.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prior to entry includes advocacy information.  An advocacy policy and procedure include how staff can assist residents and families to access advocacy services.  Contact numbers for advocacy services are included in the policy, in the resident information folder and in advocacy pamphlets that are available at reception.  Staff were aware of the right for advocacy and how to access and provide advocate information to residents if needed.  Residents and family members interviewed were aware of their access to advocacy services.  An advocate attends monthly residents’ meetings and is available to talk to individual residents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friends were seen visiting on the day of the audit.  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Brooklands staff support ongoing access to the community and entertainers are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 forms are available.  Information about complaints is provided on admission.  The facility manager, clinical manager and the RN operate an ‘open door’ policy.  Residents and relatives confirmed they are aware of the complaints process.  Caregivers interviewed were able to describe the process around reporting complaints.  There were five complaints made in 2017 and two complaints received in 2018 year to date.  Documentation including follow-up letters and resolution and demonstrates that complaints are being managed in accordance with guidelines set by the HDC.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facility manager/RN or clinical manager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Resident meetings have been held providing the opportunity to raise concerns in a group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able to describe the procedures for maintaining confidentiality of resident records, resident’s privacy and dignity.  House rules and a code of conduct is signed by staff at commencement of employment.  </w:t>
              <w:br/>
              <w:t>Church services are held.  Contact details of spiritual/religious advisors are available to staff.  Residents and relatives interviewed confirm the service is respectful.</w:t>
              <w:br/>
              <w:t xml:space="preserve">Residents’ files include their cultural and/or spiritual values when identified by the resident and/or family.  Discussions with residents confirm that they are able to choose to engage in activities and access community resources.  There is a policy on abuse and neglect and staff received training in August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guidelines for the provision of culturally safe services for Māori residents.  There is a Māori health plan which includes cultural values and beliefs.  On the day of audit, there were no residents who identified as Māori.  Interviews with staff confirm they are aware of the need to respond appropriately to maintain cultural safety.  Policies include guidelines about the importance of whānau.  Cultural awareness training has been provided for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planning includes consideration of spiritual, psychological and social needs.  Residents and family members interviewed indicate that they are asked to identify any spiritual, religious and/or cultural beliefs.  The service provides a culturally appropriate service by identifying the individual needs of residents during the admission and care planning process as reported by the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dignity, privacy and boundaries.  All staff have completed training around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facility manager and clinical manager are jointly responsible for coordinating the internal audit programme.  All quality activities are monitored through an online electronic database.  Monthly full staff, combined quality infection control and health and safety meetings and regular residents’ meetings are conducted.  There is a regular in-service education and training programme for staff.  Staff interviewed stated that they feel supported by the facility manager, clinical manager and RNs </w:t>
            </w:r>
          </w:p>
          <w:p w:rsidR="00EB7645" w:rsidRPr="00BE00C7" w:rsidP="00BE00C7">
            <w:pPr>
              <w:pStyle w:val="OutcomeDescription"/>
              <w:spacing w:before="120" w:after="120"/>
              <w:rPr>
                <w:rFonts w:cs="Arial"/>
                <w:b w:val="0"/>
                <w:lang w:eastAsia="en-NZ"/>
              </w:rPr>
            </w:pPr>
            <w:r w:rsidRPr="00BE00C7">
              <w:rPr>
                <w:rFonts w:cs="Arial"/>
                <w:b w:val="0"/>
                <w:lang w:eastAsia="en-NZ"/>
              </w:rPr>
              <w:t>Evidence-based practice is evident, promoting and encouraging good practice.  An RN is on-call when not on-site.  A general practitioner (GP) visits the facility regularly to assure three-monthly reviews are completed and any acute needs are met.  A podiatrist is on-site for six-eight weekly visits.  The service has links with the local community and encourages residents to remain independent.  Residents and relatives interviewed spoke positively about the care and support provided.  The 2017 relative satisfaction survey reflects high levels of satisfaction with the care that 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Communication with family members is recorded on the electronic incident report forms and in the resident daily progress notes.  Twelve incident forms reviewed identify that family were notified following a resident incident.  Three family members interviewed stated they were well informed by phone and email and involved when needed, in residents’ care.  Monthly resident meetings encourage open discussion around the services provided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The residents and family are informed prior to entry of the scope of services and any items they have to pay that is not covered by the agreement.  The information pack is available in large print and can be read to residents who are visually impaired.  An interpreter is provided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Rest Home is part of the Brooklands Retirement Village.  The rest home provides rest home level care to up to 40 residents.  There are four double rooms which are currently occupied as singles.  On the day of audit, there were 34 residents.  All residents were under the age-related contract.  Brooklands is privately owned with a managing director and a facility manager (RN) providing oversight of the service.  The facility manager is supported by a clinical manager who has worked at Brooklands for ten years as a registered nurse.  The registered nurse has been with the service for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2017-2019 business, quality and risk plan developed which aligns with purpose, mission and values of the business.  There was evidence of the annual review of the business plan.  The facility manager lives in close proximity to the rest home and is available 24 hours a day, 5 days a week if necessary.  The facility manager has maintained at least eight hours annually of professional development activities related to managing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in the event of her temporary absence, the clinical manager fills her role with support from the other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Quality goals were documented in the quality meeting minutes.  Policies and procedures are provided by an external consultant.  A system of document control is in place with evidence of regular reviews.  Staff are made aware of any policy changes through staff meetings,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collating of quality and risk data is documented on the electronic database and includes monitoring accidents and incidents, resident satisfaction and infection rates.  An internal audit schedule is implemented.  An electronic corrective action register is maintained, and a form is completed where areas are identified for improvement.  Staff are kept informed regarding results via staff meetings and during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A relative survey was last conducted in June 2017, and included (but not limited to) communication, activities, meals, maintenance and laundry.  The survey summary including concerns and suggestions were documented.  Results were discussed at resident meetings and emailed to family representatives.  Results are also discussed at staff and quality meetings.   Any corrective actions were documented and included evidence of implementation and sign off.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is linked to the annual training plan with additional training offered as issues are identified.  A health and safety programme is in place, which includes managing identified hazards.  Health and safety meetings are incorporated in the quality and staff meetings monthly.  Falls prevention strategies include the analysis of falls events and the identification of interventions on a case-by-case basis to minimise future falls.  Security and safety policies and procedures are in place to ensure a safe environment is provided.  Emergency plans ensure appropriate response in an emergency.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all incident and accident information reported by staff in an electronic database.  Twelve incidents were reviewed for April and May 2018.  Each event involving a resident reflected a clinical assessment and follow up by a registered nurse.  Incident/accident data is linked to the organisation's quality and risk management programme and is used for comparative purposes.  Incidents are benchmarked and analysed for trends.  Care staff interviewed were very knowledgeable regarding the care needs for all residents.  Discussions with the facility manager confirmed that there is an awareness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which includes recruitment and staff selection process.  This process requires that relevant checks are completed to validate the individual’s qualifications, experience and veracity.  Six staff files sampled (the clinical manager, the registered nurse, the diversional therapist, the cook, a kitchen hand and a caregiver) show appropriate employment practices and documentation.  Current annual practising certificates are kept on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 place an orientation programme that provides new staff with relevant information for safe work practice.  Staff files reviewed had completed orientation documentation.  Staff interviewed stated that the orientation provided was comprehensive and new staff were well supported.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plan in place and implemented.  Competencies are completed for medication and wound management.  All staff, with the exception of one new employee, have current first aid certificates.  All caregiving staff either have or are working towards Careerforce qualifications.  The manager, clinical manager and one RN have all completed InterRAI training.  All staff files reviewed contained a current annual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Residents stated that staff are knowledgeable and skilled.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meeting contractual requirements.  In addition to the facility manager who works full-time, there is a clinical manager working Monday to Friday and a part-time RN employed from Friday to Sunday.  An RN is on-call when not on-site.  The RNs are supported by caregivers.  Cleaning staff are employed Monday to Friday.  A diversional therapist is rostered Monday to Friday.  Staff reported that staffing levels and the skill mix were appropriate and safe.  Residents interviewed advised that they felt there are sufficient staffing.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is divided into two wings, North with 21 beds and South with 15 beds.  There is one RN on morning duty, seven days a week.  The RN’s are supported by caregivers on two long shifts and two short shifts during the morning shifts.  On afternoon shift, there are two experienced caregivers on long shift and two caregivers on short shifts.  There are two caregivers rostered on night duty.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  File entries are legible, dated and signed by the relevant caregiver or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Individual resident files demonstrate service integration.  This includes medical care interventions and records of the activities coordinator.  Medication charts and progress notes are maintained separately.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Admission information packs are provided for families and residents prior to admission or on entry to the service.  All admission agreements reviewed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One resident file that included transfer documentation was reviewed.  Documentation provided for the transfer was comprehensive and included past medical history, medication chart and transfer form.  There are documented policies and procedures to ensure exit, discharge or transfer of residents is undertaken in a timely and safe manner.  The residents and their families are involved in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Staff that administer medications (RNs and senior caregivers) have been assessed for competency on an annual basis and attend annual medication education.  All medication is checked on delivery against the medication chart.  All medications are stored safely.  The medication fridge is maintained within the acceptable temperature range.  All eye drops and ointments were dated on opening.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medication charts reviewed met legislative requirements.  Medication profiles reviewed were up to date and reviewed at least three-monthly by the GP.  Medications had been signed as administered in line with prescription charts.  Appropriate practice was demonstrated on the witnessed medication round.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and cooked on-site.  The menu has been reviewed by a dietitian.  There is an approved food control plan in place.  Food services staff have completed on-site food safety education and chemical safety.  The cook has NZQA 167 and 168.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dietary requirement profile is developed for each resident on admission and provided to the kitchen staff.  Resident dislikes are known and accommodated.  Special diets are accommodated, and cultural preferences are met.  The cook receives a resident dietary profile for all residents and is notified of any dietary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End-cooked food and serving temperatures are recorded daily.  Perishable foods sighted in all the fridges were dated.  The dishwasher is checked regularly by the chemical supplier.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along with direct input from residents, provides resident feedback on the meals and food services generally.  Residents and family members interviewed were satisfied with the meals provided.  Alternatives are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care plan on admission, including a clinical risk assessment and relevant risk assessment tools.  Risk assessments are completed six-monthly with the interRAI assessment or earlier due to health changes.  InterRAI assessments reviewed were completed within 21 days of admission and six-monthly thereafter.  Resident needs and supports were identified through available information such as, assessments, interRAI, discharge summaries, medical notes and in consultation with significant others.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resident files were reviewed for this audit including residents with: requiring regular pain control; wound care; behaviour that challenges; falls management; a new resident; and a resident that transferred out of service.  Resident care plans reviewed were resident-focused and individualised.  Support needs as assessed were included in the long-term care plans reviewed.  Short-term care plans are used for changes to health status and were sighted in resident files, and have either been resolved or if ongoing, transferred to the long-term care plan.  Long-term care plans evidenced resident (as appropriate) and family/whānau involvement in the care plan process.  Transfer information was comprehensive.  Relatives interviewed confirmed they were involved in the care planning process.  Resident files demonstrated service integration.  There was evidence of allied healthcare professionals involved in the care of the resident including physiotherapist, podiatrist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and/or nurse specialist consultation.  There is documented evidence on the family/whānau involvement.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treatment room.  Wound management policies and procedures are in place.  Wound assessment and treatment forms, ongoing evaluation form and evaluation notes were in place for three current wounds on the wound log (two skin tears and one cyst).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There is access to a continence nurse specialist by referral.  Residents are weighed monthly or more frequently if weight is of concern.  Nutritional requirements and assessments are completed on admission identifying resident nutritional status and preferences.  Monitoring forms are used for weight, vital signs, blood sugar levels, pain, challenging behaviour and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(DT) who works Monday to Friday.  The programme is integrated to meet the physical and psychosocial well-being of the residents.  The programme includes new activities when requested by residents and is varied.  There are regular outings into the community.  The service has a van and a car for regular outings.  Each resident is free to choose whether they wish to participate in the group activities programme.  Participation is monitored.  Entertainers visit the home.  Special events and theme 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profile is completed on admission.  Individual activity plans were seen in long-term resident files.  The DT is involved in the six-monthly review with the RN.  The service receives feedback and suggestions for the programme through monthly resident meetings with age concern and direct feedback from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varied activities programme which they have input into.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Long-term care plans included a written evaluation by an RN six-monthly or earlier, for any health changes for five of the six files reviewed.  One resident had not been at the service six months.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are stored in locked areas throughout the facility.  Personal protective clothing is available for staff and seen to be worn by staff when carrying out their duties on the day of audit.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December 2018.  The service employs a maintenance person who undertakes preventative and reactive maintenance.  Daily maintenance requests are addressed.  Electrical equipment has been tested and tagged.  Clinical equipment has been calibrated and/or serviced.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mixture of ensuite rooms, shared bathrooms and standard rooms with a hand basin.  There are sufficient communal toilets and showers.  Hand basins, toilets and shower facilities are of an appropriate design to meet the needs of the residents.  The communal toilets and showers have privacy locks.  Residents interviewed confirmed care staff respect the resident’s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Rest Home has a large communal dining area and a large communal lounge area.  There are also other sitting areas for residents to sit and meet with their family or friends.  This was confirmed at the resident and family interviews and sighted during the tour of the facility.  Group entertainment and activities are conducted in the lounge and residents have enough space to mobilise with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and cleaning staff.  All laundry is completed on-site.  The laundry and cleaning staff have completed chemical safety training and laundry processes.  The laundry has an entry and exit door.  There is appropriate personal protective-wear readily available.  The cleaner’s trolleys are stored in a locked area when not in use.  Internal audits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There are emergency and disaster management plans in place to ensure health, civil defence and other emergencies are included.  Six-monthly fire evacuation practices documentation was sighted.  A contracted service provides checking of all facility equipment including fire equipment.  Fire training and security situations are part of orientation of new staff and include competency assessments.  There is a staff member with a current first aid certificate on all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equipment is available at the facility.  There are adequate supplies in the event of a civil defence emergency including food, water, blankets and gas cooking.  Every shift is covered by a staff member with a current first aid certificate.  There are call bells in all areas including residents’ rooms, toilets and lounge/dining room areas.  Residents were observed to have their call bells in close proximity.  The building is secured during the hours of darkness.  Staff on afternoon duty conduct security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heated via a mixture of heat pumps and individual heaters in resident’s rooms.  The facility is bright and airy and rooms are well ventilated and light.  All bedrooms have an external window.  On both days of the audit, indoor temperature was comfortable, and resident and staff interviews confirmed that the facility is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Brooklands Village has an established infection control programme.  The infection control programme, its content and detail, is appropriate for the size, complexity and degree of risk associated with the service.  It is linked into the quality management system.  The clinical manager is the designated infection control coordinator with support from all staff of the infection control team.  Staff meeting minutes are available for staff.  Infection control audits have been conducted and include hand hygiene and infection control practices.   Education is provided for all new staff on orientation.  The infection control programme has been reviewed annually.  There have been two small gastric outbreaks since the previous audit (May and again in November 2017).  The duration of each outbreak was short (respectively two weeks and one week).   A case log was maintained, and Public Health notified.  An outbreak summary report was completed post outbreaks.  Interviews and documentation reviewed identified the outbreaks were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the designated infection control (IC) coordinator.  There are adequate resources to implement the infection control programme for the size and complexity of the organisation.  The IC coordinator has good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defined roles and responsibilities for the prevention of infection.  Infection control procedures developed in respect of the kitchen, laundry and housekeeping, incorporate the principles of infection control.  The policies have been developed by an aged care consultant and are reviewed annually.  An outbreak kit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Training on infection control is included in orientation and as part of the annual training schedule.  Staff complete hand hygiene competencies.  The infection control coordinator has completed ongoing infection control training.  Visitors are advised of any outbreaks of infection and are advised not to attend until the outbreak has been resolved.  Information is provided to residents and visitors that is appropriate to their needs and this is documented in medical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education is expected to occur as part of providing daily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  There is a policy describing surveillance methodology for monitoring of infections.  Definitions of infections are in place appropriate to the complexity of service provided.  The surveillance data is collected and analysed monthly to identify areas for improvement or corrective action requirements.  Trends are identified, and quality initiatives are discussed at staff meetings (minutes sighted).  If there is an emergent issue, it is acted upon in a timely manner.  The GP reviews antibiotic use at least three-monthly with the medication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meetings.  If there is an emergent issue, it is acted upon in a timely manner.  Reports are easily accessible to the village manager and support office staff.  Two outbreaks have been effectively managed.  Notification of each was made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and provides a restraint-free environment.  There were no residents with restraint and no residents with an enabler.  Enabler use is voluntary.  Staff interviews and staff records evidence guidance has been given on restraint minimisation and safe practice (RMSP) and prevention and/or de-escalation techniques.  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Pembrey Investments Limited - Brooklands Retirement Village</w:t>
    </w:r>
    <w:bookmarkEnd w:id="58"/>
    <w:r>
      <w:rPr>
        <w:rFonts w:cs="Arial"/>
        <w:sz w:val="16"/>
        <w:szCs w:val="20"/>
      </w:rPr>
      <w:tab/>
      <w:t xml:space="preserve">Date of Audit: </w:t>
    </w:r>
    <w:bookmarkStart w:id="59" w:name="AuditStartDate1"/>
    <w:r>
      <w:rPr>
        <w:rFonts w:cs="Arial"/>
        <w:sz w:val="16"/>
        <w:szCs w:val="20"/>
      </w:rPr>
      <w:t>22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