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Bethlehem Views Limited - Bethlehem Views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Views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Bethlehem Views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July 2018</w:t>
      </w:r>
      <w:bookmarkEnd w:id="7"/>
      <w:r w:rsidRPr="009418D4">
        <w:rPr>
          <w:rFonts w:cs="Arial"/>
        </w:rPr>
        <w:tab/>
        <w:t xml:space="preserve">End date: </w:t>
      </w:r>
      <w:bookmarkStart w:id="8" w:name="AuditEndDate"/>
      <w:r w:rsidR="00A4268A">
        <w:rPr>
          <w:rFonts w:cs="Arial"/>
        </w:rPr>
        <w:t>17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Bethlehem Views provides rest home, dementia and hospital level care to a maximum of 88 residents. All beds were occupied on the days of this unannounced surveillance audit. The manager stated there have been no changes to the scope and size of the services provided since the 2016 certification audit.</w:t>
      </w:r>
    </w:p>
    <w:p w:rsidRPr="00A4268A">
      <w:pPr>
        <w:spacing w:before="240" w:line="276" w:lineRule="auto"/>
        <w:rPr>
          <w:rFonts w:eastAsia="Calibri"/>
        </w:rPr>
      </w:pPr>
      <w:r w:rsidRPr="00A4268A">
        <w:rPr>
          <w:rFonts w:eastAsia="Calibri"/>
        </w:rPr>
        <w:t>This audit was conducted against a subset of the Health and Disability Services Standards and the provider’s contract with the Bay of Plenty District Health Board (BOPDHB). The audit process included the review of policies and procedures, the review of residents’ and staff files, observations, and interviews with residents, family members, management, and staff. A general practitioner (GP) was interviewed in person. The GP expressed satisfaction with the care and services being provided.</w:t>
      </w:r>
    </w:p>
    <w:p w:rsidRPr="00A4268A">
      <w:pPr>
        <w:spacing w:before="240" w:line="276" w:lineRule="auto"/>
        <w:rPr>
          <w:rFonts w:eastAsia="Calibri"/>
        </w:rPr>
      </w:pPr>
      <w:r w:rsidRPr="00A4268A">
        <w:rPr>
          <w:rFonts w:eastAsia="Calibri"/>
        </w:rPr>
        <w:t xml:space="preserve">The three areas requiring improvement from the previous certification audit which were related to complaints documentation, staff performance reviews and restraint monitoring have been addressed. </w:t>
      </w:r>
    </w:p>
    <w:p w:rsidRPr="00A4268A">
      <w:pPr>
        <w:spacing w:before="240" w:line="276" w:lineRule="auto"/>
        <w:rPr>
          <w:rFonts w:eastAsia="Calibri"/>
        </w:rPr>
      </w:pPr>
      <w:r w:rsidRPr="00A4268A">
        <w:rPr>
          <w:rFonts w:eastAsia="Calibri"/>
        </w:rPr>
        <w:t>There were no areas that required improvement identified at this audit. Medicines management is rated as an area of continuous improvement for achievements in the memory care unit.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was confirmed to be effective. Staff know how to access interpreting service, but this has not been required. </w:t>
      </w:r>
    </w:p>
    <w:p w:rsidRPr="00A4268A">
      <w:pPr>
        <w:spacing w:before="240" w:line="276" w:lineRule="auto"/>
        <w:rPr>
          <w:rFonts w:eastAsia="Calibri"/>
        </w:rPr>
      </w:pPr>
      <w:r w:rsidRPr="00A4268A">
        <w:rPr>
          <w:rFonts w:eastAsia="Calibri"/>
        </w:rPr>
        <w:t>Complaints are responded to in a timely manner and processes meet the requirements of the Code of Health and Disability Services Consumers’ Rights (the Code).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Board of Directors and senior management are kept fully informed about service delivery and operations.</w:t>
      </w:r>
    </w:p>
    <w:p w:rsidRPr="00A4268A">
      <w:pPr>
        <w:spacing w:before="240" w:line="276" w:lineRule="auto"/>
        <w:rPr>
          <w:rFonts w:eastAsia="Calibri"/>
        </w:rPr>
      </w:pPr>
      <w:r w:rsidRPr="00A4268A">
        <w:rPr>
          <w:rFonts w:eastAsia="Calibri"/>
        </w:rPr>
        <w:t>Bethlehem Views has successfully implemented the Arvida group’s quality and risk management system and there is regular monitoring of all service areas.</w:t>
      </w:r>
    </w:p>
    <w:p w:rsidRPr="00A4268A">
      <w:pPr>
        <w:spacing w:before="240" w:line="276" w:lineRule="auto"/>
        <w:rPr>
          <w:rFonts w:eastAsia="Calibri"/>
        </w:rPr>
      </w:pPr>
      <w:r w:rsidRPr="00A4268A">
        <w:rPr>
          <w:rFonts w:eastAsia="Calibri"/>
        </w:rPr>
        <w:t xml:space="preserve">Adverse events are reported by all levels of staff. People impacted by an adverse event are notified, for example, the general practitioner, families and significant others. Systems that ensure regulatory requirements related to notification reporting are effective. </w:t>
      </w:r>
    </w:p>
    <w:p w:rsidRPr="00A4268A">
      <w:pPr>
        <w:spacing w:before="240" w:line="276" w:lineRule="auto"/>
        <w:rPr>
          <w:rFonts w:eastAsia="Calibri"/>
        </w:rPr>
      </w:pPr>
      <w:r w:rsidRPr="00A4268A">
        <w:rPr>
          <w:rFonts w:eastAsia="Calibri"/>
        </w:rPr>
        <w:t xml:space="preserve">Staff are recruited and managed according to good employment practices. Staff training in relevant subject areas is occurring regularly. All staff are supported and encouraged to attend ongoing performance development and achieve educational qualifications related to care of older people. </w:t>
      </w:r>
    </w:p>
    <w:p w:rsidRPr="00A4268A">
      <w:pPr>
        <w:spacing w:before="240" w:line="276" w:lineRule="auto"/>
        <w:rPr>
          <w:rFonts w:eastAsia="Calibri"/>
        </w:rPr>
      </w:pPr>
      <w:r w:rsidRPr="00A4268A">
        <w:rPr>
          <w:rFonts w:eastAsia="Calibri"/>
        </w:rPr>
        <w:t>There is an adequate number of skilled and experienced staff on site 24 hours a day, seven days a week</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and this is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and all interior and exterior areas are being maintained as safe.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Bethlehem Views has succeeded in eliminating all restraint interventions. There were five enablers in use at the time of audit. Use of these enablers is voluntary and is used for the safety of the residents involved.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processes meet the requirements of Right 10 of the Code.  Information on the complaint process and complaint forms are provided to residents and families on admission. Those interviewed said they knew how to raise concerns and complaints and felt confident to do so. The manager is responsible for complaints management and follow up.</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records eight complaints received since the previous certification audit in 2016 including a complaint from a family member to the Office of the Health and Disability Commissioner in early 2018. This has been investigated and no further action is required. Documentation about the other seven complaint matters confirmed that written acknowledgement, investigations and resolution had occurred in a timely manner. Where service improvements were identified as needed, remedial actions have been implemented to good effect.</w:t>
            </w:r>
          </w:p>
          <w:p w:rsidR="00EB7645" w:rsidRPr="00BE00C7" w:rsidP="00BE00C7">
            <w:pPr>
              <w:pStyle w:val="OutcomeDescription"/>
              <w:spacing w:before="120" w:after="120"/>
              <w:rPr>
                <w:rFonts w:cs="Arial"/>
                <w:b w:val="0"/>
                <w:lang w:eastAsia="en-NZ"/>
              </w:rPr>
            </w:pPr>
            <w:r w:rsidRPr="00BE00C7">
              <w:rPr>
                <w:rFonts w:cs="Arial"/>
                <w:b w:val="0"/>
                <w:lang w:eastAsia="en-NZ"/>
              </w:rPr>
              <w:t>All written and verbal complaints are reliably logged on the complaints register with the necessary documentation; the previous corrective action has been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clearly describes the principles and practices of open disclosure. The sample of accident/incident forms and complaints documentation confirmed that matters are dealt with in an open, frank and timely manner. Staff knew how to access interpreter services for non-English speaking residents. At the time of this audit all residents spoke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days of audit there were 88 residents. This comprised 30 residents requiring rest home level care, 38 requiring hospital level care and 20 in the secure dementia wing. There were four residents under the age of 65 years.</w:t>
            </w:r>
          </w:p>
          <w:p w:rsidR="00EB7645" w:rsidRPr="00BE00C7" w:rsidP="00BE00C7">
            <w:pPr>
              <w:pStyle w:val="OutcomeDescription"/>
              <w:spacing w:before="120" w:after="120"/>
              <w:rPr>
                <w:rFonts w:cs="Arial"/>
                <w:b w:val="0"/>
                <w:lang w:eastAsia="en-NZ"/>
              </w:rPr>
            </w:pPr>
            <w:r w:rsidRPr="00BE00C7">
              <w:rPr>
                <w:rFonts w:cs="Arial"/>
                <w:b w:val="0"/>
                <w:lang w:eastAsia="en-NZ"/>
              </w:rPr>
              <w:t>Bethlehem Views has a documented scope, direction and goals in their 2018 business plan. This plan responds to the Arvida Group business and strategic plan.</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report is submitted from the manager to the directors each month. The sample of these reports reviewed contained detailed information about occupancy, complaints and compliments, graphs on year to date infections, falls, skin tears, restraint, medication errors, financial information, audit outcomes, service delivery highlights and staffing information. Review of the results from the February 2018 satisfaction survey of residents and their families showed increases in satisfaction across a range of services provided in the past 12 months.</w:t>
            </w:r>
          </w:p>
          <w:p w:rsidR="00EB7645" w:rsidRPr="00BE00C7" w:rsidP="00BE00C7">
            <w:pPr>
              <w:pStyle w:val="OutcomeDescription"/>
              <w:spacing w:before="120" w:after="120"/>
              <w:rPr>
                <w:rFonts w:cs="Arial"/>
                <w:b w:val="0"/>
                <w:lang w:eastAsia="en-NZ"/>
              </w:rPr>
            </w:pPr>
            <w:r w:rsidRPr="00BE00C7">
              <w:rPr>
                <w:rFonts w:cs="Arial"/>
                <w:b w:val="0"/>
                <w:lang w:eastAsia="en-NZ"/>
              </w:rPr>
              <w:t>The manager who has been in the role for 18 months, oversees the day-to-day service delivery and operations. This person has 17 years’ experience in managing retirement villages and has tertiary qualifications. The clinical nurse manager who was employed in 2015 is a registered nurse with palliative clinical experience in age care. Review of personnel files and interviews confirmed that all senior management staff are qualified for their roles. They maintain their skills and knowledge by attending regular professional development, which includes the Arvida six monthly conference for clinical managers, and sector specific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documents and interview with the management team confirmed that the organisation is maintaining effective quality and risk management systems. Bethlehem View’s annual Quality and Risk Management Plan described the quality systems and monitoring processes including the annual internal audit schedule. Policy and procedure review is undertaken and coordinated by the national quality manager with input from selected staff at Arvida Villages. There is a monthly ‘skype’ session to review clinical policies and align these to the Health and Disability Services Standards, ‘eCase’ (the electronic resident management system) and the Living Well Model of Care. All policies are reviewed biennially or when there are business, legislative or contractual changes.</w:t>
            </w:r>
          </w:p>
          <w:p w:rsidR="00EB7645" w:rsidRPr="00BE00C7" w:rsidP="00BE00C7">
            <w:pPr>
              <w:pStyle w:val="OutcomeDescription"/>
              <w:spacing w:before="120" w:after="120"/>
              <w:rPr>
                <w:rFonts w:cs="Arial"/>
                <w:b w:val="0"/>
                <w:lang w:eastAsia="en-NZ"/>
              </w:rPr>
            </w:pPr>
            <w:r w:rsidRPr="00BE00C7">
              <w:rPr>
                <w:rFonts w:cs="Arial"/>
                <w:b w:val="0"/>
                <w:lang w:eastAsia="en-NZ"/>
              </w:rPr>
              <w:t>Quality data, such as incidents/accidents, infections, skin tears, falls, results of internal audits, complaints and service delivery improvements are analysed and discussed with all levels of staff at weekly and monthly meetings. There is evidence of actions being implemented to good effect when service deficits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Additionally, the monthly incidence of falls, skin tears, medicine errors, infections and interRAI timeframes data is sent to the Arvida national office, where it is benchmarked across all the facilities in the group. Documents reviewed confirmed that benchmarking results are sent to clinical managers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quality improvements have been identified and are in process. Examples include the establishment of regular support groups for the families of people in the memory care unit, the purchase of different standing hoists for residents with shoulder pain, stethoscopes for RNs and training in the use of these for early detection of respiratory distress, and new protocols for the prevention and retrieval of residents’ missing property. Although most of these have not been written up with aims and performance measurements to quantify improvements, they demonstrate a commitment to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they are consulted about services and are being kept informed through regular group and one to one meetings and newsletters.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quality and risk management plan and associated emergency plans, identify current actual and potential risk to the business, service delivery, staff and/or visitors’ health and safety. Environmental risks are communicated to visitors, staff and residents verbally or by signs. The audit team were provided with a health and safety briefing upon arrival. Review of a range of staff meeting minutes showed that health and safety, including new hazards and resident related risks, are discussed. Trial fire evacuations have occurred every six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events are reported on the electronic (eCase) system, which immediately alerts the clinical nurse manager and team leaders. A sample of event records entered since January 2018, when the electronic system went ‘live’, showed that each event is reviewed by a senior manager on the day it is submitted and investigated to determine the cause soon after. Notes on the event (management review) include a description of the actions taken at the time and any ongoing actions, for example neurological observations after a fall. The clinical nurse manager described instances where changes had been made to prevent or minimise recurrence. Records showed that staff, families, the GP, district health board or others who are impacted by an adverse event, are informed in a timely manner. Trends in adverse events are being monitored and reported at the service level and at a national level. </w:t>
            </w:r>
          </w:p>
          <w:p w:rsidR="00EB7645" w:rsidRPr="00BE00C7" w:rsidP="00BE00C7">
            <w:pPr>
              <w:pStyle w:val="OutcomeDescription"/>
              <w:spacing w:before="120" w:after="120"/>
              <w:rPr>
                <w:rFonts w:cs="Arial"/>
                <w:b w:val="0"/>
                <w:lang w:eastAsia="en-NZ"/>
              </w:rPr>
            </w:pPr>
            <w:r w:rsidRPr="00BE00C7">
              <w:rPr>
                <w:rFonts w:cs="Arial"/>
                <w:b w:val="0"/>
                <w:lang w:eastAsia="en-NZ"/>
              </w:rPr>
              <w:t>Section 31 notifications were submitted to the Ministry of Health in December 2016 regarding the new manager and for a pressure injury in February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Two new RNs interviewed said the orientation process was preparing them well for their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Documents and interviews confirmed that a site-specific training plan is developed each year which includes mandatory training requirements. Review of the 2018 plan and attendance records confirmed that staff are being provided with continuing education in subjects related to age care. A record of each staff member’s training is entered on a spreadsheet and is reviewed with them during their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either completed or commenced a New Zealand Qualification Authority (NZQA) education programme to meet the requirements of the provider’s agreement with the DHB. Fifty three of the 69 caregivers have achieved either level 3 or level 4 qualifications. The RNs and all caregivers who work in the dementia unit have attained the level four dementia qualification. There are ten trained registered nurses who are maintaining their annual competency requirements to undertake interRAI assessments. The training coordinator is experienced with providing staff education in the age care sector and has been confirmed as a Careerforce moderator.  </w:t>
            </w:r>
          </w:p>
          <w:p w:rsidR="00EB7645" w:rsidRPr="00BE00C7" w:rsidP="00BE00C7">
            <w:pPr>
              <w:pStyle w:val="OutcomeDescription"/>
              <w:spacing w:before="120" w:after="120"/>
              <w:rPr>
                <w:rFonts w:cs="Arial"/>
                <w:b w:val="0"/>
                <w:lang w:eastAsia="en-NZ"/>
              </w:rPr>
            </w:pPr>
            <w:r w:rsidRPr="00BE00C7">
              <w:rPr>
                <w:rFonts w:cs="Arial"/>
                <w:b w:val="0"/>
                <w:lang w:eastAsia="en-NZ"/>
              </w:rPr>
              <w:t>The seven staff records reviewed contained evidence of annual performance appraisals being completed in 2018. The previous corrective action is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Bethlehem Views has a clearly documented and implemented staffing rationale. Rosters sighted and interview with different levels of staff (care givers, RNs and managers) confirmed the service is maintaining ratios of one staff member to four residents in the memory loss unit, and a registered nurse and one staff member to five residents in the rest home and hospital. This complies with the provider’s agreement with the district health board (ARC contract). Staffing allocation takes into account the acuity and support needs of residents and additional staff are provided when workloads increase. The staff interviewed said there are enough staff on each shift and that effective backup systems are in place to cover staff absences. There has been a decrease in staff turnover. Residents and their relatives were satisfied with the skills, experience and availability of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(one in the hospital and one in the rest home) who self-administer inhaler medication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clinical nurse manager (CNM)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used and meet standing orders guidelines. </w:t>
            </w:r>
          </w:p>
          <w:p w:rsidR="00EB7645" w:rsidRPr="00BE00C7" w:rsidP="00BE00C7">
            <w:pPr>
              <w:pStyle w:val="OutcomeDescription"/>
              <w:spacing w:before="120" w:after="120"/>
              <w:rPr>
                <w:rFonts w:cs="Arial"/>
                <w:b w:val="0"/>
                <w:lang w:eastAsia="en-NZ"/>
              </w:rPr>
            </w:pPr>
            <w:r w:rsidRPr="00BE00C7">
              <w:rPr>
                <w:rFonts w:cs="Arial"/>
                <w:b w:val="0"/>
                <w:lang w:eastAsia="en-NZ"/>
              </w:rPr>
              <w:t>The commitment of the memory care unit to reducing the use of anti-psychotic medication is an area recognised as one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in May 2018. Recommendations made at that time have been implemented. A food control plan has been registered, with a verification audit undertaken 30 May 2018. One area of non-compliance was identified at that audit and this has been verified as addressed.</w:t>
            </w:r>
          </w:p>
          <w:p w:rsidR="00EB7645" w:rsidRPr="00BE00C7" w:rsidP="00BE00C7">
            <w:pPr>
              <w:pStyle w:val="OutcomeDescription"/>
              <w:spacing w:before="120" w:after="120"/>
              <w:rPr>
                <w:rFonts w:cs="Arial"/>
                <w:b w:val="0"/>
                <w:lang w:eastAsia="en-NZ"/>
              </w:rPr>
            </w:pPr>
            <w:r w:rsidRPr="00BE00C7">
              <w:rPr>
                <w:rFonts w:cs="Arial"/>
                <w:b w:val="0"/>
                <w:lang w:eastAsia="en-NZ"/>
              </w:rPr>
              <w:t>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memory care unit have access to a wide range of foods that meet their individualised needs over a twenty-four-hour period. Meal type and times in the memory care unit, are flexible and verified to be in line with residents’ previous lifestyle patterns and requests.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specifically around falls, pain, wound and behaviour management strategies.</w:t>
            </w:r>
          </w:p>
          <w:p w:rsidR="00EB7645" w:rsidRPr="00BE00C7" w:rsidP="00BE00C7">
            <w:pPr>
              <w:pStyle w:val="OutcomeDescription"/>
              <w:spacing w:before="120" w:after="120"/>
              <w:rPr>
                <w:rFonts w:cs="Arial"/>
                <w:b w:val="0"/>
                <w:lang w:eastAsia="en-NZ"/>
              </w:rPr>
            </w:pPr>
            <w:r w:rsidRPr="00BE00C7">
              <w:rPr>
                <w:rFonts w:cs="Arial"/>
                <w:b w:val="0"/>
                <w:lang w:eastAsia="en-NZ"/>
              </w:rPr>
              <w:t>The commitment to a ‘person centred approach’ is especially evidenced in the memory care unit. Care focusses on the diverse understanding of the resident before they were unwell. The unit adapts to the needs of the resident and focusses on enabling the resident to maintain the lifestyle they had before being unwell. Photos, memorabilia and routines enable the resident and family to keep in touch with who they once were.</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trained diversional therapists.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operates six days a week and matches the skills, likes, dislikes and interests identified in residents’ assessment data. Activities reflected residents’ goals, ordinary patterns of life and included normal community activities. Individual, group activities and regular events are offered. Examples include regular outings, visiting entertainers, quiz sessions, social events with other organisations, friendship clubs, a café group-where a small group of residents cook their own meal once a week, a resident newsletter written by a resident, church groups, social functions, ‘mums and bubs’ groups and daily news updates. Social activities are offered later into the afternoon and early evening twice a week. The activities programme is discussed at the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in the memory care unit includes a family support group. This is run by the team leader and the diversional therapist every two months and revolves around a theme. The group enables family members to support each other and be assisted to manage the difficulties they face in coping with dementia. The diversional therapist in the memory care unit, focuses on enabling ‘person centered care’ by fostering an environment that adapts and accommodates the residents’ previous lifestyle practices. Meal times are flexible, breakfasts are consistent with what the resident has always eaten, and routines are individualised. A resident’s previous lifestyle of swimming each morning is enabled as part of the resident’s daily routine, as is the attending to washing, drying the clothes on a clothes rack in front of the fire, or whatever other routines have been part of the resident’s lifestyle prior to admission. Staff working in the unit are enabled to know and understand the resident, by each having made a book detailing the resident’s life. Staff are empowered to know the resident for who they were before they became unwell, enabling care to be provided with consideration of previous lifestyle patterns and habits. </w:t>
            </w:r>
          </w:p>
          <w:p w:rsidR="00EB7645" w:rsidRPr="00BE00C7" w:rsidP="00BE00C7">
            <w:pPr>
              <w:pStyle w:val="OutcomeDescription"/>
              <w:spacing w:before="120" w:after="120"/>
              <w:rPr>
                <w:rFonts w:cs="Arial"/>
                <w:b w:val="0"/>
                <w:lang w:eastAsia="en-NZ"/>
              </w:rPr>
            </w:pPr>
            <w:r w:rsidRPr="00BE00C7">
              <w:rPr>
                <w:rFonts w:cs="Arial"/>
                <w:b w:val="0"/>
                <w:lang w:eastAsia="en-NZ"/>
              </w:rPr>
              <w:t>Family/whanau members interviewed expressed a high level of satisfaction in regards to the quality of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 term needs were consistently reviewed for infections, pain, weight loss and progress evaluated as clinically indicated and according to the degree of risk noted during the assessment process. Other plans, such as wound, falls, pain or behaviour management plans were evaluated on an ongoing basis to ensure effectiveness in management.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which expires 17 April 2019. Visual inspection of the interior and exterior revealed that buildings, plant and equipment are being maintained in good and safe condition.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Bethlehem Views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reviews all reported infections. Monthly surveillance data is collated and analysed to identify any trends, possible causative factors and required actions. Results of the surveillance programme are shared with staff via RN, staff and management meetings and to staff at handovers. Surveillance data is reported to the clinical nurse manager and the village manager. Data is benchmarked internally within the group’s other aged care providers.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Bethlehem Views have succeeded in eliminating the use of restraint. This has been achieved by using alternatives such as a sensor mats and chair pads to alert staff when a resident rises to stand. On the day of audit there were five enablers noted on the restraint register. These included bedrails, a foot strap and a safety belt when the resident is in their wheelchair. Review of the files for two of the residents using enablers confirmed that consent had been signed by the person using them. Ongoing staff education and competency testing about restraint minimisation is occurring, as confirmed by review of training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corrective action in criterion 2.2.3.4 is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corrective action in criterion 2.2.3.4 which was related to staff non-compliance with a mobilisation plan for a resident who had a lap belt in place, is now resolved. Bethlehem Views has no restraints in place and is successfully using alternatives. Confirmation about corrective actions having been implemented, include the family of the resident concerned making a special presentation to the service with a symbol of their appreciation for the ways their loved one was taken care of.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74"/>
        <w:gridCol w:w="1280"/>
        <w:gridCol w:w="7458"/>
        <w:gridCol w:w="21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medication charts in the memory care unit, note a reduction in the prescribing and use of anti-psychotic medication. This is verified by interviews with staff, families, EPOAs and the GP. An internal audit of the GPs’ prescribing of anti-psychotics in the memory care unit, evidenced a 15% reduction in the amount of the medication prescribed between 2016-2017, and a further 4% reduction 2017-2018. The philosophy of the team leader to provide the staff with resources and knowledge to foster an individualised and flexible routine for the care of each resident, is identified by family, staff and the GP as instrumental in achieving this result.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memory care unit, the use of PRN (as required) and regularly prescribed anti-psychotics has reduced by 15% between 2016 and 2017 and a further 4% between 2017 and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Bethlehem Views Limited - Bethlehem Views</w:t>
    </w:r>
    <w:bookmarkEnd w:id="58"/>
    <w:r>
      <w:rPr>
        <w:rFonts w:cs="Arial"/>
        <w:sz w:val="16"/>
        <w:szCs w:val="20"/>
      </w:rPr>
      <w:tab/>
      <w:t xml:space="preserve">Date of Audit: </w:t>
    </w:r>
    <w:bookmarkStart w:id="59" w:name="AuditStartDate1"/>
    <w:r>
      <w:rPr>
        <w:rFonts w:cs="Arial"/>
        <w:sz w:val="16"/>
        <w:szCs w:val="20"/>
      </w:rPr>
      <w:t>16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