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Clare House Care Limited - Clare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Clare House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Clare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July 2018</w:t>
      </w:r>
      <w:bookmarkEnd w:id="7"/>
      <w:r w:rsidRPr="009418D4">
        <w:rPr>
          <w:rFonts w:cs="Arial"/>
        </w:rPr>
        <w:tab/>
        <w:t xml:space="preserve">End date: </w:t>
      </w:r>
      <w:bookmarkStart w:id="8" w:name="AuditEndDate"/>
      <w:r w:rsidR="00A4268A">
        <w:rPr>
          <w:rFonts w:cs="Arial"/>
        </w:rPr>
        <w:t>25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Clare House provides rest home, dementia and hospital level care for up to 87 residents. The service is operated by a private company and managed by a general manager and a clinical care manager. Both managers are new to the service since the previous audit.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contracted allied health providers and a general practitioner.  </w:t>
      </w:r>
    </w:p>
    <w:p w:rsidRPr="00A4268A">
      <w:pPr>
        <w:spacing w:before="240" w:line="276" w:lineRule="auto"/>
        <w:rPr>
          <w:rFonts w:eastAsia="Calibri"/>
        </w:rPr>
      </w:pPr>
      <w:r w:rsidRPr="00A4268A">
        <w:rPr>
          <w:rFonts w:eastAsia="Calibri"/>
        </w:rPr>
        <w:t xml:space="preserve">This audit has identified that improvements are required relating to analysis of adverse events and storage of oxygen cylinders.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were observed treating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 person manages the facility. The clinical manager has recently resigned, but recruitment is underway to fill the position when she leaves in three weeks.</w:t>
      </w:r>
    </w:p>
    <w:p w:rsidRPr="00A4268A">
      <w:pPr>
        <w:spacing w:before="240" w:line="276" w:lineRule="auto"/>
        <w:rPr>
          <w:rFonts w:eastAsia="Calibri"/>
        </w:rPr>
      </w:pPr>
      <w:r w:rsidRPr="00A4268A">
        <w:rPr>
          <w:rFonts w:eastAsia="Calibri"/>
        </w:rPr>
        <w:t xml:space="preserve">The quality and risk management systems include collection of quality improvement data.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reviews.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 Visits to the facility are welcomed.</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enablers and seven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25"/>
        <w:gridCol w:w="1280"/>
        <w:gridCol w:w="90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Clare House has developed policies, procedures and processes to meet its obligations in relation to the Code of Health and Disability Services Consumers’ Rights (the Code).  Staff interviewed could give examples of the rights and how they apply them in day to day care (eg, knocking before entering a resident’s room (respect). Staff were observed closing doors when commencing cares (privacy). Training on the Code is included as part of the orientation process for all staff employed and in ongoing training. Staff attended training on residents’ rights on 16 October 2017, attendance records were sighted. An internal audit occurred on 5 June 2018 which verified the residents’ rights were incorporated in daily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provided relevant guidance to staff.  Clinical files reviewed show that informed consent has been gained appropriately using the organisation’s standard consent form for such things as ‘flu’ vaccine. Advance care planning was not present in any of the 12 files reviewed but information was available in the family room for discussion if required. Establishing and documenting Enduring Power of Attorney (EPOA) requirements and processes for residents unable to consent is defined and documented, as relevant, in the resident’s record.  Staff were observed to gain consent for day to day care. All residents in the dementia services have an EPOA enacted in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residents/family members are given a copy of the Code, which also includes information on the Advocacy Service. Posters and brochures related to the Advocacy Service were also displayed and available in the facility. Family/whānau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maintaining use of their general practitioner in the community. Residents also attend a variety of organised groups such as the stroke club, community craft groups as well as organised visits, shopping trips, activities, and entertainment, as sighted on the activities calendar.</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members and friends. Family/whānau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and that actions taken, through to an agreed resolution, are documented and completed within the required timeframes.  Action plans show any required follow up and improvements have been made where possible. The general manager (GM)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received from the Health and Disability Commissioner since the previous audit. This was received on the second day of this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 being made aware of the Code and the Nationwide Health and Disability Advocacy Service (Advocacy Service) through the admission information provided, discussion with staff and by written information. The Code is displayed in the main foyer together with information on advocacy services, how to make a complaint and feedback forms. Posters are also displayed in each wing. Opportunities are provided for explanations, discussion, and clarification about the Code with the resident, family/whānau, where appropriate, and/or their legal representative, during contact with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during interview that they/their relative receives services in a manner that has regard for their dignity, privacy, sexuality, spirituality and choices. Staff were observed to maintain privacy throughout the audit by closing doors to bedrooms. All residents have a private room, decorated with personal mementoes and furniture.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arranging their own visits to the doctor, participation in clubs of their choosing and outings with family/whānau, for example.  Care plans included documentation related to the resident’s abilities, and strategies to maximise independence, personalised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on admission,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then annually. A training session on this topic was held last on 6 October 2017, as verified in attendance records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in the rest home who identified as Māori. On interview the resident confirmed satisfaction with the way respect was shown and individual needs were met. He reported being happy that his culture, values and beliefs were recognised and respected. He reported no discrimination. Family and residents were involved in the admission process and in developing the care plan.</w:t>
            </w:r>
          </w:p>
          <w:p w:rsidR="00EB7645" w:rsidRPr="00BE00C7" w:rsidP="00BE00C7">
            <w:pPr>
              <w:pStyle w:val="OutcomeDescription"/>
              <w:spacing w:before="120" w:after="120"/>
              <w:rPr>
                <w:rFonts w:cs="Arial"/>
                <w:b w:val="0"/>
                <w:lang w:eastAsia="en-NZ"/>
              </w:rPr>
            </w:pPr>
            <w:r w:rsidRPr="00BE00C7">
              <w:rPr>
                <w:rFonts w:cs="Arial"/>
                <w:b w:val="0"/>
                <w:lang w:eastAsia="en-NZ"/>
              </w:rPr>
              <w:t>The Māori health plan supports a holistic approach when considering Māori wellbeing as reflected in the Whare Tapa Whā model. Advice was able to be sought from appropriate cultural advisors.</w:t>
            </w:r>
          </w:p>
          <w:p w:rsidR="00EB7645" w:rsidRPr="00BE00C7" w:rsidP="00BE00C7">
            <w:pPr>
              <w:pStyle w:val="OutcomeDescription"/>
              <w:spacing w:before="120" w:after="120"/>
              <w:rPr>
                <w:rFonts w:cs="Arial"/>
                <w:b w:val="0"/>
                <w:lang w:eastAsia="en-NZ"/>
              </w:rPr>
            </w:pPr>
            <w:r w:rsidRPr="00BE00C7">
              <w:rPr>
                <w:rFonts w:cs="Arial"/>
                <w:b w:val="0"/>
                <w:lang w:eastAsia="en-NZ"/>
              </w:rPr>
              <w:t>Cultural awareness training occurred in October 2017 and is part of the orientation programme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on admission and that this information was used to form the basis of the care plan. Resident’s personal preferences, required interventions and special needs were included in care plans reviewed. A letter of compliment was sighted that confirmed that individual needs, ethnic, cultural, spiritual values and beliefs were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reported they had neither witnessed or experienced any discrimination, coercion, harassment, sexual, financial, or other exploitation. Residents felt safe and reported positively on all aspects of interactions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Posters in the staffroom advertised external study days for wound management. The facility is also linked into ‘healthLearn’, an online education base. All RNs are signed up to complete a professional development and recognition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interviewed stated they were kept well informed about any changes to their/their relative’s status, were advised in a timely manner about any incidents or accidents and outcomes of regular and any urgent medical reviews. Staff understood the principles of open disclosure and had attended a training session on 16 October 2017 related to this. Open disclosure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not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monthly reports to the owners showed adequate information to monitor performance is reported including occupancy, financial performance, emerging risks and issues and human resources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GM who holds relevant qualifications and has been in the role for less than a year. Responsibilities and accountabilities are defined in a job description and individual employment agreement. The GM confirmed knowledge of the sector, regulatory and reporting requirements and maintains currency through conferences and sector meetings. The organisations philosophy reflects a person/family centred approach.</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district health board (DHB) for respite, hospital (medical and geriatric services) rest home, dementia services and palliative care.  Twenty-six residents were receiving hospital level care, nineteen rest home level care and eighteen dementia care at the time of audit. There were no residents under the other contracts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clinical manager carries out all the required duties under delegated authority. During absences of key clinical staff, the clinical management is overseen by a registered nurse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adverse events. However, not all data is analysed and evaluated to identify trends.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of quality indicators and that related information is reported and discussed at the quality improvement team meetings and staff meetings. Staff reported their involvement in quality and risk management activities through audit activities and attendance at meetings. Relevant corrective actions are developed and implemented to address any shortfalls. Resident and family satisfaction surveys are completed annually. The most recent survey showed a lack of outings in the van. The service has engaged a volunteer driver to increase van rides. Resident meeting minutes confirmed they are now satisfied with the number of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and discussed at the quality improvement and staff meetings, but not analysed (refer criterion 1.2.3.6).</w:t>
            </w:r>
          </w:p>
          <w:p w:rsidR="00EB7645" w:rsidRPr="00BE00C7" w:rsidP="00BE00C7">
            <w:pPr>
              <w:pStyle w:val="OutcomeDescription"/>
              <w:spacing w:before="120" w:after="120"/>
              <w:rPr>
                <w:rFonts w:cs="Arial"/>
                <w:b w:val="0"/>
                <w:lang w:eastAsia="en-NZ"/>
              </w:rPr>
            </w:pPr>
            <w:r w:rsidRPr="00BE00C7">
              <w:rPr>
                <w:rFonts w:cs="Arial"/>
                <w:b w:val="0"/>
                <w:lang w:eastAsia="en-NZ"/>
              </w:rPr>
              <w:t>The manager described essential notification reporting requirements, including for pressure injuries. She advised there have been notifications of significant events made to the Ministry of Health regarding an outbreak, security breach, power and call bell outage since the previous audit. All events have been manged and resolved or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An external assessor provides regular assessments for the programme.  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15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Residents’ files are held in the nurses’ station of each wing which was locked when staff were not present.</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 information booklet detailing services offered, sample menus, activities and introduction of staff members is provided along with information about what the admission process involves. A tour of the facility provides opportunity to view vacant rooms, meet staff and ensure needs would be meet, in one of the three areas of care provided, hospital, rest home and dementia care. On acceptance of a placement the organisation seeks updated information from the NASC and/or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Specialist referral to the dementia service is confirmed, including the consent of Enduring Power of Attorney (EPOA) for admission. </w:t>
            </w:r>
          </w:p>
          <w:p w:rsidR="00EB7645" w:rsidRPr="00BE00C7" w:rsidP="00BE00C7">
            <w:pPr>
              <w:pStyle w:val="OutcomeDescription"/>
              <w:spacing w:before="120" w:after="120"/>
              <w:rPr>
                <w:rFonts w:cs="Arial"/>
                <w:b w:val="0"/>
                <w:lang w:eastAsia="en-NZ"/>
              </w:rPr>
            </w:pPr>
            <w:r w:rsidRPr="00BE00C7">
              <w:rPr>
                <w:rFonts w:cs="Arial"/>
                <w:b w:val="0"/>
                <w:lang w:eastAsia="en-NZ"/>
              </w:rPr>
              <w:t>Family/whānau members and residents interviewed stated they were satisfied with the admission process and the information that had been made available to them on admission.  Files reviewed contained completed demographic detail and assessments. Signed admission agreements are kept in the manager’s office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If transferring to another facility a verbal handover is given.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 competency register and specimen signatures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and this was recently utilised for three medication errors that has since been reviewed and closed out. The medication management policy is current and identifies all aspects of medicine management in line with the Medicines Care Guide for Residential Aged Care. Medication errors made since last audit have been handled appropriately. Errors are equally divided between pharmacy and administration.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team of three cooks and three kitchen hands. The menu follows summer and winter patterns and has been reviewed by a qualified dietitian within the last two years.  The menu is in line with recognised nutritional guidelines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Food Check South.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needs,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mealtime observed was noted to be quiet and unrushed. Sufficient room was available for residents to move freely between tables.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family interviews as well as satisfaction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family/whānau. The facility manager gave an example of how a resident was declined due to specific needs which could not be safely met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depression scale, as a means to identify needs for initial care. The interRAI assessments are then completed within 21 days and incorporated into the long-term care plan. The sample of care plans reviewed had an integrated range of resident-related information.  All residents had a current interRAI assessment completed by one of four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Behaviour management plans with potential triggers are in place for residents in the dementia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through hand over and progress notes and short-term care plans as required.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three activities staff. The staff member interviewed commences her diversional therapy training next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Tick charts were sighted showing residents participation.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happy with the range and variety of activities. Activities advertised on monthly calendar included newspaper reading, singing groups, van outings, games and pampering sessions. Several lounges around the facility had jigsaw puzzles set out and different residents throughout the day added to 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dementia unit are specific to the needs and abilities of the people living there. Activities are combined between the wings for some activities and others are for individual wings. One to one sessions are held for those less able to participate in groups. Activities are offered at times when residents are most physically active and/or restless.  This included activities provided in the evening, such as doll therapy, ‘fiddle’ boxes and music.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intervention of care. Examples of short term care plans being consistently reviewed and progress evaluated as clinically indicated were noted for skin infections and wounds. Unresolved problems are added to long term care plans.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Residents keep their own GPs if they are in the local area and are able to be contacted in an emergency. If the need for other non-urgent services are indicated or requested, the GP or RN sends a referral to seek specialist input.  Copies of referrals were sighted in residents’ files to wound specialist care. The resident and the family/whānau are kept informed of the referral process, as verified by interviews with family/whānau.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Staff interviewed knew what to do should any chemical spill/event occurred.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13 December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 environment in the dementia service allows for purposeful walking both inside and to safe outside areas. Residents were observed accessing the external areas from one of several doors that open to the secure outside space.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 mixture of communal areas and full ensuites.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Several smaller communal spaces were observed being used on the days of audit.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designated staff.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external contractor for chemicals,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25 August 2016.  A trial evacuation takes place six-monthly with a copy sent to the New Zealand Fire Service, the most recent being on 20 April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number of residents. Water storage tanks are located around the complex, and there is a generator available for the site. Emergency lighting is regularly tested. Oxygen cylinders are not securely stored, or their content status checked.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Many have doors that open onto outside patio area. Heating is provided by panel heaters in residents’ rooms and heat pumps in the communal areas. Areas were warm and well ventilated throughout the audit and residents and families confirmed the facilities are maintained at a comfortable temperature. Audit records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the designated IPC coordinator, whose role and responsibilities are defined in a job description. Infection control matters, including surveillance results, are reported monthly to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six months. She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During a recent outbreak, measures were in place that enabled it to be contained to one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and advice about remaining in their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tract and the upper and lower respiratory tract. The IPC coordinator reviews all reported infections and these are documented.  New infections and any required management plan are discussed at handover and documented in progress notes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graphs formulated and discussed but there is no formal documentation of analysis, identification of trends, possible causative factors and required actions. (see corrective action Standard 1.2.4).</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seven residents were using restraints and six residents were using enablers, which were the least restrictive and used voluntarily at their request. All restraints were bedrails and raised for safety overnight. A similar process is followed for the use of enablers as is used for restraints. All restraints and enablers were in use in the hospital area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staff.   For example, a resident previously using a chair restraint has had this removed, with additional strategies put in place to ensure the resident remains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clinical care manager, registered nurse and the general practitioner,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family/EPOA. The 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(eg, the use of sensor mats, low beds.  A low bed was purchased on the day of audit for trial with one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staff confirmed that the use of restraint has been reduced by two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3"/>
        <w:gridCol w:w="1280"/>
        <w:gridCol w:w="5649"/>
        <w:gridCol w:w="2968"/>
        <w:gridCol w:w="15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for all adverse events, falls and infections, documented and discussed at the quality improvement team meeting and staff meetings. However, there is no documented analysis of the data. </w:t>
            </w:r>
          </w:p>
          <w:p w:rsidR="00EB7645" w:rsidRPr="00BE00C7" w:rsidP="00BE00C7">
            <w:pPr>
              <w:pStyle w:val="OutcomeDescription"/>
              <w:spacing w:before="120" w:after="120"/>
              <w:rPr>
                <w:rFonts w:cs="Arial"/>
                <w:b w:val="0"/>
                <w:lang w:eastAsia="en-NZ"/>
              </w:rPr>
            </w:pPr>
            <w:r w:rsidRPr="00BE00C7">
              <w:rPr>
                <w:rFonts w:cs="Arial"/>
                <w:b w:val="0"/>
                <w:lang w:eastAsia="en-NZ"/>
              </w:rPr>
              <w:t>Quality meeting minutes suggest that each event is discussed by person, for example – three falls in the past month – however, there is no evidence of an analysis occurring to identify any trends or interventions to minimise the risks. An example is the addition of sensor mats for a resident who is a falls risk to alert staff, and while this is added to the resident’s notes and care plan it is not included in the quality improvement data, including the effectiveness of the implementation.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not routinely analysed and evaluated to identify trends that will lead to improvements.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quality data is analysed and evaluated to identify trends that lead to improvements of the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residents who require oxygen either routinely or in an urgent situation. However, those sighted in storage were not secured and it was unclear on one cylinder of the oxygen content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oxygen cylinders and two cylinders in the empty cylinder space were not secured. It was unclear on one cylinder of the content status (full or empty) and there was no evidence of a documented routine check of the status of the oxygen cylinders.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Oxygen cylinders are secured when in storage and there is a clear process for identifying the status of the content of the cylinders.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Clare House Care Limited - Clare House</w:t>
    </w:r>
    <w:bookmarkEnd w:id="58"/>
    <w:r>
      <w:rPr>
        <w:rFonts w:cs="Arial"/>
        <w:sz w:val="16"/>
        <w:szCs w:val="20"/>
      </w:rPr>
      <w:tab/>
      <w:t xml:space="preserve">Date of Audit: </w:t>
    </w:r>
    <w:bookmarkStart w:id="59" w:name="AuditStartDate1"/>
    <w:r>
      <w:rPr>
        <w:rFonts w:cs="Arial"/>
        <w:sz w:val="16"/>
        <w:szCs w:val="20"/>
      </w:rPr>
      <w:t>24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