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The Orchards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Orchards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July 2018</w:t>
      </w:r>
      <w:bookmarkEnd w:id="7"/>
      <w:r w:rsidRPr="009418D4">
        <w:rPr>
          <w:rFonts w:cs="Arial"/>
        </w:rPr>
        <w:tab/>
        <w:t xml:space="preserve">End date: </w:t>
      </w:r>
      <w:bookmarkStart w:id="8" w:name="AuditEndDate"/>
      <w:r w:rsidR="00A4268A">
        <w:rPr>
          <w:rFonts w:cs="Arial"/>
        </w:rPr>
        <w:t>11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wishes to add non-acute medical services to their service delivery.</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Metlifecare Limited - The Orchards (The Orchards) provides rest home and hospital level care for up to 32 residents. The service is operated by Metlifecare Limited. There is a village manager who has overall responsibility and accountability for services offered and a registered nurse is the nurse manager of the care unit. They are supported by a team of registered nurses with one nurse being the nominated senior nurse on the floor. The food services manager is the third member of the management team.  Residents and families spoke positively about the care provided.</w:t>
      </w:r>
    </w:p>
    <w:p w:rsidRPr="00A4268A">
      <w:pPr>
        <w:spacing w:before="240" w:line="276" w:lineRule="auto"/>
        <w:rPr>
          <w:rFonts w:eastAsia="Calibri"/>
        </w:rPr>
      </w:pPr>
      <w:r w:rsidRPr="00A4268A">
        <w:rPr>
          <w:rFonts w:eastAsia="Calibri"/>
        </w:rPr>
        <w:t xml:space="preserve">The service would like to have non-acute medical added to the services they offer. This will not mean an increase in bed numbers. The audit identified that the current services and the environment are suitable for this service to occur. The service can demonstrate their ability and preparedness to include this service.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w:t>
      </w:r>
    </w:p>
    <w:p w:rsidRPr="00A4268A">
      <w:pPr>
        <w:spacing w:before="240" w:line="276" w:lineRule="auto"/>
        <w:rPr>
          <w:rFonts w:eastAsia="Calibri"/>
        </w:rPr>
      </w:pPr>
      <w:r w:rsidRPr="00A4268A">
        <w:rPr>
          <w:rFonts w:eastAsia="Calibri"/>
        </w:rPr>
        <w:t xml:space="preserve">This audit has resulted in no areas requiring improvement being identified.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and values of the organisation.  Monitoring of the services provided to the governing body is regular and effective. Experienced and suitably qualified persons manage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and biomedical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a restraint free environment. No enablers or restraints were in use at the time of audit.  A comprehensive assessment, approval and monitoring process is available should restraint be required. Policy states that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20"/>
        <w:gridCol w:w="1280"/>
        <w:gridCol w:w="93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  There are internal and external areas throughout the facility, including two lounges and a café which residents and visitors can use, other than meeting in the resident’s bedroom when visiting.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  Complaints information is available at the entrance to the facility. Resident satisfaction survey results for July 2018 showed that response to family concerns gained a 97% rating which is an increase from 82% in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six complaints have been received over the past year and that actions taken, through to an agreed resolution, are documented and completed within the timeframes.  Action plans identified any required follow up and improvements have been made where possible. One example relates to a complaint about food services. The follow-up has resulted in a hardcopy of the current menu being placed in the information holder in each resident’s bedroom as well as the weekly menu from which residents choose what they wish to eat daily.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is responsible for complaints management and follow up. All staff interviewed confirmed a sound understanding of the complaint process and what actions are required. All complaints are reported to the quality and risk manager and discussed at the clinical senior management meeting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and discussions with staff. The Code is displayed in the main foyer area of the facility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who identify as Māori to integrate their cultural values and beliefs.  The principles of the Treaty of Waitangi are incorporated into day to day practice, as is the importance of whānau.  The senior registered nurse interviewed reported that there were currently no resident who affiliate with their Maori culture. There are no barriers in supporting residents who are admitted to the facility who identify as Māori. There is no specific Maori health plan; however, a Maori Health resource manual has been developed and currently is in draft.  The Maori resource manual supports all values and beliefs acknowledged within the Te Whare Tapa Wha model with input from cultural advisers within the local community as required helping to support and develop a Maori health care plan for the resident.   With the resident’s consent a referral form is completed and sent to the local rohe for ongoing support.  Guidance on tikanga best practice is available and is supported by staff who identify as Māori 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observation of conversations between residents, families and staff, and the knocking on bedroom doors before entering.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to support the three residents who do not understand English due to the use of and regular visits of family members, communication cards and the staff knowing the residents well.  There are six residents acknowledged with a significant sensory impairment and appropriate equipment and resources were sighted and highlighted in residents’ long term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Each month an updated activities calendar, a copy of the monthly resident meeting meetings and current menu is provided to each resident’s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 term objectives and the associated operational plans. A sample of monthly management reports to the clinical governance committee and quarterly reports to the board of directors showed adequate information to monitor performance is reported including financial performance, quality improvements, clinical quality data, staffing, complaints, incidents and accidents, occupancy,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overall service is managed by the village manager who has been in the role for six weeks. She has previous aged care management experience. The care unit services are overseen by the nurse manager who holds a current registered nurse practising certificate and has been in the role for over two years. The food services manager oversees all catering services and has been in the role for two years. All three managers hold relevant qualifications. Responsibilities and accountabilities are defined in a job description and individual employment agreement.  The management team confirmed their knowledge of the sector, regulatory and reporting requirements and they maintain currency through ongoing education, such as attending Metlifecare two monthly ‘webinars’, nutrition education via Massey university, Waitemata DHB education days and attendance at age care forums and conferences.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an Age Residential Related Care contract with the Waitemata District Health Board which includes respite care. All 30 residents were receiving services under the contract; being six rest home level care and 24 hospital level care residents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 interRAI level of care report matched the number of residents and levels of care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nurse manager is absent, the senior registered nurse with assistance from the clinical quality and risk manager from Metlifecare, carries out all the required duties under delegated authority.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absences of key clinical staff, the clinical management is overseen by a registered nurse from the floor who is experienced in the sector and able to take responsibility for any clinical issues with assistance and oversight of the nurse manager. Staff reported the current arrangements work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falls, wounds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Quality data collected is analysed to show trends. Benchmarking is undertaken against all Metlifecare clinical units and infection control benchmarking is undertaken against other like facilities by an off-site company every three months.  Issues that arise are managed via the corrective action process and outcomes are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team meeting, the clinical governance group at Metlifecare senior management level, specific committee meetings such as health and safety and infection control, and staff meetings. Staff reported their involvement in quality and risk management activities through active involvement in specific committees, audit activities and projects and the implementation of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are developed and implemented to address any shortfalls. Examples were sighted related to corrective actions related to falls which included staff education and the placement of additional handrails in the corridors, and the investigation related to the length of time for staff to respond to call bells which included discussion at staff meetings, approval from head office to have an accelerated call bell response implemented and the introduction of daily allocation of residents to a specific staff team. Staff confirmed their awareness of the corrective actions and feel they have had positive outcomes. This is supported by the overall resident/family satisfaction survey results which gained a 96% rating.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June 2018, showed that all areas of service gained a higher rating in all areas from the 2017 year. Issues raised in the 2017 satisfaction survey such as food services have corrective actions shown with staff responsibilities and outcomes identified. Corrective actions included ensuring all residents’ food needs are catered for and this includes the introduction of an off-site specialist pureed food company supplying pureed food and the use of food moulds to make the meal look more attractive. Residents and families interviewed confirmed there has been an improvement in food services over the past year. The facility has undertaken a project around this process and outcomes are yet to be fully evaluated.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Orchards has four active quality improvements which they are working on. These are the introduction of an electronic programme to access off-site clinical information such as blood tests, hourly electronic fridge testing of temperatures to prevent food spoilage, residents on fortified foods and those having puree food is being linked to monitoring of residents weight to ensure they increase or remain stable, and the ongoing management of falls with a 30% of falls as a set goal.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This process is managed at head office and all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described the processes for the identification, monitoring, review and reporting of risks and development of mitigation strategies. The nurse manager is familiar with the Health and Safety at Work Act (2015) and has implemented requirements.  The health and safety committee review all new risks and they are entered into the risk register and discussed at staff meetings as appropriate. A full review of the risk register occurs annually. There is a current hazardous substance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Information is used to improve service delivery where appropriate. Adverse event data is collated, analysed and reported to the senior registered nurse, the nurse manager, the village manager and electronically recorded for the quality and risk manager to review. All incidents and accidents are reported at management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described essential notification reporting requirements, including for pressure injuries.  They advised there have been two section 31 notifications of significant events made to the Ministry of Health and one norovirus outbreak reported to public health in August 2017.  The section 31 reports were: 07 December 2017 related to a resident with memory loss being reported as a missing person. A police report was completed but not acted upon as the resident returned to the facility themselves one and a half hours after they were noted to be missing. Family were kept informed. The second report related to the electronic medication system being down and that off-line data was not up to date. This resulted in a corrective action being put in place, and following staff education, all medication electronic data is now backed up following each medication round. This was confirmed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police investigations, coroner’s inquests or issues-based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ninety-day period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Metlifecare have a dedicated staff member who is the internal assessor for the programme for the Northern cluster of facilities. Training is undertaken both on-site and off-site. The Orchards are members of the Waitemata DHB Community Adult Heath Service Residential Aged Care Integrated Programme (RACIP) which allows staff to access relevant DHB training. There is also a memorandum of understanding with Waitemata DHB which allows the facility to gain specialist clinical coaching for staff which is presented on-site by the gerontology nurse specialist and/or the wound care nurse specialist.  The ongoing education covers all aspects of aged care service delivery and includes non-acute medical conditions. </w:t>
            </w:r>
          </w:p>
          <w:p w:rsidR="00EB7645" w:rsidRPr="00BE00C7" w:rsidP="00BE00C7">
            <w:pPr>
              <w:pStyle w:val="OutcomeDescription"/>
              <w:spacing w:before="120" w:after="120"/>
              <w:rPr>
                <w:rFonts w:cs="Arial"/>
                <w:b w:val="0"/>
                <w:lang w:eastAsia="en-NZ"/>
              </w:rPr>
            </w:pPr>
            <w:r w:rsidRPr="00BE00C7">
              <w:rPr>
                <w:rFonts w:cs="Arial"/>
                <w:b w:val="0"/>
                <w:lang w:eastAsia="en-NZ"/>
              </w:rPr>
              <w:t>There are two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The process used includes resident acuity and would apply to non-acute medical care as well as rest home and hospital. An afterhours on call roster is in place, with staff reporting that good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adequate staff cover has been provided, with staff replaced in any unplanned absence.  At least one staff member on duty has a current first aid certificate and there is 24 hour/seven days a week (24//7) RN coverage in the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works 8am to 4.30 pm Monday to Friday and the senior registered nurse works 8.30am to 5pm Tuesday to Saturday. Monday and Sunday have an additional registered nurse on the floor to cover the senior registered nurse duties. There is another registered nurse from 6.45am to 3.15pm and four caregivers seven days a week. Afternoon shift has one registered nurse from 3pm to 11.15pm, two caregivers from 3pm to 11pm and two caregivers from 3pm to 10pm seven days a week. Night duty has one registered nurse and two caregivers from 11pm to 7am seven days a week. An additional caregiver is rostered from 6.45am to 2.15pm when resident number increase to 32 or if there is a heavy workload. </w:t>
            </w:r>
          </w:p>
          <w:p w:rsidR="00EB7645" w:rsidRPr="00BE00C7" w:rsidP="00BE00C7">
            <w:pPr>
              <w:pStyle w:val="OutcomeDescription"/>
              <w:spacing w:before="120" w:after="120"/>
              <w:rPr>
                <w:rFonts w:cs="Arial"/>
                <w:b w:val="0"/>
                <w:lang w:eastAsia="en-NZ"/>
              </w:rPr>
            </w:pPr>
            <w:r w:rsidRPr="00BE00C7">
              <w:rPr>
                <w:rFonts w:cs="Arial"/>
                <w:b w:val="0"/>
                <w:lang w:eastAsia="en-NZ"/>
              </w:rPr>
              <w:t>Domestic aid cover is 8am to 4.30pm five days a week, 8.30am to 4pm Monday and Tuesday, 8am to 2.30 Wednesday, Thursday and Friday and 8am to 4.30 pm Saturday and Sunday. The activities coordinator works 10am to 4.30pm Monday to Friday. The kitchen is fully staffed seven days a week and the staff are employed by the village but undertake all cooking and serving duties for the care unit. There is night porter who also acts a security person seven nights a week from 11pm to 7am.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and/or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details,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communication between the facility, hospital, ambulance staff and family and documented outcome of the transfer.  Family of the resident reported being kept well informed during the transfer of their relative.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were within the recommended range and are monitored by an external company.    The facility offers flu vaccines; however, all vaccines are provided by an external source and no vaccines are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The facility does not use standing orders.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who were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overseen by a food service manager and provided on site by two cooks and a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has been issued by the Auckland City council and expires 11 June 2019.  The residents also have access to an external café on site of the facility which also has an approved safety plan and expires on the same date as the main kitchen.   Food temperatures, including for high risk items, are monitored appropriately and recorded as part of the plan. The food services manager and cooks have undertaken a safe food handling qualification, with kitchen assistants currently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  The total numbers of beds would not change with the addition of non-acute medical residents, and the kitchen manager interviewed stated that they can manage all menus and different food diets for all residents.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needs, and incontinence screening, as a means to identify any deficits and to inform care planning. The sample of care plans reviewed had an integrated range of resident-related information.  Two residents are awaiting transfer of their files to the facility, evidence was sighted from the facility requesting that the transfer of this information occur.  Long term care plans were sighted.   All other residents have current interRAI assessments completed by one of two trained interRAI assessors on site.  The nurse manager interviewed stated that currently there is no formal plan to train further registered staff at the facility.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excellent.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who supports residents Monday to Friday 10 am to 4.30 pm.   The programme is currently overseen and supported by an occupational therapist who visits the facility as required and supports the activities co-ordinator who is training to become a diversional therapist.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Residents and families/whānau are involved in evaluating and improving the programme through residents’ meetings, and satisfaction surveys. Residents interviewed confirmed they find the programme interactive and interesting.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mental health services for older people, dietician and a speech language therapist.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Safe waste management is included in staff orientation. Staff who handle chemicals are required to undertake safe chemical handling education.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22 March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(22 May 2018) and calibration of bio medical equipment (December 2017) is current as confirmed in documentation reviewed, interviews with maintenance personnel and observation of the environment.  Efforts are made to ensure the environment is hazard free, that residents are safe and independence is promoted. Oxygen is well secured. Full environmental safety audits are carried out twice a year and this was last undertaken in February 2018. Maintenance is scheduled electronically and is easy to track and view completion dates. Regular checks are undertaken by an off-site provider for sluice room, kitchen and laundry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adequate equipment to cater for non-acute medical residents, this includes sit on weigh scales, two full sling hoists and one standing hoist and a bariatric wheel chair and toilet chair.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external balcony area off the lounge area which has an emergency call bell, suitable seating, room for wheelchairs and sun shade. Residents can also access the gardens via the lower level. The garden paths are well maintained. The outdoor areas are appropriate to the resident groups and setting. Residents confirmed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eight bedrooms that have toilet ensuites and all the remaining bedrooms have full ensuite facilities. Two communal bathroom areas have wide door access and can easily accommodate any lifting equipment required. Regular water temperature testing identifies that a safe range is maintained. Appropriately secured and approved handrails are provided in the toilet/shower areas, and other equipment/accessories are available to promote resident independence. Bathrooms are suitable for non-acute medical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Bedrooms are large enough to store wheelchairs and scooters. The doorways are wide enough to move equipment and beds as required. All the beds are electric and regular maintenance is undertaken as sighted in documentation. The room size is adequate for non-acute medical residents.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There are two dining areas, an entertainment room with restricted times of use owing to no natural light and a lounge area. All areas provide adequate space and enable easy access for residents and staff. Furniture is appropriate to the setting and residents’ needs. As the bed numbers are not increasing the current communal areas can accommodate non-acute medical residents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dedicated laundry by domestic staff. Dedicated laundry staff demonstrated a sound knowledge of the laundry processes, dirty/clean flow and handling of soiled linen. Residents interviewed reported the laundry is managed well and their clothes are returned in a timely manner. The 2018 resident satisfaction survey gained a 96% rating.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is well equipped, and staff confirm they can manage the volume of laundry for all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which includes safe chemical handling as confirmed in staff interviews and training records.  Chemicals are securely stored and were in appropriately labelled containers. Infection control management processes are on display in the laundry in the form of a flip chart for easy staff access as well as clearly set out in policy and procedures. Staff confirmed their understanding of outbreak management and verbalised the actions taken during the norovirus outbreak.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regular checks by the chemical provider and the internal audit programme. The recent resident satisfaction survey results identified that overall cleanliness gained a 97% rating which increased from 90% in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04 January 2018 when all buildings on the complex were completed. A trial evacuation takes place six-monthly with a copy sent to the New Zealand Fire Service, the most recent being in April 2018 with one corrective action being identified and implemented by the service. The 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cooking facilities were sighted and meet the requirements for the 32 residents. Ten litre water bottles are stored in two areas of the care unit and this includes an aqua valve and cradle for ease of use.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These have identified that in some cases it is taking over 10 minute for staff to respond. This has been fully investigated by the nurse manager and documented corrective actions are being implemented. Most instances are staff not turning off the call bell when they first respond to the resident’s needs. Metlifecare head office has approved the installation of a graduated call system so that if the call bell is not responded to within eight minutes it will be escalated to the senior registered nurse on duty graduating up to the nurse manager. On the days of audit residents and families reported staff respond promptly to call bells. Maintenance staff check call bells monthly and an off-site provider undertakes a full check of call bells and staff pagers annually. This last occurred on 03 July 2018 and two staff pagers which were not working correctly were replaced.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the night porter undertakes regular checks of the external doors and windows during the night. All windows have restrictor stays to ensure the windows cannot open fully.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The air conditioning units can be controlled to individualise each resident’s bedroom to a temperature they are comfortable with. With the exception of the entertainment room, which has restricted use hours, rooms have natural light and opening external windows.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a clinical nurse specialist, GP and pharmacy.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Infection control matters, including surveillance results, are reported monthly to the senior registered nurse and nurse manager and tabled at the quality/risk committee meeting.  This committee includes the nurse manager/ senior registered nurse,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six months.  She has undertaken training in infection prevention and control and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2018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An example of this occurred when the facility had a gastro enteritis outbreak in August 2017.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infections, respiratory tract infections, skin, wound, eye, gastro enteritis and other infections.  The IPC coordinator/registered nurse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monthly surveillance programme are shared with staff via staff meetings, on the notice board in the staff room and at staff handovers.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 total of 10 infections in the hospital and no infections in the rest home from January 2018 to June 2018.  The residents’ files reviewed highlighted short term and long-term care planning to reduce and minimise the risk of infection.   Care staff interviewed demonstrated knowledge of residents who have a higher risk of infections and the interventions required.  As of May 2018, 23 staff and 30 residents consented to and have had the flu vaccine this year.   Infection data is benchmarked externally within the group and QPS three monthly.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gastrointestinal infection outbreak (August 2017) where 15 residents and 10 staff members were affected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Policy identifies that Metlifecare facilities aim to be restraint free. The Orchards had no enablers or restraints in use at the time of audit. The restraint coordinator provides support and oversight for enabler and restraint management should it be required. The terms of reference for the restraint committee identify the role and responsibility of the members. The committee meets three monthly and meeting minutes are documented. As there is no restraint the meetings are used to plan staff education and ensure that all restraint policies and procedures are up to date.  Staff education was last presented in November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free environment was confirmed during staff interview, in meeting minutes and in the restraint register. The last enabler use ceased in September 2017. Policy states that enablers are the least restrictive method and only used upon voluntarily resident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confirmed that restraint would only be used as a last resort when all alternatives have been explored.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The Orchards</w:t>
    </w:r>
    <w:bookmarkEnd w:id="58"/>
    <w:r>
      <w:rPr>
        <w:rFonts w:cs="Arial"/>
        <w:sz w:val="16"/>
        <w:szCs w:val="20"/>
      </w:rPr>
      <w:tab/>
      <w:t xml:space="preserve">Date of Audit: </w:t>
    </w:r>
    <w:bookmarkStart w:id="59" w:name="AuditStartDate1"/>
    <w:r>
      <w:rPr>
        <w:rFonts w:cs="Arial"/>
        <w:sz w:val="16"/>
        <w:szCs w:val="20"/>
      </w:rPr>
      <w:t>10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